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71A12">
      <w:pPr>
        <w:divId w:val="1254245179"/>
        <w:rPr>
          <w:rFonts w:eastAsia="Times New Roman"/>
          <w:vanish/>
        </w:rPr>
      </w:pPr>
      <w:r>
        <w:rPr>
          <w:rFonts w:eastAsia="Times New Roman"/>
          <w:vanish/>
        </w:rPr>
        <w:t>false2022FY00011581721P1YP1YP1Yfive yearshttp://fasb.org/us-gaap/2022#OtherLiabilitiesCurrenthttp://fasb.org/us-gaap/2022#OtherLiabilitiesNoncurrentP1Y00011581722022-01-012022-12-3100011581722022-06-30iso4217:USD00011581722023-02-24</w:t>
      </w:r>
      <w:r>
        <w:rPr>
          <w:rFonts w:eastAsia="Times New Roman"/>
          <w:vanish/>
        </w:rPr>
        <w:t>xbrli:shares00011581722022-12-3100011581722021-12-310001158172us-gaap:InvestorMember2022-12-310001158172us-gaap:InvestorMember2021-12-31iso4217:USDxbrli:shares00011581722021-01-012021-12-3100011581722020-01-012020-12-310001158172us-gaap:InvestorMember2022-</w:t>
      </w:r>
      <w:r>
        <w:rPr>
          <w:rFonts w:eastAsia="Times New Roman"/>
          <w:vanish/>
        </w:rPr>
        <w:t>01-012022-12-310001158172us-gaap:InvestorMember2021-01-012021-12-310001158172us-gaap:InvestorMember2020-01-012020-12-310001158172us-gaap:InvestorMemberus-gaap:CostOfSalesMember2022-01-012022-12-310001158172us-gaap:InvestorMemberus-gaap:CostOfSalesMember202</w:t>
      </w:r>
      <w:r>
        <w:rPr>
          <w:rFonts w:eastAsia="Times New Roman"/>
          <w:vanish/>
        </w:rPr>
        <w:t>1-01-012021-12-310001158172us-gaap:InvestorMemberus-gaap:CostOfSalesMember2020-01-012020-12-310001158172us-gaap:CostOfSalesMember2022-01-012022-12-310001158172us-gaap:CostOfSalesMember2021-01-012021-12-310001158172us-gaap:CostOfSalesMember2020-01-012020-12</w:t>
      </w:r>
      <w:r>
        <w:rPr>
          <w:rFonts w:eastAsia="Times New Roman"/>
          <w:vanish/>
        </w:rPr>
        <w:t>-310001158172us-gaap:SellingAndMarketingExpenseMember2022-01-012022-12-310001158172us-gaap:SellingAndMarketingExpenseMember2021-01-012021-12-310001158172us-gaap:SellingAndMarketingExpenseMember2020-01-012020-12-310001158172us-gaap:ResearchAndDevelopmentExp</w:t>
      </w:r>
      <w:r>
        <w:rPr>
          <w:rFonts w:eastAsia="Times New Roman"/>
          <w:vanish/>
        </w:rPr>
        <w:t>enseMember2022-01-012022-12-310001158172us-gaap:ResearchAndDevelopmentExpenseMember2021-01-012021-12-310001158172us-gaap:ResearchAndDevelopmentExpenseMember2020-01-012020-12-310001158172us-gaap:GeneralAndAdministrativeExpenseMember2022-01-012022-12-3100011</w:t>
      </w:r>
      <w:r>
        <w:rPr>
          <w:rFonts w:eastAsia="Times New Roman"/>
          <w:vanish/>
        </w:rPr>
        <w:t>58172us-gaap:GeneralAndAdministrativeExpenseMember2021-01-012021-12-310001158172us-gaap:GeneralAndAdministrativeExpenseMember2020-01-012020-12-3100011581722019-12-310001158172us-gaap:CommonStockMember2019-12-310001158172us-gaap:AdditionalPaidInCapitalMembe</w:t>
      </w:r>
      <w:r>
        <w:rPr>
          <w:rFonts w:eastAsia="Times New Roman"/>
          <w:vanish/>
        </w:rPr>
        <w:t>r2019-12-310001158172us-gaap:AccumulatedOtherComprehensiveIncomeMember2019-12-310001158172us-gaap:RetainedEarningsMember2019-12-310001158172us-gaap:TreasuryStockMember2019-12-310001158172us-gaap:RetainedEarningsMember2020-01-012020-12-310001158172us-gaap:A</w:t>
      </w:r>
      <w:r>
        <w:rPr>
          <w:rFonts w:eastAsia="Times New Roman"/>
          <w:vanish/>
        </w:rPr>
        <w:t>ccumulatedOtherComprehensiveIncomeMember2020-01-012020-12-310001158172us-gaap:CommonStockMember2020-01-012020-12-310001158172us-gaap:AdditionalPaidInCapitalMember2020-01-012020-12-3100011581722020-12-310001158172us-gaap:CommonStockMember2020-12-31000115817</w:t>
      </w:r>
      <w:r>
        <w:rPr>
          <w:rFonts w:eastAsia="Times New Roman"/>
          <w:vanish/>
        </w:rPr>
        <w:t>2us-gaap:AdditionalPaidInCapitalMember2020-12-310001158172us-gaap:AccumulatedOtherComprehensiveIncomeMember2020-12-310001158172us-gaap:RetainedEarningsMember2020-12-310001158172us-gaap:TreasuryStockMember2020-12-310001158172us-gaap:RetainedEarningsMember20</w:t>
      </w:r>
      <w:r>
        <w:rPr>
          <w:rFonts w:eastAsia="Times New Roman"/>
          <w:vanish/>
        </w:rPr>
        <w:t>21-01-012021-12-310001158172us-gaap:CommonStockMember2021-01-012021-12-310001158172us-gaap:AdditionalPaidInCapitalMember2021-01-012021-12-310001158172us-gaap:AccumulatedOtherComprehensiveIncomeMember2021-01-012021-12-310001158172us-gaap:CommonStockMember20</w:t>
      </w:r>
      <w:r>
        <w:rPr>
          <w:rFonts w:eastAsia="Times New Roman"/>
          <w:vanish/>
        </w:rPr>
        <w:t>21-12-310001158172us-gaap:AdditionalPaidInCapitalMember2021-12-310001158172us-gaap:AccumulatedOtherComprehensiveIncomeMember2021-12-310001158172us-gaap:RetainedEarningsMember2021-12-310001158172us-gaap:TreasuryStockMember2021-12-310001158172us-gaap:Retaine</w:t>
      </w:r>
      <w:r>
        <w:rPr>
          <w:rFonts w:eastAsia="Times New Roman"/>
          <w:vanish/>
        </w:rPr>
        <w:t>dEarningsMember2022-01-012022-12-310001158172us-gaap:CommonStockMember2022-01-012022-12-310001158172us-gaap:AdditionalPaidInCapitalMember2022-01-012022-12-310001158172us-gaap:AccumulatedOtherComprehensiveIncomeMember2022-01-012022-12-310001158172us-gaap:Co</w:t>
      </w:r>
      <w:r>
        <w:rPr>
          <w:rFonts w:eastAsia="Times New Roman"/>
          <w:vanish/>
        </w:rPr>
        <w:t>mmonStockMember2022-12-310001158172us-gaap:AdditionalPaidInCapitalMember2022-12-310001158172us-gaap:AccumulatedOtherComprehensiveIncomeMember2022-12-310001158172us-gaap:RetainedEarningsMember2022-12-310001158172us-gaap:TreasuryStockMember2022-12-3100011581</w:t>
      </w:r>
      <w:r>
        <w:rPr>
          <w:rFonts w:eastAsia="Times New Roman"/>
          <w:vanish/>
        </w:rPr>
        <w:t>72us-gaap:ConvertibleNotesPayableMember2022-01-012022-12-310001158172us-gaap:ConvertibleNotesPayableMember2021-01-012021-12-310001158172us-gaap:ConvertibleNotesPayableMember2020-01-012020-12-310001158172us-gaap:NotesPayableOtherPayablesMember2022-01-012022</w:t>
      </w:r>
      <w:r>
        <w:rPr>
          <w:rFonts w:eastAsia="Times New Roman"/>
          <w:vanish/>
        </w:rPr>
        <w:t>-12-310001158172us-gaap:NotesPayableOtherPayablesMember2021-01-012021-12-310001158172us-gaap:NotesPayableOtherPayablesMember2020-01-012020-12-3100011581722021-12-16scor:subsidiaryscor:segment00011581722021-01-310001158172srt:MinimumMember2022-01-012022-12-</w:t>
      </w:r>
      <w:r>
        <w:rPr>
          <w:rFonts w:eastAsia="Times New Roman"/>
          <w:vanish/>
        </w:rPr>
        <w:t>310001158172srt:MaximumMember2022-01-012022-12-310001158172us-gaap:SoftwareAndSoftwareDevelopmentCostsMembersrt:MinimumMember2022-01-012022-12-310001158172us-gaap:SoftwareAndSoftwareDevelopmentCostsMembersrt:MaximumMember2022-01-012022-12-310001158172scor:</w:t>
      </w:r>
      <w:r>
        <w:rPr>
          <w:rFonts w:eastAsia="Times New Roman"/>
          <w:vanish/>
        </w:rPr>
        <w:t>ShareableeIncMember2021-01-012021-12-310001158172scor:ShareableeIncMember2021-12-310001158172scor:ShareableeIncMember2021-12-012021-12-310001158172scor:ShareableeIncMembersrt:MaximumMember2021-12-310001158172scor:ShareableeIncMember2022-12-310001158172srt:</w:t>
      </w:r>
      <w:r>
        <w:rPr>
          <w:rFonts w:eastAsia="Times New Roman"/>
          <w:vanish/>
        </w:rPr>
        <w:t>ScenarioForecastMemberscor:ShareableeIncMember2023-12-310001158172srt:ScenarioForecastMemberscor:ShareableeIncMember2024-12-310001158172us-gaap:FairValueMeasurementsRecurringMemberscor:SeriesAWarrantMember2022-12-3100011581722021-09-3000011581722022-07-012</w:t>
      </w:r>
      <w:r>
        <w:rPr>
          <w:rFonts w:eastAsia="Times New Roman"/>
          <w:vanish/>
        </w:rPr>
        <w:t>022-09-300001158172srt:MinimumMemberscor:AcquiredMethodologiesTechnologyMember2022-01-012022-12-310001158172srt:MaximumMemberscor:AcquiredMethodologiesTechnologyMember2022-01-012022-12-310001158172scor:AcquiredSoftwareMember2022-01-012022-12-310001158172us</w:t>
      </w:r>
      <w:r>
        <w:rPr>
          <w:rFonts w:eastAsia="Times New Roman"/>
          <w:vanish/>
        </w:rPr>
        <w:t>-gaap:CustomerRelationshipsMembersrt:MinimumMember2022-01-012022-12-310001158172us-gaap:CustomerRelationshipsMembersrt:MaximumMember2022-01-012022-12-310001158172us-gaap:IntellectualPropertyMember2022-01-012022-12-310001158172us-gaap:OtherIntangibleAssetsM</w:t>
      </w:r>
      <w:r>
        <w:rPr>
          <w:rFonts w:eastAsia="Times New Roman"/>
          <w:vanish/>
        </w:rPr>
        <w:t>ember2022-01-012022-12-310001158172us-gaap:MeasurementInputDiscountRateMemberus-gaap:IncomeApproachValuationTechniqueMember2020-03-31xbrli:pure0001158172us-gaap:MeasurementInputDiscountRateMemberus-gaap:IncomeApproachValuationTechniqueMember2022-12-3100011</w:t>
      </w:r>
      <w:r>
        <w:rPr>
          <w:rFonts w:eastAsia="Times New Roman"/>
          <w:vanish/>
        </w:rPr>
        <w:t>58172scor:EmployeesDirectorsandCertainConsultantsMemberus-gaap:RestrictedStockUnitsRSUMember2022-01-012022-12-310001158172scor:EmployeesDirectorsandCertainConsultantsMemberus-gaap:RestrictedStockUnitsRSUMember2020-01-012020-12-310001158172scor:EmployeesDir</w:t>
      </w:r>
      <w:r>
        <w:rPr>
          <w:rFonts w:eastAsia="Times New Roman"/>
          <w:vanish/>
        </w:rPr>
        <w:t>ectorsandCertainConsultantsMemberus-gaap:RestrictedStockUnitsRSUMember2021-01-012021-12-310001158172srt:ExecutiveOfficerMemberus-gaap:RestrictedStockUnitsRSUMember2021-01-012021-12-310001158172srt:ExecutiveOfficerMemberus-gaap:RestrictedStockUnitsRSUMember</w:t>
      </w:r>
      <w:r>
        <w:rPr>
          <w:rFonts w:eastAsia="Times New Roman"/>
          <w:vanish/>
        </w:rPr>
        <w:t>2020-01-012020-12-310001158172srt:ExecutiveOfficerMemberus-gaap:RestrictedStockUnitsRSUMember2022-01-012022-12-31utr:Yscor:reportingUnit0001158172scor:ShareableeIncMember2021-12-162021-12-160001158172scor:ShareableeIncMemberscor:SharesIssuedUponClosingMemb</w:t>
      </w:r>
      <w:r>
        <w:rPr>
          <w:rFonts w:eastAsia="Times New Roman"/>
          <w:vanish/>
        </w:rPr>
        <w:t>er2021-12-162021-12-160001158172scor:ShareableeIncMemberscor:ReplacementStockOptionAwardsMember2021-12-162021-12-160001158172scor:PendingUponWorkingCapitalAdjustmentMemberscor:ShareableeIncMember2021-12-162021-12-160001158172scor:ShareableeIncMember2021-12</w:t>
      </w:r>
      <w:r>
        <w:rPr>
          <w:rFonts w:eastAsia="Times New Roman"/>
          <w:vanish/>
        </w:rPr>
        <w:t>-1600011581722021-12-162021-12-16utr:D0001158172scor:ShareableeIncMemberscor:ReplacementStockOptionAwardsMembersrt:DirectorMember2021-12-162021-12-160001158172srt:DirectorMember2021-12-162021-12-160001158172scor:ShareableeIncMembersrt:DirectorMember2021-12</w:t>
      </w:r>
      <w:r>
        <w:rPr>
          <w:rFonts w:eastAsia="Times New Roman"/>
          <w:vanish/>
        </w:rPr>
        <w:t>-162021-12-160001158172scor:ShareableeIncMembersrt:DirectorMember2021-12-160001158172us-gaap:CustomerRelationshipsMemberscor:ShareableeIncMember2021-12-162021-12-160001158172us-gaap:CustomerRelationshipsMemberscor:ShareableeIncMember2021-12-160001158172sco</w:t>
      </w:r>
      <w:r>
        <w:rPr>
          <w:rFonts w:eastAsia="Times New Roman"/>
          <w:vanish/>
        </w:rPr>
        <w:t>r:ShareableeIncMemberscor:AcquiredMethodologiesTechnologyMember2021-12-162021-12-160001158172scor:ShareableeIncMemberscor:AcquiredMethodologiesTechnologyMember2021-12-160001158172scor:DigitalAdSolutionsMember2022-01-012022-12-310001158172scor:DigitalAdSolu</w:t>
      </w:r>
      <w:r>
        <w:rPr>
          <w:rFonts w:eastAsia="Times New Roman"/>
          <w:vanish/>
        </w:rPr>
        <w:t>tionsMember2021-01-012021-12-310001158172scor:DigitalAdSolutionsMember2020-01-012020-12-310001158172scor:CrossPlatformSolutionsMember2022-01-012022-12-310001158172scor:CrossPlatformSolutionsMember2021-01-012021-12-310001158172scor:CrossPlatformSolutionsMem</w:t>
      </w:r>
      <w:r>
        <w:rPr>
          <w:rFonts w:eastAsia="Times New Roman"/>
          <w:vanish/>
        </w:rPr>
        <w:t>ber2020-01-012020-12-310001158172country:US2022-01-012022-12-310001158172country:US2021-01-012021-12-310001158172country:US2020-01-012020-12-310001158172srt:EuropeMember2022-01-012022-12-310001158172srt:EuropeMember2021-01-012021-12-310001158172srt:EuropeM</w:t>
      </w:r>
      <w:r>
        <w:rPr>
          <w:rFonts w:eastAsia="Times New Roman"/>
          <w:vanish/>
        </w:rPr>
        <w:t>ember2020-01-012020-12-310001158172srt:LatinAmericaMember2022-01-012022-12-310001158172srt:LatinAmericaMember2021-01-012021-12-310001158172srt:LatinAmericaMember2020-01-012020-12-310001158172country:CA2022-01-012022-12-310001158172country:CA2021-01-012021-</w:t>
      </w:r>
      <w:r>
        <w:rPr>
          <w:rFonts w:eastAsia="Times New Roman"/>
          <w:vanish/>
        </w:rPr>
        <w:t>12-310001158172country:CA2020-01-012020-12-310001158172scor:OtherCountryMember2022-01-012022-12-310001158172scor:OtherCountryMember2021-01-012021-12-310001158172scor:OtherCountryMember2020-01-012020-12-310001158172us-gaap:TransferredOverTimeMember2022-01-0</w:t>
      </w:r>
      <w:r>
        <w:rPr>
          <w:rFonts w:eastAsia="Times New Roman"/>
          <w:vanish/>
        </w:rPr>
        <w:t>12022-12-310001158172us-gaap:TransferredOverTimeMember2021-01-012021-12-310001158172us-gaap:TransferredOverTimeMember2020-01-012020-12-310001158172us-gaap:TransferredAtPointInTimeMember2022-01-012022-12-310001158172us-gaap:TransferredAtPointInTimeMember202</w:t>
      </w:r>
      <w:r>
        <w:rPr>
          <w:rFonts w:eastAsia="Times New Roman"/>
          <w:vanish/>
        </w:rPr>
        <w:t>1-01-012021-12-310001158172us-gaap:TransferredAtPointInTimeMember2020-01-012020-12-3100011581722023-01-012022-12-3100011581722024-01-012022-12-3100011581722025-01-012022-12-310001158172us-gaap:PrivatePlacementMemberus-gaap:PreferredStockMemberscor:CharterC</w:t>
      </w:r>
      <w:r>
        <w:rPr>
          <w:rFonts w:eastAsia="Times New Roman"/>
          <w:vanish/>
        </w:rPr>
        <w:t>ommunicationsHoldingCompanyLLCMember2021-03-102021-03-100001158172us-gaap:PrivatePlacementMemberscor:QurateRetailIncMemberus-gaap:PreferredStockMember2021-03-102021-03-100001158172us-gaap:PrivatePlacementMemberscor:PineInvestorLLCMemberus-gaap:PreferredSto</w:t>
      </w:r>
      <w:r>
        <w:rPr>
          <w:rFonts w:eastAsia="Times New Roman"/>
          <w:vanish/>
        </w:rPr>
        <w:t>ckMember2021-03-102021-03-1000011581722021-03-100001158172srt:ScenarioForecastMemberus-gaap:PrivatePlacementMember2023-06-3000011581722021-03-102021-03-1000011581722022-06-302022-06-300001158172us-gaap:PrivatePlacementMember2019-06-262019-06-260001158172us</w:t>
      </w:r>
      <w:r>
        <w:rPr>
          <w:rFonts w:eastAsia="Times New Roman"/>
          <w:vanish/>
        </w:rPr>
        <w:t>-gaap:PrivatePlacementMember2019-06-2600011581722019-10-142019-10-140001158172scor:SeriesAWarrantMember2019-10-100001158172us-gaap:PrivatePlacementMemberscor:SeriesAWarrantMember2019-06-262019-06-260001158172us-gaap:PrivatePlacementMemberscor:SeriesAWarran</w:t>
      </w:r>
      <w:r>
        <w:rPr>
          <w:rFonts w:eastAsia="Times New Roman"/>
          <w:vanish/>
        </w:rPr>
        <w:t>tMember2019-06-260001158172us-gaap:PrivatePlacementMemberscor:SeriesAWarrantMember2021-03-100001158172scor:A2013StockOptionOrIssuancePlanMemberus-gaap:EmployeeStockOptionMember2021-12-160001158172us-gaap:RestrictedStockUnitsRSUMember2021-12-160001158172sco</w:t>
      </w:r>
      <w:r>
        <w:rPr>
          <w:rFonts w:eastAsia="Times New Roman"/>
          <w:vanish/>
        </w:rPr>
        <w:t>r:A2013StockOptionOrIssuancePlanMembersrt:MaximumMemberus-gaap:EmployeeStockOptionMember2022-12-310001158172scor:EquityandIncentiveCompensationPlan2018Memberus-gaap:StockCompensationPlanMember2018-06-040001158172scor:EquityandIncentiveCompensationPlan2018M</w:t>
      </w:r>
      <w:r>
        <w:rPr>
          <w:rFonts w:eastAsia="Times New Roman"/>
          <w:vanish/>
        </w:rPr>
        <w:t>embersrt:MaximumMemberus-gaap:StockCompensationPlanMember2022-12-310001158172us-gaap:EmployeeStockOptionMember2022-01-012022-12-310001158172us-gaap:EmployeeStockOptionMember2021-01-012021-12-310001158172us-gaap:EmployeeStockOptionMember2020-01-012020-12-31</w:t>
      </w:r>
      <w:r>
        <w:rPr>
          <w:rFonts w:eastAsia="Times New Roman"/>
          <w:vanish/>
        </w:rPr>
        <w:t>0001158172srt:MinimumMemberus-gaap:EmployeeStockOptionMember2022-01-012022-12-310001158172srt:MaximumMemberus-gaap:EmployeeStockOptionMember2022-01-012022-12-310001158172srt:MinimumMemberus-gaap:EmployeeStockOptionMember2021-01-012021-12-310001158172srt:Ma</w:t>
      </w:r>
      <w:r>
        <w:rPr>
          <w:rFonts w:eastAsia="Times New Roman"/>
          <w:vanish/>
        </w:rPr>
        <w:t>ximumMemberus-gaap:EmployeeStockOptionMember2021-01-012021-12-310001158172scor:ExercisePriceOneMember2022-01-012022-12-310001158172scor:ExercisePriceOneMember2022-12-310001158172scor:ExercisePriceTwoMember2022-01-012022-12-310001158172scor:ExercisePriceTwo</w:t>
      </w:r>
      <w:r>
        <w:rPr>
          <w:rFonts w:eastAsia="Times New Roman"/>
          <w:vanish/>
        </w:rPr>
        <w:t>Member2022-12-310001158172scor:ExercisePriceThreeMember2022-01-012022-12-310001158172scor:ExercisePriceThreeMember2022-12-310001158172scor:ExercisePriceFourMember2022-01-012022-12-310001158172scor:ExercisePriceFourMember2022-12-310001158172scor:EmployeesDi</w:t>
      </w:r>
      <w:r>
        <w:rPr>
          <w:rFonts w:eastAsia="Times New Roman"/>
          <w:vanish/>
        </w:rPr>
        <w:t>rectorsandCertainConsultantsMemberscor:EquityandIncentiveCompensationPlan2018Memberscor:TimebasedRestrictedStockUnitsMember2022-01-012022-12-310001158172scor:EmployeesDirectorsandCertainConsultantsMemberscor:EquityandIncentiveCompensationPlan2018Memberscor</w:t>
      </w:r>
      <w:r>
        <w:rPr>
          <w:rFonts w:eastAsia="Times New Roman"/>
          <w:vanish/>
        </w:rPr>
        <w:t>:MarketBasedRestrictedStockUnitsMember2022-01-012022-12-310001158172scor:EmployeesDirectorsandCertainConsultantsMemberscor:EquityandIncentiveCompensationPlan2018Memberscor:TimebasedRestrictedStockUnitsMember2021-01-012021-12-310001158172scor:EmployeesDirec</w:t>
      </w:r>
      <w:r>
        <w:rPr>
          <w:rFonts w:eastAsia="Times New Roman"/>
          <w:vanish/>
        </w:rPr>
        <w:t>torsandCertainConsultantsMemberscor:EquityandIncentiveCompensationPlan2018Memberscor:PerformancebasedRestrictedStockUnitsMember2021-01-012021-12-310001158172scor:EmployeesDirectorsandCertainConsultantsMemberscor:EquityandIncentiveCompensationPlan2018Member</w:t>
      </w:r>
      <w:r>
        <w:rPr>
          <w:rFonts w:eastAsia="Times New Roman"/>
          <w:vanish/>
        </w:rPr>
        <w:t>srt:MinimumMemberscor:PerformancebasedRestrictedStockUnitsMember2021-01-072021-01-070001158172scor:EmployeesDirectorsandCertainConsultantsMemberscor:EquityandIncentiveCompensationPlan2018Memberscor:TimebasedRestrictedStockUnitsMembersrt:MinimumMember2021-0</w:t>
      </w:r>
      <w:r>
        <w:rPr>
          <w:rFonts w:eastAsia="Times New Roman"/>
          <w:vanish/>
        </w:rPr>
        <w:t>1-012021-12-310001158172scor:EmployeesDirectorsandCertainConsultantsMemberscor:EquityandIncentiveCompensationPlan2018Memberscor:TimebasedRestrictedStockUnitsMembersrt:MaximumMember2021-01-012021-12-310001158172us-gaap:RestrictedStockUnitsRSUMember2021-12-1</w:t>
      </w:r>
      <w:r>
        <w:rPr>
          <w:rFonts w:eastAsia="Times New Roman"/>
          <w:vanish/>
        </w:rPr>
        <w:t>62021-12-160001158172scor:EmployeesDirectorsandCertainConsultantsMemberscor:TimebasedRestrictedStockUnitsMemberscor:EquityAndIncentiveCompensationPlan2019Member2020-01-012020-12-310001158172scor:EmployeesDirectorsandCertainConsultantsMemberscor:EquityAndIn</w:t>
      </w:r>
      <w:r>
        <w:rPr>
          <w:rFonts w:eastAsia="Times New Roman"/>
          <w:vanish/>
        </w:rPr>
        <w:t>centiveCompensationPlan2019Memberscor:MarketBasedRestrictedStockUnitsMember2020-01-012020-12-310001158172us-gaap:RestrictedStockUnitsRSUMember2019-12-310001158172us-gaap:RestrictedStockUnitsRSUMember2020-01-012020-12-310001158172us-gaap:RestrictedStockUnit</w:t>
      </w:r>
      <w:r>
        <w:rPr>
          <w:rFonts w:eastAsia="Times New Roman"/>
          <w:vanish/>
        </w:rPr>
        <w:t>sRSUMember2020-12-310001158172us-gaap:RestrictedStockUnitsRSUMember2021-01-012021-12-310001158172us-gaap:RestrictedStockUnitsRSUMember2021-12-310001158172us-gaap:RestrictedStockUnitsRSUMember2022-01-012022-12-310001158172us-gaap:RestrictedStockUnitsRSUMemb</w:t>
      </w:r>
      <w:r>
        <w:rPr>
          <w:rFonts w:eastAsia="Times New Roman"/>
          <w:vanish/>
        </w:rPr>
        <w:t>er2022-12-310001158172scor:RestrictedStockAndRestrictedStockUnitsMember2022-12-310001158172scor:RestrictedStockAndRestrictedStockUnitsMember2021-12-310001158172scor:RestrictedStockAndRestrictedStockUnitsMember2020-12-310001158172scor:RestrictedStockAndRest</w:t>
      </w:r>
      <w:r>
        <w:rPr>
          <w:rFonts w:eastAsia="Times New Roman"/>
          <w:vanish/>
        </w:rPr>
        <w:t>rictedStockUnitsMember2022-01-012022-12-310001158172us-gaap:RevolvingCreditFacilityMemberus-gaap:LineOfCreditMember2021-05-050001158172us-gaap:LetterOfCreditMemberus-gaap:LineOfCreditMember2021-05-050001158172us-gaap:RevolvingCreditFacilityMemberus-gaap:Li</w:t>
      </w:r>
      <w:r>
        <w:rPr>
          <w:rFonts w:eastAsia="Times New Roman"/>
          <w:vanish/>
        </w:rPr>
        <w:t>neOfCreditMember2021-05-052021-05-050001158172us-gaap:RevolvingCreditFacilityMemberus-gaap:LineOfCreditMember2022-02-250001158172us-gaap:SecuredOvernightFinancingRateSofrOvernightIndexSwapRateMemberus-gaap:RevolvingCreditFacilityMemberus-gaap:LineOfCreditM</w:t>
      </w:r>
      <w:r>
        <w:rPr>
          <w:rFonts w:eastAsia="Times New Roman"/>
          <w:vanish/>
        </w:rPr>
        <w:t>ember2022-02-250001158172us-gaap:RevolvingCreditFacilityMemberus-gaap:LineOfCreditMember2022-02-252022-02-250001158172srt:MinimumMemberus-gaap:RevolvingCreditFacilityMemberus-gaap:LineOfCreditMember2022-02-250001158172us-gaap:RevolvingCreditFacilityMemberu</w:t>
      </w:r>
      <w:r>
        <w:rPr>
          <w:rFonts w:eastAsia="Times New Roman"/>
          <w:vanish/>
        </w:rPr>
        <w:t>s-gaap:LineOfCreditMember2022-12-310001158172us-gaap:LineOfCreditMember2022-12-310001158172us-gaap:ConvertibleNotesPayableMemberscor:StarboardValueLPMemberscor:StarboardNotesMember2018-12-310001158172us-gaap:ConvertibleNotesPayableMemberscor:StarboardValue</w:t>
      </w:r>
      <w:r>
        <w:rPr>
          <w:rFonts w:eastAsia="Times New Roman"/>
          <w:vanish/>
        </w:rPr>
        <w:t>LPMemberscor:StarboardNotesMember2021-01-252021-01-250001158172us-gaap:ConvertibleNotesPayableMemberscor:StarboardValueLPMemberscor:StarboardNotesMember2021-03-102021-03-100001158172us-gaap:ConvertibleNotesPayableMemberscor:StarboardValueLPMemberscor:Starb</w:t>
      </w:r>
      <w:r>
        <w:rPr>
          <w:rFonts w:eastAsia="Times New Roman"/>
          <w:vanish/>
        </w:rPr>
        <w:t>oardNotesMember2021-01-012021-03-100001158172us-gaap:ConvertibleNotesPayableMemberscor:StarboardValueLPMemberscor:StarboardNotesMember2021-01-012021-03-310001158172scor:FailedSaleLeasebackTransactionMember2019-06-012019-06-300001158172scor:FailedSaleLeaseb</w:t>
      </w:r>
      <w:r>
        <w:rPr>
          <w:rFonts w:eastAsia="Times New Roman"/>
          <w:vanish/>
        </w:rPr>
        <w:t>ackTransactionMember2021-06-300001158172us-gaap:MeasurementInputDiscountRateMemberscor:FailedSaleLeasebackTransactionMember2021-06-300001158172scor:FailedSaleLeasebackTransactionMember2022-12-310001158172us-gaap:FairValueMeasurementsRecurringMemberus-gaap:</w:t>
      </w:r>
      <w:r>
        <w:rPr>
          <w:rFonts w:eastAsia="Times New Roman"/>
          <w:vanish/>
        </w:rPr>
        <w:t>MoneyMarketFundsMemberus-gaap:FairValueInputsLevel1Member2022-12-310001158172us-gaap:FairValueMeasurementsRecurringMemberus-gaap:MoneyMarketFundsMemberus-gaap:FairValueInputsLevel2Member2022-12-310001158172us-gaap:FairValueMeasurementsRecurringMemberus-gaa</w:t>
      </w:r>
      <w:r>
        <w:rPr>
          <w:rFonts w:eastAsia="Times New Roman"/>
          <w:vanish/>
        </w:rPr>
        <w:t>p:MoneyMarketFundsMemberus-gaap:FairValueInputsLevel3Member2022-12-310001158172us-gaap:FairValueMeasurementsRecurringMemberus-gaap:MoneyMarketFundsMember2022-12-310001158172us-gaap:FairValueMeasurementsRecurringMemberus-gaap:MoneyMarketFundsMemberus-gaap:F</w:t>
      </w:r>
      <w:r>
        <w:rPr>
          <w:rFonts w:eastAsia="Times New Roman"/>
          <w:vanish/>
        </w:rPr>
        <w:t>airValueInputsLevel1Member2021-12-310001158172us-gaap:FairValueMeasurementsRecurringMemberus-gaap:MoneyMarketFundsMemberus-gaap:FairValueInputsLevel2Member2021-12-310001158172us-gaap:FairValueMeasurementsRecurringMemberus-gaap:MoneyMarketFundsMemberus-gaap</w:t>
      </w:r>
      <w:r>
        <w:rPr>
          <w:rFonts w:eastAsia="Times New Roman"/>
          <w:vanish/>
        </w:rPr>
        <w:t>:FairValueInputsLevel3Member2021-12-310001158172us-gaap:FairValueMeasurementsRecurringMemberus-gaap:MoneyMarketFundsMember2021-12-310001158172us-gaap:FairValueMeasurementsRecurringMemberscor:SeriesAWarrantMemberus-gaap:FairValueInputsLevel1Member2022-12-31</w:t>
      </w:r>
      <w:r>
        <w:rPr>
          <w:rFonts w:eastAsia="Times New Roman"/>
          <w:vanish/>
        </w:rPr>
        <w:t>0001158172us-gaap:FairValueMeasurementsRecurringMemberscor:SeriesAWarrantMemberus-gaap:FairValueInputsLevel2Member2022-12-310001158172us-gaap:FairValueMeasurementsRecurringMemberscor:SeriesAWarrantMemberus-gaap:FairValueInputsLevel3Member2022-12-3100011581</w:t>
      </w:r>
      <w:r>
        <w:rPr>
          <w:rFonts w:eastAsia="Times New Roman"/>
          <w:vanish/>
        </w:rPr>
        <w:t>72us-gaap:FairValueMeasurementsRecurringMemberscor:SeriesAWarrantMemberus-gaap:FairValueInputsLevel1Member2021-12-310001158172us-gaap:FairValueMeasurementsRecurringMemberscor:SeriesAWarrantMemberus-gaap:FairValueInputsLevel2Member2021-12-310001158172us-gaa</w:t>
      </w:r>
      <w:r>
        <w:rPr>
          <w:rFonts w:eastAsia="Times New Roman"/>
          <w:vanish/>
        </w:rPr>
        <w:t>p:FairValueMeasurementsRecurringMemberscor:SeriesAWarrantMemberus-gaap:FairValueInputsLevel3Member2021-12-310001158172us-gaap:FairValueMeasurementsRecurringMemberscor:SeriesAWarrantMember2021-12-310001158172us-gaap:FairValueMeasurementsRecurringMemberus-ga</w:t>
      </w:r>
      <w:r>
        <w:rPr>
          <w:rFonts w:eastAsia="Times New Roman"/>
          <w:vanish/>
        </w:rPr>
        <w:t>ap:FairValueInputsLevel1Member2022-12-310001158172us-gaap:FairValueMeasurementsRecurringMemberus-gaap:FairValueInputsLevel2Member2022-12-310001158172us-gaap:FairValueMeasurementsRecurringMemberus-gaap:FairValueInputsLevel3Member2022-12-310001158172us-gaap:</w:t>
      </w:r>
      <w:r>
        <w:rPr>
          <w:rFonts w:eastAsia="Times New Roman"/>
          <w:vanish/>
        </w:rPr>
        <w:t>FairValueMeasurementsRecurringMember2022-12-310001158172us-gaap:FairValueMeasurementsRecurringMemberus-gaap:FairValueInputsLevel1Member2021-12-310001158172us-gaap:FairValueMeasurementsRecurringMemberus-gaap:FairValueInputsLevel2Member2021-12-310001158172us</w:t>
      </w:r>
      <w:r>
        <w:rPr>
          <w:rFonts w:eastAsia="Times New Roman"/>
          <w:vanish/>
        </w:rPr>
        <w:t>-gaap:FairValueMeasurementsRecurringMemberus-gaap:FairValueInputsLevel3Member2021-12-310001158172us-gaap:FairValueMeasurementsRecurringMember2021-12-310001158172us-gaap:FairValueInputsLevel1Member2022-12-310001158172us-gaap:WarrantMemberus-gaap:FairValueIn</w:t>
      </w:r>
      <w:r>
        <w:rPr>
          <w:rFonts w:eastAsia="Times New Roman"/>
          <w:vanish/>
        </w:rPr>
        <w:t>putsLevel3Member2020-12-310001158172us-gaap:FairValueInputsLevel3Memberscor:ContingentConsiderationLiabilityMember2020-12-310001158172us-gaap:FairValueInputsLevel3Memberus-gaap:DerivativeFinancialInstrumentsLiabilitiesMember2020-12-310001158172us-gaap:Fair</w:t>
      </w:r>
      <w:r>
        <w:rPr>
          <w:rFonts w:eastAsia="Times New Roman"/>
          <w:vanish/>
        </w:rPr>
        <w:t>ValueInputsLevel3Memberscor:InterestMakeWholeDerivativeLiabilityMember2020-12-310001158172us-gaap:WarrantMemberus-gaap:FairValueInputsLevel3Member2021-01-012021-12-310001158172us-gaap:FairValueInputsLevel3Memberscor:ContingentConsiderationLiabilityMember20</w:t>
      </w:r>
      <w:r>
        <w:rPr>
          <w:rFonts w:eastAsia="Times New Roman"/>
          <w:vanish/>
        </w:rPr>
        <w:t>21-01-012021-12-310001158172us-gaap:FairValueInputsLevel3Memberus-gaap:DerivativeFinancialInstrumentsLiabilitiesMember2021-01-012021-12-310001158172us-gaap:FairValueInputsLevel3Memberscor:InterestMakeWholeDerivativeLiabilityMember2021-01-012021-12-31000115</w:t>
      </w:r>
      <w:r>
        <w:rPr>
          <w:rFonts w:eastAsia="Times New Roman"/>
          <w:vanish/>
        </w:rPr>
        <w:t>8172us-gaap:WarrantMemberus-gaap:FairValueInputsLevel3Member2021-12-310001158172us-gaap:FairValueInputsLevel3Memberscor:ContingentConsiderationLiabilityMember2021-12-310001158172us-gaap:FairValueInputsLevel3Memberus-gaap:DerivativeFinancialInstrumentsLiabi</w:t>
      </w:r>
      <w:r>
        <w:rPr>
          <w:rFonts w:eastAsia="Times New Roman"/>
          <w:vanish/>
        </w:rPr>
        <w:t>litiesMember2021-12-310001158172us-gaap:FairValueInputsLevel3Memberscor:InterestMakeWholeDerivativeLiabilityMember2021-12-310001158172us-gaap:WarrantMemberus-gaap:FairValueInputsLevel3Member2022-01-012022-12-310001158172us-gaap:FairValueInputsLevel3Members</w:t>
      </w:r>
      <w:r>
        <w:rPr>
          <w:rFonts w:eastAsia="Times New Roman"/>
          <w:vanish/>
        </w:rPr>
        <w:t>cor:ContingentConsiderationLiabilityMember2022-01-012022-12-310001158172us-gaap:FairValueInputsLevel3Memberus-gaap:DerivativeFinancialInstrumentsLiabilitiesMember2022-01-012022-12-310001158172us-gaap:FairValueInputsLevel3Memberscor:InterestMakeWholeDerivat</w:t>
      </w:r>
      <w:r>
        <w:rPr>
          <w:rFonts w:eastAsia="Times New Roman"/>
          <w:vanish/>
        </w:rPr>
        <w:t>iveLiabilityMember2022-01-012022-12-310001158172us-gaap:WarrantMemberus-gaap:FairValueInputsLevel3Member2022-12-310001158172us-gaap:FairValueInputsLevel3Memberscor:ContingentConsiderationLiabilityMember2022-12-310001158172us-gaap:FairValueInputsLevel3Membe</w:t>
      </w:r>
      <w:r>
        <w:rPr>
          <w:rFonts w:eastAsia="Times New Roman"/>
          <w:vanish/>
        </w:rPr>
        <w:t>rus-gaap:DerivativeFinancialInstrumentsLiabilitiesMember2022-12-310001158172us-gaap:FairValueInputsLevel3Memberscor:InterestMakeWholeDerivativeLiabilityMember2022-12-310001158172us-gaap:MeasurementInputSharePriceMemberus-gaap:WarrantMemberus-gaap:FairValue</w:t>
      </w:r>
      <w:r>
        <w:rPr>
          <w:rFonts w:eastAsia="Times New Roman"/>
          <w:vanish/>
        </w:rPr>
        <w:t>InputsLevel3Memberus-gaap:ValuationTechniqueOptionPricingModelMember2022-12-310001158172us-gaap:MeasurementInputSharePriceMemberus-gaap:WarrantMemberus-gaap:FairValueInputsLevel3Memberus-gaap:ValuationTechniqueOptionPricingModelMember2021-12-310001158172us</w:t>
      </w:r>
      <w:r>
        <w:rPr>
          <w:rFonts w:eastAsia="Times New Roman"/>
          <w:vanish/>
        </w:rPr>
        <w:t>-gaap:MeasurementInputExercisePriceMemberus-gaap:WarrantMemberus-gaap:FairValueInputsLevel3Memberus-gaap:ValuationTechniqueOptionPricingModelMember2022-12-310001158172us-gaap:MeasurementInputExercisePriceMemberus-gaap:WarrantMemberus-gaap:FairValueInputsLe</w:t>
      </w:r>
      <w:r>
        <w:rPr>
          <w:rFonts w:eastAsia="Times New Roman"/>
          <w:vanish/>
        </w:rPr>
        <w:t>vel3Memberus-gaap:ValuationTechniqueOptionPricingModelMember2021-12-310001158172us-gaap:MeasurementInputPriceVolatilityMemberus-gaap:WarrantMemberus-gaap:FairValueInputsLevel3Memberus-gaap:ValuationTechniqueOptionPricingModelMember2022-12-310001158172us-ga</w:t>
      </w:r>
      <w:r>
        <w:rPr>
          <w:rFonts w:eastAsia="Times New Roman"/>
          <w:vanish/>
        </w:rPr>
        <w:t>ap:MeasurementInputPriceVolatilityMemberus-gaap:WarrantMemberus-gaap:FairValueInputsLevel3Memberus-gaap:ValuationTechniqueOptionPricingModelMember2021-12-310001158172us-gaap:WarrantMemberus-gaap:FairValueInputsLevel3Memberus-gaap:ValuationTechniqueOptionPr</w:t>
      </w:r>
      <w:r>
        <w:rPr>
          <w:rFonts w:eastAsia="Times New Roman"/>
          <w:vanish/>
        </w:rPr>
        <w:t>icingModelMemberus-gaap:MeasurementInputExpectedTermMember2022-12-310001158172us-gaap:WarrantMemberus-gaap:FairValueInputsLevel3Memberus-gaap:ValuationTechniqueOptionPricingModelMemberus-gaap:MeasurementInputExpectedTermMember2021-12-310001158172us-gaap:Me</w:t>
      </w:r>
      <w:r>
        <w:rPr>
          <w:rFonts w:eastAsia="Times New Roman"/>
          <w:vanish/>
        </w:rPr>
        <w:t>asurementInputRiskFreeInterestRateMemberus-gaap:WarrantMemberus-gaap:FairValueInputsLevel3Memberus-gaap:ValuationTechniqueOptionPricingModelMember2022-12-310001158172us-gaap:MeasurementInputRiskFreeInterestRateMemberus-gaap:WarrantMemberus-gaap:FairValueIn</w:t>
      </w:r>
      <w:r>
        <w:rPr>
          <w:rFonts w:eastAsia="Times New Roman"/>
          <w:vanish/>
        </w:rPr>
        <w:t>putsLevel3Memberus-gaap:ValuationTechniqueOptionPricingModelMember2021-12-310001158172scor:ContingentConsiderationLiabilityMemberscor:CombinationPricingModelMemberus-gaap:FairValueInputsLevel3Memberscor:MeasurementInputProductCreditMember2021-12-3100011581</w:t>
      </w:r>
      <w:r>
        <w:rPr>
          <w:rFonts w:eastAsia="Times New Roman"/>
          <w:vanish/>
        </w:rPr>
        <w:t>72scor:ContingentConsiderationLiabilityMemberscor:CombinationPricingModelMemberscor:MeasurementInputRevenueVolatilityMemberus-gaap:FairValueInputsLevel3Member2021-12-310001158172scor:ContingentConsiderationLiabilityMemberscor:CombinationPricingModelMembers</w:t>
      </w:r>
      <w:r>
        <w:rPr>
          <w:rFonts w:eastAsia="Times New Roman"/>
          <w:vanish/>
        </w:rPr>
        <w:t>cor:MeasurementInputRiskPremiumMemberus-gaap:FairValueInputsLevel3Member2021-12-310001158172scor:ContingentConsiderationLiabilityMemberscor:CombinationPricingModelMemberus-gaap:FairValueInputsLevel3Memberus-gaap:MeasurementInputExpectedTermMember2021-12-31</w:t>
      </w:r>
      <w:r>
        <w:rPr>
          <w:rFonts w:eastAsia="Times New Roman"/>
          <w:vanish/>
        </w:rPr>
        <w:t>0001158172scor:ContingentConsiderationLiabilityMemberscor:CombinationPricingModelMemberus-gaap:FairValueInputsLevel3Memberscor:CostOfDebtMember2021-12-310001158172us-gaap:ValuationTechniqueOptionPricingModelMember2021-12-310001158172us-gaap:ValuationTechni</w:t>
      </w:r>
      <w:r>
        <w:rPr>
          <w:rFonts w:eastAsia="Times New Roman"/>
          <w:vanish/>
        </w:rPr>
        <w:t>queDiscountedCashFlowMember2021-12-310001158172us-gaap:ComputerEquipmentMember2022-12-310001158172us-gaap:ComputerEquipmentMember2021-12-310001158172scor:CapitalizedInternalUseSoftwareMember2022-12-310001158172scor:CapitalizedInternalUseSoftwareMember2021-</w:t>
      </w:r>
      <w:r>
        <w:rPr>
          <w:rFonts w:eastAsia="Times New Roman"/>
          <w:vanish/>
        </w:rPr>
        <w:t>12-310001158172us-gaap:LeaseholdImprovementsMember2022-12-310001158172us-gaap:LeaseholdImprovementsMember2021-12-310001158172us-gaap:SoftwareDevelopmentMember2022-12-310001158172us-gaap:SoftwareDevelopmentMember2021-12-310001158172us-gaap:SoftwareAndSoftwa</w:t>
      </w:r>
      <w:r>
        <w:rPr>
          <w:rFonts w:eastAsia="Times New Roman"/>
          <w:vanish/>
        </w:rPr>
        <w:t>reDevelopmentCostsMember2022-12-310001158172us-gaap:SoftwareAndSoftwareDevelopmentCostsMember2021-12-310001158172scor:OfficeEquipmentAndFurnitureMember2022-12-310001158172scor:OfficeEquipmentAndFurnitureMember2021-12-310001158172country:USus-gaap:Geographi</w:t>
      </w:r>
      <w:r>
        <w:rPr>
          <w:rFonts w:eastAsia="Times New Roman"/>
          <w:vanish/>
        </w:rPr>
        <w:t>cConcentrationRiskMemberscor:PropertyPlantAndEquipmentAndFinanceLeaseRightOfUseAssetAfterAccumulatedDepreciationAndAmortizationBenchmarkMember2021-01-012021-12-310001158172country:USus-gaap:GeographicConcentrationRiskMemberscor:PropertyPlantAndEquipmentAnd</w:t>
      </w:r>
      <w:r>
        <w:rPr>
          <w:rFonts w:eastAsia="Times New Roman"/>
          <w:vanish/>
        </w:rPr>
        <w:t>FinanceLeaseRightOfUseAssetAfterAccumulatedDepreciationAndAmortizationBenchmarkMember2022-01-012022-12-31scor:subleased_propertyscor:sublease0001158172scor:AcquiredMethodologiesTechnologyMember2022-12-310001158172scor:AcquiredMethodologiesTechnologyMember2</w:t>
      </w:r>
      <w:r>
        <w:rPr>
          <w:rFonts w:eastAsia="Times New Roman"/>
          <w:vanish/>
        </w:rPr>
        <w:t>021-12-310001158172us-gaap:CustomerRelationshipsMember2022-12-310001158172us-gaap:CustomerRelationshipsMember2021-12-310001158172us-gaap:IntellectualPropertyMember2022-12-310001158172us-gaap:IntellectualPropertyMember2021-12-310001158172us-gaap:ComputerSof</w:t>
      </w:r>
      <w:r>
        <w:rPr>
          <w:rFonts w:eastAsia="Times New Roman"/>
          <w:vanish/>
        </w:rPr>
        <w:t>twareIntangibleAssetMember2022-12-310001158172us-gaap:ComputerSoftwareIntangibleAssetMember2021-12-310001158172scor:PanelMember2022-12-310001158172scor:PanelMember2021-12-310001158172us-gaap:TradeNamesMember2022-12-310001158172us-gaap:TradeNamesMember2021-</w:t>
      </w:r>
      <w:r>
        <w:rPr>
          <w:rFonts w:eastAsia="Times New Roman"/>
          <w:vanish/>
        </w:rPr>
        <w:t>12-310001158172us-gaap:OtherIntangibleAssetsMember2022-12-310001158172us-gaap:OtherIntangibleAssetsMember2021-12-310001158172scor:AcquiredMethodologiesTechnologyMember2022-01-012022-12-310001158172us-gaap:ComputerSoftwareIntangibleAssetMember2022-01-012022</w:t>
      </w:r>
      <w:r>
        <w:rPr>
          <w:rFonts w:eastAsia="Times New Roman"/>
          <w:vanish/>
        </w:rPr>
        <w:t>-12-310001158172us-gaap:CustomerRelationshipsMember2022-01-012022-12-310001158172scor:SetTopBoxMember2022-12-310001158172scor:SmartTelevisionDataMember2022-12-310001158172us-gaap:DomesticCountryMember2022-12-310001158172us-gaap:StateAndLocalJurisdictionMem</w:t>
      </w:r>
      <w:r>
        <w:rPr>
          <w:rFonts w:eastAsia="Times New Roman"/>
          <w:vanish/>
        </w:rPr>
        <w:t>ber2022-12-310001158172us-gaap:ForeignCountryMember2022-12-310001158172us-gaap:ResearchMember2022-12-310001158172us-gaap:InvestorMemberscor:WPPplcMember2022-12-310001158172us-gaap:InvestorMemberscor:WPPplcMember2022-01-012022-12-310001158172us-gaap:Investo</w:t>
      </w:r>
      <w:r>
        <w:rPr>
          <w:rFonts w:eastAsia="Times New Roman"/>
          <w:vanish/>
        </w:rPr>
        <w:t>rMemberscor:WPPplcMember2021-01-012021-12-310001158172us-gaap:InvestorMemberscor:WPPplcMember2020-01-012020-12-310001158172us-gaap:InvestorMemberus-gaap:CostOfSalesMemberscor:WPPplcMember2022-01-012022-12-310001158172us-gaap:InvestorMemberus-gaap:CostOfSal</w:t>
      </w:r>
      <w:r>
        <w:rPr>
          <w:rFonts w:eastAsia="Times New Roman"/>
          <w:vanish/>
        </w:rPr>
        <w:t>esMemberscor:WPPplcMember2021-01-012021-12-310001158172us-gaap:InvestorMemberus-gaap:CostOfSalesMemberscor:WPPplcMember2020-01-012020-12-310001158172us-gaap:InvestorMemberscor:WPPplcMember2021-12-310001158172us-gaap:InvestorMemberscor:CharterCommunications</w:t>
      </w:r>
      <w:r>
        <w:rPr>
          <w:rFonts w:eastAsia="Times New Roman"/>
          <w:vanish/>
        </w:rPr>
        <w:t>HoldingCompanyLLCMember2022-12-310001158172scor:PineInvestorLLCMemberus-gaap:InvestorMember2022-12-310001158172scor:QurateRetailIncMemberus-gaap:InvestorMember2022-12-31scor:director0001158172us-gaap:InvestorMemberscor:CharterCommunicationsHoldingCompanyLL</w:t>
      </w:r>
      <w:r>
        <w:rPr>
          <w:rFonts w:eastAsia="Times New Roman"/>
          <w:vanish/>
        </w:rPr>
        <w:t>CMember2021-12-310001158172scor:QurateRetailIncMemberus-gaap:InvestorMember2021-12-310001158172scor:PineInvestorLLCMemberus-gaap:InvestorMember2021-12-310001158172srt:AffiliatedEntityMemberscor:CharterCommunicationsOperatingLLCMember2021-03-102021-03-10000</w:t>
      </w:r>
      <w:r>
        <w:rPr>
          <w:rFonts w:eastAsia="Times New Roman"/>
          <w:vanish/>
        </w:rPr>
        <w:t>1158172srt:AffiliatedEntityMemberscor:LicenseFeesMemberscor:CharterCommunicationsOperatingLLCMembersrt:MinimumMember2021-03-102021-03-100001158172srt:AffiliatedEntityMemberscor:LicenseFeesMemberscor:CharterCommunicationsOperatingLLCMembersrt:MaximumMember2</w:t>
      </w:r>
      <w:r>
        <w:rPr>
          <w:rFonts w:eastAsia="Times New Roman"/>
          <w:vanish/>
        </w:rPr>
        <w:t>021-03-102021-03-100001158172srt:AffiliatedEntityMemberscor:CharterCommunicationsOperatingLLCMemberscor:LicenseFeeCreditsMember2022-11-062022-11-060001158172us-gaap:InvestorMemberscor:CharterCommunicationsHoldingCompanyLLCMember2022-01-012022-12-3100011581</w:t>
      </w:r>
      <w:r>
        <w:rPr>
          <w:rFonts w:eastAsia="Times New Roman"/>
          <w:vanish/>
        </w:rPr>
        <w:t>72us-gaap:InvestorMemberscor:CharterCommunicationsHoldingCompanyLLCMember2021-01-012021-12-310001158172us-gaap:InvestorMemberus-gaap:CostOfSalesMemberscor:CharterCommunicationsHoldingCompanyLLCMember2022-01-012022-12-310001158172us-gaap:InvestorMemberus-ga</w:t>
      </w:r>
      <w:r>
        <w:rPr>
          <w:rFonts w:eastAsia="Times New Roman"/>
          <w:vanish/>
        </w:rPr>
        <w:t>ap:CostOfSalesMemberscor:CharterCommunicationsHoldingCompanyLLCMember2021-01-012021-12-310001158172scor:QurateRetailIncMemberus-gaap:InvestorMember2022-01-012022-12-310001158172scor:QurateRetailIncMemberus-gaap:InvestorMember2021-01-012021-12-310001158172s</w:t>
      </w:r>
      <w:r>
        <w:rPr>
          <w:rFonts w:eastAsia="Times New Roman"/>
          <w:vanish/>
        </w:rPr>
        <w:t>cor:StarboardValueLPMemberus-gaap:BeneficialOwnerMember2018-12-310001158172scor:StarboardValueLPMemberus-gaap:BeneficialOwnerMember2018-01-310001158172scor:StarboardValueLPMemberus-gaap:InvestorMember2021-01-012021-12-310001158172scor:StarboardValueLPMembe</w:t>
      </w:r>
      <w:r>
        <w:rPr>
          <w:rFonts w:eastAsia="Times New Roman"/>
          <w:vanish/>
        </w:rPr>
        <w:t>rus-gaap:InvestorMember2020-01-012020-12-310001158172scor:StarboardValueLPMemberus-gaap:InvestorMember2022-12-310001158172scor:StarboardValueLPMemberus-gaap:InvestorMember2021-12-310001158172srt:MinimumMember2022-09-190001158172srt:MaximumMember2022-09-190</w:t>
      </w:r>
      <w:r>
        <w:rPr>
          <w:rFonts w:eastAsia="Times New Roman"/>
          <w:vanish/>
        </w:rPr>
        <w:t>001158172us-gaap:EmployeeSeveranceMember2022-01-012022-12-310001158172us-gaap:OtherRestructuringMember2022-01-012022-12-310001158172us-gaap:EmployeeSeveranceMember2022-12-310001158172us-gaap:OtherRestructuringMember2022-12-310001158172us-gaap:SecuredOverni</w:t>
      </w:r>
      <w:r>
        <w:rPr>
          <w:rFonts w:eastAsia="Times New Roman"/>
          <w:vanish/>
        </w:rPr>
        <w:t>ghtFinancingRateSofrOvernightIndexSwapRateMemberus-gaap:SubsequentEventMemberus-gaap:RevolvingCreditFacilityMemberus-gaap:LineOfCreditMember2023-02-240001158172srt:ScenarioForecastMemberus-gaap:RevolvingCreditFacilityMemberus-gaap:LineOfCreditMember2023-03</w:t>
      </w:r>
      <w:r>
        <w:rPr>
          <w:rFonts w:eastAsia="Times New Roman"/>
          <w:vanish/>
        </w:rPr>
        <w:t>-312023-03-310001158172srt:ScenarioForecastMemberus-gaap:RevolvingCreditFacilityMemberus-gaap:LineOfCreditMember2023-06-302023-06-300001158172srt:ScenarioForecastMemberus-gaap:RevolvingCreditFacilityMemberus-gaap:LineOfCreditMember2023-09-302023-09-3000011</w:t>
      </w:r>
      <w:r>
        <w:rPr>
          <w:rFonts w:eastAsia="Times New Roman"/>
          <w:vanish/>
        </w:rPr>
        <w:t>58172srt:ScenarioForecastMemberus-gaap:RevolvingCreditFacilityMemberus-gaap:LineOfCreditMember2023-12-312023-12-310001158172srt:MinimumMemberus-gaap:SubsequentEventMemberus-gaap:RevolvingCreditFacilityMemberus-gaap:LineOfCreditMember2023-02-240001158172us-</w:t>
      </w:r>
      <w:r>
        <w:rPr>
          <w:rFonts w:eastAsia="Times New Roman"/>
          <w:vanish/>
        </w:rPr>
        <w:t>gaap:SubsequentEventMemberus-gaap:RevolvingCreditFacilityMemberus-gaap:LineOfCreditMember2023-02-24</w:t>
      </w:r>
    </w:p>
    <w:p w:rsidR="00000000" w:rsidRDefault="00971A12">
      <w:pPr>
        <w:divId w:val="1225146157"/>
        <w:rPr>
          <w:rFonts w:eastAsia="Times New Roman"/>
        </w:rPr>
      </w:pPr>
    </w:p>
    <w:p w:rsidR="00000000" w:rsidRDefault="00971A12">
      <w:pPr>
        <w:divId w:val="992875640"/>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trPr>
          <w:jc w:val="center"/>
        </w:trPr>
        <w:tc>
          <w:tcPr>
            <w:tcW w:w="50" w:type="pct"/>
            <w:vAlign w:val="center"/>
            <w:hideMark/>
          </w:tcPr>
          <w:p w:rsidR="00000000" w:rsidRDefault="00971A12">
            <w:pPr>
              <w:rPr>
                <w:rFonts w:eastAsia="Times New Roman"/>
              </w:rPr>
            </w:pPr>
          </w:p>
        </w:tc>
        <w:tc>
          <w:tcPr>
            <w:tcW w:w="94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94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94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94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94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trHeight w:val="60"/>
          <w:jc w:val="center"/>
        </w:trPr>
        <w:tc>
          <w:tcPr>
            <w:tcW w:w="0" w:type="auto"/>
            <w:gridSpan w:val="15"/>
            <w:tcBorders>
              <w:top w:val="single" w:sz="8" w:space="0" w:color="000000"/>
              <w:bottom w:val="single" w:sz="8" w:space="0" w:color="000000"/>
            </w:tcBorders>
            <w:tcMar>
              <w:top w:w="0" w:type="dxa"/>
              <w:left w:w="20" w:type="dxa"/>
              <w:bottom w:w="0" w:type="dxa"/>
              <w:right w:w="20" w:type="dxa"/>
            </w:tcMar>
            <w:vAlign w:val="center"/>
            <w:hideMark/>
          </w:tcPr>
          <w:p w:rsidR="00000000" w:rsidRDefault="00971A12">
            <w:pPr>
              <w:spacing w:after="100"/>
              <w:rPr>
                <w:rFonts w:eastAsia="Times New Roman"/>
                <w:sz w:val="20"/>
                <w:szCs w:val="20"/>
              </w:rPr>
            </w:pPr>
          </w:p>
        </w:tc>
      </w:tr>
    </w:tbl>
    <w:p w:rsidR="00000000" w:rsidRDefault="00971A12">
      <w:pPr>
        <w:jc w:val="center"/>
        <w:rPr>
          <w:rFonts w:eastAsia="Times New Roman"/>
        </w:rPr>
      </w:pPr>
      <w:r>
        <w:rPr>
          <w:rFonts w:eastAsia="Times New Roman"/>
          <w:b/>
          <w:bCs/>
          <w:color w:val="000000"/>
          <w:sz w:val="32"/>
          <w:szCs w:val="32"/>
        </w:rPr>
        <w:t>UNITED STATES SECURITIES AND EXCHANGE COMMISSION</w:t>
      </w:r>
    </w:p>
    <w:p w:rsidR="00000000" w:rsidRDefault="00971A12">
      <w:pPr>
        <w:jc w:val="center"/>
        <w:rPr>
          <w:rFonts w:eastAsia="Times New Roman"/>
        </w:rPr>
      </w:pPr>
      <w:r>
        <w:rPr>
          <w:rFonts w:eastAsia="Times New Roman"/>
          <w:b/>
          <w:bCs/>
          <w:color w:val="000000"/>
          <w:sz w:val="20"/>
          <w:szCs w:val="20"/>
        </w:rPr>
        <w:t>Washington, D.C. 20549</w:t>
      </w:r>
    </w:p>
    <w:p w:rsidR="00000000" w:rsidRDefault="00971A12">
      <w:pPr>
        <w:jc w:val="center"/>
        <w:rPr>
          <w:rFonts w:eastAsia="Times New Roman"/>
        </w:rPr>
      </w:pPr>
      <w:r>
        <w:rPr>
          <w:rFonts w:eastAsia="Times New Roman"/>
          <w:color w:val="000000"/>
          <w:sz w:val="12"/>
          <w:szCs w:val="12"/>
        </w:rPr>
        <w:t>__________________________________________________________________ </w:t>
      </w:r>
    </w:p>
    <w:p w:rsidR="00000000" w:rsidRDefault="00971A12">
      <w:pPr>
        <w:jc w:val="center"/>
        <w:divId w:val="1801916910"/>
        <w:rPr>
          <w:rFonts w:eastAsia="Times New Roman"/>
        </w:rPr>
      </w:pPr>
      <w:r>
        <w:rPr>
          <w:rFonts w:eastAsia="Times New Roman"/>
          <w:b/>
          <w:bCs/>
          <w:color w:val="000000"/>
          <w:sz w:val="32"/>
          <w:szCs w:val="32"/>
        </w:rPr>
        <w:t>Form 10-K</w:t>
      </w:r>
    </w:p>
    <w:p w:rsidR="00000000" w:rsidRDefault="00971A12">
      <w:pPr>
        <w:jc w:val="center"/>
        <w:rPr>
          <w:rFonts w:eastAsia="Times New Roman"/>
        </w:rPr>
      </w:pPr>
      <w:r>
        <w:rPr>
          <w:rFonts w:eastAsia="Times New Roman"/>
          <w:color w:val="000000"/>
          <w:sz w:val="12"/>
          <w:szCs w:val="12"/>
        </w:rPr>
        <w:t>__________________________________________________________________</w:t>
      </w:r>
    </w:p>
    <w:p w:rsidR="00000000" w:rsidRDefault="00971A12">
      <w:pPr>
        <w:divId w:val="1652363530"/>
        <w:rPr>
          <w:rFonts w:eastAsia="Times New Roman"/>
        </w:rPr>
      </w:pPr>
      <w:r>
        <w:rPr>
          <w:rFonts w:eastAsia="Times New Roman"/>
          <w:color w:val="000000"/>
          <w:sz w:val="20"/>
          <w:szCs w:val="20"/>
        </w:rPr>
        <w:t> </w:t>
      </w:r>
      <w:r>
        <w:rPr>
          <w:rFonts w:eastAsia="Times New Roman"/>
          <w:b/>
          <w:bCs/>
          <w:color w:val="000000"/>
          <w:sz w:val="16"/>
          <w:szCs w:val="16"/>
        </w:rPr>
        <w:t>(Mark One)</w:t>
      </w:r>
    </w:p>
    <w:tbl>
      <w:tblPr>
        <w:tblW w:w="4923" w:type="pct"/>
        <w:tblCellMar>
          <w:top w:w="15" w:type="dxa"/>
          <w:left w:w="15" w:type="dxa"/>
          <w:bottom w:w="15" w:type="dxa"/>
          <w:right w:w="15" w:type="dxa"/>
        </w:tblCellMar>
        <w:tblLook w:val="04A0" w:firstRow="1" w:lastRow="0" w:firstColumn="1" w:lastColumn="0" w:noHBand="0" w:noVBand="1"/>
      </w:tblPr>
      <w:tblGrid>
        <w:gridCol w:w="68"/>
        <w:gridCol w:w="275"/>
        <w:gridCol w:w="36"/>
        <w:gridCol w:w="68"/>
        <w:gridCol w:w="7695"/>
        <w:gridCol w:w="36"/>
      </w:tblGrid>
      <w:tr w:rsidR="00000000">
        <w:trPr>
          <w:divId w:val="1920403154"/>
        </w:trPr>
        <w:tc>
          <w:tcPr>
            <w:tcW w:w="50" w:type="pct"/>
            <w:vAlign w:val="center"/>
            <w:hideMark/>
          </w:tcPr>
          <w:p w:rsidR="00000000" w:rsidRDefault="00971A12">
            <w:pPr>
              <w:rPr>
                <w:rFonts w:eastAsia="Times New Roman"/>
              </w:rPr>
            </w:pPr>
          </w:p>
        </w:tc>
        <w:tc>
          <w:tcPr>
            <w:tcW w:w="177"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712"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920403154"/>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20"/>
                <w:szCs w:val="20"/>
              </w:rPr>
              <w:t>ANNUAL REPORT PURSUANT TO SECTION 13 OR 15(d) OF THE SECURITIES EXCHANGE ACT OF 1934</w:t>
            </w:r>
          </w:p>
        </w:tc>
      </w:tr>
    </w:tbl>
    <w:p w:rsidR="00000000" w:rsidRDefault="00971A12">
      <w:pPr>
        <w:jc w:val="center"/>
        <w:rPr>
          <w:rFonts w:eastAsia="Times New Roman"/>
        </w:rPr>
      </w:pPr>
      <w:r>
        <w:rPr>
          <w:rFonts w:eastAsia="Times New Roman"/>
          <w:b/>
          <w:bCs/>
          <w:color w:val="000000"/>
          <w:sz w:val="20"/>
          <w:szCs w:val="20"/>
        </w:rPr>
        <w:t xml:space="preserve">For the fiscal year ended December 31, 2022 </w:t>
      </w:r>
    </w:p>
    <w:p w:rsidR="00000000" w:rsidRDefault="00971A12">
      <w:pPr>
        <w:jc w:val="center"/>
        <w:rPr>
          <w:rFonts w:eastAsia="Times New Roman"/>
        </w:rPr>
      </w:pPr>
      <w:r>
        <w:rPr>
          <w:rFonts w:eastAsia="Times New Roman"/>
          <w:b/>
          <w:bCs/>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69"/>
        <w:gridCol w:w="275"/>
        <w:gridCol w:w="36"/>
        <w:gridCol w:w="69"/>
        <w:gridCol w:w="7821"/>
        <w:gridCol w:w="36"/>
      </w:tblGrid>
      <w:tr w:rsidR="00000000">
        <w:trPr>
          <w:divId w:val="653216725"/>
        </w:trPr>
        <w:tc>
          <w:tcPr>
            <w:tcW w:w="50" w:type="pct"/>
            <w:vAlign w:val="center"/>
            <w:hideMark/>
          </w:tcPr>
          <w:p w:rsidR="00000000" w:rsidRDefault="00971A12">
            <w:pPr>
              <w:jc w:val="center"/>
              <w:rPr>
                <w:rFonts w:eastAsia="Times New Roman"/>
              </w:rPr>
            </w:pPr>
          </w:p>
        </w:tc>
        <w:tc>
          <w:tcPr>
            <w:tcW w:w="17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71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653216725"/>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971A12">
            <w:pPr>
              <w:spacing w:after="100"/>
              <w:divId w:val="576136052"/>
              <w:rPr>
                <w:rFonts w:eastAsia="Times New Roman"/>
              </w:rPr>
            </w:pPr>
            <w:r>
              <w:rPr>
                <w:rFonts w:eastAsia="Times New Roman"/>
                <w:b/>
                <w:bCs/>
                <w:color w:val="000000"/>
                <w:sz w:val="20"/>
                <w:szCs w:val="20"/>
              </w:rPr>
              <w:t xml:space="preserve">TRANSITION REPORT PURSUANT TO SECTION 13 OR 15(d) OF THE SECURITIES EXCHANGE ACT OF 1934 FOR THE TRANSITION PERIOD FROM TO </w:t>
            </w:r>
          </w:p>
        </w:tc>
      </w:tr>
    </w:tbl>
    <w:p w:rsidR="00000000" w:rsidRDefault="00971A12">
      <w:pPr>
        <w:jc w:val="center"/>
        <w:rPr>
          <w:rFonts w:eastAsia="Times New Roman"/>
        </w:rPr>
      </w:pPr>
      <w:r>
        <w:rPr>
          <w:rFonts w:eastAsia="Times New Roman"/>
          <w:b/>
          <w:bCs/>
          <w:color w:val="000000"/>
          <w:sz w:val="20"/>
          <w:szCs w:val="20"/>
        </w:rPr>
        <w:t xml:space="preserve">Commission File Number 001-33520 </w:t>
      </w:r>
    </w:p>
    <w:p w:rsidR="00000000" w:rsidRDefault="00971A12">
      <w:pPr>
        <w:jc w:val="center"/>
        <w:rPr>
          <w:rFonts w:eastAsia="Times New Roman"/>
        </w:rPr>
      </w:pPr>
      <w:r>
        <w:rPr>
          <w:rFonts w:eastAsia="Times New Roman"/>
          <w:color w:val="000000"/>
          <w:sz w:val="12"/>
          <w:szCs w:val="12"/>
        </w:rPr>
        <w:t>___________________________________________________________________</w:t>
      </w:r>
    </w:p>
    <w:p w:rsidR="00000000" w:rsidRDefault="00971A12">
      <w:pPr>
        <w:jc w:val="center"/>
        <w:divId w:val="1496141313"/>
        <w:rPr>
          <w:rFonts w:eastAsia="Times New Roman"/>
        </w:rPr>
      </w:pPr>
      <w:r>
        <w:rPr>
          <w:rFonts w:eastAsia="Times New Roman"/>
          <w:b/>
          <w:bCs/>
          <w:color w:val="000000"/>
          <w:sz w:val="36"/>
          <w:szCs w:val="36"/>
        </w:rPr>
        <w:t>COMSCORE, INC.</w:t>
      </w:r>
    </w:p>
    <w:p w:rsidR="00000000" w:rsidRDefault="00971A12">
      <w:pPr>
        <w:jc w:val="center"/>
        <w:rPr>
          <w:rFonts w:eastAsia="Times New Roman"/>
        </w:rPr>
      </w:pPr>
      <w:r>
        <w:rPr>
          <w:rFonts w:eastAsia="Times New Roman"/>
          <w:b/>
          <w:bCs/>
          <w:i/>
          <w:iCs/>
          <w:color w:val="000000"/>
          <w:sz w:val="20"/>
          <w:szCs w:val="20"/>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4005"/>
        <w:gridCol w:w="36"/>
        <w:gridCol w:w="36"/>
        <w:gridCol w:w="36"/>
        <w:gridCol w:w="36"/>
        <w:gridCol w:w="54"/>
        <w:gridCol w:w="4005"/>
        <w:gridCol w:w="37"/>
      </w:tblGrid>
      <w:tr w:rsidR="00000000">
        <w:trPr>
          <w:divId w:val="1340159902"/>
          <w:jc w:val="center"/>
        </w:trPr>
        <w:tc>
          <w:tcPr>
            <w:tcW w:w="50" w:type="pct"/>
            <w:vAlign w:val="center"/>
            <w:hideMark/>
          </w:tcPr>
          <w:p w:rsidR="00000000" w:rsidRDefault="00971A12">
            <w:pPr>
              <w:jc w:val="center"/>
              <w:rPr>
                <w:rFonts w:eastAsia="Times New Roman"/>
              </w:rPr>
            </w:pPr>
          </w:p>
        </w:tc>
        <w:tc>
          <w:tcPr>
            <w:tcW w:w="242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31"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242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340159902"/>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71A12">
            <w:pPr>
              <w:spacing w:after="100"/>
              <w:jc w:val="center"/>
              <w:rPr>
                <w:rFonts w:eastAsia="Times New Roman"/>
              </w:rPr>
            </w:pPr>
            <w:r>
              <w:rPr>
                <w:rFonts w:eastAsia="Times New Roman"/>
                <w:b/>
                <w:bCs/>
                <w:color w:val="000000"/>
                <w:sz w:val="20"/>
                <w:szCs w:val="20"/>
              </w:rPr>
              <w:t>Delaware</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71A12">
            <w:pPr>
              <w:spacing w:after="100"/>
              <w:jc w:val="center"/>
              <w:rPr>
                <w:rFonts w:eastAsia="Times New Roman"/>
              </w:rPr>
            </w:pPr>
            <w:r>
              <w:rPr>
                <w:rFonts w:eastAsia="Times New Roman"/>
                <w:b/>
                <w:bCs/>
                <w:color w:val="000000"/>
                <w:sz w:val="20"/>
                <w:szCs w:val="20"/>
              </w:rPr>
              <w:t>54-1955550</w:t>
            </w:r>
          </w:p>
        </w:tc>
      </w:tr>
      <w:tr w:rsidR="00000000">
        <w:trPr>
          <w:divId w:val="1340159902"/>
          <w:jc w:val="center"/>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971A12">
            <w:pPr>
              <w:spacing w:after="100"/>
              <w:jc w:val="center"/>
              <w:rPr>
                <w:rFonts w:eastAsia="Times New Roman"/>
              </w:rPr>
            </w:pPr>
            <w:r>
              <w:rPr>
                <w:rFonts w:eastAsia="Times New Roman"/>
                <w:i/>
                <w:iCs/>
                <w:color w:val="000000"/>
                <w:sz w:val="16"/>
                <w:szCs w:val="16"/>
              </w:rPr>
              <w:t>(State or Other Jurisdiction of Incorporation or Organization)</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971A12">
            <w:pPr>
              <w:spacing w:after="100"/>
              <w:jc w:val="center"/>
              <w:rPr>
                <w:rFonts w:eastAsia="Times New Roman"/>
              </w:rPr>
            </w:pPr>
            <w:r>
              <w:rPr>
                <w:rFonts w:eastAsia="Times New Roman"/>
                <w:i/>
                <w:iCs/>
                <w:color w:val="000000"/>
                <w:sz w:val="16"/>
                <w:szCs w:val="16"/>
              </w:rPr>
              <w:t>(I.R.S. Employer Identification Number)</w:t>
            </w:r>
          </w:p>
        </w:tc>
      </w:tr>
    </w:tbl>
    <w:p w:rsidR="00000000" w:rsidRDefault="00971A12">
      <w:pPr>
        <w:jc w:val="center"/>
        <w:rPr>
          <w:rFonts w:eastAsia="Times New Roman"/>
        </w:rPr>
      </w:pPr>
      <w:r>
        <w:rPr>
          <w:rFonts w:eastAsia="Times New Roman"/>
          <w:b/>
          <w:bCs/>
          <w:color w:val="000000"/>
          <w:sz w:val="20"/>
          <w:szCs w:val="20"/>
        </w:rPr>
        <w:t xml:space="preserve">11950 Democracy Drive, Suite 600 </w:t>
      </w:r>
    </w:p>
    <w:p w:rsidR="00000000" w:rsidRDefault="00971A12">
      <w:pPr>
        <w:jc w:val="center"/>
        <w:rPr>
          <w:rFonts w:eastAsia="Times New Roman"/>
        </w:rPr>
      </w:pPr>
      <w:r>
        <w:rPr>
          <w:rFonts w:eastAsia="Times New Roman"/>
          <w:b/>
          <w:bCs/>
          <w:color w:val="000000"/>
          <w:sz w:val="20"/>
          <w:szCs w:val="20"/>
        </w:rPr>
        <w:t xml:space="preserve">Reston, Virginia 20190 </w:t>
      </w:r>
    </w:p>
    <w:p w:rsidR="00000000" w:rsidRDefault="00971A12">
      <w:pPr>
        <w:jc w:val="center"/>
        <w:rPr>
          <w:rFonts w:eastAsia="Times New Roman"/>
        </w:rPr>
      </w:pPr>
      <w:r>
        <w:rPr>
          <w:rFonts w:eastAsia="Times New Roman"/>
          <w:i/>
          <w:iCs/>
          <w:color w:val="000000"/>
          <w:sz w:val="16"/>
          <w:szCs w:val="16"/>
        </w:rPr>
        <w:t>(Address of Principal Executive Offices)</w:t>
      </w:r>
    </w:p>
    <w:p w:rsidR="00000000" w:rsidRDefault="00971A12">
      <w:pPr>
        <w:jc w:val="center"/>
        <w:divId w:val="922186150"/>
        <w:rPr>
          <w:rFonts w:eastAsia="Times New Roman"/>
        </w:rPr>
      </w:pPr>
      <w:r>
        <w:rPr>
          <w:rFonts w:eastAsia="Times New Roman"/>
          <w:b/>
          <w:bCs/>
          <w:color w:val="000000"/>
          <w:sz w:val="20"/>
          <w:szCs w:val="20"/>
        </w:rPr>
        <w:t>(703) 438-2000</w:t>
      </w:r>
      <w:r>
        <w:rPr>
          <w:rFonts w:eastAsia="Times New Roman"/>
          <w:i/>
          <w:iCs/>
          <w:color w:val="000000"/>
          <w:sz w:val="16"/>
          <w:szCs w:val="16"/>
        </w:rPr>
        <w:t xml:space="preserve"> </w:t>
      </w:r>
    </w:p>
    <w:p w:rsidR="00000000" w:rsidRDefault="00971A12">
      <w:pPr>
        <w:jc w:val="center"/>
        <w:rPr>
          <w:rFonts w:eastAsia="Times New Roman"/>
        </w:rPr>
      </w:pPr>
      <w:r>
        <w:rPr>
          <w:rFonts w:eastAsia="Times New Roman"/>
          <w:i/>
          <w:iCs/>
          <w:color w:val="000000"/>
          <w:sz w:val="16"/>
          <w:szCs w:val="16"/>
        </w:rPr>
        <w:t>(Registrant's Telephone Number, Including Area Code)</w:t>
      </w:r>
    </w:p>
    <w:p w:rsidR="00000000" w:rsidRDefault="00971A12">
      <w:pPr>
        <w:jc w:val="center"/>
        <w:divId w:val="230504933"/>
        <w:rPr>
          <w:rFonts w:eastAsia="Times New Roman"/>
        </w:rPr>
      </w:pPr>
      <w:r>
        <w:rPr>
          <w:rFonts w:eastAsia="Times New Roman"/>
          <w:b/>
          <w:bCs/>
          <w:color w:val="000000"/>
          <w:sz w:val="20"/>
          <w:szCs w:val="20"/>
        </w:rPr>
        <w:t>Securities registered pursuant to Section 12(b) of the Act</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3219"/>
        <w:gridCol w:w="37"/>
        <w:gridCol w:w="36"/>
        <w:gridCol w:w="36"/>
        <w:gridCol w:w="36"/>
        <w:gridCol w:w="48"/>
        <w:gridCol w:w="1397"/>
        <w:gridCol w:w="36"/>
        <w:gridCol w:w="36"/>
        <w:gridCol w:w="36"/>
        <w:gridCol w:w="36"/>
        <w:gridCol w:w="48"/>
        <w:gridCol w:w="3221"/>
        <w:gridCol w:w="37"/>
      </w:tblGrid>
      <w:tr w:rsidR="00000000">
        <w:trPr>
          <w:divId w:val="1144079052"/>
          <w:jc w:val="center"/>
        </w:trPr>
        <w:tc>
          <w:tcPr>
            <w:tcW w:w="50" w:type="pct"/>
            <w:vAlign w:val="center"/>
            <w:hideMark/>
          </w:tcPr>
          <w:p w:rsidR="00000000" w:rsidRDefault="00971A12">
            <w:pPr>
              <w:jc w:val="center"/>
              <w:rPr>
                <w:rFonts w:eastAsia="Times New Roman"/>
              </w:rPr>
            </w:pPr>
          </w:p>
        </w:tc>
        <w:tc>
          <w:tcPr>
            <w:tcW w:w="1958"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7"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861"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7"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195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144079052"/>
          <w:jc w:val="center"/>
        </w:trPr>
        <w:tc>
          <w:tcPr>
            <w:tcW w:w="0" w:type="auto"/>
            <w:gridSpan w:val="3"/>
            <w:tcMar>
              <w:top w:w="30" w:type="dxa"/>
              <w:left w:w="20" w:type="dxa"/>
              <w:bottom w:w="30" w:type="dxa"/>
              <w:right w:w="20" w:type="dxa"/>
            </w:tcMar>
            <w:vAlign w:val="center"/>
            <w:hideMark/>
          </w:tcPr>
          <w:p w:rsidR="00000000" w:rsidRDefault="00971A12">
            <w:pPr>
              <w:spacing w:after="100"/>
              <w:jc w:val="center"/>
              <w:rPr>
                <w:rFonts w:eastAsia="Times New Roman"/>
              </w:rPr>
            </w:pPr>
            <w:r>
              <w:rPr>
                <w:rFonts w:eastAsia="Times New Roman"/>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71A12">
            <w:pPr>
              <w:spacing w:after="100"/>
              <w:jc w:val="center"/>
              <w:rPr>
                <w:rFonts w:eastAsia="Times New Roman"/>
              </w:rPr>
            </w:pPr>
            <w:r>
              <w:rPr>
                <w:rFonts w:eastAsia="Times New Roman"/>
                <w:color w:val="000000"/>
                <w:sz w:val="16"/>
                <w:szCs w:val="16"/>
              </w:rPr>
              <w:t>Trading Symbol</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71A12">
            <w:pPr>
              <w:spacing w:after="100"/>
              <w:jc w:val="center"/>
              <w:rPr>
                <w:rFonts w:eastAsia="Times New Roman"/>
              </w:rPr>
            </w:pPr>
            <w:r>
              <w:rPr>
                <w:rFonts w:eastAsia="Times New Roman"/>
                <w:color w:val="000000"/>
                <w:sz w:val="16"/>
                <w:szCs w:val="16"/>
              </w:rPr>
              <w:t>Name of Each Exchange on Which Registered</w:t>
            </w:r>
          </w:p>
        </w:tc>
      </w:tr>
      <w:tr w:rsidR="00000000">
        <w:trPr>
          <w:divId w:val="1144079052"/>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71A12">
            <w:pPr>
              <w:spacing w:after="100"/>
              <w:jc w:val="center"/>
              <w:rPr>
                <w:rFonts w:eastAsia="Times New Roman"/>
              </w:rPr>
            </w:pPr>
            <w:r>
              <w:rPr>
                <w:rFonts w:eastAsia="Times New Roman"/>
                <w:color w:val="000000"/>
                <w:sz w:val="20"/>
                <w:szCs w:val="20"/>
              </w:rPr>
              <w:t>Common Stock, par value $0.001 per share</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71A12">
            <w:pPr>
              <w:spacing w:after="100"/>
              <w:jc w:val="center"/>
              <w:rPr>
                <w:rFonts w:eastAsia="Times New Roman"/>
              </w:rPr>
            </w:pPr>
            <w:r>
              <w:rPr>
                <w:rFonts w:eastAsia="Times New Roman"/>
                <w:color w:val="000000"/>
                <w:sz w:val="20"/>
                <w:szCs w:val="20"/>
              </w:rPr>
              <w:t>SCOR</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71A12">
            <w:pPr>
              <w:spacing w:after="100"/>
              <w:jc w:val="center"/>
              <w:divId w:val="366755334"/>
              <w:rPr>
                <w:rFonts w:eastAsia="Times New Roman"/>
              </w:rPr>
            </w:pPr>
            <w:r>
              <w:rPr>
                <w:rFonts w:eastAsia="Times New Roman"/>
                <w:color w:val="000000"/>
                <w:sz w:val="20"/>
                <w:szCs w:val="20"/>
              </w:rPr>
              <w:t>NASDAQ Global Select Market</w:t>
            </w:r>
          </w:p>
        </w:tc>
      </w:tr>
    </w:tbl>
    <w:p w:rsidR="00000000" w:rsidRDefault="00971A12">
      <w:pPr>
        <w:jc w:val="center"/>
        <w:rPr>
          <w:rFonts w:eastAsia="Times New Roman"/>
        </w:rPr>
      </w:pPr>
      <w:r>
        <w:rPr>
          <w:rFonts w:eastAsia="Times New Roman"/>
          <w:b/>
          <w:bCs/>
          <w:color w:val="000000"/>
          <w:sz w:val="20"/>
          <w:szCs w:val="20"/>
        </w:rPr>
        <w:t>Securities registered pursuant to Section 12(g) of the Act</w:t>
      </w:r>
      <w:r>
        <w:rPr>
          <w:rFonts w:eastAsia="Times New Roman"/>
          <w:color w:val="000000"/>
          <w:sz w:val="20"/>
          <w:szCs w:val="20"/>
        </w:rPr>
        <w:t>: None.</w:t>
      </w:r>
    </w:p>
    <w:p w:rsidR="00000000" w:rsidRDefault="00971A12">
      <w:pPr>
        <w:jc w:val="center"/>
        <w:rPr>
          <w:rFonts w:eastAsia="Times New Roman"/>
        </w:rPr>
      </w:pPr>
      <w:r>
        <w:rPr>
          <w:rFonts w:eastAsia="Times New Roman"/>
          <w:color w:val="000000"/>
          <w:sz w:val="12"/>
          <w:szCs w:val="12"/>
        </w:rPr>
        <w:t> </w:t>
      </w:r>
      <w:r>
        <w:rPr>
          <w:rFonts w:eastAsia="Times New Roman"/>
          <w:color w:val="000000"/>
          <w:sz w:val="12"/>
          <w:szCs w:val="12"/>
        </w:rPr>
        <w:t>___________________________________________________________________</w:t>
      </w:r>
    </w:p>
    <w:p w:rsidR="00000000" w:rsidRDefault="00971A12">
      <w:pPr>
        <w:jc w:val="both"/>
        <w:divId w:val="953824053"/>
        <w:rPr>
          <w:rFonts w:eastAsia="Times New Roman"/>
        </w:rPr>
      </w:pPr>
      <w:r>
        <w:rPr>
          <w:rFonts w:eastAsia="Times New Roman"/>
          <w:color w:val="000000"/>
          <w:sz w:val="16"/>
          <w:szCs w:val="16"/>
        </w:rPr>
        <w:t>Indicate by check mark if the registrant is a well-known seasoned issuer, as defined in Rule 405 of the Securities Act.  Yes </w:t>
      </w:r>
      <w:r>
        <w:rPr>
          <w:rFonts w:ascii="Segoe UI Symbol" w:eastAsia="Times New Roman" w:hAnsi="Segoe UI Symbol" w:cs="Segoe UI Symbol"/>
          <w:color w:val="000000"/>
          <w:sz w:val="16"/>
          <w:szCs w:val="16"/>
        </w:rPr>
        <w:t>☐</w:t>
      </w:r>
      <w:r>
        <w:rPr>
          <w:rFonts w:eastAsia="Times New Roman"/>
          <w:color w:val="000000"/>
          <w:sz w:val="16"/>
          <w:szCs w:val="16"/>
        </w:rPr>
        <w:t>  No </w:t>
      </w:r>
      <w:r>
        <w:rPr>
          <w:rFonts w:ascii="Segoe UI Emoji" w:eastAsia="Times New Roman" w:hAnsi="Segoe UI Emoji" w:cs="Segoe UI Emoji"/>
          <w:color w:val="000000"/>
          <w:sz w:val="16"/>
          <w:szCs w:val="16"/>
        </w:rPr>
        <w:t>☑</w:t>
      </w:r>
    </w:p>
    <w:p w:rsidR="00000000" w:rsidRDefault="00971A12">
      <w:pPr>
        <w:jc w:val="both"/>
        <w:divId w:val="170725824"/>
        <w:rPr>
          <w:rFonts w:eastAsia="Times New Roman"/>
        </w:rPr>
      </w:pPr>
      <w:r>
        <w:rPr>
          <w:rFonts w:eastAsia="Times New Roman"/>
          <w:color w:val="000000"/>
          <w:sz w:val="16"/>
          <w:szCs w:val="16"/>
        </w:rPr>
        <w:t>Indicate by check mark if the registrant is not require</w:t>
      </w:r>
      <w:r>
        <w:rPr>
          <w:rFonts w:eastAsia="Times New Roman"/>
          <w:color w:val="000000"/>
          <w:sz w:val="16"/>
          <w:szCs w:val="16"/>
        </w:rPr>
        <w:t>d to file reports pursuant to Section 13 or Section 15(d) of the Act.  Yes </w:t>
      </w:r>
      <w:r>
        <w:rPr>
          <w:rFonts w:ascii="Segoe UI Symbol" w:eastAsia="Times New Roman" w:hAnsi="Segoe UI Symbol" w:cs="Segoe UI Symbol"/>
          <w:color w:val="000000"/>
          <w:sz w:val="16"/>
          <w:szCs w:val="16"/>
        </w:rPr>
        <w:t>☐</w:t>
      </w:r>
      <w:r>
        <w:rPr>
          <w:rFonts w:eastAsia="Times New Roman"/>
          <w:color w:val="000000"/>
          <w:sz w:val="16"/>
          <w:szCs w:val="16"/>
        </w:rPr>
        <w:t>  No </w:t>
      </w:r>
      <w:r>
        <w:rPr>
          <w:rFonts w:ascii="Segoe UI Emoji" w:eastAsia="Times New Roman" w:hAnsi="Segoe UI Emoji" w:cs="Segoe UI Emoji"/>
          <w:color w:val="000000"/>
          <w:sz w:val="16"/>
          <w:szCs w:val="16"/>
        </w:rPr>
        <w:t>☑</w:t>
      </w:r>
    </w:p>
    <w:p w:rsidR="00000000" w:rsidRDefault="00971A12">
      <w:pPr>
        <w:jc w:val="both"/>
        <w:divId w:val="317341485"/>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w:t>
      </w:r>
      <w:r>
        <w:rPr>
          <w:rFonts w:eastAsia="Times New Roman"/>
          <w:color w:val="000000"/>
          <w:sz w:val="16"/>
          <w:szCs w:val="16"/>
        </w:rPr>
        <w:t>ng 12 months (or for such shorter period that the registrant was required to file such reports), and (2) has been subject to such filing requirements for the past 90 days.  Yes </w:t>
      </w:r>
      <w:r>
        <w:rPr>
          <w:rFonts w:ascii="Segoe UI Emoji" w:eastAsia="Times New Roman" w:hAnsi="Segoe UI Emoji" w:cs="Segoe UI Emoji"/>
          <w:color w:val="000000"/>
          <w:sz w:val="16"/>
          <w:szCs w:val="16"/>
        </w:rPr>
        <w:t>☑</w:t>
      </w:r>
      <w:r>
        <w:rPr>
          <w:rFonts w:eastAsia="Times New Roman"/>
          <w:color w:val="000000"/>
          <w:sz w:val="16"/>
          <w:szCs w:val="16"/>
        </w:rPr>
        <w:t>  No </w:t>
      </w:r>
      <w:r>
        <w:rPr>
          <w:rFonts w:ascii="Segoe UI Symbol" w:eastAsia="Times New Roman" w:hAnsi="Segoe UI Symbol" w:cs="Segoe UI Symbol"/>
          <w:color w:val="000000"/>
          <w:sz w:val="16"/>
          <w:szCs w:val="16"/>
        </w:rPr>
        <w:t>☐</w:t>
      </w:r>
    </w:p>
    <w:p w:rsidR="00000000" w:rsidRDefault="00971A12">
      <w:pPr>
        <w:jc w:val="both"/>
        <w:divId w:val="691418254"/>
        <w:rPr>
          <w:rFonts w:eastAsia="Times New Roman"/>
        </w:rPr>
      </w:pPr>
      <w:r>
        <w:rPr>
          <w:rFonts w:eastAsia="Times New Roman"/>
          <w:color w:val="000000"/>
          <w:sz w:val="16"/>
          <w:szCs w:val="16"/>
        </w:rPr>
        <w:t>Indicate by check mark whether the registrant has submitted electronically every Interactive Data File required to be submitted pursuant to Rule 405 of Regulation S-T (§ 232.405 of this chapter) during the preceding 12 months (or for such shorter period th</w:t>
      </w:r>
      <w:r>
        <w:rPr>
          <w:rFonts w:eastAsia="Times New Roman"/>
          <w:color w:val="000000"/>
          <w:sz w:val="16"/>
          <w:szCs w:val="16"/>
        </w:rPr>
        <w:t>at the registrant was required to submit such files).  Yes </w:t>
      </w:r>
      <w:r>
        <w:rPr>
          <w:rFonts w:ascii="Segoe UI Emoji" w:eastAsia="Times New Roman" w:hAnsi="Segoe UI Emoji" w:cs="Segoe UI Emoji"/>
          <w:color w:val="000000"/>
          <w:sz w:val="16"/>
          <w:szCs w:val="16"/>
        </w:rPr>
        <w:t>☑</w:t>
      </w:r>
      <w:r>
        <w:rPr>
          <w:rFonts w:eastAsia="Times New Roman"/>
          <w:color w:val="000000"/>
          <w:sz w:val="16"/>
          <w:szCs w:val="16"/>
        </w:rPr>
        <w:t>  No </w:t>
      </w:r>
      <w:r>
        <w:rPr>
          <w:rFonts w:ascii="Segoe UI Symbol" w:eastAsia="Times New Roman" w:hAnsi="Segoe UI Symbol" w:cs="Segoe UI Symbol"/>
          <w:color w:val="000000"/>
          <w:sz w:val="16"/>
          <w:szCs w:val="16"/>
        </w:rPr>
        <w:t>☐</w:t>
      </w:r>
    </w:p>
    <w:p w:rsidR="00000000" w:rsidRDefault="00971A12">
      <w:pPr>
        <w:divId w:val="1041707171"/>
        <w:rPr>
          <w:rFonts w:eastAsia="Times New Roman"/>
        </w:rPr>
      </w:pPr>
      <w:r>
        <w:rPr>
          <w:rFonts w:eastAsia="Times New Roman"/>
          <w:color w:val="000000"/>
          <w:sz w:val="16"/>
          <w:szCs w:val="16"/>
        </w:rPr>
        <w:t>Indicate by check mark whether the registrant is a large accelerated filer, an accelerated filer, a non-accelerated filer, a smaller reporting company, or an emerging growth company. See th</w:t>
      </w:r>
      <w:r>
        <w:rPr>
          <w:rFonts w:eastAsia="Times New Roman"/>
          <w:color w:val="000000"/>
          <w:sz w:val="16"/>
          <w:szCs w:val="16"/>
        </w:rPr>
        <w:t>e definitions of "large accelerated filer," "accelerated filer", "smaller reporting company," and "emerging growth company" in Rule 12b-2 of the Exchange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2335"/>
        <w:gridCol w:w="36"/>
        <w:gridCol w:w="37"/>
        <w:gridCol w:w="181"/>
        <w:gridCol w:w="36"/>
        <w:gridCol w:w="51"/>
        <w:gridCol w:w="2807"/>
        <w:gridCol w:w="36"/>
        <w:gridCol w:w="61"/>
        <w:gridCol w:w="2325"/>
        <w:gridCol w:w="36"/>
        <w:gridCol w:w="37"/>
        <w:gridCol w:w="241"/>
        <w:gridCol w:w="36"/>
      </w:tblGrid>
      <w:tr w:rsidR="00000000">
        <w:trPr>
          <w:divId w:val="1858929601"/>
          <w:jc w:val="center"/>
        </w:trPr>
        <w:tc>
          <w:tcPr>
            <w:tcW w:w="50" w:type="pct"/>
            <w:vAlign w:val="center"/>
            <w:hideMark/>
          </w:tcPr>
          <w:p w:rsidR="00000000" w:rsidRDefault="00971A12">
            <w:pPr>
              <w:rPr>
                <w:rFonts w:eastAsia="Times New Roman"/>
              </w:rPr>
            </w:pPr>
          </w:p>
        </w:tc>
        <w:tc>
          <w:tcPr>
            <w:tcW w:w="142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28"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1708"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142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2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858929601"/>
          <w:jc w:val="center"/>
        </w:trPr>
        <w:tc>
          <w:tcPr>
            <w:tcW w:w="0" w:type="auto"/>
            <w:gridSpan w:val="3"/>
            <w:shd w:val="clear" w:color="auto" w:fill="CCEEFF"/>
            <w:tcMar>
              <w:top w:w="30" w:type="dxa"/>
              <w:left w:w="20" w:type="dxa"/>
              <w:bottom w:w="30" w:type="dxa"/>
              <w:right w:w="20" w:type="dxa"/>
            </w:tcMar>
            <w:vAlign w:val="center"/>
            <w:hideMark/>
          </w:tcPr>
          <w:p w:rsidR="00000000" w:rsidRDefault="00971A12">
            <w:pPr>
              <w:spacing w:after="100"/>
              <w:rPr>
                <w:rFonts w:eastAsia="Times New Roman"/>
              </w:rPr>
            </w:pPr>
            <w:r>
              <w:rPr>
                <w:rFonts w:eastAsia="Times New Roman"/>
                <w:color w:val="000000"/>
                <w:sz w:val="16"/>
                <w:szCs w:val="16"/>
              </w:rPr>
              <w:t>Large accelerated filer</w:t>
            </w:r>
          </w:p>
        </w:tc>
        <w:tc>
          <w:tcPr>
            <w:tcW w:w="0" w:type="auto"/>
            <w:gridSpan w:val="3"/>
            <w:shd w:val="clear" w:color="auto" w:fill="CCEEFF"/>
            <w:tcMar>
              <w:top w:w="30" w:type="dxa"/>
              <w:left w:w="20" w:type="dxa"/>
              <w:bottom w:w="30" w:type="dxa"/>
              <w:right w:w="20" w:type="dxa"/>
            </w:tcMar>
            <w:vAlign w:val="center"/>
            <w:hideMark/>
          </w:tcPr>
          <w:p w:rsidR="00000000" w:rsidRDefault="00971A12">
            <w:pPr>
              <w:spacing w:after="100"/>
              <w:rPr>
                <w:rFonts w:eastAsia="Times New Roman"/>
              </w:rPr>
            </w:pPr>
            <w:r>
              <w:rPr>
                <w:rFonts w:ascii="Segoe UI Symbol" w:eastAsia="Times New Roman" w:hAnsi="Segoe UI Symbol" w:cs="Segoe UI Symbol"/>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971A12">
            <w:pPr>
              <w:spacing w:after="100"/>
              <w:rPr>
                <w:rFonts w:eastAsia="Times New Roman"/>
              </w:rPr>
            </w:pPr>
            <w:r>
              <w:rPr>
                <w:rFonts w:eastAsia="Times New Roman"/>
                <w:color w:val="000000"/>
                <w:sz w:val="16"/>
                <w:szCs w:val="16"/>
              </w:rPr>
              <w:t>Accelerated filer</w:t>
            </w:r>
          </w:p>
        </w:tc>
        <w:tc>
          <w:tcPr>
            <w:tcW w:w="0" w:type="auto"/>
            <w:gridSpan w:val="3"/>
            <w:shd w:val="clear" w:color="auto" w:fill="CCEEFF"/>
            <w:tcMar>
              <w:top w:w="30" w:type="dxa"/>
              <w:left w:w="20" w:type="dxa"/>
              <w:bottom w:w="30" w:type="dxa"/>
              <w:right w:w="20" w:type="dxa"/>
            </w:tcMar>
            <w:vAlign w:val="center"/>
            <w:hideMark/>
          </w:tcPr>
          <w:p w:rsidR="00000000" w:rsidRDefault="00971A12">
            <w:pPr>
              <w:spacing w:after="100"/>
              <w:rPr>
                <w:rFonts w:eastAsia="Times New Roman"/>
              </w:rPr>
            </w:pPr>
            <w:r>
              <w:rPr>
                <w:rFonts w:ascii="Segoe UI Emoji" w:eastAsia="Times New Roman" w:hAnsi="Segoe UI Emoji" w:cs="Segoe UI Emoji"/>
                <w:color w:val="000000"/>
                <w:sz w:val="16"/>
                <w:szCs w:val="16"/>
              </w:rPr>
              <w:t>☑</w:t>
            </w:r>
          </w:p>
        </w:tc>
      </w:tr>
      <w:tr w:rsidR="00000000">
        <w:trPr>
          <w:divId w:val="1858929601"/>
          <w:jc w:val="center"/>
        </w:trPr>
        <w:tc>
          <w:tcPr>
            <w:tcW w:w="0" w:type="auto"/>
            <w:gridSpan w:val="3"/>
            <w:shd w:val="clear" w:color="auto" w:fill="FFFFFF"/>
            <w:tcMar>
              <w:top w:w="30" w:type="dxa"/>
              <w:left w:w="20" w:type="dxa"/>
              <w:bottom w:w="30" w:type="dxa"/>
              <w:right w:w="20" w:type="dxa"/>
            </w:tcMar>
            <w:vAlign w:val="center"/>
            <w:hideMark/>
          </w:tcPr>
          <w:p w:rsidR="00000000" w:rsidRDefault="00971A12">
            <w:pPr>
              <w:spacing w:after="100"/>
              <w:rPr>
                <w:rFonts w:eastAsia="Times New Roman"/>
              </w:rPr>
            </w:pPr>
            <w:r>
              <w:rPr>
                <w:rFonts w:eastAsia="Times New Roman"/>
                <w:color w:val="000000"/>
                <w:sz w:val="16"/>
                <w:szCs w:val="16"/>
              </w:rPr>
              <w:t>Non-accelerated filer</w:t>
            </w:r>
          </w:p>
        </w:tc>
        <w:tc>
          <w:tcPr>
            <w:tcW w:w="0" w:type="auto"/>
            <w:gridSpan w:val="3"/>
            <w:shd w:val="clear" w:color="auto" w:fill="FFFFFF"/>
            <w:tcMar>
              <w:top w:w="30" w:type="dxa"/>
              <w:left w:w="20" w:type="dxa"/>
              <w:bottom w:w="30" w:type="dxa"/>
              <w:right w:w="20" w:type="dxa"/>
            </w:tcMar>
            <w:vAlign w:val="center"/>
            <w:hideMark/>
          </w:tcPr>
          <w:p w:rsidR="00000000" w:rsidRDefault="00971A12">
            <w:pPr>
              <w:spacing w:after="100"/>
              <w:rPr>
                <w:rFonts w:eastAsia="Times New Roman"/>
              </w:rPr>
            </w:pPr>
            <w:r>
              <w:rPr>
                <w:rFonts w:ascii="Segoe UI Symbol" w:eastAsia="Times New Roman" w:hAnsi="Segoe UI Symbol" w:cs="Segoe UI Symbol"/>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971A12">
            <w:pPr>
              <w:spacing w:after="100"/>
              <w:rPr>
                <w:rFonts w:eastAsia="Times New Roman"/>
              </w:rPr>
            </w:pPr>
            <w:r>
              <w:rPr>
                <w:rFonts w:eastAsia="Times New Roman"/>
                <w:color w:val="000000"/>
                <w:sz w:val="16"/>
                <w:szCs w:val="16"/>
              </w:rPr>
              <w:t>Smaller reporting company</w:t>
            </w:r>
          </w:p>
        </w:tc>
        <w:tc>
          <w:tcPr>
            <w:tcW w:w="0" w:type="auto"/>
            <w:gridSpan w:val="3"/>
            <w:shd w:val="clear" w:color="auto" w:fill="FFFFFF"/>
            <w:tcMar>
              <w:top w:w="30" w:type="dxa"/>
              <w:left w:w="20" w:type="dxa"/>
              <w:bottom w:w="30" w:type="dxa"/>
              <w:right w:w="20" w:type="dxa"/>
            </w:tcMar>
            <w:vAlign w:val="center"/>
            <w:hideMark/>
          </w:tcPr>
          <w:p w:rsidR="00000000" w:rsidRDefault="00971A12">
            <w:pPr>
              <w:spacing w:after="100"/>
              <w:rPr>
                <w:rFonts w:eastAsia="Times New Roman"/>
              </w:rPr>
            </w:pPr>
            <w:r>
              <w:rPr>
                <w:rFonts w:ascii="Segoe UI Emoji" w:eastAsia="Times New Roman" w:hAnsi="Segoe UI Emoji" w:cs="Segoe UI Emoji"/>
                <w:color w:val="000000"/>
                <w:sz w:val="16"/>
                <w:szCs w:val="16"/>
              </w:rPr>
              <w:t>☑</w:t>
            </w:r>
          </w:p>
        </w:tc>
      </w:tr>
      <w:tr w:rsidR="00000000">
        <w:trPr>
          <w:divId w:val="1858929601"/>
          <w:jc w:val="center"/>
        </w:trPr>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971A12">
            <w:pPr>
              <w:spacing w:after="100"/>
              <w:rPr>
                <w:rFonts w:eastAsia="Times New Roman"/>
              </w:rPr>
            </w:pPr>
            <w:r>
              <w:rPr>
                <w:rFonts w:eastAsia="Times New Roman"/>
                <w:color w:val="000000"/>
                <w:sz w:val="16"/>
                <w:szCs w:val="16"/>
              </w:rPr>
              <w:t>Emerging growth company</w:t>
            </w:r>
          </w:p>
        </w:tc>
        <w:tc>
          <w:tcPr>
            <w:tcW w:w="0" w:type="auto"/>
            <w:gridSpan w:val="3"/>
            <w:shd w:val="clear" w:color="auto" w:fill="CCEEFF"/>
            <w:tcMar>
              <w:top w:w="30" w:type="dxa"/>
              <w:left w:w="20" w:type="dxa"/>
              <w:bottom w:w="30" w:type="dxa"/>
              <w:right w:w="20" w:type="dxa"/>
            </w:tcMar>
            <w:vAlign w:val="center"/>
            <w:hideMark/>
          </w:tcPr>
          <w:p w:rsidR="00000000" w:rsidRDefault="00971A12">
            <w:pPr>
              <w:spacing w:after="100"/>
              <w:rPr>
                <w:rFonts w:eastAsia="Times New Roman"/>
              </w:rPr>
            </w:pPr>
            <w:r>
              <w:rPr>
                <w:rFonts w:ascii="Segoe UI Symbol" w:eastAsia="Times New Roman" w:hAnsi="Segoe UI Symbol" w:cs="Segoe UI Symbol"/>
                <w:color w:val="000000"/>
                <w:sz w:val="16"/>
                <w:szCs w:val="16"/>
              </w:rPr>
              <w:t>☐</w:t>
            </w:r>
          </w:p>
        </w:tc>
      </w:tr>
    </w:tbl>
    <w:p w:rsidR="00000000" w:rsidRDefault="00971A12">
      <w:pPr>
        <w:jc w:val="both"/>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6"/>
          <w:szCs w:val="16"/>
        </w:rPr>
        <w:t>☐</w:t>
      </w:r>
    </w:p>
    <w:p w:rsidR="00000000" w:rsidRDefault="00971A12">
      <w:pPr>
        <w:jc w:val="both"/>
        <w:divId w:val="2135319890"/>
        <w:rPr>
          <w:rFonts w:eastAsia="Times New Roman"/>
        </w:rPr>
      </w:pPr>
      <w:r>
        <w:rPr>
          <w:rFonts w:eastAsia="Times New Roman"/>
          <w:color w:val="000000"/>
          <w:sz w:val="16"/>
          <w:szCs w:val="16"/>
        </w:rPr>
        <w:lastRenderedPageBreak/>
        <w:t>Ind</w:t>
      </w:r>
      <w:r>
        <w:rPr>
          <w:rFonts w:eastAsia="Times New Roman"/>
          <w:color w:val="000000"/>
          <w:sz w:val="16"/>
          <w:szCs w:val="16"/>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eastAsia="Times New Roman"/>
          <w:color w:val="000000"/>
          <w:sz w:val="16"/>
          <w:szCs w:val="16"/>
        </w:rPr>
        <w:t xml:space="preserve">registered public accounting firm that prepared or issued its audit report. </w:t>
      </w:r>
      <w:r>
        <w:rPr>
          <w:rFonts w:ascii="Segoe UI Emoji" w:eastAsia="Times New Roman" w:hAnsi="Segoe UI Emoji" w:cs="Segoe UI Emoji"/>
          <w:color w:val="000000"/>
          <w:sz w:val="16"/>
          <w:szCs w:val="16"/>
        </w:rPr>
        <w:t>☑</w:t>
      </w:r>
    </w:p>
    <w:p w:rsidR="00000000" w:rsidRDefault="00971A12">
      <w:pPr>
        <w:divId w:val="303001334"/>
        <w:rPr>
          <w:rFonts w:eastAsia="Times New Roman"/>
        </w:rPr>
      </w:pPr>
      <w:r>
        <w:rPr>
          <w:rFonts w:eastAsia="Times New Roman"/>
          <w:color w:val="000000"/>
          <w:sz w:val="16"/>
          <w:szCs w:val="16"/>
        </w:rPr>
        <w:t>If securities are registered pursuant to Section 12(b) of the Act, indicate by check mark whether the financial statements of the registrant included in the filing reflect the co</w:t>
      </w:r>
      <w:r>
        <w:rPr>
          <w:rFonts w:eastAsia="Times New Roman"/>
          <w:color w:val="000000"/>
          <w:sz w:val="16"/>
          <w:szCs w:val="16"/>
        </w:rPr>
        <w:t xml:space="preserve">rrection of an error to previously issued financial statements. </w:t>
      </w:r>
      <w:r>
        <w:rPr>
          <w:rFonts w:ascii="Segoe UI Symbol" w:eastAsia="Times New Roman" w:hAnsi="Segoe UI Symbol" w:cs="Segoe UI Symbol"/>
          <w:color w:val="000000"/>
          <w:sz w:val="16"/>
          <w:szCs w:val="16"/>
        </w:rPr>
        <w:t>☐</w:t>
      </w:r>
    </w:p>
    <w:p w:rsidR="00000000" w:rsidRDefault="00971A12">
      <w:pPr>
        <w:divId w:val="2113477227"/>
        <w:rPr>
          <w:rFonts w:eastAsia="Times New Roman"/>
        </w:rPr>
      </w:pPr>
      <w:r>
        <w:rPr>
          <w:rFonts w:eastAsia="Times New Roman"/>
          <w:color w:val="000000"/>
          <w:sz w:val="16"/>
          <w:szCs w:val="16"/>
        </w:rPr>
        <w:t>Indicate by check mark whether any of those error corrections are restatements that required a recovery analysis of incentive-based compensation received by any of the registrant's executive officers during the relevant recovery period pursuant to § 240.10</w:t>
      </w:r>
      <w:r>
        <w:rPr>
          <w:rFonts w:eastAsia="Times New Roman"/>
          <w:color w:val="000000"/>
          <w:sz w:val="16"/>
          <w:szCs w:val="16"/>
        </w:rPr>
        <w:t xml:space="preserve">D-1(b). </w:t>
      </w:r>
      <w:r>
        <w:rPr>
          <w:rFonts w:ascii="Segoe UI Symbol" w:eastAsia="Times New Roman" w:hAnsi="Segoe UI Symbol" w:cs="Segoe UI Symbol"/>
          <w:color w:val="000000"/>
          <w:sz w:val="16"/>
          <w:szCs w:val="16"/>
        </w:rPr>
        <w:t>☐</w:t>
      </w:r>
    </w:p>
    <w:p w:rsidR="00000000" w:rsidRDefault="00971A12">
      <w:pPr>
        <w:divId w:val="241989083"/>
        <w:rPr>
          <w:rFonts w:eastAsia="Times New Roman"/>
        </w:rPr>
      </w:pPr>
      <w:r>
        <w:rPr>
          <w:rFonts w:eastAsia="Times New Roman"/>
          <w:color w:val="000000"/>
          <w:sz w:val="16"/>
          <w:szCs w:val="16"/>
        </w:rPr>
        <w:t>Indicate by check mark whether the registrant is a shell company (as defined in Rule 12b-2 of the Act).  Yes </w:t>
      </w:r>
      <w:r>
        <w:rPr>
          <w:rFonts w:ascii="Segoe UI Symbol" w:eastAsia="Times New Roman" w:hAnsi="Segoe UI Symbol" w:cs="Segoe UI Symbol"/>
          <w:color w:val="000000"/>
          <w:sz w:val="16"/>
          <w:szCs w:val="16"/>
        </w:rPr>
        <w:t>☐</w:t>
      </w:r>
      <w:r>
        <w:rPr>
          <w:rFonts w:eastAsia="Times New Roman"/>
          <w:color w:val="000000"/>
          <w:sz w:val="16"/>
          <w:szCs w:val="16"/>
        </w:rPr>
        <w:t>   No </w:t>
      </w:r>
      <w:r>
        <w:rPr>
          <w:rFonts w:ascii="Segoe UI Emoji" w:eastAsia="Times New Roman" w:hAnsi="Segoe UI Emoji" w:cs="Segoe UI Emoji"/>
          <w:color w:val="000000"/>
          <w:sz w:val="16"/>
          <w:szCs w:val="16"/>
        </w:rPr>
        <w:t>☑</w:t>
      </w:r>
    </w:p>
    <w:p w:rsidR="00000000" w:rsidRDefault="00971A12">
      <w:pPr>
        <w:jc w:val="both"/>
        <w:divId w:val="208491163"/>
        <w:rPr>
          <w:rFonts w:eastAsia="Times New Roman"/>
        </w:rPr>
      </w:pPr>
      <w:r>
        <w:rPr>
          <w:rFonts w:eastAsia="Times New Roman"/>
          <w:color w:val="000000"/>
          <w:sz w:val="16"/>
          <w:szCs w:val="16"/>
        </w:rPr>
        <w:t xml:space="preserve">The aggregate market value of the registrant's voting and non-voting common equity held by non-affiliates of the registrant, as </w:t>
      </w:r>
      <w:r>
        <w:rPr>
          <w:rFonts w:eastAsia="Times New Roman"/>
          <w:color w:val="000000"/>
          <w:sz w:val="16"/>
          <w:szCs w:val="16"/>
        </w:rPr>
        <w:t>of June 30, 2022, the last business day of the registrant's most recently completed second fiscal quarter, was approximately $160.0 million (based on the closing price of the registrant's common stock on the Nasdaq Global Select Market on that date). Solel</w:t>
      </w:r>
      <w:r>
        <w:rPr>
          <w:rFonts w:eastAsia="Times New Roman"/>
          <w:color w:val="000000"/>
          <w:sz w:val="16"/>
          <w:szCs w:val="16"/>
        </w:rPr>
        <w:t>y for purposes of this disclosure, shares of the registrant's common stock held by executive officers and directors and each person who owned 10% or more of the outstanding common stock of the registrant have been excluded in that such persons may be deeme</w:t>
      </w:r>
      <w:r>
        <w:rPr>
          <w:rFonts w:eastAsia="Times New Roman"/>
          <w:color w:val="000000"/>
          <w:sz w:val="16"/>
          <w:szCs w:val="16"/>
        </w:rPr>
        <w:t>d to be affiliates. This determination of affiliate status is not a conclusive determination for other purposes.</w:t>
      </w:r>
    </w:p>
    <w:p w:rsidR="00000000" w:rsidRDefault="00971A12">
      <w:pPr>
        <w:jc w:val="both"/>
        <w:divId w:val="505561274"/>
        <w:rPr>
          <w:rFonts w:eastAsia="Times New Roman"/>
        </w:rPr>
      </w:pPr>
      <w:r>
        <w:rPr>
          <w:rFonts w:eastAsia="Times New Roman"/>
          <w:color w:val="000000"/>
          <w:sz w:val="16"/>
          <w:szCs w:val="16"/>
        </w:rPr>
        <w:t>Indicate the number of shares outstanding of each of the registrant's classes of common stock, as of the latest practicable date: As of Februar</w:t>
      </w:r>
      <w:r>
        <w:rPr>
          <w:rFonts w:eastAsia="Times New Roman"/>
          <w:color w:val="000000"/>
          <w:sz w:val="16"/>
          <w:szCs w:val="16"/>
        </w:rPr>
        <w:t>y 24, 2023, there were 92,187,156 shares of the registrant's common stock outstanding.</w:t>
      </w:r>
    </w:p>
    <w:p w:rsidR="00000000" w:rsidRDefault="00971A12">
      <w:pPr>
        <w:ind w:firstLine="360"/>
        <w:jc w:val="center"/>
        <w:divId w:val="939147795"/>
        <w:rPr>
          <w:rFonts w:eastAsia="Times New Roman"/>
        </w:rPr>
      </w:pPr>
      <w:r>
        <w:rPr>
          <w:rFonts w:eastAsia="Times New Roman"/>
          <w:b/>
          <w:bCs/>
          <w:color w:val="000000"/>
          <w:sz w:val="16"/>
          <w:szCs w:val="16"/>
        </w:rPr>
        <w:t>DOCUMENTS INCORPORATED BY REFERENCE</w:t>
      </w:r>
    </w:p>
    <w:p w:rsidR="00000000" w:rsidRDefault="00971A12">
      <w:pPr>
        <w:jc w:val="both"/>
        <w:divId w:val="1582791411"/>
        <w:rPr>
          <w:rFonts w:eastAsia="Times New Roman"/>
        </w:rPr>
      </w:pPr>
      <w:r>
        <w:rPr>
          <w:rFonts w:eastAsia="Times New Roman"/>
          <w:color w:val="000000"/>
          <w:sz w:val="16"/>
          <w:szCs w:val="16"/>
        </w:rPr>
        <w:t xml:space="preserve">Specified portions of the registrant's Proxy Statement with respect to its 2023 Annual Meeting of Stockholders, to be filed with the </w:t>
      </w:r>
      <w:r>
        <w:rPr>
          <w:rFonts w:eastAsia="Times New Roman"/>
          <w:color w:val="000000"/>
          <w:sz w:val="16"/>
          <w:szCs w:val="16"/>
        </w:rPr>
        <w:t xml:space="preserve">Securities and Exchange Commission no later than 120 days following the end of the registrant's fiscal year ended December 31, 2022, are incorporated by reference in Part III of this Annual Report on Form 10-K. </w:t>
      </w:r>
    </w:p>
    <w:tbl>
      <w:tblPr>
        <w:tblW w:w="5000" w:type="pct"/>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trPr>
          <w:divId w:val="1681739841"/>
        </w:trPr>
        <w:tc>
          <w:tcPr>
            <w:tcW w:w="50" w:type="pct"/>
            <w:vAlign w:val="center"/>
            <w:hideMark/>
          </w:tcPr>
          <w:p w:rsidR="00000000" w:rsidRDefault="00971A12">
            <w:pPr>
              <w:jc w:val="both"/>
              <w:rPr>
                <w:rFonts w:eastAsia="Times New Roman"/>
              </w:rPr>
            </w:pPr>
          </w:p>
        </w:tc>
        <w:tc>
          <w:tcPr>
            <w:tcW w:w="94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94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94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94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94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681739841"/>
          <w:trHeight w:val="60"/>
        </w:trPr>
        <w:tc>
          <w:tcPr>
            <w:tcW w:w="0" w:type="auto"/>
            <w:gridSpan w:val="15"/>
            <w:tcBorders>
              <w:top w:val="single" w:sz="8" w:space="0" w:color="000000"/>
              <w:bottom w:val="single" w:sz="8" w:space="0" w:color="000000"/>
            </w:tcBorders>
            <w:tcMar>
              <w:top w:w="0" w:type="dxa"/>
              <w:left w:w="20" w:type="dxa"/>
              <w:bottom w:w="0" w:type="dxa"/>
              <w:right w:w="20" w:type="dxa"/>
            </w:tcMar>
            <w:vAlign w:val="center"/>
            <w:hideMark/>
          </w:tcPr>
          <w:p w:rsidR="00000000" w:rsidRDefault="00971A12">
            <w:pPr>
              <w:spacing w:after="100"/>
              <w:rPr>
                <w:rFonts w:eastAsia="Times New Roman"/>
                <w:sz w:val="20"/>
                <w:szCs w:val="20"/>
              </w:rPr>
            </w:pPr>
          </w:p>
        </w:tc>
      </w:tr>
    </w:tbl>
    <w:p w:rsidR="00000000" w:rsidRDefault="00971A12">
      <w:pPr>
        <w:divId w:val="1850674521"/>
        <w:rPr>
          <w:rFonts w:eastAsia="Times New Roman"/>
        </w:rPr>
      </w:pPr>
    </w:p>
    <w:p w:rsidR="00000000" w:rsidRDefault="00971A12">
      <w:pPr>
        <w:rPr>
          <w:rFonts w:eastAsia="Times New Roman"/>
        </w:rPr>
      </w:pPr>
      <w:r>
        <w:rPr>
          <w:rFonts w:eastAsia="Times New Roman"/>
        </w:rPr>
        <w:pict>
          <v:rect id="_x0000_i1025" style="width:0;height:1.5pt" o:hralign="center" o:hrstd="t" o:hr="t" fillcolor="#a0a0a0" stroked="f"/>
        </w:pict>
      </w:r>
    </w:p>
    <w:p w:rsidR="00000000" w:rsidRDefault="00971A12">
      <w:pPr>
        <w:divId w:val="1980069768"/>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896403814"/>
        <w:rPr>
          <w:rFonts w:eastAsia="Times New Roman"/>
        </w:rPr>
      </w:pPr>
    </w:p>
    <w:p w:rsidR="00000000" w:rsidRDefault="00971A12">
      <w:pPr>
        <w:jc w:val="center"/>
        <w:rPr>
          <w:rFonts w:eastAsia="Times New Roman"/>
        </w:rPr>
      </w:pPr>
      <w:r>
        <w:rPr>
          <w:rFonts w:eastAsia="Times New Roman"/>
          <w:b/>
          <w:bCs/>
          <w:color w:val="000000"/>
          <w:sz w:val="20"/>
          <w:szCs w:val="20"/>
        </w:rPr>
        <w:t>COMSCORE, INC.</w:t>
      </w:r>
    </w:p>
    <w:p w:rsidR="00000000" w:rsidRDefault="00971A12">
      <w:pPr>
        <w:jc w:val="center"/>
        <w:divId w:val="677926085"/>
        <w:rPr>
          <w:rFonts w:eastAsia="Times New Roman"/>
        </w:rPr>
      </w:pPr>
      <w:r>
        <w:rPr>
          <w:rFonts w:eastAsia="Times New Roman"/>
          <w:b/>
          <w:bCs/>
          <w:color w:val="000000"/>
          <w:sz w:val="20"/>
          <w:szCs w:val="20"/>
        </w:rPr>
        <w:t>ANNUAL REPORT ON FORM 10-K</w:t>
      </w:r>
    </w:p>
    <w:p w:rsidR="00000000" w:rsidRDefault="00971A12">
      <w:pPr>
        <w:jc w:val="center"/>
        <w:rPr>
          <w:rFonts w:eastAsia="Times New Roman"/>
        </w:rPr>
      </w:pPr>
      <w:r>
        <w:rPr>
          <w:rFonts w:eastAsia="Times New Roman"/>
          <w:b/>
          <w:bCs/>
          <w:color w:val="000000"/>
          <w:sz w:val="20"/>
          <w:szCs w:val="20"/>
        </w:rPr>
        <w:t>FOR THE PERIOD ENDED DECEMBER 31, 2022</w:t>
      </w:r>
    </w:p>
    <w:p w:rsidR="00000000" w:rsidRDefault="00971A12">
      <w:pPr>
        <w:jc w:val="center"/>
        <w:divId w:val="780229038"/>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71"/>
        <w:gridCol w:w="1402"/>
        <w:gridCol w:w="40"/>
        <w:gridCol w:w="68"/>
        <w:gridCol w:w="158"/>
        <w:gridCol w:w="36"/>
        <w:gridCol w:w="68"/>
        <w:gridCol w:w="5505"/>
        <w:gridCol w:w="38"/>
        <w:gridCol w:w="69"/>
        <w:gridCol w:w="159"/>
        <w:gridCol w:w="36"/>
        <w:gridCol w:w="69"/>
        <w:gridCol w:w="551"/>
        <w:gridCol w:w="36"/>
      </w:tblGrid>
      <w:tr w:rsidR="00000000">
        <w:trPr>
          <w:divId w:val="525292911"/>
          <w:jc w:val="center"/>
        </w:trPr>
        <w:tc>
          <w:tcPr>
            <w:tcW w:w="50" w:type="pct"/>
            <w:vAlign w:val="center"/>
            <w:hideMark/>
          </w:tcPr>
          <w:p w:rsidR="00000000" w:rsidRDefault="00971A12">
            <w:pPr>
              <w:jc w:val="center"/>
              <w:rPr>
                <w:rFonts w:eastAsia="Times New Roman"/>
              </w:rPr>
            </w:pPr>
          </w:p>
        </w:tc>
        <w:tc>
          <w:tcPr>
            <w:tcW w:w="85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10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3320"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10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340"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525292911"/>
          <w:jc w:val="center"/>
        </w:trPr>
        <w:tc>
          <w:tcPr>
            <w:tcW w:w="0" w:type="auto"/>
            <w:gridSpan w:val="9"/>
            <w:tcMar>
              <w:top w:w="30" w:type="dxa"/>
              <w:left w:w="20" w:type="dxa"/>
              <w:bottom w:w="30" w:type="dxa"/>
              <w:right w:w="20" w:type="dxa"/>
            </w:tcMar>
            <w:vAlign w:val="bottom"/>
            <w:hideMark/>
          </w:tcPr>
          <w:p w:rsidR="00000000" w:rsidRDefault="00971A12">
            <w:pPr>
              <w:spacing w:after="100"/>
              <w:divId w:val="2147308270"/>
              <w:rPr>
                <w:rFonts w:eastAsia="Times New Roman"/>
              </w:rPr>
            </w:pPr>
            <w:hyperlink w:anchor="i0047531bd13046b986557e31951e34f8_10" w:history="1">
              <w:r>
                <w:rPr>
                  <w:rStyle w:val="a3"/>
                  <w:rFonts w:eastAsia="Times New Roman"/>
                  <w:sz w:val="20"/>
                  <w:szCs w:val="20"/>
                </w:rPr>
                <w:t>Cautionary Note Regarding Forward-Looking Statements</w:t>
              </w:r>
            </w:hyperlink>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10" w:history="1">
              <w:r>
                <w:rPr>
                  <w:rStyle w:val="a3"/>
                  <w:rFonts w:eastAsia="Times New Roman"/>
                  <w:sz w:val="20"/>
                  <w:szCs w:val="20"/>
                </w:rPr>
                <w:t>i</w:t>
              </w:r>
            </w:hyperlink>
          </w:p>
        </w:tc>
      </w:tr>
      <w:tr w:rsidR="00000000">
        <w:trPr>
          <w:divId w:val="525292911"/>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525292911"/>
          <w:jc w:val="center"/>
        </w:trPr>
        <w:tc>
          <w:tcPr>
            <w:tcW w:w="0" w:type="auto"/>
            <w:gridSpan w:val="3"/>
            <w:tcMar>
              <w:top w:w="30" w:type="dxa"/>
              <w:left w:w="20" w:type="dxa"/>
              <w:bottom w:w="30" w:type="dxa"/>
              <w:right w:w="20" w:type="dxa"/>
            </w:tcMar>
            <w:hideMark/>
          </w:tcPr>
          <w:p w:rsidR="00000000" w:rsidRDefault="00971A12">
            <w:pPr>
              <w:spacing w:after="100"/>
              <w:divId w:val="220796544"/>
              <w:rPr>
                <w:rFonts w:eastAsia="Times New Roman"/>
              </w:rPr>
            </w:pPr>
            <w:hyperlink w:anchor="i0047531bd13046b986557e31951e34f8_13" w:history="1">
              <w:r>
                <w:rPr>
                  <w:rStyle w:val="a3"/>
                  <w:rFonts w:eastAsia="Times New Roman"/>
                  <w:sz w:val="20"/>
                  <w:szCs w:val="20"/>
                </w:rPr>
                <w:t>PART I</w:t>
              </w:r>
            </w:hyperlink>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r>
      <w:tr w:rsidR="00000000">
        <w:trPr>
          <w:divId w:val="525292911"/>
          <w:jc w:val="center"/>
        </w:trPr>
        <w:tc>
          <w:tcPr>
            <w:tcW w:w="0" w:type="auto"/>
            <w:gridSpan w:val="3"/>
            <w:tcMar>
              <w:top w:w="30" w:type="dxa"/>
              <w:left w:w="380" w:type="dxa"/>
              <w:bottom w:w="30" w:type="dxa"/>
              <w:right w:w="20" w:type="dxa"/>
            </w:tcMar>
            <w:hideMark/>
          </w:tcPr>
          <w:p w:rsidR="00000000" w:rsidRDefault="00971A12">
            <w:pPr>
              <w:spacing w:after="100"/>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divId w:val="1092510447"/>
              <w:rPr>
                <w:rFonts w:eastAsia="Times New Roman"/>
              </w:rPr>
            </w:pPr>
            <w:hyperlink w:anchor="i0047531bd13046b986557e31951e34f8_16" w:history="1">
              <w:r>
                <w:rPr>
                  <w:rStyle w:val="a3"/>
                  <w:rFonts w:eastAsia="Times New Roman"/>
                  <w:sz w:val="20"/>
                  <w:szCs w:val="20"/>
                </w:rPr>
                <w:t>Business</w:t>
              </w:r>
            </w:hyperlink>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16" w:history="1">
              <w:r>
                <w:rPr>
                  <w:rStyle w:val="a3"/>
                  <w:rFonts w:eastAsia="Times New Roman"/>
                  <w:sz w:val="20"/>
                  <w:szCs w:val="20"/>
                </w:rPr>
                <w:t>1</w:t>
              </w:r>
            </w:hyperlink>
          </w:p>
        </w:tc>
      </w:tr>
      <w:tr w:rsidR="00000000">
        <w:trPr>
          <w:divId w:val="525292911"/>
          <w:jc w:val="center"/>
        </w:trPr>
        <w:tc>
          <w:tcPr>
            <w:tcW w:w="0" w:type="auto"/>
            <w:gridSpan w:val="3"/>
            <w:tcMar>
              <w:top w:w="30" w:type="dxa"/>
              <w:left w:w="380" w:type="dxa"/>
              <w:bottom w:w="30" w:type="dxa"/>
              <w:right w:w="20" w:type="dxa"/>
            </w:tcMar>
            <w:hideMark/>
          </w:tcPr>
          <w:p w:rsidR="00000000" w:rsidRDefault="00971A12">
            <w:pPr>
              <w:spacing w:after="100"/>
              <w:rPr>
                <w:rFonts w:eastAsia="Times New Roman"/>
              </w:rPr>
            </w:pPr>
            <w:r>
              <w:rPr>
                <w:rFonts w:eastAsia="Times New Roman"/>
                <w:color w:val="000000"/>
                <w:sz w:val="20"/>
                <w:szCs w:val="20"/>
              </w:rPr>
              <w:t>Item 1A.</w:t>
            </w: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divId w:val="483548171"/>
              <w:rPr>
                <w:rFonts w:eastAsia="Times New Roman"/>
              </w:rPr>
            </w:pPr>
            <w:hyperlink w:anchor="i0047531bd13046b986557e31951e34f8_22"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22" w:history="1">
              <w:r>
                <w:rPr>
                  <w:rStyle w:val="a3"/>
                  <w:rFonts w:eastAsia="Times New Roman"/>
                  <w:sz w:val="20"/>
                  <w:szCs w:val="20"/>
                </w:rPr>
                <w:t>12</w:t>
              </w:r>
            </w:hyperlink>
          </w:p>
        </w:tc>
      </w:tr>
      <w:tr w:rsidR="00000000">
        <w:trPr>
          <w:divId w:val="525292911"/>
          <w:jc w:val="center"/>
        </w:trPr>
        <w:tc>
          <w:tcPr>
            <w:tcW w:w="0" w:type="auto"/>
            <w:gridSpan w:val="3"/>
            <w:tcMar>
              <w:top w:w="30" w:type="dxa"/>
              <w:left w:w="380" w:type="dxa"/>
              <w:bottom w:w="30" w:type="dxa"/>
              <w:right w:w="20" w:type="dxa"/>
            </w:tcMar>
            <w:hideMark/>
          </w:tcPr>
          <w:p w:rsidR="00000000" w:rsidRDefault="00971A12">
            <w:pPr>
              <w:spacing w:after="100"/>
              <w:rPr>
                <w:rFonts w:eastAsia="Times New Roman"/>
              </w:rPr>
            </w:pPr>
            <w:r>
              <w:rPr>
                <w:rFonts w:eastAsia="Times New Roman"/>
                <w:color w:val="000000"/>
                <w:sz w:val="20"/>
                <w:szCs w:val="20"/>
              </w:rPr>
              <w:t>Item 1B.</w:t>
            </w: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divId w:val="643123575"/>
              <w:rPr>
                <w:rFonts w:eastAsia="Times New Roman"/>
              </w:rPr>
            </w:pPr>
            <w:hyperlink w:anchor="i0047531bd13046b986557e31951e34f8_25" w:history="1">
              <w:r>
                <w:rPr>
                  <w:rStyle w:val="a3"/>
                  <w:rFonts w:eastAsia="Times New Roman"/>
                  <w:sz w:val="20"/>
                  <w:szCs w:val="20"/>
                </w:rPr>
                <w:t>Unresolved Staff Comments</w:t>
              </w:r>
            </w:hyperlink>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25" w:history="1">
              <w:r>
                <w:rPr>
                  <w:rStyle w:val="a3"/>
                  <w:rFonts w:eastAsia="Times New Roman"/>
                  <w:sz w:val="20"/>
                  <w:szCs w:val="20"/>
                </w:rPr>
                <w:t>28</w:t>
              </w:r>
            </w:hyperlink>
          </w:p>
        </w:tc>
      </w:tr>
      <w:tr w:rsidR="00000000">
        <w:trPr>
          <w:divId w:val="525292911"/>
          <w:jc w:val="center"/>
        </w:trPr>
        <w:tc>
          <w:tcPr>
            <w:tcW w:w="0" w:type="auto"/>
            <w:gridSpan w:val="3"/>
            <w:tcMar>
              <w:top w:w="30" w:type="dxa"/>
              <w:left w:w="380" w:type="dxa"/>
              <w:bottom w:w="30" w:type="dxa"/>
              <w:right w:w="20" w:type="dxa"/>
            </w:tcMar>
            <w:hideMark/>
          </w:tcPr>
          <w:p w:rsidR="00000000" w:rsidRDefault="00971A12">
            <w:pPr>
              <w:spacing w:after="100"/>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divId w:val="1806772286"/>
              <w:rPr>
                <w:rFonts w:eastAsia="Times New Roman"/>
              </w:rPr>
            </w:pPr>
            <w:hyperlink w:anchor="i0047531bd13046b986557e31951e34f8_28" w:history="1">
              <w:r>
                <w:rPr>
                  <w:rStyle w:val="a3"/>
                  <w:rFonts w:eastAsia="Times New Roman"/>
                  <w:sz w:val="20"/>
                  <w:szCs w:val="20"/>
                </w:rPr>
                <w:t>Properties</w:t>
              </w:r>
            </w:hyperlink>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28" w:history="1">
              <w:r>
                <w:rPr>
                  <w:rStyle w:val="a3"/>
                  <w:rFonts w:eastAsia="Times New Roman"/>
                  <w:sz w:val="20"/>
                  <w:szCs w:val="20"/>
                </w:rPr>
                <w:t>28</w:t>
              </w:r>
            </w:hyperlink>
          </w:p>
        </w:tc>
      </w:tr>
      <w:tr w:rsidR="00000000">
        <w:trPr>
          <w:divId w:val="525292911"/>
          <w:jc w:val="center"/>
        </w:trPr>
        <w:tc>
          <w:tcPr>
            <w:tcW w:w="0" w:type="auto"/>
            <w:gridSpan w:val="3"/>
            <w:tcMar>
              <w:top w:w="30" w:type="dxa"/>
              <w:left w:w="380" w:type="dxa"/>
              <w:bottom w:w="30" w:type="dxa"/>
              <w:right w:w="20" w:type="dxa"/>
            </w:tcMar>
            <w:hideMark/>
          </w:tcPr>
          <w:p w:rsidR="00000000" w:rsidRDefault="00971A12">
            <w:pPr>
              <w:spacing w:after="100"/>
              <w:rPr>
                <w:rFonts w:eastAsia="Times New Roman"/>
              </w:rPr>
            </w:pPr>
            <w:r>
              <w:rPr>
                <w:rFonts w:eastAsia="Times New Roman"/>
                <w:color w:val="000000"/>
                <w:sz w:val="20"/>
                <w:szCs w:val="20"/>
              </w:rPr>
              <w:t>Item 3.</w:t>
            </w: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divId w:val="1604460159"/>
              <w:rPr>
                <w:rFonts w:eastAsia="Times New Roman"/>
              </w:rPr>
            </w:pPr>
            <w:hyperlink w:anchor="i0047531bd13046b986557e31951e34f8_31"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31" w:history="1">
              <w:r>
                <w:rPr>
                  <w:rStyle w:val="a3"/>
                  <w:rFonts w:eastAsia="Times New Roman"/>
                  <w:sz w:val="20"/>
                  <w:szCs w:val="20"/>
                </w:rPr>
                <w:t>28</w:t>
              </w:r>
            </w:hyperlink>
          </w:p>
        </w:tc>
      </w:tr>
      <w:tr w:rsidR="00000000">
        <w:trPr>
          <w:divId w:val="525292911"/>
          <w:jc w:val="center"/>
        </w:trPr>
        <w:tc>
          <w:tcPr>
            <w:tcW w:w="0" w:type="auto"/>
            <w:gridSpan w:val="3"/>
            <w:tcMar>
              <w:top w:w="30" w:type="dxa"/>
              <w:left w:w="380" w:type="dxa"/>
              <w:bottom w:w="30" w:type="dxa"/>
              <w:right w:w="20" w:type="dxa"/>
            </w:tcMar>
            <w:hideMark/>
          </w:tcPr>
          <w:p w:rsidR="00000000" w:rsidRDefault="00971A12">
            <w:pPr>
              <w:spacing w:after="100"/>
              <w:rPr>
                <w:rFonts w:eastAsia="Times New Roman"/>
              </w:rPr>
            </w:pPr>
            <w:r>
              <w:rPr>
                <w:rFonts w:eastAsia="Times New Roman"/>
                <w:color w:val="000000"/>
                <w:sz w:val="20"/>
                <w:szCs w:val="20"/>
              </w:rPr>
              <w:t>Item 4.</w:t>
            </w: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divId w:val="217791052"/>
              <w:rPr>
                <w:rFonts w:eastAsia="Times New Roman"/>
              </w:rPr>
            </w:pPr>
            <w:hyperlink w:anchor="i0047531bd13046b986557e31951e34f8_34"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34" w:history="1">
              <w:r>
                <w:rPr>
                  <w:rStyle w:val="a3"/>
                  <w:rFonts w:eastAsia="Times New Roman"/>
                  <w:sz w:val="20"/>
                  <w:szCs w:val="20"/>
                </w:rPr>
                <w:t>28</w:t>
              </w:r>
            </w:hyperlink>
          </w:p>
        </w:tc>
      </w:tr>
      <w:tr w:rsidR="00000000">
        <w:trPr>
          <w:divId w:val="525292911"/>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6"/>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525292911"/>
          <w:jc w:val="center"/>
        </w:trPr>
        <w:tc>
          <w:tcPr>
            <w:tcW w:w="0" w:type="auto"/>
            <w:gridSpan w:val="3"/>
            <w:tcMar>
              <w:top w:w="30" w:type="dxa"/>
              <w:left w:w="20" w:type="dxa"/>
              <w:bottom w:w="30" w:type="dxa"/>
              <w:right w:w="20" w:type="dxa"/>
            </w:tcMar>
            <w:hideMark/>
          </w:tcPr>
          <w:p w:rsidR="00000000" w:rsidRDefault="00971A12">
            <w:pPr>
              <w:spacing w:after="100"/>
              <w:divId w:val="92209976"/>
              <w:rPr>
                <w:rFonts w:eastAsia="Times New Roman"/>
              </w:rPr>
            </w:pPr>
            <w:hyperlink w:anchor="i0047531bd13046b986557e31951e34f8_37" w:history="1">
              <w:r>
                <w:rPr>
                  <w:rStyle w:val="a3"/>
                  <w:rFonts w:eastAsia="Times New Roman"/>
                  <w:sz w:val="20"/>
                  <w:szCs w:val="20"/>
                </w:rPr>
                <w:t>PART II</w:t>
              </w:r>
            </w:hyperlink>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r>
      <w:tr w:rsidR="00000000">
        <w:trPr>
          <w:divId w:val="525292911"/>
          <w:jc w:val="center"/>
        </w:trPr>
        <w:tc>
          <w:tcPr>
            <w:tcW w:w="0" w:type="auto"/>
            <w:gridSpan w:val="3"/>
            <w:tcMar>
              <w:top w:w="30" w:type="dxa"/>
              <w:left w:w="380" w:type="dxa"/>
              <w:bottom w:w="30" w:type="dxa"/>
              <w:right w:w="20" w:type="dxa"/>
            </w:tcMar>
            <w:hideMark/>
          </w:tcPr>
          <w:p w:rsidR="00000000" w:rsidRDefault="00971A12">
            <w:pPr>
              <w:spacing w:after="100"/>
              <w:rPr>
                <w:rFonts w:eastAsia="Times New Roman"/>
              </w:rPr>
            </w:pPr>
            <w:r>
              <w:rPr>
                <w:rFonts w:eastAsia="Times New Roman"/>
                <w:color w:val="000000"/>
                <w:sz w:val="20"/>
                <w:szCs w:val="20"/>
              </w:rPr>
              <w:t>Item 5.</w:t>
            </w: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divId w:val="2092771872"/>
              <w:rPr>
                <w:rFonts w:eastAsia="Times New Roman"/>
              </w:rPr>
            </w:pPr>
            <w:hyperlink w:anchor="i0047531bd13046b986557e31951e34f8_40" w:history="1">
              <w:r>
                <w:rPr>
                  <w:rStyle w:val="a3"/>
                  <w:rFonts w:eastAsia="Times New Roman"/>
                  <w:sz w:val="20"/>
                  <w:szCs w:val="20"/>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40" w:history="1">
              <w:r>
                <w:rPr>
                  <w:rStyle w:val="a3"/>
                  <w:rFonts w:eastAsia="Times New Roman"/>
                  <w:sz w:val="20"/>
                  <w:szCs w:val="20"/>
                </w:rPr>
                <w:t>29</w:t>
              </w:r>
            </w:hyperlink>
          </w:p>
        </w:tc>
      </w:tr>
      <w:tr w:rsidR="00000000">
        <w:trPr>
          <w:divId w:val="525292911"/>
          <w:jc w:val="center"/>
        </w:trPr>
        <w:tc>
          <w:tcPr>
            <w:tcW w:w="0" w:type="auto"/>
            <w:gridSpan w:val="3"/>
            <w:tcMar>
              <w:top w:w="30" w:type="dxa"/>
              <w:left w:w="380" w:type="dxa"/>
              <w:bottom w:w="30" w:type="dxa"/>
              <w:right w:w="20" w:type="dxa"/>
            </w:tcMar>
            <w:hideMark/>
          </w:tcPr>
          <w:p w:rsidR="00000000" w:rsidRDefault="00971A12">
            <w:pPr>
              <w:spacing w:after="100"/>
              <w:rPr>
                <w:rFonts w:eastAsia="Times New Roman"/>
              </w:rPr>
            </w:pPr>
            <w:r>
              <w:rPr>
                <w:rFonts w:eastAsia="Times New Roman"/>
                <w:color w:val="000000"/>
                <w:sz w:val="20"/>
                <w:szCs w:val="20"/>
              </w:rPr>
              <w:t>Item 6.</w:t>
            </w: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divId w:val="696540484"/>
              <w:rPr>
                <w:rFonts w:eastAsia="Times New Roman"/>
              </w:rPr>
            </w:pPr>
            <w:hyperlink w:anchor="i0047531bd13046b986557e31951e34f8_46" w:history="1">
              <w:r>
                <w:rPr>
                  <w:rStyle w:val="a3"/>
                  <w:rFonts w:eastAsia="Times New Roman"/>
                  <w:sz w:val="20"/>
                  <w:szCs w:val="20"/>
                </w:rPr>
                <w:t>Reserved</w:t>
              </w:r>
            </w:hyperlink>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46" w:history="1">
              <w:r>
                <w:rPr>
                  <w:rStyle w:val="a3"/>
                  <w:rFonts w:eastAsia="Times New Roman"/>
                  <w:sz w:val="20"/>
                  <w:szCs w:val="20"/>
                </w:rPr>
                <w:t>30</w:t>
              </w:r>
            </w:hyperlink>
          </w:p>
        </w:tc>
      </w:tr>
      <w:tr w:rsidR="00000000">
        <w:trPr>
          <w:divId w:val="525292911"/>
          <w:jc w:val="center"/>
        </w:trPr>
        <w:tc>
          <w:tcPr>
            <w:tcW w:w="0" w:type="auto"/>
            <w:gridSpan w:val="3"/>
            <w:tcMar>
              <w:top w:w="30" w:type="dxa"/>
              <w:left w:w="380" w:type="dxa"/>
              <w:bottom w:w="30" w:type="dxa"/>
              <w:right w:w="20" w:type="dxa"/>
            </w:tcMar>
            <w:hideMark/>
          </w:tcPr>
          <w:p w:rsidR="00000000" w:rsidRDefault="00971A12">
            <w:pPr>
              <w:spacing w:after="100"/>
              <w:rPr>
                <w:rFonts w:eastAsia="Times New Roman"/>
              </w:rPr>
            </w:pPr>
            <w:r>
              <w:rPr>
                <w:rFonts w:eastAsia="Times New Roman"/>
                <w:color w:val="000000"/>
                <w:sz w:val="20"/>
                <w:szCs w:val="20"/>
              </w:rPr>
              <w:t>Item 7.</w:t>
            </w: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divId w:val="391469674"/>
              <w:rPr>
                <w:rFonts w:eastAsia="Times New Roman"/>
              </w:rPr>
            </w:pPr>
            <w:hyperlink w:anchor="i0047531bd13046b986557e31951e34f8_49"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49" w:history="1">
              <w:r>
                <w:rPr>
                  <w:rStyle w:val="a3"/>
                  <w:rFonts w:eastAsia="Times New Roman"/>
                  <w:sz w:val="20"/>
                  <w:szCs w:val="20"/>
                </w:rPr>
                <w:t>31</w:t>
              </w:r>
            </w:hyperlink>
          </w:p>
        </w:tc>
      </w:tr>
      <w:tr w:rsidR="00000000">
        <w:trPr>
          <w:divId w:val="525292911"/>
          <w:jc w:val="center"/>
        </w:trPr>
        <w:tc>
          <w:tcPr>
            <w:tcW w:w="0" w:type="auto"/>
            <w:gridSpan w:val="3"/>
            <w:tcMar>
              <w:top w:w="30" w:type="dxa"/>
              <w:left w:w="380" w:type="dxa"/>
              <w:bottom w:w="30" w:type="dxa"/>
              <w:right w:w="20" w:type="dxa"/>
            </w:tcMar>
            <w:hideMark/>
          </w:tcPr>
          <w:p w:rsidR="00000000" w:rsidRDefault="00971A12">
            <w:pPr>
              <w:spacing w:after="100"/>
              <w:rPr>
                <w:rFonts w:eastAsia="Times New Roman"/>
              </w:rPr>
            </w:pPr>
            <w:r>
              <w:rPr>
                <w:rFonts w:eastAsia="Times New Roman"/>
                <w:color w:val="000000"/>
                <w:sz w:val="20"/>
                <w:szCs w:val="20"/>
              </w:rPr>
              <w:t>Item 7A.</w:t>
            </w: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divId w:val="752513575"/>
              <w:rPr>
                <w:rFonts w:eastAsia="Times New Roman"/>
              </w:rPr>
            </w:pPr>
            <w:hyperlink w:anchor="i0047531bd13046b986557e31951e34f8_70"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70" w:history="1">
              <w:r>
                <w:rPr>
                  <w:rStyle w:val="a3"/>
                  <w:rFonts w:eastAsia="Times New Roman"/>
                  <w:sz w:val="20"/>
                  <w:szCs w:val="20"/>
                </w:rPr>
                <w:t>42</w:t>
              </w:r>
            </w:hyperlink>
          </w:p>
        </w:tc>
      </w:tr>
      <w:tr w:rsidR="00000000">
        <w:trPr>
          <w:divId w:val="525292911"/>
          <w:jc w:val="center"/>
        </w:trPr>
        <w:tc>
          <w:tcPr>
            <w:tcW w:w="0" w:type="auto"/>
            <w:gridSpan w:val="3"/>
            <w:tcMar>
              <w:top w:w="30" w:type="dxa"/>
              <w:left w:w="380" w:type="dxa"/>
              <w:bottom w:w="30" w:type="dxa"/>
              <w:right w:w="20" w:type="dxa"/>
            </w:tcMar>
            <w:hideMark/>
          </w:tcPr>
          <w:p w:rsidR="00000000" w:rsidRDefault="00971A12">
            <w:pPr>
              <w:spacing w:after="100"/>
              <w:rPr>
                <w:rFonts w:eastAsia="Times New Roman"/>
              </w:rPr>
            </w:pPr>
            <w:r>
              <w:rPr>
                <w:rFonts w:eastAsia="Times New Roman"/>
                <w:color w:val="000000"/>
                <w:sz w:val="20"/>
                <w:szCs w:val="20"/>
              </w:rPr>
              <w:t>Item 8.</w:t>
            </w: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divId w:val="1932160094"/>
              <w:rPr>
                <w:rFonts w:eastAsia="Times New Roman"/>
              </w:rPr>
            </w:pPr>
            <w:hyperlink w:anchor="i0047531bd13046b986557e31951e34f8_73" w:history="1">
              <w:r>
                <w:rPr>
                  <w:rStyle w:val="a3"/>
                  <w:rFonts w:eastAsia="Times New Roman"/>
                  <w:sz w:val="20"/>
                  <w:szCs w:val="20"/>
                </w:rPr>
                <w:t>Financial Statements and Supplementary Data</w:t>
              </w:r>
            </w:hyperlink>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73" w:history="1">
              <w:r>
                <w:rPr>
                  <w:rStyle w:val="a3"/>
                  <w:rFonts w:eastAsia="Times New Roman"/>
                  <w:sz w:val="20"/>
                  <w:szCs w:val="20"/>
                </w:rPr>
                <w:t>44</w:t>
              </w:r>
            </w:hyperlink>
          </w:p>
        </w:tc>
      </w:tr>
      <w:tr w:rsidR="00000000">
        <w:trPr>
          <w:divId w:val="525292911"/>
          <w:jc w:val="center"/>
        </w:trPr>
        <w:tc>
          <w:tcPr>
            <w:tcW w:w="0" w:type="auto"/>
            <w:gridSpan w:val="3"/>
            <w:tcMar>
              <w:top w:w="30" w:type="dxa"/>
              <w:left w:w="380" w:type="dxa"/>
              <w:bottom w:w="30" w:type="dxa"/>
              <w:right w:w="20" w:type="dxa"/>
            </w:tcMar>
            <w:hideMark/>
          </w:tcPr>
          <w:p w:rsidR="00000000" w:rsidRDefault="00971A12">
            <w:pPr>
              <w:spacing w:after="100"/>
              <w:rPr>
                <w:rFonts w:eastAsia="Times New Roman"/>
              </w:rPr>
            </w:pPr>
            <w:r>
              <w:rPr>
                <w:rFonts w:eastAsia="Times New Roman"/>
                <w:color w:val="000000"/>
                <w:sz w:val="20"/>
                <w:szCs w:val="20"/>
              </w:rPr>
              <w:t>Item 9.</w:t>
            </w: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divId w:val="1757630090"/>
              <w:rPr>
                <w:rFonts w:eastAsia="Times New Roman"/>
              </w:rPr>
            </w:pPr>
            <w:hyperlink w:anchor="i0047531bd13046b986557e31951e34f8_166" w:history="1">
              <w:r>
                <w:rPr>
                  <w:rStyle w:val="a3"/>
                  <w:rFonts w:eastAsia="Times New Roman"/>
                  <w:sz w:val="20"/>
                  <w:szCs w:val="20"/>
                </w:rPr>
                <w:t>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166" w:history="1">
              <w:r>
                <w:rPr>
                  <w:rStyle w:val="a3"/>
                  <w:rFonts w:eastAsia="Times New Roman"/>
                  <w:sz w:val="20"/>
                  <w:szCs w:val="20"/>
                </w:rPr>
                <w:t>82</w:t>
              </w:r>
            </w:hyperlink>
          </w:p>
        </w:tc>
      </w:tr>
      <w:tr w:rsidR="00000000">
        <w:trPr>
          <w:divId w:val="525292911"/>
          <w:jc w:val="center"/>
        </w:trPr>
        <w:tc>
          <w:tcPr>
            <w:tcW w:w="0" w:type="auto"/>
            <w:gridSpan w:val="3"/>
            <w:tcMar>
              <w:top w:w="30" w:type="dxa"/>
              <w:left w:w="380" w:type="dxa"/>
              <w:bottom w:w="30" w:type="dxa"/>
              <w:right w:w="20" w:type="dxa"/>
            </w:tcMar>
            <w:hideMark/>
          </w:tcPr>
          <w:p w:rsidR="00000000" w:rsidRDefault="00971A12">
            <w:pPr>
              <w:spacing w:after="100"/>
              <w:rPr>
                <w:rFonts w:eastAsia="Times New Roman"/>
              </w:rPr>
            </w:pPr>
            <w:r>
              <w:rPr>
                <w:rFonts w:eastAsia="Times New Roman"/>
                <w:color w:val="000000"/>
                <w:sz w:val="20"/>
                <w:szCs w:val="20"/>
              </w:rPr>
              <w:lastRenderedPageBreak/>
              <w:t>Item 9A.</w:t>
            </w: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divId w:val="404187380"/>
              <w:rPr>
                <w:rFonts w:eastAsia="Times New Roman"/>
              </w:rPr>
            </w:pPr>
            <w:hyperlink w:anchor="i0047531bd13046b986557e31951e34f8_169"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169" w:history="1">
              <w:r>
                <w:rPr>
                  <w:rStyle w:val="a3"/>
                  <w:rFonts w:eastAsia="Times New Roman"/>
                  <w:sz w:val="20"/>
                  <w:szCs w:val="20"/>
                </w:rPr>
                <w:t>82</w:t>
              </w:r>
            </w:hyperlink>
          </w:p>
        </w:tc>
      </w:tr>
      <w:tr w:rsidR="00000000">
        <w:trPr>
          <w:divId w:val="525292911"/>
          <w:jc w:val="center"/>
        </w:trPr>
        <w:tc>
          <w:tcPr>
            <w:tcW w:w="0" w:type="auto"/>
            <w:gridSpan w:val="3"/>
            <w:tcMar>
              <w:top w:w="30" w:type="dxa"/>
              <w:left w:w="380" w:type="dxa"/>
              <w:bottom w:w="30" w:type="dxa"/>
              <w:right w:w="20" w:type="dxa"/>
            </w:tcMar>
            <w:hideMark/>
          </w:tcPr>
          <w:p w:rsidR="00000000" w:rsidRDefault="00971A12">
            <w:pPr>
              <w:spacing w:after="100"/>
              <w:rPr>
                <w:rFonts w:eastAsia="Times New Roman"/>
              </w:rPr>
            </w:pPr>
            <w:r>
              <w:rPr>
                <w:rFonts w:eastAsia="Times New Roman"/>
                <w:color w:val="000000"/>
                <w:sz w:val="20"/>
                <w:szCs w:val="20"/>
              </w:rPr>
              <w:t>Item 9B.</w:t>
            </w: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divId w:val="2131435341"/>
              <w:rPr>
                <w:rFonts w:eastAsia="Times New Roman"/>
              </w:rPr>
            </w:pPr>
            <w:hyperlink w:anchor="i0047531bd13046b986557e31951e34f8_175"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175" w:history="1">
              <w:r>
                <w:rPr>
                  <w:rStyle w:val="a3"/>
                  <w:rFonts w:eastAsia="Times New Roman"/>
                  <w:sz w:val="20"/>
                  <w:szCs w:val="20"/>
                </w:rPr>
                <w:t>84</w:t>
              </w:r>
            </w:hyperlink>
          </w:p>
        </w:tc>
      </w:tr>
      <w:tr w:rsidR="00000000">
        <w:trPr>
          <w:divId w:val="525292911"/>
          <w:jc w:val="center"/>
        </w:trPr>
        <w:tc>
          <w:tcPr>
            <w:tcW w:w="0" w:type="auto"/>
            <w:gridSpan w:val="3"/>
            <w:tcMar>
              <w:top w:w="30" w:type="dxa"/>
              <w:left w:w="380" w:type="dxa"/>
              <w:bottom w:w="30" w:type="dxa"/>
              <w:right w:w="20" w:type="dxa"/>
            </w:tcMar>
            <w:hideMark/>
          </w:tcPr>
          <w:p w:rsidR="00000000" w:rsidRDefault="00971A12">
            <w:pPr>
              <w:spacing w:after="100"/>
              <w:rPr>
                <w:rFonts w:eastAsia="Times New Roman"/>
              </w:rPr>
            </w:pPr>
            <w:r>
              <w:rPr>
                <w:rFonts w:eastAsia="Times New Roman"/>
                <w:color w:val="000000"/>
                <w:sz w:val="20"/>
                <w:szCs w:val="20"/>
              </w:rPr>
              <w:t>Item 9C.</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divId w:val="1635521735"/>
              <w:rPr>
                <w:rFonts w:eastAsia="Times New Roman"/>
              </w:rPr>
            </w:pPr>
            <w:hyperlink w:anchor="i0047531bd13046b986557e31951e34f8_178" w:history="1">
              <w:r>
                <w:rPr>
                  <w:rStyle w:val="a3"/>
                  <w:rFonts w:eastAsia="Times New Roman"/>
                  <w:sz w:val="20"/>
                  <w:szCs w:val="20"/>
                </w:rPr>
                <w:t>Disclosure Regarding Foreign Jurisdictions that Prevent Inspections</w:t>
              </w:r>
            </w:hyperlink>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175" w:history="1">
              <w:r>
                <w:rPr>
                  <w:rStyle w:val="a3"/>
                  <w:rFonts w:eastAsia="Times New Roman"/>
                  <w:sz w:val="20"/>
                  <w:szCs w:val="20"/>
                </w:rPr>
                <w:t>84</w:t>
              </w:r>
            </w:hyperlink>
          </w:p>
        </w:tc>
      </w:tr>
      <w:tr w:rsidR="00000000">
        <w:trPr>
          <w:divId w:val="525292911"/>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6"/>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525292911"/>
          <w:jc w:val="center"/>
        </w:trPr>
        <w:tc>
          <w:tcPr>
            <w:tcW w:w="0" w:type="auto"/>
            <w:gridSpan w:val="3"/>
            <w:tcMar>
              <w:top w:w="30" w:type="dxa"/>
              <w:left w:w="20" w:type="dxa"/>
              <w:bottom w:w="30" w:type="dxa"/>
              <w:right w:w="20" w:type="dxa"/>
            </w:tcMar>
            <w:hideMark/>
          </w:tcPr>
          <w:p w:rsidR="00000000" w:rsidRDefault="00971A12">
            <w:pPr>
              <w:spacing w:after="100"/>
              <w:divId w:val="437723371"/>
              <w:rPr>
                <w:rFonts w:eastAsia="Times New Roman"/>
              </w:rPr>
            </w:pPr>
            <w:hyperlink w:anchor="i0047531bd13046b986557e31951e34f8_181" w:history="1">
              <w:r>
                <w:rPr>
                  <w:rStyle w:val="a3"/>
                  <w:rFonts w:eastAsia="Times New Roman"/>
                  <w:sz w:val="20"/>
                  <w:szCs w:val="20"/>
                </w:rPr>
                <w:t>PART III</w:t>
              </w:r>
            </w:hyperlink>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r>
      <w:tr w:rsidR="00000000">
        <w:trPr>
          <w:divId w:val="525292911"/>
          <w:jc w:val="center"/>
        </w:trPr>
        <w:tc>
          <w:tcPr>
            <w:tcW w:w="0" w:type="auto"/>
            <w:gridSpan w:val="3"/>
            <w:tcMar>
              <w:top w:w="30" w:type="dxa"/>
              <w:left w:w="380" w:type="dxa"/>
              <w:bottom w:w="30" w:type="dxa"/>
              <w:right w:w="20" w:type="dxa"/>
            </w:tcMar>
            <w:hideMark/>
          </w:tcPr>
          <w:p w:rsidR="00000000" w:rsidRDefault="00971A12">
            <w:pPr>
              <w:spacing w:after="100"/>
              <w:rPr>
                <w:rFonts w:eastAsia="Times New Roman"/>
              </w:rPr>
            </w:pPr>
            <w:r>
              <w:rPr>
                <w:rFonts w:eastAsia="Times New Roman"/>
                <w:color w:val="000000"/>
                <w:sz w:val="20"/>
                <w:szCs w:val="20"/>
              </w:rPr>
              <w:t>Item 10.</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divId w:val="1890872026"/>
              <w:rPr>
                <w:rFonts w:eastAsia="Times New Roman"/>
              </w:rPr>
            </w:pPr>
            <w:hyperlink w:anchor="i0047531bd13046b986557e31951e34f8_184" w:history="1">
              <w:r>
                <w:rPr>
                  <w:rStyle w:val="a3"/>
                  <w:rFonts w:eastAsia="Times New Roman"/>
                  <w:sz w:val="20"/>
                  <w:szCs w:val="20"/>
                </w:rPr>
                <w:t>Directors, Executive Officers and Corporate Governance</w:t>
              </w:r>
            </w:hyperlink>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184" w:history="1">
              <w:r>
                <w:rPr>
                  <w:rStyle w:val="a3"/>
                  <w:rFonts w:eastAsia="Times New Roman"/>
                  <w:sz w:val="20"/>
                  <w:szCs w:val="20"/>
                </w:rPr>
                <w:t>85</w:t>
              </w:r>
            </w:hyperlink>
          </w:p>
        </w:tc>
      </w:tr>
      <w:tr w:rsidR="00000000">
        <w:trPr>
          <w:divId w:val="525292911"/>
          <w:jc w:val="center"/>
        </w:trPr>
        <w:tc>
          <w:tcPr>
            <w:tcW w:w="0" w:type="auto"/>
            <w:gridSpan w:val="3"/>
            <w:tcMar>
              <w:top w:w="30" w:type="dxa"/>
              <w:left w:w="380" w:type="dxa"/>
              <w:bottom w:w="30" w:type="dxa"/>
              <w:right w:w="20" w:type="dxa"/>
            </w:tcMar>
            <w:hideMark/>
          </w:tcPr>
          <w:p w:rsidR="00000000" w:rsidRDefault="00971A12">
            <w:pPr>
              <w:spacing w:after="100"/>
              <w:rPr>
                <w:rFonts w:eastAsia="Times New Roman"/>
              </w:rPr>
            </w:pPr>
            <w:r>
              <w:rPr>
                <w:rFonts w:eastAsia="Times New Roman"/>
                <w:color w:val="000000"/>
                <w:sz w:val="20"/>
                <w:szCs w:val="20"/>
              </w:rPr>
              <w:t xml:space="preserve">Item 11.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divId w:val="1258830104"/>
              <w:rPr>
                <w:rFonts w:eastAsia="Times New Roman"/>
              </w:rPr>
            </w:pPr>
            <w:hyperlink w:anchor="i0047531bd13046b986557e31951e34f8_190" w:history="1">
              <w:r>
                <w:rPr>
                  <w:rStyle w:val="a3"/>
                  <w:rFonts w:eastAsia="Times New Roman"/>
                  <w:sz w:val="20"/>
                  <w:szCs w:val="20"/>
                </w:rPr>
                <w:t>Executive Compensation</w:t>
              </w:r>
            </w:hyperlink>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190" w:history="1">
              <w:r>
                <w:rPr>
                  <w:rStyle w:val="a3"/>
                  <w:rFonts w:eastAsia="Times New Roman"/>
                  <w:sz w:val="20"/>
                  <w:szCs w:val="20"/>
                </w:rPr>
                <w:t>85</w:t>
              </w:r>
            </w:hyperlink>
          </w:p>
        </w:tc>
      </w:tr>
      <w:tr w:rsidR="00000000">
        <w:trPr>
          <w:divId w:val="525292911"/>
          <w:jc w:val="center"/>
        </w:trPr>
        <w:tc>
          <w:tcPr>
            <w:tcW w:w="0" w:type="auto"/>
            <w:gridSpan w:val="3"/>
            <w:tcMar>
              <w:top w:w="30" w:type="dxa"/>
              <w:left w:w="380" w:type="dxa"/>
              <w:bottom w:w="30" w:type="dxa"/>
              <w:right w:w="20" w:type="dxa"/>
            </w:tcMar>
            <w:hideMark/>
          </w:tcPr>
          <w:p w:rsidR="00000000" w:rsidRDefault="00971A12">
            <w:pPr>
              <w:spacing w:after="100"/>
              <w:rPr>
                <w:rFonts w:eastAsia="Times New Roman"/>
              </w:rPr>
            </w:pPr>
            <w:r>
              <w:rPr>
                <w:rFonts w:eastAsia="Times New Roman"/>
                <w:color w:val="000000"/>
                <w:sz w:val="20"/>
                <w:szCs w:val="20"/>
              </w:rPr>
              <w:t>Item 12.</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divId w:val="1431243529"/>
              <w:rPr>
                <w:rFonts w:eastAsia="Times New Roman"/>
              </w:rPr>
            </w:pPr>
            <w:hyperlink w:anchor="i0047531bd13046b986557e31951e34f8_196" w:history="1">
              <w:r>
                <w:rPr>
                  <w:rStyle w:val="a3"/>
                  <w:rFonts w:eastAsia="Times New Roman"/>
                  <w:sz w:val="20"/>
                  <w:szCs w:val="20"/>
                </w:rPr>
                <w:t>Security Ownership of Certain Beneficial Owners and Management and Related Stockholder Matters</w:t>
              </w:r>
            </w:hyperlink>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196" w:history="1">
              <w:r>
                <w:rPr>
                  <w:rStyle w:val="a3"/>
                  <w:rFonts w:eastAsia="Times New Roman"/>
                  <w:sz w:val="20"/>
                  <w:szCs w:val="20"/>
                </w:rPr>
                <w:t>85</w:t>
              </w:r>
            </w:hyperlink>
          </w:p>
        </w:tc>
      </w:tr>
      <w:tr w:rsidR="00000000">
        <w:trPr>
          <w:divId w:val="525292911"/>
          <w:jc w:val="center"/>
        </w:trPr>
        <w:tc>
          <w:tcPr>
            <w:tcW w:w="0" w:type="auto"/>
            <w:gridSpan w:val="3"/>
            <w:tcMar>
              <w:top w:w="30" w:type="dxa"/>
              <w:left w:w="380" w:type="dxa"/>
              <w:bottom w:w="30" w:type="dxa"/>
              <w:right w:w="20" w:type="dxa"/>
            </w:tcMar>
            <w:hideMark/>
          </w:tcPr>
          <w:p w:rsidR="00000000" w:rsidRDefault="00971A12">
            <w:pPr>
              <w:spacing w:after="100"/>
              <w:rPr>
                <w:rFonts w:eastAsia="Times New Roman"/>
              </w:rPr>
            </w:pPr>
            <w:r>
              <w:rPr>
                <w:rFonts w:eastAsia="Times New Roman"/>
                <w:color w:val="000000"/>
                <w:sz w:val="20"/>
                <w:szCs w:val="20"/>
              </w:rPr>
              <w:t xml:space="preserve">Item 13.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divId w:val="1686440435"/>
              <w:rPr>
                <w:rFonts w:eastAsia="Times New Roman"/>
              </w:rPr>
            </w:pPr>
            <w:hyperlink w:anchor="i0047531bd13046b986557e31951e34f8_202" w:history="1">
              <w:r>
                <w:rPr>
                  <w:rStyle w:val="a3"/>
                  <w:rFonts w:eastAsia="Times New Roman"/>
                  <w:sz w:val="20"/>
                  <w:szCs w:val="20"/>
                </w:rPr>
                <w:t>Certain Relationships and Related Transactions, and Director Independence</w:t>
              </w:r>
            </w:hyperlink>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202" w:history="1">
              <w:r>
                <w:rPr>
                  <w:rStyle w:val="a3"/>
                  <w:rFonts w:eastAsia="Times New Roman"/>
                  <w:sz w:val="20"/>
                  <w:szCs w:val="20"/>
                </w:rPr>
                <w:t>85</w:t>
              </w:r>
            </w:hyperlink>
          </w:p>
        </w:tc>
      </w:tr>
      <w:tr w:rsidR="00000000">
        <w:trPr>
          <w:divId w:val="525292911"/>
          <w:jc w:val="center"/>
        </w:trPr>
        <w:tc>
          <w:tcPr>
            <w:tcW w:w="0" w:type="auto"/>
            <w:gridSpan w:val="3"/>
            <w:tcMar>
              <w:top w:w="30" w:type="dxa"/>
              <w:left w:w="380" w:type="dxa"/>
              <w:bottom w:w="30" w:type="dxa"/>
              <w:right w:w="20" w:type="dxa"/>
            </w:tcMar>
            <w:hideMark/>
          </w:tcPr>
          <w:p w:rsidR="00000000" w:rsidRDefault="00971A12">
            <w:pPr>
              <w:spacing w:after="100"/>
              <w:rPr>
                <w:rFonts w:eastAsia="Times New Roman"/>
              </w:rPr>
            </w:pPr>
            <w:r>
              <w:rPr>
                <w:rFonts w:eastAsia="Times New Roman"/>
                <w:color w:val="000000"/>
                <w:sz w:val="20"/>
                <w:szCs w:val="20"/>
              </w:rPr>
              <w:t xml:space="preserve">Item 14.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divId w:val="1104376313"/>
              <w:rPr>
                <w:rFonts w:eastAsia="Times New Roman"/>
              </w:rPr>
            </w:pPr>
            <w:hyperlink w:anchor="i0047531bd13046b986557e31951e34f8_205" w:history="1">
              <w:r>
                <w:rPr>
                  <w:rStyle w:val="a3"/>
                  <w:rFonts w:eastAsia="Times New Roman"/>
                  <w:sz w:val="20"/>
                  <w:szCs w:val="20"/>
                </w:rPr>
                <w:t>Principal Account</w:t>
              </w:r>
            </w:hyperlink>
            <w:hyperlink w:anchor="i0047531bd13046b986557e31951e34f8_205" w:history="1">
              <w:r>
                <w:rPr>
                  <w:rStyle w:val="a3"/>
                  <w:rFonts w:eastAsia="Times New Roman"/>
                  <w:sz w:val="20"/>
                  <w:szCs w:val="20"/>
                </w:rPr>
                <w:t>ant</w:t>
              </w:r>
            </w:hyperlink>
            <w:hyperlink w:anchor="i0047531bd13046b986557e31951e34f8_205" w:history="1">
              <w:r>
                <w:rPr>
                  <w:rStyle w:val="a3"/>
                  <w:rFonts w:eastAsia="Times New Roman"/>
                  <w:sz w:val="20"/>
                  <w:szCs w:val="20"/>
                </w:rPr>
                <w:t xml:space="preserve"> Fees and Services</w:t>
              </w:r>
            </w:hyperlink>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205" w:history="1">
              <w:r>
                <w:rPr>
                  <w:rStyle w:val="a3"/>
                  <w:rFonts w:eastAsia="Times New Roman"/>
                  <w:sz w:val="20"/>
                  <w:szCs w:val="20"/>
                </w:rPr>
                <w:t>85</w:t>
              </w:r>
            </w:hyperlink>
          </w:p>
        </w:tc>
      </w:tr>
      <w:tr w:rsidR="00000000">
        <w:trPr>
          <w:divId w:val="525292911"/>
          <w:jc w:val="center"/>
        </w:trPr>
        <w:tc>
          <w:tcPr>
            <w:tcW w:w="0" w:type="auto"/>
            <w:gridSpan w:val="3"/>
            <w:tcMar>
              <w:top w:w="30" w:type="dxa"/>
              <w:left w:w="20" w:type="dxa"/>
              <w:bottom w:w="30" w:type="dxa"/>
              <w:right w:w="20" w:type="dxa"/>
            </w:tcMar>
            <w:hideMark/>
          </w:tcPr>
          <w:p w:rsidR="00000000" w:rsidRDefault="00971A12">
            <w:pPr>
              <w:spacing w:after="100"/>
              <w:divId w:val="2023511131"/>
              <w:rPr>
                <w:rFonts w:eastAsia="Times New Roman"/>
              </w:rPr>
            </w:pPr>
            <w:hyperlink w:anchor="i0047531bd13046b986557e31951e34f8_211" w:history="1">
              <w:r>
                <w:rPr>
                  <w:rStyle w:val="a3"/>
                  <w:rFonts w:eastAsia="Times New Roman"/>
                  <w:sz w:val="20"/>
                  <w:szCs w:val="20"/>
                </w:rPr>
                <w:t>PART IV</w:t>
              </w:r>
            </w:hyperlink>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525292911"/>
          <w:jc w:val="center"/>
        </w:trPr>
        <w:tc>
          <w:tcPr>
            <w:tcW w:w="0" w:type="auto"/>
            <w:gridSpan w:val="3"/>
            <w:tcMar>
              <w:top w:w="30" w:type="dxa"/>
              <w:left w:w="380" w:type="dxa"/>
              <w:bottom w:w="30" w:type="dxa"/>
              <w:right w:w="20" w:type="dxa"/>
            </w:tcMar>
            <w:hideMark/>
          </w:tcPr>
          <w:p w:rsidR="00000000" w:rsidRDefault="00971A12">
            <w:pPr>
              <w:spacing w:after="100"/>
              <w:rPr>
                <w:rFonts w:eastAsia="Times New Roman"/>
              </w:rPr>
            </w:pPr>
            <w:r>
              <w:rPr>
                <w:rFonts w:eastAsia="Times New Roman"/>
                <w:color w:val="000000"/>
                <w:sz w:val="20"/>
                <w:szCs w:val="20"/>
              </w:rPr>
              <w:t>Item 15.</w:t>
            </w: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divId w:val="918710891"/>
              <w:rPr>
                <w:rFonts w:eastAsia="Times New Roman"/>
              </w:rPr>
            </w:pPr>
            <w:hyperlink w:anchor="i0047531bd13046b986557e31951e34f8_214" w:history="1">
              <w:r>
                <w:rPr>
                  <w:rStyle w:val="a3"/>
                  <w:rFonts w:eastAsia="Times New Roman"/>
                  <w:sz w:val="20"/>
                  <w:szCs w:val="20"/>
                </w:rPr>
                <w:t>Exhibits</w:t>
              </w:r>
            </w:hyperlink>
            <w:hyperlink w:anchor="i0047531bd13046b986557e31951e34f8_214" w:history="1">
              <w:r>
                <w:rPr>
                  <w:rStyle w:val="a3"/>
                  <w:rFonts w:eastAsia="Times New Roman"/>
                  <w:sz w:val="20"/>
                  <w:szCs w:val="20"/>
                </w:rPr>
                <w:t xml:space="preserve"> and</w:t>
              </w:r>
            </w:hyperlink>
            <w:hyperlink w:anchor="i0047531bd13046b986557e31951e34f8_214" w:history="1">
              <w:r>
                <w:rPr>
                  <w:rStyle w:val="a3"/>
                  <w:rFonts w:eastAsia="Times New Roman"/>
                  <w:sz w:val="20"/>
                  <w:szCs w:val="20"/>
                </w:rPr>
                <w:t xml:space="preserve"> Financial Statement Schedules</w:t>
              </w:r>
            </w:hyperlink>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214" w:history="1">
              <w:r>
                <w:rPr>
                  <w:rStyle w:val="a3"/>
                  <w:rFonts w:eastAsia="Times New Roman"/>
                  <w:sz w:val="20"/>
                  <w:szCs w:val="20"/>
                </w:rPr>
                <w:t>86</w:t>
              </w:r>
            </w:hyperlink>
          </w:p>
        </w:tc>
      </w:tr>
      <w:tr w:rsidR="00000000">
        <w:trPr>
          <w:divId w:val="525292911"/>
          <w:jc w:val="center"/>
        </w:trPr>
        <w:tc>
          <w:tcPr>
            <w:tcW w:w="0" w:type="auto"/>
            <w:gridSpan w:val="3"/>
            <w:tcMar>
              <w:top w:w="30" w:type="dxa"/>
              <w:left w:w="380" w:type="dxa"/>
              <w:bottom w:w="30" w:type="dxa"/>
              <w:right w:w="20" w:type="dxa"/>
            </w:tcMar>
            <w:hideMark/>
          </w:tcPr>
          <w:p w:rsidR="00000000" w:rsidRDefault="00971A12">
            <w:pPr>
              <w:spacing w:after="100"/>
              <w:rPr>
                <w:rFonts w:eastAsia="Times New Roman"/>
              </w:rPr>
            </w:pPr>
            <w:r>
              <w:rPr>
                <w:rFonts w:eastAsia="Times New Roman"/>
                <w:color w:val="000000"/>
                <w:sz w:val="20"/>
                <w:szCs w:val="20"/>
              </w:rPr>
              <w:t>Item 16.</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divId w:val="935747399"/>
              <w:rPr>
                <w:rFonts w:eastAsia="Times New Roman"/>
              </w:rPr>
            </w:pPr>
            <w:hyperlink w:anchor="i0047531bd13046b986557e31951e34f8_220" w:history="1">
              <w:r>
                <w:rPr>
                  <w:rStyle w:val="a3"/>
                  <w:rFonts w:eastAsia="Times New Roman"/>
                  <w:sz w:val="20"/>
                  <w:szCs w:val="20"/>
                </w:rPr>
                <w:t>Form 10-K Summary</w:t>
              </w:r>
            </w:hyperlink>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220" w:history="1">
              <w:r>
                <w:rPr>
                  <w:rStyle w:val="a3"/>
                  <w:rFonts w:eastAsia="Times New Roman"/>
                  <w:sz w:val="20"/>
                  <w:szCs w:val="20"/>
                </w:rPr>
                <w:t>92</w:t>
              </w:r>
            </w:hyperlink>
          </w:p>
        </w:tc>
      </w:tr>
      <w:tr w:rsidR="00000000">
        <w:trPr>
          <w:divId w:val="525292911"/>
          <w:jc w:val="center"/>
        </w:trPr>
        <w:tc>
          <w:tcPr>
            <w:tcW w:w="0" w:type="auto"/>
            <w:gridSpan w:val="3"/>
            <w:tcMar>
              <w:top w:w="30" w:type="dxa"/>
              <w:left w:w="20" w:type="dxa"/>
              <w:bottom w:w="30" w:type="dxa"/>
              <w:right w:w="20" w:type="dxa"/>
            </w:tcMar>
            <w:hideMark/>
          </w:tcPr>
          <w:p w:rsidR="00000000" w:rsidRDefault="00971A12">
            <w:pPr>
              <w:spacing w:after="100"/>
              <w:divId w:val="941302714"/>
              <w:rPr>
                <w:rFonts w:eastAsia="Times New Roman"/>
              </w:rPr>
            </w:pPr>
            <w:hyperlink w:anchor="i0047531bd13046b986557e31951e34f8_223"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223" w:history="1">
              <w:r>
                <w:rPr>
                  <w:rStyle w:val="a3"/>
                  <w:rFonts w:eastAsia="Times New Roman"/>
                  <w:sz w:val="20"/>
                  <w:szCs w:val="20"/>
                </w:rPr>
                <w:t>93</w:t>
              </w:r>
            </w:hyperlink>
          </w:p>
        </w:tc>
      </w:tr>
    </w:tbl>
    <w:p w:rsidR="00000000" w:rsidRDefault="00971A12">
      <w:pPr>
        <w:jc w:val="center"/>
        <w:divId w:val="671491839"/>
        <w:rPr>
          <w:rFonts w:eastAsia="Times New Roman"/>
        </w:rPr>
      </w:pPr>
    </w:p>
    <w:p w:rsidR="00000000" w:rsidRDefault="00971A12">
      <w:pPr>
        <w:divId w:val="332267541"/>
        <w:rPr>
          <w:rFonts w:eastAsia="Times New Roman"/>
        </w:rPr>
      </w:pPr>
      <w:r>
        <w:rPr>
          <w:rFonts w:eastAsia="Times New Roman"/>
          <w:color w:val="000000"/>
          <w:sz w:val="18"/>
          <w:szCs w:val="18"/>
        </w:rPr>
        <w:t> </w:t>
      </w:r>
    </w:p>
    <w:p w:rsidR="00000000" w:rsidRDefault="00971A12">
      <w:pPr>
        <w:ind w:firstLine="495"/>
        <w:divId w:val="481584185"/>
        <w:rPr>
          <w:rFonts w:eastAsia="Times New Roman"/>
        </w:rPr>
      </w:pPr>
    </w:p>
    <w:p w:rsidR="00000000" w:rsidRDefault="00971A12">
      <w:pPr>
        <w:jc w:val="center"/>
        <w:divId w:val="245923590"/>
        <w:rPr>
          <w:rFonts w:eastAsia="Times New Roman"/>
        </w:rPr>
      </w:pPr>
    </w:p>
    <w:p w:rsidR="00000000" w:rsidRDefault="00971A12">
      <w:pPr>
        <w:rPr>
          <w:rFonts w:eastAsia="Times New Roman"/>
        </w:rPr>
      </w:pPr>
      <w:r>
        <w:rPr>
          <w:rFonts w:eastAsia="Times New Roman"/>
        </w:rPr>
        <w:pict>
          <v:rect id="_x0000_i1026" style="width:0;height:1.5pt" o:hralign="center" o:hrstd="t" o:hr="t" fillcolor="#a0a0a0" stroked="f"/>
        </w:pict>
      </w:r>
    </w:p>
    <w:p w:rsidR="00000000" w:rsidRDefault="00971A12">
      <w:pPr>
        <w:divId w:val="1214851448"/>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2013221363"/>
        <w:rPr>
          <w:rFonts w:eastAsia="Times New Roman"/>
        </w:rPr>
      </w:pPr>
    </w:p>
    <w:p w:rsidR="00000000" w:rsidRDefault="00971A12">
      <w:pPr>
        <w:jc w:val="center"/>
        <w:divId w:val="1148324162"/>
        <w:rPr>
          <w:rFonts w:eastAsia="Times New Roman"/>
        </w:rPr>
      </w:pPr>
      <w:r>
        <w:rPr>
          <w:rFonts w:eastAsia="Times New Roman"/>
          <w:b/>
          <w:bCs/>
          <w:color w:val="000000"/>
          <w:sz w:val="20"/>
          <w:szCs w:val="20"/>
        </w:rPr>
        <w:t>CAUTIONARY NOTE REGARDING FORWARD-LOOKING STATEMENTS</w:t>
      </w:r>
    </w:p>
    <w:p w:rsidR="00000000" w:rsidRDefault="00971A12">
      <w:pPr>
        <w:jc w:val="both"/>
        <w:divId w:val="579682366"/>
        <w:rPr>
          <w:rFonts w:eastAsia="Times New Roman"/>
        </w:rPr>
      </w:pPr>
      <w:r>
        <w:rPr>
          <w:rFonts w:eastAsia="Times New Roman"/>
          <w:i/>
          <w:iCs/>
          <w:color w:val="000000"/>
          <w:sz w:val="20"/>
          <w:szCs w:val="20"/>
        </w:rPr>
        <w:t>We may make certain statements,</w:t>
      </w:r>
      <w:r>
        <w:rPr>
          <w:rFonts w:eastAsia="Times New Roman"/>
          <w:i/>
          <w:iCs/>
          <w:color w:val="000000"/>
          <w:sz w:val="20"/>
          <w:szCs w:val="20"/>
        </w:rPr>
        <w:t xml:space="preserve"> including in this Annual Report on Form 10-K, or 10-K, including the information contained in </w:t>
      </w:r>
      <w:hyperlink w:anchor="i0047531bd13046b986557e31951e34f8_49" w:history="1">
        <w:r>
          <w:rPr>
            <w:rStyle w:val="a3"/>
            <w:rFonts w:eastAsia="Times New Roman"/>
            <w:i/>
            <w:iCs/>
            <w:sz w:val="20"/>
            <w:szCs w:val="20"/>
          </w:rPr>
          <w:t>Item 7</w:t>
        </w:r>
      </w:hyperlink>
      <w:r>
        <w:rPr>
          <w:rFonts w:eastAsia="Times New Roman"/>
          <w:i/>
          <w:iCs/>
          <w:color w:val="000000"/>
          <w:sz w:val="20"/>
          <w:szCs w:val="20"/>
        </w:rPr>
        <w:t>, "Management's Discussion and Analysis of Financial Condition and Results of Operations" of this 10-K, and the information incorporated by reference in this 10-K, that constitute forward-looking statements within the meaning of federal and state securitie</w:t>
      </w:r>
      <w:r>
        <w:rPr>
          <w:rFonts w:eastAsia="Times New Roman"/>
          <w:i/>
          <w:iCs/>
          <w:color w:val="000000"/>
          <w:sz w:val="20"/>
          <w:szCs w:val="20"/>
        </w:rPr>
        <w:t>s laws. Forward-looking statements are all statements other than statements of historical fact. We attempt to identify these forward-looking statements by words such as "may," "will," "should," "could," "might," "expect," "plan," "anticipate," "believe," "</w:t>
      </w:r>
      <w:r>
        <w:rPr>
          <w:rFonts w:eastAsia="Times New Roman"/>
          <w:i/>
          <w:iCs/>
          <w:color w:val="000000"/>
          <w:sz w:val="20"/>
          <w:szCs w:val="20"/>
        </w:rPr>
        <w:t>estimate," "target," "goal," "predict," "intend," "potential," "continue," "seek" and other comparable words. Similarly, statements that describe our business strategy, goals, prospects, opportunities, outlook, objectives, plans or intentions are also forw</w:t>
      </w:r>
      <w:r>
        <w:rPr>
          <w:rFonts w:eastAsia="Times New Roman"/>
          <w:i/>
          <w:iCs/>
          <w:color w:val="000000"/>
          <w:sz w:val="20"/>
          <w:szCs w:val="20"/>
        </w:rPr>
        <w:t>ard-looking statements. These statements may relate to, but are not limited to, expectations of future operating results or financial performance; expectations regarding the impact on our business of the coronavirus ("COVID-19") pandemic and global measure</w:t>
      </w:r>
      <w:r>
        <w:rPr>
          <w:rFonts w:eastAsia="Times New Roman"/>
          <w:i/>
          <w:iCs/>
          <w:color w:val="000000"/>
          <w:sz w:val="20"/>
          <w:szCs w:val="20"/>
        </w:rPr>
        <w:t>s to mitigate the spread of the virus; expectations regarding our restructuring activities and cost-reduction initiatives; macroeconomic trends that we expect may influence our business, including any recession or changes in consumer behavior resulting fro</w:t>
      </w:r>
      <w:r>
        <w:rPr>
          <w:rFonts w:eastAsia="Times New Roman"/>
          <w:i/>
          <w:iCs/>
          <w:color w:val="000000"/>
          <w:sz w:val="20"/>
          <w:szCs w:val="20"/>
        </w:rPr>
        <w:t>m the COVID-19 pandemic or other factors; plans for financing and capital expenditures; expectations regarding liquidity, customer payments and compliance with debt and financing covenants and other payment obligations; expectations regarding enhanced comm</w:t>
      </w:r>
      <w:r>
        <w:rPr>
          <w:rFonts w:eastAsia="Times New Roman"/>
          <w:i/>
          <w:iCs/>
          <w:color w:val="000000"/>
          <w:sz w:val="20"/>
          <w:szCs w:val="20"/>
        </w:rPr>
        <w:t>ercial relationships and the development and introduction of new products; potential limitations on our net operating loss carryforwards and other tax assets; regulatory compliance and expected changes in the regulatory or privacy landscape affecting our b</w:t>
      </w:r>
      <w:r>
        <w:rPr>
          <w:rFonts w:eastAsia="Times New Roman"/>
          <w:i/>
          <w:iCs/>
          <w:color w:val="000000"/>
          <w:sz w:val="20"/>
          <w:szCs w:val="20"/>
        </w:rPr>
        <w:t>usiness; expected impact of litigation and regulatory proceedings; and plans for growth and future operations, as well as assumptions relating to the foregoing.</w:t>
      </w:r>
    </w:p>
    <w:p w:rsidR="00000000" w:rsidRDefault="00971A12">
      <w:pPr>
        <w:jc w:val="both"/>
        <w:divId w:val="472409332"/>
        <w:rPr>
          <w:rFonts w:eastAsia="Times New Roman"/>
        </w:rPr>
      </w:pPr>
      <w:r>
        <w:rPr>
          <w:rFonts w:eastAsia="Times New Roman"/>
          <w:i/>
          <w:iCs/>
          <w:color w:val="000000"/>
          <w:sz w:val="20"/>
          <w:szCs w:val="20"/>
        </w:rPr>
        <w:t>Forward-looking statements are inherently subject to risks and uncertainties, some of which can</w:t>
      </w:r>
      <w:r>
        <w:rPr>
          <w:rFonts w:eastAsia="Times New Roman"/>
          <w:i/>
          <w:iCs/>
          <w:color w:val="000000"/>
          <w:sz w:val="20"/>
          <w:szCs w:val="20"/>
        </w:rPr>
        <w:t xml:space="preserve">not be predicted or quantified. These statements are based on expectations and assumptions as of the date of </w:t>
      </w:r>
      <w:r>
        <w:rPr>
          <w:rFonts w:eastAsia="Times New Roman"/>
          <w:i/>
          <w:iCs/>
          <w:color w:val="000000"/>
          <w:sz w:val="20"/>
          <w:szCs w:val="20"/>
        </w:rPr>
        <w:lastRenderedPageBreak/>
        <w:t>this 10-K regarding future events and business performance and involve known and unknown risks, uncertainties and other factors that may cause actu</w:t>
      </w:r>
      <w:r>
        <w:rPr>
          <w:rFonts w:eastAsia="Times New Roman"/>
          <w:i/>
          <w:iCs/>
          <w:color w:val="000000"/>
          <w:sz w:val="20"/>
          <w:szCs w:val="20"/>
        </w:rPr>
        <w:t xml:space="preserve">al events or results to be materially different from any future events or results expressed or implied by these statements. These factors include those set forth in the following discussion and within </w:t>
      </w:r>
      <w:hyperlink w:anchor="i0047531bd13046b986557e31951e34f8_22" w:history="1">
        <w:r>
          <w:rPr>
            <w:rStyle w:val="a3"/>
            <w:rFonts w:eastAsia="Times New Roman"/>
            <w:i/>
            <w:iCs/>
            <w:sz w:val="20"/>
            <w:szCs w:val="20"/>
          </w:rPr>
          <w:t>Item 1A</w:t>
        </w:r>
      </w:hyperlink>
      <w:r>
        <w:rPr>
          <w:rFonts w:eastAsia="Times New Roman"/>
          <w:i/>
          <w:iCs/>
          <w:color w:val="000000"/>
          <w:sz w:val="20"/>
          <w:szCs w:val="20"/>
        </w:rPr>
        <w:t>, "Risk Factors" of this 10-K and elsewhere within this report, and those identified in other documents that we file from time to time with the U.S. Securities and Exchange Commission, or SEC.</w:t>
      </w:r>
    </w:p>
    <w:p w:rsidR="00000000" w:rsidRDefault="00971A12">
      <w:pPr>
        <w:jc w:val="both"/>
        <w:divId w:val="365567788"/>
        <w:rPr>
          <w:rFonts w:eastAsia="Times New Roman"/>
        </w:rPr>
      </w:pPr>
      <w:r>
        <w:rPr>
          <w:rFonts w:eastAsia="Times New Roman"/>
          <w:i/>
          <w:iCs/>
          <w:color w:val="000000"/>
          <w:sz w:val="20"/>
          <w:szCs w:val="20"/>
        </w:rPr>
        <w:t>We believe that it is important to communicate our f</w:t>
      </w:r>
      <w:r>
        <w:rPr>
          <w:rFonts w:eastAsia="Times New Roman"/>
          <w:i/>
          <w:iCs/>
          <w:color w:val="000000"/>
          <w:sz w:val="20"/>
          <w:szCs w:val="20"/>
        </w:rPr>
        <w:t>uture expectations to our investors. However, there may be events in the future that we are not able to accurately predict or control and that may cause our actual results to differ materially from the expectations we describe in our forward-looking statem</w:t>
      </w:r>
      <w:r>
        <w:rPr>
          <w:rFonts w:eastAsia="Times New Roman"/>
          <w:i/>
          <w:iCs/>
          <w:color w:val="000000"/>
          <w:sz w:val="20"/>
          <w:szCs w:val="20"/>
        </w:rPr>
        <w:t>ents. You should not place undue reliance on forward-looking statements, which apply only as of the date of this 10-K. You should carefully review the risk factors described in this 10-K and in other documents that we file from time to time with the SEC. E</w:t>
      </w:r>
      <w:r>
        <w:rPr>
          <w:rFonts w:eastAsia="Times New Roman"/>
          <w:i/>
          <w:iCs/>
          <w:color w:val="000000"/>
          <w:sz w:val="20"/>
          <w:szCs w:val="20"/>
        </w:rPr>
        <w:t>xcept as required by applicable law, including the rules and regulations of the SEC, we undertake no obligation, and expressly disclaim any duty, to publicly update or revise forward-looking statements, whether as a result of any new information, future ev</w:t>
      </w:r>
      <w:r>
        <w:rPr>
          <w:rFonts w:eastAsia="Times New Roman"/>
          <w:i/>
          <w:iCs/>
          <w:color w:val="000000"/>
          <w:sz w:val="20"/>
          <w:szCs w:val="20"/>
        </w:rPr>
        <w:t>ents or otherwise. Although we believe the expectations reflected in the forward-looking statements are reasonable as of the date of this 10-K, our statements are not guarantees of future results, levels of activity, performance, or achievements, and actua</w:t>
      </w:r>
      <w:r>
        <w:rPr>
          <w:rFonts w:eastAsia="Times New Roman"/>
          <w:i/>
          <w:iCs/>
          <w:color w:val="000000"/>
          <w:sz w:val="20"/>
          <w:szCs w:val="20"/>
        </w:rPr>
        <w:t>l outcomes and results may differ materially from those expressed in, or implied by, any of our statements.</w:t>
      </w:r>
    </w:p>
    <w:p w:rsidR="00000000" w:rsidRDefault="00971A12">
      <w:pPr>
        <w:jc w:val="both"/>
        <w:divId w:val="2024866030"/>
        <w:rPr>
          <w:rFonts w:eastAsia="Times New Roman"/>
        </w:rPr>
      </w:pPr>
    </w:p>
    <w:p w:rsidR="00000000" w:rsidRDefault="00971A12">
      <w:pPr>
        <w:jc w:val="both"/>
        <w:rPr>
          <w:rFonts w:eastAsia="Times New Roman"/>
        </w:rPr>
      </w:pPr>
    </w:p>
    <w:p w:rsidR="00000000" w:rsidRDefault="00971A12">
      <w:pPr>
        <w:jc w:val="both"/>
        <w:rPr>
          <w:rFonts w:eastAsia="Times New Roman"/>
        </w:rPr>
      </w:pPr>
    </w:p>
    <w:p w:rsidR="00000000" w:rsidRDefault="00971A12">
      <w:pPr>
        <w:jc w:val="both"/>
        <w:rPr>
          <w:rFonts w:eastAsia="Times New Roman"/>
        </w:rPr>
      </w:pPr>
    </w:p>
    <w:p w:rsidR="00000000" w:rsidRDefault="00971A12">
      <w:pPr>
        <w:jc w:val="both"/>
        <w:rPr>
          <w:rFonts w:eastAsia="Times New Roman"/>
        </w:rPr>
      </w:pPr>
    </w:p>
    <w:p w:rsidR="00000000" w:rsidRDefault="00971A12">
      <w:pPr>
        <w:jc w:val="both"/>
        <w:rPr>
          <w:rFonts w:eastAsia="Times New Roman"/>
        </w:rPr>
      </w:pPr>
    </w:p>
    <w:p w:rsidR="00000000" w:rsidRDefault="00971A12">
      <w:pPr>
        <w:jc w:val="both"/>
        <w:rPr>
          <w:rFonts w:eastAsia="Times New Roman"/>
        </w:rPr>
      </w:pPr>
    </w:p>
    <w:p w:rsidR="00000000" w:rsidRDefault="00971A12">
      <w:pPr>
        <w:jc w:val="center"/>
        <w:divId w:val="661471293"/>
        <w:rPr>
          <w:rFonts w:eastAsia="Times New Roman"/>
        </w:rPr>
      </w:pPr>
      <w:r>
        <w:rPr>
          <w:rFonts w:eastAsia="Times New Roman"/>
          <w:color w:val="000000"/>
          <w:sz w:val="20"/>
          <w:szCs w:val="20"/>
        </w:rPr>
        <w:t>i</w:t>
      </w:r>
    </w:p>
    <w:p w:rsidR="00000000" w:rsidRDefault="00971A12">
      <w:pPr>
        <w:rPr>
          <w:rFonts w:eastAsia="Times New Roman"/>
        </w:rPr>
      </w:pPr>
      <w:r>
        <w:rPr>
          <w:rFonts w:eastAsia="Times New Roman"/>
        </w:rPr>
        <w:pict>
          <v:rect id="_x0000_i1027" style="width:0;height:1.5pt" o:hralign="center" o:hrstd="t" o:hr="t" fillcolor="#a0a0a0" stroked="f"/>
        </w:pict>
      </w:r>
    </w:p>
    <w:p w:rsidR="00000000" w:rsidRDefault="00971A12">
      <w:pPr>
        <w:divId w:val="834145916"/>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066563737"/>
        <w:rPr>
          <w:rFonts w:eastAsia="Times New Roman"/>
        </w:rPr>
      </w:pPr>
    </w:p>
    <w:p w:rsidR="00000000" w:rsidRDefault="00971A12">
      <w:pPr>
        <w:jc w:val="center"/>
        <w:rPr>
          <w:rFonts w:eastAsia="Times New Roman"/>
        </w:rPr>
      </w:pPr>
    </w:p>
    <w:p w:rsidR="00000000" w:rsidRDefault="00971A12">
      <w:pPr>
        <w:jc w:val="center"/>
        <w:rPr>
          <w:rFonts w:eastAsia="Times New Roman"/>
        </w:rPr>
      </w:pPr>
      <w:r>
        <w:rPr>
          <w:rFonts w:eastAsia="Times New Roman"/>
          <w:b/>
          <w:bCs/>
          <w:color w:val="000000"/>
          <w:sz w:val="20"/>
          <w:szCs w:val="20"/>
        </w:rPr>
        <w:t>PART I</w:t>
      </w:r>
    </w:p>
    <w:p w:rsidR="00000000" w:rsidRDefault="00971A12">
      <w:pPr>
        <w:divId w:val="440683276"/>
        <w:rPr>
          <w:rFonts w:eastAsia="Times New Roman"/>
        </w:rPr>
      </w:pPr>
    </w:p>
    <w:tbl>
      <w:tblPr>
        <w:tblW w:w="4743" w:type="pct"/>
        <w:tblCellMar>
          <w:top w:w="15" w:type="dxa"/>
          <w:left w:w="15" w:type="dxa"/>
          <w:bottom w:w="15" w:type="dxa"/>
          <w:right w:w="15" w:type="dxa"/>
        </w:tblCellMar>
        <w:tblLook w:val="04A0" w:firstRow="1" w:lastRow="0" w:firstColumn="1" w:lastColumn="0" w:noHBand="0" w:noVBand="1"/>
      </w:tblPr>
      <w:tblGrid>
        <w:gridCol w:w="71"/>
        <w:gridCol w:w="758"/>
        <w:gridCol w:w="36"/>
        <w:gridCol w:w="65"/>
        <w:gridCol w:w="6913"/>
        <w:gridCol w:w="36"/>
      </w:tblGrid>
      <w:tr w:rsidR="00000000">
        <w:trPr>
          <w:divId w:val="1209801182"/>
        </w:trPr>
        <w:tc>
          <w:tcPr>
            <w:tcW w:w="50" w:type="pct"/>
            <w:vAlign w:val="center"/>
            <w:hideMark/>
          </w:tcPr>
          <w:p w:rsidR="00000000" w:rsidRDefault="00971A12">
            <w:pPr>
              <w:rPr>
                <w:rFonts w:eastAsia="Times New Roman"/>
              </w:rPr>
            </w:pPr>
          </w:p>
        </w:tc>
        <w:tc>
          <w:tcPr>
            <w:tcW w:w="4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9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209801182"/>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20"/>
                <w:szCs w:val="20"/>
              </w:rPr>
              <w:t>ITEM 1.</w:t>
            </w: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i/>
                <w:iCs/>
                <w:color w:val="000000"/>
                <w:sz w:val="20"/>
                <w:szCs w:val="20"/>
              </w:rPr>
              <w:t>BUSINESS</w:t>
            </w:r>
          </w:p>
        </w:tc>
      </w:tr>
    </w:tbl>
    <w:p w:rsidR="00000000" w:rsidRDefault="00971A12">
      <w:pPr>
        <w:jc w:val="both"/>
        <w:divId w:val="1619482127"/>
        <w:rPr>
          <w:rFonts w:eastAsia="Times New Roman"/>
        </w:rPr>
      </w:pPr>
      <w:r>
        <w:rPr>
          <w:rFonts w:eastAsia="Times New Roman"/>
          <w:i/>
          <w:iCs/>
          <w:color w:val="000000"/>
          <w:sz w:val="20"/>
          <w:szCs w:val="20"/>
        </w:rPr>
        <w:t>Unless the context requires otherwise, references in this 10-K to "Comscore," "we," "us," the "Company" and "our" refer to comScore, Inc. and its consolidated subsidiaries. We have registered trademarks around the globe, including Unified Digital Measureme</w:t>
      </w:r>
      <w:r>
        <w:rPr>
          <w:rFonts w:eastAsia="Times New Roman"/>
          <w:i/>
          <w:iCs/>
          <w:color w:val="000000"/>
          <w:sz w:val="20"/>
          <w:szCs w:val="20"/>
        </w:rPr>
        <w:t>nt®, UDM®, vCE®, Metrix®, Essentials®, Box Office Essentials®, OnDemand Essentials®, and TV Essentials®. This 10-K also contains additional trademarks and trade names of our company and our subsidiaries. We file and maintain trademark protection for our pr</w:t>
      </w:r>
      <w:r>
        <w:rPr>
          <w:rFonts w:eastAsia="Times New Roman"/>
          <w:i/>
          <w:iCs/>
          <w:color w:val="000000"/>
          <w:sz w:val="20"/>
          <w:szCs w:val="20"/>
        </w:rPr>
        <w:t>oducts and services. All trademarks and trade names appearing in this 10-K are the property of their respective holders.</w:t>
      </w:r>
    </w:p>
    <w:p w:rsidR="00000000" w:rsidRDefault="00971A12">
      <w:pPr>
        <w:divId w:val="549077715"/>
        <w:rPr>
          <w:rFonts w:eastAsia="Times New Roman"/>
        </w:rPr>
      </w:pPr>
      <w:r>
        <w:rPr>
          <w:rFonts w:eastAsia="Times New Roman"/>
          <w:b/>
          <w:bCs/>
          <w:color w:val="000000"/>
          <w:sz w:val="20"/>
          <w:szCs w:val="20"/>
        </w:rPr>
        <w:t>Overview</w:t>
      </w:r>
    </w:p>
    <w:p w:rsidR="00000000" w:rsidRDefault="00971A12">
      <w:pPr>
        <w:jc w:val="both"/>
        <w:divId w:val="615138420"/>
        <w:rPr>
          <w:rFonts w:eastAsia="Times New Roman"/>
        </w:rPr>
      </w:pPr>
      <w:r>
        <w:rPr>
          <w:rFonts w:eastAsia="Times New Roman"/>
          <w:color w:val="000000"/>
          <w:sz w:val="20"/>
          <w:szCs w:val="20"/>
        </w:rPr>
        <w:t>We are a global information and analytics company that measures advertising, content, and the consumer audiences of each, acro</w:t>
      </w:r>
      <w:r>
        <w:rPr>
          <w:rFonts w:eastAsia="Times New Roman"/>
          <w:color w:val="000000"/>
          <w:sz w:val="20"/>
          <w:szCs w:val="20"/>
        </w:rPr>
        <w:t>ss media platforms. We create our products using a global data platform that combines information on digital platforms (connected (Smart) televisions, mobile devices, tablets and computers), television ("TV"), direct to consumer applications, and movie scr</w:t>
      </w:r>
      <w:r>
        <w:rPr>
          <w:rFonts w:eastAsia="Times New Roman"/>
          <w:color w:val="000000"/>
          <w:sz w:val="20"/>
          <w:szCs w:val="20"/>
        </w:rPr>
        <w:t xml:space="preserve">eens with demographics and other descriptive information. We have developed proprietary data science that enables measurement of person-level and household-level audiences, removing duplicated viewing across devices and over time. This combination of data </w:t>
      </w:r>
      <w:r>
        <w:rPr>
          <w:rFonts w:eastAsia="Times New Roman"/>
          <w:color w:val="000000"/>
          <w:sz w:val="20"/>
          <w:szCs w:val="20"/>
        </w:rPr>
        <w:t>and methods enables a common standard for buyers and sellers to transact on advertising. This helps companies across the media ecosystem better understand and monetize their audiences and develop marketing plans, content and products to more efficiently an</w:t>
      </w:r>
      <w:r>
        <w:rPr>
          <w:rFonts w:eastAsia="Times New Roman"/>
          <w:color w:val="000000"/>
          <w:sz w:val="20"/>
          <w:szCs w:val="20"/>
        </w:rPr>
        <w:t xml:space="preserve">d effectively reach those audiences. Our ability to unify behavioral and other descriptive data enables us to provide audience ratings, advertising verification, and granular consumer segments that describe hundreds of millions of </w:t>
      </w:r>
      <w:r>
        <w:rPr>
          <w:rFonts w:eastAsia="Times New Roman"/>
          <w:color w:val="000000"/>
          <w:sz w:val="20"/>
          <w:szCs w:val="20"/>
        </w:rPr>
        <w:lastRenderedPageBreak/>
        <w:t xml:space="preserve">consumers. Our customers </w:t>
      </w:r>
      <w:r>
        <w:rPr>
          <w:rFonts w:eastAsia="Times New Roman"/>
          <w:color w:val="000000"/>
          <w:sz w:val="20"/>
          <w:szCs w:val="20"/>
        </w:rPr>
        <w:t>include digital publishers, television networks, movie studios, content owners, brand advertisers, agencies and technology providers.</w:t>
      </w:r>
    </w:p>
    <w:p w:rsidR="00000000" w:rsidRDefault="00971A12">
      <w:pPr>
        <w:jc w:val="both"/>
        <w:divId w:val="793792432"/>
        <w:rPr>
          <w:rFonts w:eastAsia="Times New Roman"/>
        </w:rPr>
      </w:pPr>
      <w:r>
        <w:rPr>
          <w:rFonts w:eastAsia="Times New Roman"/>
          <w:color w:val="000000"/>
          <w:sz w:val="20"/>
          <w:szCs w:val="20"/>
        </w:rPr>
        <w:t>The information we analyze crosses geographies, types of content and activities, including websites, mobile and over the t</w:t>
      </w:r>
      <w:r>
        <w:rPr>
          <w:rFonts w:eastAsia="Times New Roman"/>
          <w:color w:val="000000"/>
          <w:sz w:val="20"/>
          <w:szCs w:val="20"/>
        </w:rPr>
        <w:t>op ("OTT") applications ("apps"), video games, television and movie programming, electronic commerce ("e-commerce") and advertising.</w:t>
      </w:r>
    </w:p>
    <w:p w:rsidR="00000000" w:rsidRDefault="00971A12">
      <w:pPr>
        <w:jc w:val="both"/>
        <w:divId w:val="1042485344"/>
        <w:rPr>
          <w:rFonts w:eastAsia="Times New Roman"/>
        </w:rPr>
      </w:pPr>
      <w:r>
        <w:rPr>
          <w:rFonts w:eastAsia="Times New Roman"/>
          <w:color w:val="000000"/>
          <w:sz w:val="20"/>
          <w:szCs w:val="20"/>
        </w:rPr>
        <w:t>We are a Delaware corporation headquartered in Reston, Virginia with principal offices located at 11950 Democracy Drive, Su</w:t>
      </w:r>
      <w:r>
        <w:rPr>
          <w:rFonts w:eastAsia="Times New Roman"/>
          <w:color w:val="000000"/>
          <w:sz w:val="20"/>
          <w:szCs w:val="20"/>
        </w:rPr>
        <w:t>ite 600, Reston, VA 20190. Our telephone number is 703-438-2000.</w:t>
      </w:r>
    </w:p>
    <w:p w:rsidR="00000000" w:rsidRDefault="00971A12">
      <w:pPr>
        <w:jc w:val="both"/>
        <w:divId w:val="767651710"/>
        <w:rPr>
          <w:rFonts w:eastAsia="Times New Roman"/>
        </w:rPr>
      </w:pPr>
      <w:r>
        <w:rPr>
          <w:rFonts w:eastAsia="Times New Roman"/>
          <w:b/>
          <w:bCs/>
          <w:color w:val="000000"/>
          <w:sz w:val="20"/>
          <w:szCs w:val="20"/>
        </w:rPr>
        <w:t>Recent Key Developments</w:t>
      </w:r>
    </w:p>
    <w:p w:rsidR="00000000" w:rsidRDefault="00971A12">
      <w:pPr>
        <w:jc w:val="both"/>
        <w:divId w:val="1320307971"/>
        <w:rPr>
          <w:rFonts w:eastAsia="Times New Roman"/>
        </w:rPr>
      </w:pPr>
      <w:r>
        <w:rPr>
          <w:rFonts w:eastAsia="Times New Roman"/>
          <w:color w:val="000000"/>
          <w:sz w:val="20"/>
          <w:szCs w:val="20"/>
          <w:u w:val="single"/>
        </w:rPr>
        <w:t>Leadership Changes</w:t>
      </w:r>
    </w:p>
    <w:p w:rsidR="00000000" w:rsidRDefault="00971A12">
      <w:pPr>
        <w:jc w:val="both"/>
        <w:divId w:val="2137140078"/>
        <w:rPr>
          <w:rFonts w:eastAsia="Times New Roman"/>
        </w:rPr>
      </w:pPr>
      <w:r>
        <w:rPr>
          <w:rFonts w:eastAsia="Times New Roman"/>
          <w:color w:val="000000"/>
          <w:sz w:val="20"/>
          <w:szCs w:val="20"/>
        </w:rPr>
        <w:t>On July 5, 2022, our Board of Directors (the "Board") appointed Jonathan Carpenter as our Chief Executive Officer, effective July 6, 2022. In connec</w:t>
      </w:r>
      <w:r>
        <w:rPr>
          <w:rFonts w:eastAsia="Times New Roman"/>
          <w:color w:val="000000"/>
          <w:sz w:val="20"/>
          <w:szCs w:val="20"/>
        </w:rPr>
        <w:t>tion with Mr. Carpenter's appointment, William Livek retired as our Chief Executive Officer. Also on July 5, 2022, the Board appointed Mary Margaret Curry as our Chief Financial Officer and Treasurer, effective July 6, 2022. Ms. Curry continues to serve as</w:t>
      </w:r>
      <w:r>
        <w:rPr>
          <w:rFonts w:eastAsia="Times New Roman"/>
          <w:color w:val="000000"/>
          <w:sz w:val="20"/>
          <w:szCs w:val="20"/>
        </w:rPr>
        <w:t xml:space="preserve"> our principal accounting officer. </w:t>
      </w:r>
    </w:p>
    <w:p w:rsidR="00000000" w:rsidRDefault="00971A12">
      <w:pPr>
        <w:jc w:val="both"/>
        <w:divId w:val="1089621790"/>
        <w:rPr>
          <w:rFonts w:eastAsia="Times New Roman"/>
        </w:rPr>
      </w:pPr>
      <w:r>
        <w:rPr>
          <w:rFonts w:eastAsia="Times New Roman"/>
          <w:color w:val="000000"/>
          <w:sz w:val="20"/>
          <w:szCs w:val="20"/>
        </w:rPr>
        <w:t>On August 22, 2022, our Board appointed Greg Dale as Chief Operating Officer and David Algranati as Chief Innovation Officer of the Company, effective August 23, 2022. We also announced that our Chief Commercial Officer,</w:t>
      </w:r>
      <w:r>
        <w:rPr>
          <w:rFonts w:eastAsia="Times New Roman"/>
          <w:color w:val="000000"/>
          <w:sz w:val="20"/>
          <w:szCs w:val="20"/>
        </w:rPr>
        <w:t xml:space="preserve"> Chris Wilson, would depart the Company effective October 1, 2022. </w:t>
      </w:r>
    </w:p>
    <w:p w:rsidR="00000000" w:rsidRDefault="00971A12">
      <w:pPr>
        <w:jc w:val="both"/>
        <w:divId w:val="1056467143"/>
        <w:rPr>
          <w:rFonts w:eastAsia="Times New Roman"/>
        </w:rPr>
      </w:pPr>
      <w:r>
        <w:rPr>
          <w:rFonts w:eastAsia="Times New Roman"/>
          <w:color w:val="000000"/>
          <w:sz w:val="20"/>
          <w:szCs w:val="20"/>
          <w:u w:val="single"/>
        </w:rPr>
        <w:t>Organizational Restructuring</w:t>
      </w:r>
    </w:p>
    <w:p w:rsidR="00000000" w:rsidRDefault="00971A12">
      <w:pPr>
        <w:jc w:val="both"/>
        <w:divId w:val="1291933711"/>
        <w:rPr>
          <w:rFonts w:eastAsia="Times New Roman"/>
        </w:rPr>
      </w:pPr>
      <w:r>
        <w:rPr>
          <w:rFonts w:eastAsia="Times New Roman"/>
          <w:color w:val="000000"/>
          <w:sz w:val="20"/>
          <w:szCs w:val="20"/>
        </w:rPr>
        <w:t>On September 29, 2022, we communicated a workforce reduction as part of our broader efforts to improve cost efficiency and better align our operating structure</w:t>
      </w:r>
      <w:r>
        <w:rPr>
          <w:rFonts w:eastAsia="Times New Roman"/>
          <w:color w:val="000000"/>
          <w:sz w:val="20"/>
          <w:szCs w:val="20"/>
        </w:rPr>
        <w:t xml:space="preserve"> and resources with strategic priorities (collectively, the "Restructuring Plan"). In addition to employee terminations, the Restructuring Plan is expected to include the reallocation of commercial and product development resources; reinvestment in and mod</w:t>
      </w:r>
      <w:r>
        <w:rPr>
          <w:rFonts w:eastAsia="Times New Roman"/>
          <w:color w:val="000000"/>
          <w:sz w:val="20"/>
          <w:szCs w:val="20"/>
        </w:rPr>
        <w:t>ernization of key technology platforms; consolidation of data storage and processing activities to reduce our data center footprint; and reduction of other operating expenses, including software and facility costs. We may also determine to exit certain act</w:t>
      </w:r>
      <w:r>
        <w:rPr>
          <w:rFonts w:eastAsia="Times New Roman"/>
          <w:color w:val="000000"/>
          <w:sz w:val="20"/>
          <w:szCs w:val="20"/>
        </w:rPr>
        <w:t>ivities in certain geographic regions in order to more effectively align resources with business priorities.</w:t>
      </w:r>
    </w:p>
    <w:p w:rsidR="00000000" w:rsidRDefault="00971A12">
      <w:pPr>
        <w:jc w:val="both"/>
        <w:divId w:val="1818762379"/>
        <w:rPr>
          <w:rFonts w:eastAsia="Times New Roman"/>
        </w:rPr>
      </w:pPr>
      <w:r>
        <w:rPr>
          <w:rFonts w:eastAsia="Times New Roman"/>
          <w:color w:val="000000"/>
          <w:sz w:val="20"/>
          <w:szCs w:val="20"/>
          <w:u w:val="single"/>
        </w:rPr>
        <w:t>Amendment to Revolving Credit Agreement</w:t>
      </w:r>
    </w:p>
    <w:p w:rsidR="00000000" w:rsidRDefault="00971A12">
      <w:pPr>
        <w:jc w:val="both"/>
        <w:divId w:val="568543357"/>
        <w:rPr>
          <w:rFonts w:eastAsia="Times New Roman"/>
        </w:rPr>
      </w:pPr>
      <w:r>
        <w:rPr>
          <w:rFonts w:eastAsia="Times New Roman"/>
          <w:color w:val="000000"/>
          <w:sz w:val="20"/>
          <w:szCs w:val="20"/>
        </w:rPr>
        <w:t>On February 25, 2022, we entered into an amendment to our senior secured revolving credit agreement (the "R</w:t>
      </w:r>
      <w:r>
        <w:rPr>
          <w:rFonts w:eastAsia="Times New Roman"/>
          <w:color w:val="000000"/>
          <w:sz w:val="20"/>
          <w:szCs w:val="20"/>
        </w:rPr>
        <w:t>evolving Credit Agreement") to expand our aggregate borrowing capacity from $25.0 million to $40.0 million. The 2022 amendment also replaced the Eurodollar Rate with a SOFR-based interest rate and modified the Applicable Rate definition in the Revolving Cr</w:t>
      </w:r>
      <w:r>
        <w:rPr>
          <w:rFonts w:eastAsia="Times New Roman"/>
          <w:color w:val="000000"/>
          <w:sz w:val="20"/>
          <w:szCs w:val="20"/>
        </w:rPr>
        <w:t>edit Agreement to increase the Applicable Rate payable on SOFR-based loans to 2.50%. Finally, the amendment modified certain financial covenants under the Revolving Credit Agreement.</w:t>
      </w:r>
    </w:p>
    <w:p w:rsidR="00000000" w:rsidRDefault="00971A12">
      <w:pPr>
        <w:jc w:val="both"/>
        <w:divId w:val="195654105"/>
        <w:rPr>
          <w:rFonts w:eastAsia="Times New Roman"/>
        </w:rPr>
      </w:pPr>
      <w:r>
        <w:rPr>
          <w:rFonts w:eastAsia="Times New Roman"/>
          <w:color w:val="000000"/>
          <w:sz w:val="20"/>
          <w:szCs w:val="20"/>
        </w:rPr>
        <w:t>On February 24, 2023, we entered into an additional amendment to the Revo</w:t>
      </w:r>
      <w:r>
        <w:rPr>
          <w:rFonts w:eastAsia="Times New Roman"/>
          <w:color w:val="000000"/>
          <w:sz w:val="20"/>
          <w:szCs w:val="20"/>
        </w:rPr>
        <w:t xml:space="preserve">lving Credit Agreement that further modified our financial covenants, introduced a minimum liquidity covenant, and increased the Applicable Rate payable on SOFR-based loans to 3.50%. Refer to </w:t>
      </w:r>
      <w:hyperlink w:anchor="i0047531bd13046b986557e31951e34f8_163" w:history="1">
        <w:r>
          <w:rPr>
            <w:rStyle w:val="a3"/>
            <w:rFonts w:eastAsia="Times New Roman"/>
            <w:sz w:val="20"/>
            <w:szCs w:val="20"/>
          </w:rPr>
          <w:t>Foot</w:t>
        </w:r>
        <w:r>
          <w:rPr>
            <w:rStyle w:val="a3"/>
            <w:rFonts w:eastAsia="Times New Roman"/>
            <w:sz w:val="20"/>
            <w:szCs w:val="20"/>
          </w:rPr>
          <w:t xml:space="preserve">note </w:t>
        </w:r>
      </w:hyperlink>
      <w:hyperlink w:anchor="i0047531bd13046b986557e31951e34f8_163" w:history="1">
        <w:r>
          <w:rPr>
            <w:rStyle w:val="a3"/>
            <w:rFonts w:eastAsia="Times New Roman"/>
            <w:sz w:val="20"/>
            <w:szCs w:val="20"/>
          </w:rPr>
          <w:t>16</w:t>
        </w:r>
      </w:hyperlink>
      <w:r>
        <w:rPr>
          <w:rFonts w:eastAsia="Times New Roman"/>
          <w:color w:val="000000"/>
          <w:sz w:val="20"/>
          <w:szCs w:val="20"/>
        </w:rPr>
        <w:t xml:space="preserve">, </w:t>
      </w:r>
      <w:r>
        <w:rPr>
          <w:rFonts w:eastAsia="Times New Roman"/>
          <w:i/>
          <w:iCs/>
          <w:color w:val="000000"/>
          <w:sz w:val="20"/>
          <w:szCs w:val="20"/>
        </w:rPr>
        <w:t xml:space="preserve">Subsequent Events, </w:t>
      </w:r>
      <w:r>
        <w:rPr>
          <w:rFonts w:eastAsia="Times New Roman"/>
          <w:color w:val="000000"/>
          <w:sz w:val="20"/>
          <w:szCs w:val="20"/>
        </w:rPr>
        <w:t>of the Notes to the Consolidated Financial Statements for additional information about the 2023 amendment.</w:t>
      </w:r>
    </w:p>
    <w:p w:rsidR="00000000" w:rsidRDefault="00971A12">
      <w:pPr>
        <w:jc w:val="center"/>
        <w:divId w:val="770125454"/>
        <w:rPr>
          <w:rFonts w:eastAsia="Times New Roman"/>
        </w:rPr>
      </w:pPr>
      <w:r>
        <w:rPr>
          <w:rFonts w:eastAsia="Times New Roman"/>
          <w:color w:val="000000"/>
          <w:sz w:val="20"/>
          <w:szCs w:val="20"/>
        </w:rPr>
        <w:t>1</w:t>
      </w:r>
    </w:p>
    <w:p w:rsidR="00000000" w:rsidRDefault="00971A12">
      <w:pPr>
        <w:rPr>
          <w:rFonts w:eastAsia="Times New Roman"/>
        </w:rPr>
      </w:pPr>
      <w:r>
        <w:rPr>
          <w:rFonts w:eastAsia="Times New Roman"/>
        </w:rPr>
        <w:pict>
          <v:rect id="_x0000_i1028" style="width:0;height:1.5pt" o:hralign="center" o:hrstd="t" o:hr="t" fillcolor="#a0a0a0" stroked="f"/>
        </w:pict>
      </w:r>
    </w:p>
    <w:p w:rsidR="00000000" w:rsidRDefault="00971A12">
      <w:pPr>
        <w:divId w:val="336349895"/>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423376958"/>
        <w:rPr>
          <w:rFonts w:eastAsia="Times New Roman"/>
        </w:rPr>
      </w:pPr>
    </w:p>
    <w:p w:rsidR="00000000" w:rsidRDefault="00971A12">
      <w:pPr>
        <w:jc w:val="both"/>
        <w:divId w:val="1096287127"/>
        <w:rPr>
          <w:rFonts w:eastAsia="Times New Roman"/>
        </w:rPr>
      </w:pPr>
      <w:r>
        <w:rPr>
          <w:rFonts w:eastAsia="Times New Roman"/>
          <w:color w:val="000000"/>
          <w:sz w:val="20"/>
          <w:szCs w:val="20"/>
          <w:u w:val="single"/>
        </w:rPr>
        <w:t>Macroeconomic Factors</w:t>
      </w:r>
    </w:p>
    <w:p w:rsidR="00000000" w:rsidRDefault="00971A12">
      <w:pPr>
        <w:jc w:val="both"/>
        <w:divId w:val="1224172898"/>
        <w:rPr>
          <w:rFonts w:eastAsia="Times New Roman"/>
        </w:rPr>
      </w:pPr>
      <w:r>
        <w:rPr>
          <w:rFonts w:eastAsia="Times New Roman"/>
          <w:color w:val="000000"/>
          <w:sz w:val="20"/>
          <w:szCs w:val="20"/>
        </w:rPr>
        <w:t>During 2020 and 2021, the COVID-19 pandemic and related government mandates and restrictions had a</w:t>
      </w:r>
      <w:r>
        <w:rPr>
          <w:rFonts w:eastAsia="Times New Roman"/>
          <w:color w:val="000000"/>
          <w:sz w:val="20"/>
          <w:szCs w:val="20"/>
        </w:rPr>
        <w:t xml:space="preserve"> significant impact on the media, advertising and entertainment industries in which we operate. The pandemic also had an impact on our business, including with respect to the execution of new and renewal contracts, the impact of closed movie theaters on ou</w:t>
      </w:r>
      <w:r>
        <w:rPr>
          <w:rFonts w:eastAsia="Times New Roman"/>
          <w:color w:val="000000"/>
          <w:sz w:val="20"/>
          <w:szCs w:val="20"/>
        </w:rPr>
        <w:t xml:space="preserve">r customers, customer payment delays and requests to modify contractual payment terms. In response to the COVID-19 pandemic, we took actions in 2020 and 2021 to mitigate the liquidity impact, including freezing hiring, exiting non-critical consultants and </w:t>
      </w:r>
      <w:r>
        <w:rPr>
          <w:rFonts w:eastAsia="Times New Roman"/>
          <w:color w:val="000000"/>
          <w:sz w:val="20"/>
          <w:szCs w:val="20"/>
        </w:rPr>
        <w:t xml:space="preserve">contractors, terminating or negotiating reductions in vendor agreements and leases, and reducing certain travel, marketing, recruiting and other corporate activities. Although we cannot quantify the impact that the pandemic may have on our business in the </w:t>
      </w:r>
      <w:r>
        <w:rPr>
          <w:rFonts w:eastAsia="Times New Roman"/>
          <w:color w:val="000000"/>
          <w:sz w:val="20"/>
          <w:szCs w:val="20"/>
        </w:rPr>
        <w:t>future, we saw positive recovery in 2022, including the reopening of theaters in most markets worldwide. At the same time, however, macroeconomic factors such as inflation, rising interest rates, and supply chain disruptions caused some advertisers to redu</w:t>
      </w:r>
      <w:r>
        <w:rPr>
          <w:rFonts w:eastAsia="Times New Roman"/>
          <w:color w:val="000000"/>
          <w:sz w:val="20"/>
          <w:szCs w:val="20"/>
        </w:rPr>
        <w:t xml:space="preserve">ce or delay advertising expenditures in the second half of 2022. These declines had a direct impact on demand </w:t>
      </w:r>
      <w:r>
        <w:rPr>
          <w:rFonts w:eastAsia="Times New Roman"/>
          <w:color w:val="000000"/>
          <w:sz w:val="20"/>
          <w:szCs w:val="20"/>
        </w:rPr>
        <w:lastRenderedPageBreak/>
        <w:t>for our products, particularly those for which we recognize revenue based on impressions used. We expect that softness in the advertising market w</w:t>
      </w:r>
      <w:r>
        <w:rPr>
          <w:rFonts w:eastAsia="Times New Roman"/>
          <w:color w:val="000000"/>
          <w:sz w:val="20"/>
          <w:szCs w:val="20"/>
        </w:rPr>
        <w:t>ill continue to affect our business in 2023.</w:t>
      </w:r>
    </w:p>
    <w:p w:rsidR="00000000" w:rsidRDefault="00971A12">
      <w:pPr>
        <w:jc w:val="both"/>
        <w:divId w:val="261114235"/>
        <w:rPr>
          <w:rFonts w:eastAsia="Times New Roman"/>
        </w:rPr>
      </w:pPr>
      <w:r>
        <w:rPr>
          <w:rFonts w:eastAsia="Times New Roman"/>
          <w:b/>
          <w:bCs/>
          <w:color w:val="000000"/>
          <w:sz w:val="20"/>
          <w:szCs w:val="20"/>
        </w:rPr>
        <w:t>Background and Market</w:t>
      </w:r>
    </w:p>
    <w:p w:rsidR="00000000" w:rsidRDefault="00971A12">
      <w:pPr>
        <w:jc w:val="both"/>
        <w:divId w:val="137723752"/>
        <w:rPr>
          <w:rFonts w:eastAsia="Times New Roman"/>
        </w:rPr>
      </w:pPr>
      <w:r>
        <w:rPr>
          <w:rFonts w:eastAsia="Times New Roman"/>
          <w:color w:val="000000"/>
          <w:sz w:val="20"/>
          <w:szCs w:val="20"/>
        </w:rPr>
        <w:t>We were founded in 1999 on the belief that digital technology would transform the interactions between people, media and brands in ways that would generate substantial demand for data and a</w:t>
      </w:r>
      <w:r>
        <w:rPr>
          <w:rFonts w:eastAsia="Times New Roman"/>
          <w:color w:val="000000"/>
          <w:sz w:val="20"/>
          <w:szCs w:val="20"/>
        </w:rPr>
        <w:t xml:space="preserve">nalytics about that interaction. The growing adoption of digital technologies also allowed measurement of the behavior of consumers' online activities. Based on this vision, we built a global opt-in panel that provided insight into online activities. Over </w:t>
      </w:r>
      <w:r>
        <w:rPr>
          <w:rFonts w:eastAsia="Times New Roman"/>
          <w:color w:val="000000"/>
          <w:sz w:val="20"/>
          <w:szCs w:val="20"/>
        </w:rPr>
        <w:t>the years we have enhanced our product offerings by uniting panel data with census-level data from website tags and other sources, and we expanded our presence in various markets. We also have access to millions of television and video on demand ("VOD") sc</w:t>
      </w:r>
      <w:r>
        <w:rPr>
          <w:rFonts w:eastAsia="Times New Roman"/>
          <w:color w:val="000000"/>
          <w:sz w:val="20"/>
          <w:szCs w:val="20"/>
        </w:rPr>
        <w:t xml:space="preserve">reens and the ability to measure box office results from movie screens across the world. </w:t>
      </w:r>
    </w:p>
    <w:p w:rsidR="00000000" w:rsidRDefault="00971A12">
      <w:pPr>
        <w:jc w:val="both"/>
        <w:divId w:val="1648776787"/>
        <w:rPr>
          <w:rFonts w:eastAsia="Times New Roman"/>
        </w:rPr>
      </w:pPr>
      <w:r>
        <w:rPr>
          <w:rFonts w:eastAsia="Times New Roman"/>
          <w:color w:val="000000"/>
          <w:sz w:val="20"/>
          <w:szCs w:val="20"/>
        </w:rPr>
        <w:t>In December 2021, we acquired Shareablee, Inc. ("Shareablee"), allowing us to expand our Media Metrix® and Video Metrix® currencies to include Shareablee's social med</w:t>
      </w:r>
      <w:r>
        <w:rPr>
          <w:rFonts w:eastAsia="Times New Roman"/>
          <w:color w:val="000000"/>
          <w:sz w:val="20"/>
          <w:szCs w:val="20"/>
        </w:rPr>
        <w:t xml:space="preserve">ia engagement and video insights, in order to bridge the industry gap of traditional digital and social measurement services. </w:t>
      </w:r>
    </w:p>
    <w:p w:rsidR="00000000" w:rsidRDefault="00971A12">
      <w:pPr>
        <w:jc w:val="both"/>
        <w:divId w:val="1144813355"/>
        <w:rPr>
          <w:rFonts w:eastAsia="Times New Roman"/>
        </w:rPr>
      </w:pPr>
      <w:r>
        <w:rPr>
          <w:rFonts w:eastAsia="Times New Roman"/>
          <w:b/>
          <w:bCs/>
          <w:color w:val="000000"/>
          <w:sz w:val="20"/>
          <w:szCs w:val="20"/>
        </w:rPr>
        <w:t>Our Approach to Media Measurement</w:t>
      </w:r>
    </w:p>
    <w:p w:rsidR="00000000" w:rsidRDefault="00971A12">
      <w:pPr>
        <w:jc w:val="both"/>
        <w:divId w:val="1717123793"/>
        <w:rPr>
          <w:rFonts w:eastAsia="Times New Roman"/>
        </w:rPr>
      </w:pPr>
      <w:r>
        <w:rPr>
          <w:rFonts w:eastAsia="Times New Roman"/>
          <w:color w:val="000000"/>
          <w:sz w:val="20"/>
          <w:szCs w:val="20"/>
        </w:rPr>
        <w:t>Our approach to measuring media consumption addresses the ubiquitous nature of media content an</w:t>
      </w:r>
      <w:r>
        <w:rPr>
          <w:rFonts w:eastAsia="Times New Roman"/>
          <w:color w:val="000000"/>
          <w:sz w:val="20"/>
          <w:szCs w:val="20"/>
        </w:rPr>
        <w:t xml:space="preserve">d the fragmentation caused by the variety of platforms and technologies used to access such content. Advertising exposure and effectiveness is another rapidly changing and fragmented area where we apply scale for validation and campaign measurement across </w:t>
      </w:r>
      <w:r>
        <w:rPr>
          <w:rFonts w:eastAsia="Times New Roman"/>
          <w:color w:val="000000"/>
          <w:sz w:val="20"/>
          <w:szCs w:val="20"/>
        </w:rPr>
        <w:t>devices, platforms and ecosystem technology providers. We believe this fragmentation presents major challenges to using legacy measurement systems that are comprised of relatively small panels of cooperating consumers or limited to specific media platforms</w:t>
      </w:r>
      <w:r>
        <w:rPr>
          <w:rFonts w:eastAsia="Times New Roman"/>
          <w:color w:val="000000"/>
          <w:sz w:val="20"/>
          <w:szCs w:val="20"/>
        </w:rPr>
        <w:t>. Our products and services are built on measurement and analytic capabilities comprised of broad-based data collection, proprietary databases, internally developed software and a computational infrastructure to measure, analyze and report on digital, tele</w:t>
      </w:r>
      <w:r>
        <w:rPr>
          <w:rFonts w:eastAsia="Times New Roman"/>
          <w:color w:val="000000"/>
          <w:sz w:val="20"/>
          <w:szCs w:val="20"/>
        </w:rPr>
        <w:t>vision and movie activity at the level of granularity that we believe the media and advertising industries need.</w:t>
      </w:r>
    </w:p>
    <w:p w:rsidR="00000000" w:rsidRDefault="00971A12">
      <w:pPr>
        <w:jc w:val="both"/>
        <w:divId w:val="29578765"/>
        <w:rPr>
          <w:rFonts w:eastAsia="Times New Roman"/>
        </w:rPr>
      </w:pPr>
      <w:r>
        <w:rPr>
          <w:rFonts w:eastAsia="Times New Roman"/>
          <w:color w:val="000000"/>
          <w:sz w:val="20"/>
          <w:szCs w:val="20"/>
          <w:u w:val="single"/>
        </w:rPr>
        <w:t xml:space="preserve">Data Collection </w:t>
      </w:r>
    </w:p>
    <w:p w:rsidR="00000000" w:rsidRDefault="00971A12">
      <w:pPr>
        <w:jc w:val="both"/>
        <w:divId w:val="1548830283"/>
        <w:rPr>
          <w:rFonts w:eastAsia="Times New Roman"/>
        </w:rPr>
      </w:pPr>
      <w:r>
        <w:rPr>
          <w:rFonts w:eastAsia="Times New Roman"/>
          <w:color w:val="000000"/>
          <w:sz w:val="20"/>
          <w:szCs w:val="20"/>
        </w:rPr>
        <w:t>The following collection methods illustrate our extensive data sourcing:</w:t>
      </w:r>
    </w:p>
    <w:p w:rsidR="00000000" w:rsidRDefault="00971A12">
      <w:pPr>
        <w:ind w:hanging="360"/>
        <w:jc w:val="both"/>
        <w:divId w:val="1009524946"/>
        <w:rPr>
          <w:rFonts w:eastAsia="Times New Roman"/>
        </w:rPr>
      </w:pPr>
      <w:r>
        <w:rPr>
          <w:rFonts w:eastAsia="Times New Roman"/>
          <w:color w:val="000000"/>
          <w:sz w:val="20"/>
          <w:szCs w:val="20"/>
        </w:rPr>
        <w:t>•We collect data from proprietary consumer panels tha</w:t>
      </w:r>
      <w:r>
        <w:rPr>
          <w:rFonts w:eastAsia="Times New Roman"/>
          <w:color w:val="000000"/>
          <w:sz w:val="20"/>
          <w:szCs w:val="20"/>
        </w:rPr>
        <w:t>t measure the use of computers, tablets and smartphones that access the internet. These panelists have agreed to install our passive metering software on their devices, home network or both.</w:t>
      </w:r>
    </w:p>
    <w:p w:rsidR="00000000" w:rsidRDefault="00971A12">
      <w:pPr>
        <w:ind w:hanging="360"/>
        <w:jc w:val="both"/>
        <w:divId w:val="618530583"/>
        <w:rPr>
          <w:rFonts w:eastAsia="Times New Roman"/>
        </w:rPr>
      </w:pPr>
      <w:r>
        <w:rPr>
          <w:rFonts w:eastAsia="Times New Roman"/>
          <w:color w:val="000000"/>
          <w:sz w:val="20"/>
          <w:szCs w:val="20"/>
        </w:rPr>
        <w:t>•Comscore's Digital Census Data is our census digital network whe</w:t>
      </w:r>
      <w:r>
        <w:rPr>
          <w:rFonts w:eastAsia="Times New Roman"/>
          <w:color w:val="000000"/>
          <w:sz w:val="20"/>
          <w:szCs w:val="20"/>
        </w:rPr>
        <w:t>reby content publishers share information with us. That sharing includes direct integrations with the publishers, as well as publishers' implementation of our software code (referred to as "tagging") on their websites, in mobile applications and video play</w:t>
      </w:r>
      <w:r>
        <w:rPr>
          <w:rFonts w:eastAsia="Times New Roman"/>
          <w:color w:val="000000"/>
          <w:sz w:val="20"/>
          <w:szCs w:val="20"/>
        </w:rPr>
        <w:t>ers to provide us usage information.</w:t>
      </w:r>
    </w:p>
    <w:p w:rsidR="00000000" w:rsidRDefault="00971A12">
      <w:pPr>
        <w:ind w:hanging="360"/>
        <w:jc w:val="both"/>
        <w:divId w:val="443620097"/>
        <w:rPr>
          <w:rFonts w:eastAsia="Times New Roman"/>
        </w:rPr>
      </w:pPr>
      <w:r>
        <w:rPr>
          <w:rFonts w:eastAsia="Times New Roman"/>
          <w:color w:val="000000"/>
          <w:sz w:val="20"/>
          <w:szCs w:val="20"/>
        </w:rPr>
        <w:t>•We license certain demographic and behavioral mobile and panel data from third-party data providers.</w:t>
      </w:r>
    </w:p>
    <w:p w:rsidR="00000000" w:rsidRDefault="00971A12">
      <w:pPr>
        <w:ind w:hanging="360"/>
        <w:jc w:val="both"/>
        <w:divId w:val="1926647594"/>
        <w:rPr>
          <w:rFonts w:eastAsia="Times New Roman"/>
        </w:rPr>
      </w:pPr>
      <w:r>
        <w:rPr>
          <w:rFonts w:eastAsia="Times New Roman"/>
          <w:color w:val="000000"/>
          <w:sz w:val="20"/>
          <w:szCs w:val="20"/>
        </w:rPr>
        <w:t>•We obtain television viewership information from satellite, telecommunications, connected (Smart) TV and cable opera</w:t>
      </w:r>
      <w:r>
        <w:rPr>
          <w:rFonts w:eastAsia="Times New Roman"/>
          <w:color w:val="000000"/>
          <w:sz w:val="20"/>
          <w:szCs w:val="20"/>
        </w:rPr>
        <w:t>tors covering millions of television and VOD screens.</w:t>
      </w:r>
    </w:p>
    <w:p w:rsidR="00000000" w:rsidRDefault="00971A12">
      <w:pPr>
        <w:ind w:hanging="360"/>
        <w:jc w:val="both"/>
        <w:divId w:val="626161360"/>
        <w:rPr>
          <w:rFonts w:eastAsia="Times New Roman"/>
        </w:rPr>
      </w:pPr>
      <w:r>
        <w:rPr>
          <w:rFonts w:eastAsia="Times New Roman"/>
          <w:color w:val="000000"/>
          <w:sz w:val="20"/>
          <w:szCs w:val="20"/>
        </w:rPr>
        <w:t>•We measure gross receipts and attendance information from movie screens across the world.</w:t>
      </w:r>
    </w:p>
    <w:p w:rsidR="00000000" w:rsidRDefault="00971A12">
      <w:pPr>
        <w:ind w:hanging="360"/>
        <w:jc w:val="both"/>
        <w:divId w:val="738946568"/>
        <w:rPr>
          <w:rFonts w:eastAsia="Times New Roman"/>
        </w:rPr>
      </w:pPr>
      <w:r>
        <w:rPr>
          <w:rFonts w:eastAsia="Times New Roman"/>
          <w:color w:val="000000"/>
          <w:sz w:val="20"/>
          <w:szCs w:val="20"/>
        </w:rPr>
        <w:t>•We integrate our digital and television viewership information with other third-party datasets that include co</w:t>
      </w:r>
      <w:r>
        <w:rPr>
          <w:rFonts w:eastAsia="Times New Roman"/>
          <w:color w:val="000000"/>
          <w:sz w:val="20"/>
          <w:szCs w:val="20"/>
        </w:rPr>
        <w:t>nsumer demographic characteristics, attitudes, lifestyles and purchase behavior.</w:t>
      </w:r>
    </w:p>
    <w:p w:rsidR="00000000" w:rsidRDefault="00971A12">
      <w:pPr>
        <w:ind w:hanging="360"/>
        <w:jc w:val="both"/>
        <w:divId w:val="1665352120"/>
        <w:rPr>
          <w:rFonts w:eastAsia="Times New Roman"/>
        </w:rPr>
      </w:pPr>
      <w:r>
        <w:rPr>
          <w:rFonts w:eastAsia="Times New Roman"/>
          <w:color w:val="000000"/>
          <w:sz w:val="20"/>
          <w:szCs w:val="20"/>
        </w:rPr>
        <w:t>•We integrate many of our services with ad serving platforms.</w:t>
      </w:r>
    </w:p>
    <w:p w:rsidR="00000000" w:rsidRDefault="00971A12">
      <w:pPr>
        <w:ind w:hanging="360"/>
        <w:jc w:val="both"/>
        <w:divId w:val="1373577375"/>
        <w:rPr>
          <w:rFonts w:eastAsia="Times New Roman"/>
        </w:rPr>
      </w:pPr>
      <w:r>
        <w:rPr>
          <w:rFonts w:eastAsia="Times New Roman"/>
          <w:color w:val="000000"/>
          <w:sz w:val="20"/>
          <w:szCs w:val="20"/>
        </w:rPr>
        <w:t>•We utilize knowledgeable in-house industry analysts that span verticals such as pharmaceuticals, media, finance,</w:t>
      </w:r>
      <w:r>
        <w:rPr>
          <w:rFonts w:eastAsia="Times New Roman"/>
          <w:color w:val="000000"/>
          <w:sz w:val="20"/>
          <w:szCs w:val="20"/>
        </w:rPr>
        <w:t xml:space="preserve"> consumer packaged goods and political information to add value to our data.</w:t>
      </w:r>
    </w:p>
    <w:p w:rsidR="00000000" w:rsidRDefault="00971A12">
      <w:pPr>
        <w:ind w:hanging="360"/>
        <w:jc w:val="both"/>
        <w:divId w:val="287470240"/>
        <w:rPr>
          <w:rFonts w:eastAsia="Times New Roman"/>
        </w:rPr>
      </w:pPr>
      <w:r>
        <w:rPr>
          <w:rFonts w:eastAsia="Times New Roman"/>
          <w:color w:val="000000"/>
          <w:sz w:val="20"/>
          <w:szCs w:val="20"/>
        </w:rPr>
        <w:t xml:space="preserve">•We have created an opt-in Total Home Panel, which can capture data that runs through a home's internet connection. This expands our intelligence to include such activity as game </w:t>
      </w:r>
      <w:r>
        <w:rPr>
          <w:rFonts w:eastAsia="Times New Roman"/>
          <w:color w:val="000000"/>
          <w:sz w:val="20"/>
          <w:szCs w:val="20"/>
        </w:rPr>
        <w:t>console and Internet of Things ("IOT") device usage.</w:t>
      </w:r>
    </w:p>
    <w:p w:rsidR="00000000" w:rsidRDefault="00971A12">
      <w:pPr>
        <w:ind w:hanging="360"/>
        <w:jc w:val="both"/>
        <w:divId w:val="260771088"/>
        <w:rPr>
          <w:rFonts w:eastAsia="Times New Roman"/>
        </w:rPr>
      </w:pPr>
      <w:r>
        <w:rPr>
          <w:rFonts w:eastAsia="Times New Roman"/>
          <w:color w:val="000000"/>
          <w:sz w:val="20"/>
          <w:szCs w:val="20"/>
        </w:rPr>
        <w:t>•</w:t>
      </w:r>
      <w:r>
        <w:rPr>
          <w:rFonts w:eastAsia="Times New Roman"/>
          <w:color w:val="000000"/>
          <w:sz w:val="20"/>
          <w:szCs w:val="20"/>
        </w:rPr>
        <w:t>We collect content and advertising data from major social platforms for measurement, audience, and lift analysis.</w:t>
      </w:r>
    </w:p>
    <w:p w:rsidR="00000000" w:rsidRDefault="00971A12">
      <w:pPr>
        <w:jc w:val="center"/>
        <w:divId w:val="588076123"/>
        <w:rPr>
          <w:rFonts w:eastAsia="Times New Roman"/>
        </w:rPr>
      </w:pPr>
      <w:r>
        <w:rPr>
          <w:rFonts w:eastAsia="Times New Roman"/>
          <w:color w:val="000000"/>
          <w:sz w:val="20"/>
          <w:szCs w:val="20"/>
        </w:rPr>
        <w:t>2</w:t>
      </w:r>
    </w:p>
    <w:p w:rsidR="00000000" w:rsidRDefault="00971A12">
      <w:pPr>
        <w:rPr>
          <w:rFonts w:eastAsia="Times New Roman"/>
        </w:rPr>
      </w:pPr>
      <w:r>
        <w:rPr>
          <w:rFonts w:eastAsia="Times New Roman"/>
        </w:rPr>
        <w:pict>
          <v:rect id="_x0000_i1029" style="width:0;height:1.5pt" o:hralign="center" o:hrstd="t" o:hr="t" fillcolor="#a0a0a0" stroked="f"/>
        </w:pict>
      </w:r>
    </w:p>
    <w:p w:rsidR="00000000" w:rsidRDefault="00971A12">
      <w:pPr>
        <w:divId w:val="394162071"/>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470099513"/>
        <w:rPr>
          <w:rFonts w:eastAsia="Times New Roman"/>
        </w:rPr>
      </w:pPr>
    </w:p>
    <w:p w:rsidR="00000000" w:rsidRDefault="00971A12">
      <w:pPr>
        <w:jc w:val="both"/>
        <w:divId w:val="1838301992"/>
        <w:rPr>
          <w:rFonts w:eastAsia="Times New Roman"/>
        </w:rPr>
      </w:pPr>
      <w:r>
        <w:rPr>
          <w:rFonts w:eastAsia="Times New Roman"/>
          <w:color w:val="000000"/>
          <w:sz w:val="20"/>
          <w:szCs w:val="20"/>
          <w:u w:val="single"/>
        </w:rPr>
        <w:t>Data Science and Management</w:t>
      </w:r>
    </w:p>
    <w:p w:rsidR="00000000" w:rsidRDefault="00971A12">
      <w:pPr>
        <w:jc w:val="both"/>
        <w:divId w:val="1925383409"/>
        <w:rPr>
          <w:rFonts w:eastAsia="Times New Roman"/>
        </w:rPr>
      </w:pPr>
      <w:r>
        <w:rPr>
          <w:rFonts w:eastAsia="Times New Roman"/>
          <w:color w:val="000000"/>
          <w:sz w:val="20"/>
          <w:szCs w:val="20"/>
        </w:rPr>
        <w:t>The ability to integrate, manage and transform massive amounts of data is core to our company. We continue to invest in technologies to enable large-scale measurement with protection of consumer p</w:t>
      </w:r>
      <w:r>
        <w:rPr>
          <w:rFonts w:eastAsia="Times New Roman"/>
          <w:color w:val="000000"/>
          <w:sz w:val="20"/>
          <w:szCs w:val="20"/>
        </w:rPr>
        <w:t>rivacy and attractive economics. Our systems contain multiple redundancies and advanced distributed processing technologies. We have created innovations such as:</w:t>
      </w:r>
    </w:p>
    <w:p w:rsidR="00000000" w:rsidRDefault="00971A12">
      <w:pPr>
        <w:ind w:hanging="360"/>
        <w:jc w:val="both"/>
        <w:divId w:val="626548718"/>
        <w:rPr>
          <w:rFonts w:eastAsia="Times New Roman"/>
        </w:rPr>
      </w:pPr>
      <w:r>
        <w:rPr>
          <w:rFonts w:eastAsia="Times New Roman"/>
          <w:i/>
          <w:iCs/>
          <w:color w:val="000000"/>
          <w:sz w:val="20"/>
          <w:szCs w:val="20"/>
        </w:rPr>
        <w:t>•</w:t>
      </w:r>
      <w:r>
        <w:rPr>
          <w:rFonts w:eastAsia="Times New Roman"/>
          <w:color w:val="000000"/>
          <w:sz w:val="20"/>
          <w:szCs w:val="20"/>
        </w:rPr>
        <w:t>Our United Digital Measurement</w:t>
      </w:r>
      <w:r>
        <w:rPr>
          <w:rFonts w:eastAsia="Times New Roman"/>
          <w:i/>
          <w:iCs/>
          <w:color w:val="000000"/>
          <w:sz w:val="20"/>
          <w:szCs w:val="20"/>
        </w:rPr>
        <w:t>®</w:t>
      </w:r>
      <w:r>
        <w:rPr>
          <w:rFonts w:eastAsia="Times New Roman"/>
          <w:color w:val="000000"/>
          <w:sz w:val="20"/>
          <w:szCs w:val="20"/>
        </w:rPr>
        <w:t xml:space="preserve"> </w:t>
      </w:r>
      <w:r>
        <w:rPr>
          <w:rFonts w:eastAsia="Times New Roman"/>
          <w:color w:val="000000"/>
          <w:sz w:val="20"/>
          <w:szCs w:val="20"/>
        </w:rPr>
        <w:t xml:space="preserve">("UDM") methodology, which allows us to combine person-centric panel data with website server data. We believe this gives our customers greater accuracy, granularity and relevance in audience measurement. </w:t>
      </w:r>
    </w:p>
    <w:p w:rsidR="00000000" w:rsidRDefault="00971A12">
      <w:pPr>
        <w:ind w:hanging="360"/>
        <w:jc w:val="both"/>
        <w:divId w:val="1149907110"/>
        <w:rPr>
          <w:rFonts w:eastAsia="Times New Roman"/>
        </w:rPr>
      </w:pPr>
      <w:r>
        <w:rPr>
          <w:rFonts w:eastAsia="Times New Roman"/>
          <w:color w:val="000000"/>
          <w:sz w:val="20"/>
          <w:szCs w:val="20"/>
        </w:rPr>
        <w:t>•Our TV measurement systems, underpinned by multip</w:t>
      </w:r>
      <w:r>
        <w:rPr>
          <w:rFonts w:eastAsia="Times New Roman"/>
          <w:color w:val="000000"/>
          <w:sz w:val="20"/>
          <w:szCs w:val="20"/>
        </w:rPr>
        <w:t xml:space="preserve">le patents, which enable us to provide a consistent measurement of TV audience sizes across national, local, and addressable television to customers evaluating programming as well as customers selling and buying TV advertising. </w:t>
      </w:r>
    </w:p>
    <w:p w:rsidR="00000000" w:rsidRDefault="00971A12">
      <w:pPr>
        <w:ind w:hanging="360"/>
        <w:jc w:val="both"/>
        <w:divId w:val="1405104262"/>
        <w:rPr>
          <w:rFonts w:eastAsia="Times New Roman"/>
        </w:rPr>
      </w:pPr>
      <w:r>
        <w:rPr>
          <w:rFonts w:eastAsia="Times New Roman"/>
          <w:color w:val="000000"/>
          <w:sz w:val="20"/>
          <w:szCs w:val="20"/>
        </w:rPr>
        <w:t>•An ability to de-duplicate</w:t>
      </w:r>
      <w:r>
        <w:rPr>
          <w:rFonts w:eastAsia="Times New Roman"/>
          <w:color w:val="000000"/>
          <w:sz w:val="20"/>
          <w:szCs w:val="20"/>
        </w:rPr>
        <w:t xml:space="preserve"> audiences across platforms, which is based on direct observations within our consumer panel and census data combined with proprietary data science. This de-duplication allows us to measure the reach and frequency of advertising and content exposure across</w:t>
      </w:r>
      <w:r>
        <w:rPr>
          <w:rFonts w:eastAsia="Times New Roman"/>
          <w:color w:val="000000"/>
          <w:sz w:val="20"/>
          <w:szCs w:val="20"/>
        </w:rPr>
        <w:t xml:space="preserve"> platforms and over time.</w:t>
      </w:r>
    </w:p>
    <w:p w:rsidR="00000000" w:rsidRDefault="00971A12">
      <w:pPr>
        <w:ind w:hanging="360"/>
        <w:jc w:val="both"/>
        <w:divId w:val="191572147"/>
        <w:rPr>
          <w:rFonts w:eastAsia="Times New Roman"/>
        </w:rPr>
      </w:pPr>
      <w:r>
        <w:rPr>
          <w:rFonts w:eastAsia="Times New Roman"/>
          <w:color w:val="000000"/>
          <w:sz w:val="20"/>
          <w:szCs w:val="20"/>
        </w:rPr>
        <w:t>•An ability to capture the full content of a website or app session, which allows us to measure activity beyond page views such as purchase transactions, application submissions and product configurations.</w:t>
      </w:r>
    </w:p>
    <w:p w:rsidR="00000000" w:rsidRDefault="00971A12">
      <w:pPr>
        <w:ind w:hanging="360"/>
        <w:jc w:val="both"/>
        <w:divId w:val="1838494530"/>
        <w:rPr>
          <w:rFonts w:eastAsia="Times New Roman"/>
        </w:rPr>
      </w:pPr>
      <w:r>
        <w:rPr>
          <w:rFonts w:eastAsia="Times New Roman"/>
          <w:color w:val="000000"/>
          <w:sz w:val="20"/>
          <w:szCs w:val="20"/>
        </w:rPr>
        <w:t>•An ability to intellige</w:t>
      </w:r>
      <w:r>
        <w:rPr>
          <w:rFonts w:eastAsia="Times New Roman"/>
          <w:color w:val="000000"/>
          <w:sz w:val="20"/>
          <w:szCs w:val="20"/>
        </w:rPr>
        <w:t>ntly categorize massive amounts of web and video content, which allows us to inform targeted and brand-safe advertising.</w:t>
      </w:r>
    </w:p>
    <w:p w:rsidR="00000000" w:rsidRDefault="00971A12">
      <w:pPr>
        <w:jc w:val="both"/>
        <w:divId w:val="2064865986"/>
        <w:rPr>
          <w:rFonts w:eastAsia="Times New Roman"/>
        </w:rPr>
      </w:pPr>
      <w:r>
        <w:rPr>
          <w:rFonts w:eastAsia="Times New Roman"/>
          <w:color w:val="000000"/>
          <w:sz w:val="20"/>
          <w:szCs w:val="20"/>
          <w:u w:val="single"/>
        </w:rPr>
        <w:t>Product Delivery</w:t>
      </w:r>
    </w:p>
    <w:p w:rsidR="00000000" w:rsidRDefault="00971A12">
      <w:pPr>
        <w:jc w:val="both"/>
        <w:divId w:val="1791169975"/>
        <w:rPr>
          <w:rFonts w:eastAsia="Times New Roman"/>
        </w:rPr>
      </w:pPr>
      <w:r>
        <w:rPr>
          <w:rFonts w:eastAsia="Times New Roman"/>
          <w:color w:val="000000"/>
          <w:sz w:val="20"/>
          <w:szCs w:val="20"/>
        </w:rPr>
        <w:t>We deliver our products and services through diverse methods to meet the needs of our customers. These include Softwar</w:t>
      </w:r>
      <w:r>
        <w:rPr>
          <w:rFonts w:eastAsia="Times New Roman"/>
          <w:color w:val="000000"/>
          <w:sz w:val="20"/>
          <w:szCs w:val="20"/>
        </w:rPr>
        <w:t>e-as-a-Service ("SAAS") delivery platforms, application programming interface and other data feeds that integrate directly with customer systems, and integrations with advertising technology providers such as data management platforms and demand-side platf</w:t>
      </w:r>
      <w:r>
        <w:rPr>
          <w:rFonts w:eastAsia="Times New Roman"/>
          <w:color w:val="000000"/>
          <w:sz w:val="20"/>
          <w:szCs w:val="20"/>
        </w:rPr>
        <w:t>orms that enable data management, ad management and programmatic ad trading.</w:t>
      </w:r>
    </w:p>
    <w:p w:rsidR="00000000" w:rsidRDefault="00971A12">
      <w:pPr>
        <w:jc w:val="both"/>
        <w:divId w:val="537664957"/>
        <w:rPr>
          <w:rFonts w:eastAsia="Times New Roman"/>
        </w:rPr>
      </w:pPr>
      <w:r>
        <w:rPr>
          <w:rFonts w:eastAsia="Times New Roman"/>
          <w:b/>
          <w:bCs/>
          <w:color w:val="000000"/>
          <w:sz w:val="20"/>
          <w:szCs w:val="20"/>
        </w:rPr>
        <w:t>Our Products and Services</w:t>
      </w:r>
    </w:p>
    <w:p w:rsidR="00000000" w:rsidRDefault="00971A12">
      <w:pPr>
        <w:jc w:val="both"/>
        <w:divId w:val="2133210529"/>
        <w:rPr>
          <w:rFonts w:eastAsia="Times New Roman"/>
        </w:rPr>
      </w:pPr>
      <w:r>
        <w:rPr>
          <w:rFonts w:eastAsia="Times New Roman"/>
          <w:color w:val="000000"/>
          <w:sz w:val="20"/>
          <w:szCs w:val="20"/>
        </w:rPr>
        <w:t>Our products and services help our customers measure audiences and consumer behavior across media platforms, while offering validation of advertising del</w:t>
      </w:r>
      <w:r>
        <w:rPr>
          <w:rFonts w:eastAsia="Times New Roman"/>
          <w:color w:val="000000"/>
          <w:sz w:val="20"/>
          <w:szCs w:val="20"/>
        </w:rPr>
        <w:t>ivery and its effectiveness. Our customers include:</w:t>
      </w:r>
    </w:p>
    <w:p w:rsidR="00000000" w:rsidRDefault="00971A12">
      <w:pPr>
        <w:ind w:hanging="360"/>
        <w:jc w:val="both"/>
        <w:divId w:val="1975984322"/>
        <w:rPr>
          <w:rFonts w:eastAsia="Times New Roman"/>
        </w:rPr>
      </w:pPr>
      <w:r>
        <w:rPr>
          <w:rFonts w:eastAsia="Times New Roman"/>
          <w:color w:val="000000"/>
          <w:sz w:val="20"/>
          <w:szCs w:val="20"/>
        </w:rPr>
        <w:t>•Local and national television broadcasters and content owners;</w:t>
      </w:r>
    </w:p>
    <w:p w:rsidR="00000000" w:rsidRDefault="00971A12">
      <w:pPr>
        <w:ind w:hanging="360"/>
        <w:jc w:val="both"/>
        <w:divId w:val="1328022772"/>
        <w:rPr>
          <w:rFonts w:eastAsia="Times New Roman"/>
        </w:rPr>
      </w:pPr>
      <w:r>
        <w:rPr>
          <w:rFonts w:eastAsia="Times New Roman"/>
          <w:color w:val="000000"/>
          <w:sz w:val="20"/>
          <w:szCs w:val="20"/>
        </w:rPr>
        <w:t>•</w:t>
      </w:r>
      <w:r>
        <w:rPr>
          <w:rFonts w:eastAsia="Times New Roman"/>
          <w:color w:val="000000"/>
          <w:sz w:val="20"/>
          <w:szCs w:val="20"/>
        </w:rPr>
        <w:t>Network operators including cable companies, mobile operators and internet service providers;</w:t>
      </w:r>
    </w:p>
    <w:p w:rsidR="00000000" w:rsidRDefault="00971A12">
      <w:pPr>
        <w:ind w:hanging="360"/>
        <w:jc w:val="both"/>
        <w:divId w:val="426511515"/>
        <w:rPr>
          <w:rFonts w:eastAsia="Times New Roman"/>
        </w:rPr>
      </w:pPr>
      <w:r>
        <w:rPr>
          <w:rFonts w:eastAsia="Times New Roman"/>
          <w:color w:val="000000"/>
          <w:sz w:val="20"/>
          <w:szCs w:val="20"/>
        </w:rPr>
        <w:t>•Distributors of streaming video content;</w:t>
      </w:r>
    </w:p>
    <w:p w:rsidR="00000000" w:rsidRDefault="00971A12">
      <w:pPr>
        <w:ind w:hanging="360"/>
        <w:jc w:val="both"/>
        <w:divId w:val="857960576"/>
        <w:rPr>
          <w:rFonts w:eastAsia="Times New Roman"/>
        </w:rPr>
      </w:pPr>
      <w:r>
        <w:rPr>
          <w:rFonts w:eastAsia="Times New Roman"/>
          <w:color w:val="000000"/>
          <w:sz w:val="20"/>
          <w:szCs w:val="20"/>
        </w:rPr>
        <w:t xml:space="preserve">•Digital content publishers and internet technology companies; </w:t>
      </w:r>
    </w:p>
    <w:p w:rsidR="00000000" w:rsidRDefault="00971A12">
      <w:pPr>
        <w:ind w:hanging="360"/>
        <w:jc w:val="both"/>
        <w:divId w:val="263154537"/>
        <w:rPr>
          <w:rFonts w:eastAsia="Times New Roman"/>
        </w:rPr>
      </w:pPr>
      <w:r>
        <w:rPr>
          <w:rFonts w:eastAsia="Times New Roman"/>
          <w:color w:val="000000"/>
          <w:sz w:val="20"/>
          <w:szCs w:val="20"/>
        </w:rPr>
        <w:t xml:space="preserve">•Advertising technology companies that aggregate supply </w:t>
      </w:r>
      <w:r>
        <w:rPr>
          <w:rFonts w:eastAsia="Times New Roman"/>
          <w:color w:val="000000"/>
          <w:sz w:val="20"/>
          <w:szCs w:val="20"/>
        </w:rPr>
        <w:t xml:space="preserve">and demand side inventory for sale to end customers; </w:t>
      </w:r>
    </w:p>
    <w:p w:rsidR="00000000" w:rsidRDefault="00971A12">
      <w:pPr>
        <w:ind w:hanging="360"/>
        <w:jc w:val="both"/>
        <w:divId w:val="1078937450"/>
        <w:rPr>
          <w:rFonts w:eastAsia="Times New Roman"/>
        </w:rPr>
      </w:pPr>
      <w:r>
        <w:rPr>
          <w:rFonts w:eastAsia="Times New Roman"/>
          <w:color w:val="000000"/>
          <w:sz w:val="20"/>
          <w:szCs w:val="20"/>
        </w:rPr>
        <w:t>•Advertising agencies;</w:t>
      </w:r>
    </w:p>
    <w:p w:rsidR="00000000" w:rsidRDefault="00971A12">
      <w:pPr>
        <w:ind w:hanging="360"/>
        <w:jc w:val="both"/>
        <w:divId w:val="1160198597"/>
        <w:rPr>
          <w:rFonts w:eastAsia="Times New Roman"/>
        </w:rPr>
      </w:pPr>
      <w:r>
        <w:rPr>
          <w:rFonts w:eastAsia="Times New Roman"/>
          <w:color w:val="000000"/>
          <w:sz w:val="20"/>
          <w:szCs w:val="20"/>
        </w:rPr>
        <w:t>•Movie studios and movie theater operators;</w:t>
      </w:r>
    </w:p>
    <w:p w:rsidR="00000000" w:rsidRDefault="00971A12">
      <w:pPr>
        <w:ind w:hanging="360"/>
        <w:jc w:val="both"/>
        <w:divId w:val="1369793391"/>
        <w:rPr>
          <w:rFonts w:eastAsia="Times New Roman"/>
        </w:rPr>
      </w:pPr>
      <w:r>
        <w:rPr>
          <w:rFonts w:eastAsia="Times New Roman"/>
          <w:color w:val="000000"/>
          <w:sz w:val="20"/>
          <w:szCs w:val="20"/>
        </w:rPr>
        <w:t>•Financial service companies, including investment firms, consumer banks and credit card issuers;</w:t>
      </w:r>
    </w:p>
    <w:p w:rsidR="00000000" w:rsidRDefault="00971A12">
      <w:pPr>
        <w:ind w:hanging="360"/>
        <w:jc w:val="both"/>
        <w:divId w:val="763190425"/>
        <w:rPr>
          <w:rFonts w:eastAsia="Times New Roman"/>
        </w:rPr>
      </w:pPr>
      <w:r>
        <w:rPr>
          <w:rFonts w:eastAsia="Times New Roman"/>
          <w:color w:val="000000"/>
          <w:sz w:val="20"/>
          <w:szCs w:val="20"/>
        </w:rPr>
        <w:t>•Manufacturers and retailers of consu</w:t>
      </w:r>
      <w:r>
        <w:rPr>
          <w:rFonts w:eastAsia="Times New Roman"/>
          <w:color w:val="000000"/>
          <w:sz w:val="20"/>
          <w:szCs w:val="20"/>
        </w:rPr>
        <w:t>mer products such as consumer packaged goods, pharmaceuticals, automotive and electronics; and</w:t>
      </w:r>
    </w:p>
    <w:p w:rsidR="00000000" w:rsidRDefault="00971A12">
      <w:pPr>
        <w:ind w:hanging="360"/>
        <w:jc w:val="both"/>
        <w:divId w:val="219100560"/>
        <w:rPr>
          <w:rFonts w:eastAsia="Times New Roman"/>
        </w:rPr>
      </w:pPr>
      <w:r>
        <w:rPr>
          <w:rFonts w:eastAsia="Times New Roman"/>
          <w:color w:val="000000"/>
          <w:sz w:val="20"/>
          <w:szCs w:val="20"/>
        </w:rPr>
        <w:t xml:space="preserve">•Political campaigns and related organizations. </w:t>
      </w:r>
    </w:p>
    <w:p w:rsidR="00000000" w:rsidRDefault="00971A12">
      <w:pPr>
        <w:jc w:val="both"/>
        <w:divId w:val="2082406962"/>
        <w:rPr>
          <w:rFonts w:eastAsia="Times New Roman"/>
        </w:rPr>
      </w:pPr>
      <w:r>
        <w:rPr>
          <w:rFonts w:eastAsia="Times New Roman"/>
          <w:color w:val="000000"/>
          <w:sz w:val="20"/>
          <w:szCs w:val="20"/>
        </w:rPr>
        <w:t>During 2022, our products and services were organized around two solution groups:</w:t>
      </w:r>
    </w:p>
    <w:p w:rsidR="00000000" w:rsidRDefault="00971A12">
      <w:pPr>
        <w:ind w:hanging="360"/>
        <w:divId w:val="1117943781"/>
        <w:rPr>
          <w:rFonts w:eastAsia="Times New Roman"/>
        </w:rPr>
      </w:pPr>
      <w:r>
        <w:rPr>
          <w:rFonts w:eastAsia="Times New Roman"/>
          <w:color w:val="000000"/>
          <w:sz w:val="20"/>
          <w:szCs w:val="20"/>
        </w:rPr>
        <w:t>•    Digital Ad Solutions prov</w:t>
      </w:r>
      <w:r>
        <w:rPr>
          <w:rFonts w:eastAsia="Times New Roman"/>
          <w:color w:val="000000"/>
          <w:sz w:val="20"/>
          <w:szCs w:val="20"/>
        </w:rPr>
        <w:t xml:space="preserve">ide measurement of the behavior and characteristics of audiences across digital platforms, including computers, tablets, mobile and other connected devices. This solution group also includes custom offerings that provide end-to-end solutions for planning, </w:t>
      </w:r>
      <w:r>
        <w:rPr>
          <w:rFonts w:eastAsia="Times New Roman"/>
          <w:color w:val="000000"/>
          <w:sz w:val="20"/>
          <w:szCs w:val="20"/>
        </w:rPr>
        <w:t xml:space="preserve">optimization and evaluation of advertising campaigns and brand protection across digital platforms, including transactional outcome-based measurement driven by our Activation and </w:t>
      </w:r>
      <w:r>
        <w:rPr>
          <w:rFonts w:eastAsia="Times New Roman"/>
          <w:color w:val="000000"/>
          <w:sz w:val="20"/>
          <w:szCs w:val="20"/>
          <w:shd w:val="clear" w:color="auto" w:fill="FFFFFF"/>
        </w:rPr>
        <w:t>Comscore Campaign Ratings ("CCR")</w:t>
      </w:r>
      <w:r>
        <w:rPr>
          <w:rFonts w:eastAsia="Times New Roman"/>
          <w:color w:val="000000"/>
          <w:sz w:val="20"/>
          <w:szCs w:val="20"/>
        </w:rPr>
        <w:t xml:space="preserve"> products.</w:t>
      </w:r>
    </w:p>
    <w:p w:rsidR="00000000" w:rsidRDefault="00971A12">
      <w:pPr>
        <w:ind w:hanging="360"/>
        <w:divId w:val="950211230"/>
        <w:rPr>
          <w:rFonts w:eastAsia="Times New Roman"/>
        </w:rPr>
      </w:pPr>
      <w:r>
        <w:rPr>
          <w:rFonts w:eastAsia="Times New Roman"/>
          <w:color w:val="000000"/>
          <w:sz w:val="20"/>
          <w:szCs w:val="20"/>
        </w:rPr>
        <w:t>•    Cross Platform Solutions pro</w:t>
      </w:r>
      <w:r>
        <w:rPr>
          <w:rFonts w:eastAsia="Times New Roman"/>
          <w:color w:val="000000"/>
          <w:sz w:val="20"/>
          <w:szCs w:val="20"/>
        </w:rPr>
        <w:t>vide measurement of content and advertising audiences across local, national and addressable television, including consumption through connected (Smart) televisions, and are designed to help customers find the most relevant viewing audience whether that vi</w:t>
      </w:r>
      <w:r>
        <w:rPr>
          <w:rFonts w:eastAsia="Times New Roman"/>
          <w:color w:val="000000"/>
          <w:sz w:val="20"/>
          <w:szCs w:val="20"/>
        </w:rPr>
        <w:t>ewing is linear, non-linear, online or on-demand. This solution group also includes custom offerings that provide end-to-end solutions for planning, optimization and evaluation of advertising campaigns across platforms. In addition, this solution group inc</w:t>
      </w:r>
      <w:r>
        <w:rPr>
          <w:rFonts w:eastAsia="Times New Roman"/>
          <w:color w:val="000000"/>
          <w:sz w:val="20"/>
          <w:szCs w:val="20"/>
        </w:rPr>
        <w:t>ludes products that measure movie viewership and box office results by capturing movie ticket sales in real time or near real time and includes box office analytics, trend analysis and insights for movie studios and movie theater operators worldwide.</w:t>
      </w:r>
    </w:p>
    <w:p w:rsidR="00000000" w:rsidRDefault="00971A12">
      <w:pPr>
        <w:jc w:val="center"/>
        <w:divId w:val="1457867316"/>
        <w:rPr>
          <w:rFonts w:eastAsia="Times New Roman"/>
        </w:rPr>
      </w:pPr>
      <w:r>
        <w:rPr>
          <w:rFonts w:eastAsia="Times New Roman"/>
          <w:color w:val="000000"/>
          <w:sz w:val="20"/>
          <w:szCs w:val="20"/>
        </w:rPr>
        <w:t>3</w:t>
      </w:r>
    </w:p>
    <w:p w:rsidR="00000000" w:rsidRDefault="00971A12">
      <w:pPr>
        <w:rPr>
          <w:rFonts w:eastAsia="Times New Roman"/>
        </w:rPr>
      </w:pPr>
      <w:r>
        <w:rPr>
          <w:rFonts w:eastAsia="Times New Roman"/>
        </w:rPr>
        <w:pict>
          <v:rect id="_x0000_i1030" style="width:0;height:1.5pt" o:hralign="center" o:hrstd="t" o:hr="t" fillcolor="#a0a0a0" stroked="f"/>
        </w:pict>
      </w:r>
    </w:p>
    <w:p w:rsidR="00000000" w:rsidRDefault="00971A12">
      <w:pPr>
        <w:divId w:val="1289048072"/>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558974597"/>
        <w:rPr>
          <w:rFonts w:eastAsia="Times New Roman"/>
        </w:rPr>
      </w:pPr>
    </w:p>
    <w:p w:rsidR="00000000" w:rsidRDefault="00971A12">
      <w:pPr>
        <w:jc w:val="both"/>
        <w:divId w:val="1383404062"/>
        <w:rPr>
          <w:rFonts w:eastAsia="Times New Roman"/>
        </w:rPr>
      </w:pPr>
      <w:r>
        <w:rPr>
          <w:rFonts w:eastAsia="Times New Roman"/>
          <w:color w:val="000000"/>
          <w:sz w:val="20"/>
          <w:szCs w:val="20"/>
          <w:shd w:val="clear" w:color="auto" w:fill="FFFFFF"/>
        </w:rPr>
        <w:t>We categorize our revenue for 2022 and prior periods along these two solution groups; however, our shared cost structure is defined and tracked by function and not by our solution groups. These shared costs include employee costs, operational overhead, dat</w:t>
      </w:r>
      <w:r>
        <w:rPr>
          <w:rFonts w:eastAsia="Times New Roman"/>
          <w:color w:val="000000"/>
          <w:sz w:val="20"/>
          <w:szCs w:val="20"/>
          <w:shd w:val="clear" w:color="auto" w:fill="FFFFFF"/>
        </w:rPr>
        <w:t>a centers and our technology that supports our product offerings.</w:t>
      </w:r>
    </w:p>
    <w:p w:rsidR="00000000" w:rsidRDefault="00971A12">
      <w:pPr>
        <w:jc w:val="both"/>
        <w:divId w:val="292492726"/>
        <w:rPr>
          <w:rFonts w:eastAsia="Times New Roman"/>
        </w:rPr>
      </w:pPr>
      <w:r>
        <w:rPr>
          <w:rFonts w:eastAsia="Times New Roman"/>
          <w:b/>
          <w:bCs/>
          <w:color w:val="000000"/>
          <w:sz w:val="20"/>
          <w:szCs w:val="20"/>
          <w:shd w:val="clear" w:color="auto" w:fill="FFFFFF"/>
        </w:rPr>
        <w:t>Digital Ad Solutions products and services include</w:t>
      </w:r>
      <w:r>
        <w:rPr>
          <w:rFonts w:eastAsia="Times New Roman"/>
          <w:color w:val="000000"/>
          <w:sz w:val="20"/>
          <w:szCs w:val="20"/>
          <w:shd w:val="clear" w:color="auto" w:fill="FFFFFF"/>
        </w:rPr>
        <w:t>:</w:t>
      </w:r>
    </w:p>
    <w:p w:rsidR="00000000" w:rsidRDefault="00971A12">
      <w:pPr>
        <w:ind w:hanging="360"/>
        <w:jc w:val="both"/>
        <w:divId w:val="1865896779"/>
        <w:rPr>
          <w:rFonts w:eastAsia="Times New Roman"/>
        </w:rPr>
      </w:pPr>
      <w:r>
        <w:rPr>
          <w:rFonts w:eastAsia="Times New Roman"/>
          <w:color w:val="000000"/>
          <w:sz w:val="20"/>
          <w:szCs w:val="20"/>
          <w:shd w:val="clear" w:color="auto" w:fill="FFFFFF"/>
        </w:rPr>
        <w:t>•</w:t>
      </w:r>
      <w:r>
        <w:rPr>
          <w:rFonts w:eastAsia="Times New Roman"/>
          <w:color w:val="000000"/>
          <w:sz w:val="20"/>
          <w:szCs w:val="20"/>
          <w:shd w:val="clear" w:color="auto" w:fill="FFFFFF"/>
        </w:rPr>
        <w:t>Media Metrix Multi-Platform and Mobile Metrix, which measure websites and apps on computers, smartphones and tablets across dozens of countries, are leading currencies for online media planning and enable customers to analyze audience size, reach, engageme</w:t>
      </w:r>
      <w:r>
        <w:rPr>
          <w:rFonts w:eastAsia="Times New Roman"/>
          <w:color w:val="000000"/>
          <w:sz w:val="20"/>
          <w:szCs w:val="20"/>
          <w:shd w:val="clear" w:color="auto" w:fill="FFFFFF"/>
        </w:rPr>
        <w:t>nt, demographics and other characteristics. Publishers use Media Metrix Multi-Platform and Mobile Metrix to demonstrate the value of their audiences and understand market dynamics, and advertisers and their agencies use Media Metrix Multi-Platform and Mobi</w:t>
      </w:r>
      <w:r>
        <w:rPr>
          <w:rFonts w:eastAsia="Times New Roman"/>
          <w:color w:val="000000"/>
          <w:sz w:val="20"/>
          <w:szCs w:val="20"/>
          <w:shd w:val="clear" w:color="auto" w:fill="FFFFFF"/>
        </w:rPr>
        <w:t>le Metrix to plan and execute effective marketing and content campaigns. These products also provide competitive intelligence such as cross-site visiting patterns, traffic source/loss reporting and local market trends.</w:t>
      </w:r>
    </w:p>
    <w:p w:rsidR="00000000" w:rsidRDefault="00971A12">
      <w:pPr>
        <w:ind w:hanging="360"/>
        <w:jc w:val="both"/>
        <w:divId w:val="1975213568"/>
        <w:rPr>
          <w:rFonts w:eastAsia="Times New Roman"/>
        </w:rPr>
      </w:pPr>
      <w:r>
        <w:rPr>
          <w:rFonts w:eastAsia="Times New Roman"/>
          <w:color w:val="000000"/>
          <w:sz w:val="20"/>
          <w:szCs w:val="20"/>
          <w:shd w:val="clear" w:color="auto" w:fill="FFFFFF"/>
        </w:rPr>
        <w:t>•Video Metrix Multi-Platform, which d</w:t>
      </w:r>
      <w:r>
        <w:rPr>
          <w:rFonts w:eastAsia="Times New Roman"/>
          <w:color w:val="000000"/>
          <w:sz w:val="20"/>
          <w:szCs w:val="20"/>
          <w:shd w:val="clear" w:color="auto" w:fill="FFFFFF"/>
        </w:rPr>
        <w:t>elivers unduplicated measurement of digital video consumption across computer, smartphone, tablet and connected TV ("CTV") devices and provides TV-comparable reach and engagement metrics, as well as audience demographics.</w:t>
      </w:r>
    </w:p>
    <w:p w:rsidR="00000000" w:rsidRDefault="00971A12">
      <w:pPr>
        <w:ind w:hanging="360"/>
        <w:jc w:val="both"/>
        <w:divId w:val="1011032523"/>
        <w:rPr>
          <w:rFonts w:eastAsia="Times New Roman"/>
        </w:rPr>
      </w:pPr>
      <w:r>
        <w:rPr>
          <w:rFonts w:eastAsia="Times New Roman"/>
          <w:color w:val="000000"/>
          <w:sz w:val="20"/>
          <w:szCs w:val="20"/>
          <w:shd w:val="clear" w:color="auto" w:fill="FFFFFF"/>
        </w:rPr>
        <w:t>•Plan Metrix, which provides an un</w:t>
      </w:r>
      <w:r>
        <w:rPr>
          <w:rFonts w:eastAsia="Times New Roman"/>
          <w:color w:val="000000"/>
          <w:sz w:val="20"/>
          <w:szCs w:val="20"/>
          <w:shd w:val="clear" w:color="auto" w:fill="FFFFFF"/>
        </w:rPr>
        <w:t>derstanding of consumer lifestyle, buying and other consumption habits, online and offline, by integrating attitudes and interests with online behavior and provides customers with insight into patterns and trends needed to develop and execute advertising a</w:t>
      </w:r>
      <w:r>
        <w:rPr>
          <w:rFonts w:eastAsia="Times New Roman"/>
          <w:color w:val="000000"/>
          <w:sz w:val="20"/>
          <w:szCs w:val="20"/>
          <w:shd w:val="clear" w:color="auto" w:fill="FFFFFF"/>
        </w:rPr>
        <w:t>nd marketing campaigns.</w:t>
      </w:r>
    </w:p>
    <w:p w:rsidR="00000000" w:rsidRDefault="00971A12">
      <w:pPr>
        <w:ind w:hanging="360"/>
        <w:jc w:val="both"/>
        <w:divId w:val="67197114"/>
        <w:rPr>
          <w:rFonts w:eastAsia="Times New Roman"/>
        </w:rPr>
      </w:pPr>
      <w:r>
        <w:rPr>
          <w:rFonts w:eastAsia="Times New Roman"/>
          <w:color w:val="000000"/>
          <w:sz w:val="20"/>
          <w:szCs w:val="20"/>
          <w:shd w:val="clear" w:color="auto" w:fill="FFFFFF"/>
        </w:rPr>
        <w:t>•Total Home Panel Suite, including CTV Intelligence and Connected Home, which capture CTV and IOT device usage and content consumption. Comscore Connected Home enables users to better understand consumer engagement with technology a</w:t>
      </w:r>
      <w:r>
        <w:rPr>
          <w:rFonts w:eastAsia="Times New Roman"/>
          <w:color w:val="000000"/>
          <w:sz w:val="20"/>
          <w:szCs w:val="20"/>
          <w:shd w:val="clear" w:color="auto" w:fill="FFFFFF"/>
        </w:rPr>
        <w:t>nd media by measuring behavior across network and router-connected devices in the home. Comscore CTV Intelligence provides clients with critical insight into consumer streaming activity on TV-connected devices, including smart TVs, streaming sticks and box</w:t>
      </w:r>
      <w:r>
        <w:rPr>
          <w:rFonts w:eastAsia="Times New Roman"/>
          <w:color w:val="000000"/>
          <w:sz w:val="20"/>
          <w:szCs w:val="20"/>
          <w:shd w:val="clear" w:color="auto" w:fill="FFFFFF"/>
        </w:rPr>
        <w:t xml:space="preserve">es, and gaming consoles. </w:t>
      </w:r>
    </w:p>
    <w:p w:rsidR="00000000" w:rsidRDefault="00971A12">
      <w:pPr>
        <w:ind w:hanging="360"/>
        <w:jc w:val="both"/>
        <w:divId w:val="1791967881"/>
        <w:rPr>
          <w:rFonts w:eastAsia="Times New Roman"/>
        </w:rPr>
      </w:pPr>
      <w:r>
        <w:rPr>
          <w:rFonts w:eastAsia="Times New Roman"/>
          <w:color w:val="000000"/>
          <w:sz w:val="20"/>
          <w:szCs w:val="20"/>
          <w:shd w:val="clear" w:color="auto" w:fill="FFFFFF"/>
        </w:rPr>
        <w:t>•CCR, which expands upon validated Campaign Essentials ("vCE") verification of mobile and desktop video campaigns with the addition of video advertising delivered via digital, CTV and TV and provides unduplicated reporting that en</w:t>
      </w:r>
      <w:r>
        <w:rPr>
          <w:rFonts w:eastAsia="Times New Roman"/>
          <w:color w:val="000000"/>
          <w:sz w:val="20"/>
          <w:szCs w:val="20"/>
          <w:shd w:val="clear" w:color="auto" w:fill="FFFFFF"/>
        </w:rPr>
        <w:t xml:space="preserve">ables ad buyers and sellers to negotiate and evaluate campaigns across media platforms. </w:t>
      </w:r>
    </w:p>
    <w:p w:rsidR="00000000" w:rsidRDefault="00971A12">
      <w:pPr>
        <w:ind w:hanging="360"/>
        <w:jc w:val="both"/>
        <w:divId w:val="580677059"/>
        <w:rPr>
          <w:rFonts w:eastAsia="Times New Roman"/>
        </w:rPr>
      </w:pPr>
      <w:r>
        <w:rPr>
          <w:rFonts w:eastAsia="Times New Roman"/>
          <w:color w:val="000000"/>
          <w:sz w:val="20"/>
          <w:szCs w:val="20"/>
          <w:shd w:val="clear" w:color="auto" w:fill="FFFFFF"/>
        </w:rPr>
        <w:t>•XMedia Enhanced, which provides a deduplicated view of national programming content across TV, digital, and CTV platforms.</w:t>
      </w:r>
    </w:p>
    <w:p w:rsidR="00000000" w:rsidRDefault="00971A12">
      <w:pPr>
        <w:ind w:hanging="360"/>
        <w:jc w:val="both"/>
        <w:divId w:val="1895197869"/>
        <w:rPr>
          <w:rFonts w:eastAsia="Times New Roman"/>
        </w:rPr>
      </w:pPr>
      <w:r>
        <w:rPr>
          <w:rFonts w:eastAsia="Times New Roman"/>
          <w:b/>
          <w:bCs/>
          <w:color w:val="000000"/>
          <w:sz w:val="20"/>
          <w:szCs w:val="20"/>
          <w:shd w:val="clear" w:color="auto" w:fill="FFFFFF"/>
        </w:rPr>
        <w:t>•</w:t>
      </w:r>
      <w:r>
        <w:rPr>
          <w:rFonts w:eastAsia="Times New Roman"/>
          <w:color w:val="000000"/>
          <w:sz w:val="20"/>
          <w:szCs w:val="20"/>
          <w:shd w:val="clear" w:color="auto" w:fill="FFFFFF"/>
        </w:rPr>
        <w:t>Comscore Marketing Solutions, which provid</w:t>
      </w:r>
      <w:r>
        <w:rPr>
          <w:rFonts w:eastAsia="Times New Roman"/>
          <w:color w:val="000000"/>
          <w:sz w:val="20"/>
          <w:szCs w:val="20"/>
          <w:shd w:val="clear" w:color="auto" w:fill="FFFFFF"/>
        </w:rPr>
        <w:t xml:space="preserve">e analytics that integrate online visitation and advertising data, TV viewing, purchase transactions, attitudinal research and other information assets. These custom deliverables are designed to meet client needs in specific industries such as automotive, </w:t>
      </w:r>
      <w:r>
        <w:rPr>
          <w:rFonts w:eastAsia="Times New Roman"/>
          <w:color w:val="000000"/>
          <w:sz w:val="20"/>
          <w:szCs w:val="20"/>
          <w:shd w:val="clear" w:color="auto" w:fill="FFFFFF"/>
        </w:rPr>
        <w:t>financial services, media, retail, travel, telecommunications and technology. Applications include path-to-purchase analyses, competitive benchmarking, market segmentation studies, and branded content analytics.</w:t>
      </w:r>
    </w:p>
    <w:p w:rsidR="00000000" w:rsidRDefault="00971A12">
      <w:pPr>
        <w:ind w:hanging="360"/>
        <w:jc w:val="both"/>
        <w:divId w:val="1335450141"/>
        <w:rPr>
          <w:rFonts w:eastAsia="Times New Roman"/>
        </w:rPr>
      </w:pPr>
      <w:r>
        <w:rPr>
          <w:rFonts w:eastAsia="Times New Roman"/>
          <w:color w:val="000000"/>
          <w:sz w:val="20"/>
          <w:szCs w:val="20"/>
          <w:shd w:val="clear" w:color="auto" w:fill="FFFFFF"/>
        </w:rPr>
        <w:t>•Lift Models, which measure the impact of ad</w:t>
      </w:r>
      <w:r>
        <w:rPr>
          <w:rFonts w:eastAsia="Times New Roman"/>
          <w:color w:val="000000"/>
          <w:sz w:val="20"/>
          <w:szCs w:val="20"/>
          <w:shd w:val="clear" w:color="auto" w:fill="FFFFFF"/>
        </w:rPr>
        <w:t xml:space="preserve">vertising on a brand across multiple behavioral and attitudinal dimensions such as brand awareness, purchase intent, online visitation, online and offline purchase behavior and retail store visitation, enabling customers to fine tune campaign strategy and </w:t>
      </w:r>
      <w:r>
        <w:rPr>
          <w:rFonts w:eastAsia="Times New Roman"/>
          <w:color w:val="000000"/>
          <w:sz w:val="20"/>
          <w:szCs w:val="20"/>
          <w:shd w:val="clear" w:color="auto" w:fill="FFFFFF"/>
        </w:rPr>
        <w:t>execution.</w:t>
      </w:r>
    </w:p>
    <w:p w:rsidR="00000000" w:rsidRDefault="00971A12">
      <w:pPr>
        <w:ind w:hanging="360"/>
        <w:jc w:val="both"/>
        <w:divId w:val="717977173"/>
        <w:rPr>
          <w:rFonts w:eastAsia="Times New Roman"/>
        </w:rPr>
      </w:pPr>
      <w:r>
        <w:rPr>
          <w:rFonts w:eastAsia="Times New Roman"/>
          <w:color w:val="000000"/>
          <w:sz w:val="20"/>
          <w:szCs w:val="20"/>
          <w:shd w:val="clear" w:color="auto" w:fill="FFFFFF"/>
        </w:rPr>
        <w:t>•Survey Analytics, which measure various types of consumer insights including brand health metrics.</w:t>
      </w:r>
    </w:p>
    <w:p w:rsidR="00000000" w:rsidRDefault="00971A12">
      <w:pPr>
        <w:ind w:hanging="360"/>
        <w:jc w:val="both"/>
        <w:divId w:val="1025401860"/>
        <w:rPr>
          <w:rFonts w:eastAsia="Times New Roman"/>
        </w:rPr>
      </w:pPr>
      <w:r>
        <w:rPr>
          <w:rFonts w:eastAsia="Times New Roman"/>
          <w:color w:val="000000"/>
          <w:sz w:val="20"/>
          <w:szCs w:val="20"/>
          <w:shd w:val="clear" w:color="auto" w:fill="FFFFFF"/>
        </w:rPr>
        <w:t xml:space="preserve">•Activation Solutions, including Audience Activation and Content Activation. Comscore Audience Activation offers targeting with demographics and </w:t>
      </w:r>
      <w:r>
        <w:rPr>
          <w:rFonts w:eastAsia="Times New Roman"/>
          <w:color w:val="000000"/>
          <w:sz w:val="20"/>
          <w:szCs w:val="20"/>
          <w:shd w:val="clear" w:color="auto" w:fill="FFFFFF"/>
        </w:rPr>
        <w:t>cross-screen behaviors for digital, mobile and CTV campaigns. Comscore Content Activation provides a robust set of pre-bid inventory filters to help marketers and media companies achieve brand-safe, relevant campaign delivery across desktop, mobile, podcas</w:t>
      </w:r>
      <w:r>
        <w:rPr>
          <w:rFonts w:eastAsia="Times New Roman"/>
          <w:color w:val="000000"/>
          <w:sz w:val="20"/>
          <w:szCs w:val="20"/>
          <w:shd w:val="clear" w:color="auto" w:fill="FFFFFF"/>
        </w:rPr>
        <w:t>ts, and CTV. A new addition to the Content Activation suite, Predictive Audiences delivers contextually delivered, ID-free segments based on granular audience behaviors.</w:t>
      </w:r>
    </w:p>
    <w:p w:rsidR="00000000" w:rsidRDefault="00971A12">
      <w:pPr>
        <w:jc w:val="both"/>
        <w:divId w:val="412549351"/>
        <w:rPr>
          <w:rFonts w:eastAsia="Times New Roman"/>
        </w:rPr>
      </w:pPr>
      <w:r>
        <w:rPr>
          <w:rFonts w:eastAsia="Times New Roman"/>
          <w:b/>
          <w:bCs/>
          <w:color w:val="000000"/>
          <w:sz w:val="20"/>
          <w:szCs w:val="20"/>
          <w:shd w:val="clear" w:color="auto" w:fill="FFFFFF"/>
        </w:rPr>
        <w:t>Cross Platform Solutions products and services include</w:t>
      </w:r>
      <w:r>
        <w:rPr>
          <w:rFonts w:eastAsia="Times New Roman"/>
          <w:color w:val="000000"/>
          <w:sz w:val="20"/>
          <w:szCs w:val="20"/>
          <w:shd w:val="clear" w:color="auto" w:fill="FFFFFF"/>
        </w:rPr>
        <w:t>:</w:t>
      </w:r>
    </w:p>
    <w:p w:rsidR="00000000" w:rsidRDefault="00971A12">
      <w:pPr>
        <w:ind w:hanging="360"/>
        <w:jc w:val="both"/>
        <w:divId w:val="958608366"/>
        <w:rPr>
          <w:rFonts w:eastAsia="Times New Roman"/>
        </w:rPr>
      </w:pPr>
      <w:r>
        <w:rPr>
          <w:rFonts w:eastAsia="Times New Roman"/>
          <w:color w:val="000000"/>
          <w:sz w:val="20"/>
          <w:szCs w:val="20"/>
          <w:shd w:val="clear" w:color="auto" w:fill="FFFFFF"/>
        </w:rPr>
        <w:t>•Comscore TV - National, which</w:t>
      </w:r>
      <w:r>
        <w:rPr>
          <w:rFonts w:eastAsia="Times New Roman"/>
          <w:color w:val="000000"/>
          <w:sz w:val="20"/>
          <w:szCs w:val="20"/>
          <w:shd w:val="clear" w:color="auto" w:fill="FFFFFF"/>
        </w:rPr>
        <w:t xml:space="preserve"> combines TV viewing information with marketing segmentation and consumer databases for enhanced audience intelligence. Comscore TV - National data is also used in analytical applications to help customers better understand the performance of network adver</w:t>
      </w:r>
      <w:r>
        <w:rPr>
          <w:rFonts w:eastAsia="Times New Roman"/>
          <w:color w:val="000000"/>
          <w:sz w:val="20"/>
          <w:szCs w:val="20"/>
          <w:shd w:val="clear" w:color="auto" w:fill="FFFFFF"/>
        </w:rPr>
        <w:t>tising campaigns.</w:t>
      </w:r>
    </w:p>
    <w:p w:rsidR="00000000" w:rsidRDefault="00971A12">
      <w:pPr>
        <w:ind w:hanging="360"/>
        <w:jc w:val="both"/>
        <w:divId w:val="1346708341"/>
        <w:rPr>
          <w:rFonts w:eastAsia="Times New Roman"/>
        </w:rPr>
      </w:pPr>
      <w:r>
        <w:rPr>
          <w:rFonts w:eastAsia="Times New Roman"/>
          <w:color w:val="000000"/>
          <w:sz w:val="20"/>
          <w:szCs w:val="20"/>
          <w:shd w:val="clear" w:color="auto" w:fill="FFFFFF"/>
        </w:rPr>
        <w:t>•Comscore TV - Local, which allows customers to better understand consumer viewing patterns and characteristics across local TV stations and cable channels in their market(s) to promote viewership of a particular station and negotiate inv</w:t>
      </w:r>
      <w:r>
        <w:rPr>
          <w:rFonts w:eastAsia="Times New Roman"/>
          <w:color w:val="000000"/>
          <w:sz w:val="20"/>
          <w:szCs w:val="20"/>
          <w:shd w:val="clear" w:color="auto" w:fill="FFFFFF"/>
        </w:rPr>
        <w:t>entory pricing based on the size, value and relevance of the audience.</w:t>
      </w:r>
    </w:p>
    <w:p w:rsidR="00000000" w:rsidRDefault="00971A12">
      <w:pPr>
        <w:ind w:hanging="360"/>
        <w:jc w:val="both"/>
        <w:divId w:val="1329601049"/>
        <w:rPr>
          <w:rFonts w:eastAsia="Times New Roman"/>
        </w:rPr>
      </w:pPr>
      <w:r>
        <w:rPr>
          <w:rFonts w:eastAsia="Times New Roman"/>
          <w:color w:val="000000"/>
          <w:sz w:val="20"/>
          <w:szCs w:val="20"/>
          <w:shd w:val="clear" w:color="auto" w:fill="FFFFFF"/>
        </w:rPr>
        <w:t>•OnDemand Essentials, which provides multichannel video programming distributors and content providers with transactional tracking and reporting based on millions of television screens,</w:t>
      </w:r>
      <w:r>
        <w:rPr>
          <w:rFonts w:eastAsia="Times New Roman"/>
          <w:color w:val="000000"/>
          <w:sz w:val="20"/>
          <w:szCs w:val="20"/>
          <w:shd w:val="clear" w:color="auto" w:fill="FFFFFF"/>
        </w:rPr>
        <w:t xml:space="preserve"> enabling our customers to plan advertising campaigns that more precisely target consumers watching on-demand video content.</w:t>
      </w:r>
    </w:p>
    <w:p w:rsidR="00000000" w:rsidRDefault="00971A12">
      <w:pPr>
        <w:ind w:hanging="360"/>
        <w:jc w:val="both"/>
        <w:divId w:val="1288781529"/>
        <w:rPr>
          <w:rFonts w:eastAsia="Times New Roman"/>
        </w:rPr>
      </w:pPr>
      <w:r>
        <w:rPr>
          <w:rFonts w:eastAsia="Times New Roman"/>
          <w:color w:val="000000"/>
          <w:sz w:val="20"/>
          <w:szCs w:val="20"/>
          <w:shd w:val="clear" w:color="auto" w:fill="FFFFFF"/>
        </w:rPr>
        <w:t>•Movie Solutions, including Box Office Essentials and International Box Office Essentials, which provide detailed measurement of do</w:t>
      </w:r>
      <w:r>
        <w:rPr>
          <w:rFonts w:eastAsia="Times New Roman"/>
          <w:color w:val="000000"/>
          <w:sz w:val="20"/>
          <w:szCs w:val="20"/>
          <w:shd w:val="clear" w:color="auto" w:fill="FFFFFF"/>
        </w:rPr>
        <w:t xml:space="preserve">mestic and international theatrical gross receipts and attendance, with movie-specific information across the globe; PostTrak, which is an exit polling service that reports audience demographics and the aspects of each title that </w:t>
      </w:r>
    </w:p>
    <w:p w:rsidR="00000000" w:rsidRDefault="00971A12">
      <w:pPr>
        <w:jc w:val="center"/>
        <w:divId w:val="403845633"/>
        <w:rPr>
          <w:rFonts w:eastAsia="Times New Roman"/>
        </w:rPr>
      </w:pPr>
      <w:r>
        <w:rPr>
          <w:rFonts w:eastAsia="Times New Roman"/>
          <w:color w:val="000000"/>
          <w:sz w:val="20"/>
          <w:szCs w:val="20"/>
        </w:rPr>
        <w:t>4</w:t>
      </w:r>
    </w:p>
    <w:p w:rsidR="00000000" w:rsidRDefault="00971A12">
      <w:pPr>
        <w:rPr>
          <w:rFonts w:eastAsia="Times New Roman"/>
        </w:rPr>
      </w:pPr>
      <w:r>
        <w:rPr>
          <w:rFonts w:eastAsia="Times New Roman"/>
        </w:rPr>
        <w:pict>
          <v:rect id="_x0000_i1031" style="width:0;height:1.5pt" o:hralign="center" o:hrstd="t" o:hr="t" fillcolor="#a0a0a0" stroked="f"/>
        </w:pict>
      </w:r>
    </w:p>
    <w:p w:rsidR="00000000" w:rsidRDefault="00971A12">
      <w:pPr>
        <w:divId w:val="526872972"/>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786432107"/>
        <w:rPr>
          <w:rFonts w:eastAsia="Times New Roman"/>
        </w:rPr>
      </w:pPr>
    </w:p>
    <w:p w:rsidR="00000000" w:rsidRDefault="00971A12">
      <w:pPr>
        <w:jc w:val="both"/>
        <w:divId w:val="1247228504"/>
        <w:rPr>
          <w:rFonts w:eastAsia="Times New Roman"/>
        </w:rPr>
      </w:pPr>
      <w:r>
        <w:rPr>
          <w:rFonts w:eastAsia="Times New Roman"/>
          <w:color w:val="000000"/>
          <w:sz w:val="20"/>
          <w:szCs w:val="20"/>
          <w:shd w:val="clear" w:color="auto" w:fill="FFFFFF"/>
        </w:rPr>
        <w:t>trigger interest and attendance; and Swift, which is an electronic box office reporting system that facilitates the flow of reconciled theater-level ticket transactions.</w:t>
      </w:r>
    </w:p>
    <w:p w:rsidR="00000000" w:rsidRDefault="00971A12">
      <w:pPr>
        <w:ind w:hanging="360"/>
        <w:jc w:val="both"/>
        <w:divId w:val="1810588522"/>
        <w:rPr>
          <w:rFonts w:eastAsia="Times New Roman"/>
        </w:rPr>
      </w:pPr>
      <w:r>
        <w:rPr>
          <w:rFonts w:eastAsia="Times New Roman"/>
          <w:color w:val="000000"/>
          <w:sz w:val="20"/>
          <w:szCs w:val="20"/>
          <w:shd w:val="clear" w:color="auto" w:fill="FFFFFF"/>
        </w:rPr>
        <w:t xml:space="preserve">•Hollywood Software Suite, including Comscore Theatrical Distribution System ("TDS"), </w:t>
      </w:r>
      <w:r>
        <w:rPr>
          <w:rFonts w:eastAsia="Times New Roman"/>
          <w:color w:val="000000"/>
          <w:sz w:val="20"/>
          <w:szCs w:val="20"/>
          <w:shd w:val="clear" w:color="auto" w:fill="FFFFFF"/>
        </w:rPr>
        <w:t>Comscore Exhibitor Management System ("EMS"), Comscore Enterprise Web, and Cinema Auditorium Control Engine ("ACE"). Comscore TDS is an advanced software to help manage theatrical distribution worldwide. Comscore EMS provides a virtual staff of booking ass</w:t>
      </w:r>
      <w:r>
        <w:rPr>
          <w:rFonts w:eastAsia="Times New Roman"/>
          <w:color w:val="000000"/>
          <w:sz w:val="20"/>
          <w:szCs w:val="20"/>
          <w:shd w:val="clear" w:color="auto" w:fill="FFFFFF"/>
        </w:rPr>
        <w:t>istants and accountants working to consolidate point-of-sale data. Comscore Enterprise Web gives circuit managers an over-the-shoulder look at operations inside their theaters. Cinema ACE is a theater management system that drives productivity and efficien</w:t>
      </w:r>
      <w:r>
        <w:rPr>
          <w:rFonts w:eastAsia="Times New Roman"/>
          <w:color w:val="000000"/>
          <w:sz w:val="20"/>
          <w:szCs w:val="20"/>
          <w:shd w:val="clear" w:color="auto" w:fill="FFFFFF"/>
        </w:rPr>
        <w:t xml:space="preserve">cy across digital cinema operations. </w:t>
      </w:r>
    </w:p>
    <w:p w:rsidR="00000000" w:rsidRDefault="00971A12">
      <w:pPr>
        <w:jc w:val="both"/>
        <w:divId w:val="167015682"/>
        <w:rPr>
          <w:rFonts w:eastAsia="Times New Roman"/>
        </w:rPr>
      </w:pPr>
      <w:r>
        <w:rPr>
          <w:rFonts w:eastAsia="Times New Roman"/>
          <w:b/>
          <w:bCs/>
          <w:color w:val="000000"/>
          <w:sz w:val="20"/>
          <w:szCs w:val="20"/>
          <w:shd w:val="clear" w:color="auto" w:fill="FFFFFF"/>
        </w:rPr>
        <w:t>Research and Development</w:t>
      </w:r>
    </w:p>
    <w:p w:rsidR="00000000" w:rsidRDefault="00971A12">
      <w:pPr>
        <w:jc w:val="both"/>
        <w:divId w:val="2010254127"/>
        <w:rPr>
          <w:rFonts w:eastAsia="Times New Roman"/>
        </w:rPr>
      </w:pPr>
      <w:r>
        <w:rPr>
          <w:rFonts w:eastAsia="Times New Roman"/>
          <w:color w:val="000000"/>
          <w:sz w:val="20"/>
          <w:szCs w:val="20"/>
        </w:rPr>
        <w:t>Our research and development activities span our business of media and cross-platform measurement, encompassing data collection, data science, analytical application development and product del</w:t>
      </w:r>
      <w:r>
        <w:rPr>
          <w:rFonts w:eastAsia="Times New Roman"/>
          <w:color w:val="000000"/>
          <w:sz w:val="20"/>
          <w:szCs w:val="20"/>
        </w:rPr>
        <w:t xml:space="preserve">ivery. We continue to focus on expanding our coverage and scale, precision and granularity across diverse types of media, devices and geographies using our census, panel and other data assets. </w:t>
      </w:r>
    </w:p>
    <w:p w:rsidR="00000000" w:rsidRDefault="00971A12">
      <w:pPr>
        <w:jc w:val="both"/>
        <w:divId w:val="666444166"/>
        <w:rPr>
          <w:rFonts w:eastAsia="Times New Roman"/>
        </w:rPr>
      </w:pPr>
      <w:r>
        <w:rPr>
          <w:rFonts w:eastAsia="Times New Roman"/>
          <w:color w:val="000000"/>
          <w:sz w:val="20"/>
          <w:szCs w:val="20"/>
        </w:rPr>
        <w:t xml:space="preserve">Examples of our research and development initiatives include: </w:t>
      </w:r>
    </w:p>
    <w:p w:rsidR="00000000" w:rsidRDefault="00971A12">
      <w:pPr>
        <w:ind w:hanging="360"/>
        <w:jc w:val="both"/>
        <w:divId w:val="289870801"/>
        <w:rPr>
          <w:rFonts w:eastAsia="Times New Roman"/>
        </w:rPr>
      </w:pPr>
      <w:r>
        <w:rPr>
          <w:rFonts w:eastAsia="Times New Roman"/>
          <w:color w:val="000000"/>
          <w:sz w:val="20"/>
          <w:szCs w:val="20"/>
        </w:rPr>
        <w:t>•Enhancing our recruiting methods and software applications;</w:t>
      </w:r>
    </w:p>
    <w:p w:rsidR="00000000" w:rsidRDefault="00971A12">
      <w:pPr>
        <w:ind w:hanging="360"/>
        <w:jc w:val="both"/>
        <w:divId w:val="1318459012"/>
        <w:rPr>
          <w:rFonts w:eastAsia="Times New Roman"/>
        </w:rPr>
      </w:pPr>
      <w:r>
        <w:rPr>
          <w:rFonts w:eastAsia="Times New Roman"/>
          <w:color w:val="000000"/>
          <w:sz w:val="20"/>
          <w:szCs w:val="20"/>
        </w:rPr>
        <w:t>•</w:t>
      </w:r>
      <w:r>
        <w:rPr>
          <w:rFonts w:eastAsia="Times New Roman"/>
          <w:color w:val="000000"/>
          <w:sz w:val="20"/>
          <w:szCs w:val="20"/>
        </w:rPr>
        <w:t>Developing new technologies to manage, stage and deliver cross-platform data and analytics through traditional web-based user interfaces and via integration with customer systems;</w:t>
      </w:r>
    </w:p>
    <w:p w:rsidR="00000000" w:rsidRDefault="00971A12">
      <w:pPr>
        <w:ind w:hanging="360"/>
        <w:jc w:val="both"/>
        <w:divId w:val="1661538459"/>
        <w:rPr>
          <w:rFonts w:eastAsia="Times New Roman"/>
        </w:rPr>
      </w:pPr>
      <w:r>
        <w:rPr>
          <w:rFonts w:eastAsia="Times New Roman"/>
          <w:color w:val="000000"/>
          <w:sz w:val="20"/>
          <w:szCs w:val="20"/>
        </w:rPr>
        <w:t>•Designing solutions to continue to measure the online media space while hon</w:t>
      </w:r>
      <w:r>
        <w:rPr>
          <w:rFonts w:eastAsia="Times New Roman"/>
          <w:color w:val="000000"/>
          <w:sz w:val="20"/>
          <w:szCs w:val="20"/>
        </w:rPr>
        <w:t>oring increased privacy concerns, including the development of industry-compatible, interoperable methodologies that will function as browser, regulatory, and legal environments change;</w:t>
      </w:r>
    </w:p>
    <w:p w:rsidR="00000000" w:rsidRDefault="00971A12">
      <w:pPr>
        <w:ind w:hanging="360"/>
        <w:jc w:val="both"/>
        <w:divId w:val="413012267"/>
        <w:rPr>
          <w:rFonts w:eastAsia="Times New Roman"/>
        </w:rPr>
      </w:pPr>
      <w:r>
        <w:rPr>
          <w:rFonts w:eastAsia="Times New Roman"/>
          <w:color w:val="000000"/>
          <w:sz w:val="20"/>
          <w:szCs w:val="20"/>
        </w:rPr>
        <w:t>•Creating new methodologies to measure person-level TV and digital con</w:t>
      </w:r>
      <w:r>
        <w:rPr>
          <w:rFonts w:eastAsia="Times New Roman"/>
          <w:color w:val="000000"/>
          <w:sz w:val="20"/>
          <w:szCs w:val="20"/>
        </w:rPr>
        <w:t>sumption at scale and across platforms; and</w:t>
      </w:r>
    </w:p>
    <w:p w:rsidR="00000000" w:rsidRDefault="00971A12">
      <w:pPr>
        <w:ind w:hanging="360"/>
        <w:jc w:val="both"/>
        <w:divId w:val="1004476103"/>
        <w:rPr>
          <w:rFonts w:eastAsia="Times New Roman"/>
        </w:rPr>
      </w:pPr>
      <w:r>
        <w:rPr>
          <w:rFonts w:eastAsia="Times New Roman"/>
          <w:color w:val="000000"/>
          <w:sz w:val="20"/>
          <w:szCs w:val="20"/>
        </w:rPr>
        <w:t>•Continuing to develop expertise in combining multiple data assets, both to leverage single-platform datasets into representative cross-platform measurements as well as working with the data of partner companies,</w:t>
      </w:r>
      <w:r>
        <w:rPr>
          <w:rFonts w:eastAsia="Times New Roman"/>
          <w:color w:val="000000"/>
          <w:sz w:val="20"/>
          <w:szCs w:val="20"/>
        </w:rPr>
        <w:t xml:space="preserve"> allowing us to enhance existing services and create new and innovative audience measurement products. These efforts include original research into the measurement of data overlaps and de-duplication in the measurement of reach.</w:t>
      </w:r>
    </w:p>
    <w:p w:rsidR="00000000" w:rsidRDefault="00971A12">
      <w:pPr>
        <w:jc w:val="both"/>
        <w:divId w:val="1872037018"/>
        <w:rPr>
          <w:rFonts w:eastAsia="Times New Roman"/>
        </w:rPr>
      </w:pPr>
      <w:r>
        <w:rPr>
          <w:rFonts w:eastAsia="Times New Roman"/>
          <w:b/>
          <w:bCs/>
          <w:color w:val="000000"/>
          <w:sz w:val="20"/>
          <w:szCs w:val="20"/>
        </w:rPr>
        <w:t xml:space="preserve">Recent Product Investments </w:t>
      </w:r>
      <w:r>
        <w:rPr>
          <w:rFonts w:eastAsia="Times New Roman"/>
          <w:b/>
          <w:bCs/>
          <w:color w:val="000000"/>
          <w:sz w:val="20"/>
          <w:szCs w:val="20"/>
        </w:rPr>
        <w:t xml:space="preserve">and Releases </w:t>
      </w:r>
    </w:p>
    <w:p w:rsidR="00000000" w:rsidRDefault="00971A12">
      <w:pPr>
        <w:jc w:val="both"/>
        <w:divId w:val="213590045"/>
        <w:rPr>
          <w:rFonts w:eastAsia="Times New Roman"/>
        </w:rPr>
      </w:pPr>
      <w:r>
        <w:rPr>
          <w:rFonts w:eastAsia="Times New Roman"/>
          <w:color w:val="000000"/>
          <w:sz w:val="20"/>
          <w:szCs w:val="20"/>
          <w:u w:val="single"/>
        </w:rPr>
        <w:t>Cookieless - Engineering Products in a Privacy Centric World</w:t>
      </w:r>
    </w:p>
    <w:p w:rsidR="00000000" w:rsidRDefault="00971A12">
      <w:pPr>
        <w:jc w:val="both"/>
        <w:divId w:val="460927652"/>
        <w:rPr>
          <w:rFonts w:eastAsia="Times New Roman"/>
        </w:rPr>
      </w:pPr>
      <w:r>
        <w:rPr>
          <w:rFonts w:eastAsia="Times New Roman"/>
          <w:color w:val="000000"/>
          <w:sz w:val="20"/>
          <w:szCs w:val="20"/>
        </w:rPr>
        <w:t>Our digital measurement is centered upon using first party panel data combined with additional information captured through census measurement and data partnerships. Historically, w</w:t>
      </w:r>
      <w:r>
        <w:rPr>
          <w:rFonts w:eastAsia="Times New Roman"/>
          <w:color w:val="000000"/>
          <w:sz w:val="20"/>
          <w:szCs w:val="20"/>
        </w:rPr>
        <w:t>e have used cookies and mobile advertising IDs to provide additional context and scale to our digital audience measurement solutions, as well as to assist in more targeted measurement and reportability. The development of new opt-in permissions and enhance</w:t>
      </w:r>
      <w:r>
        <w:rPr>
          <w:rFonts w:eastAsia="Times New Roman"/>
          <w:color w:val="000000"/>
          <w:sz w:val="20"/>
          <w:szCs w:val="20"/>
        </w:rPr>
        <w:t xml:space="preserve">d focus on consent-based measurement provide the benefit of limiting the transfer of consumer personal information, but also mean changes to data collection and measurement processes. </w:t>
      </w:r>
    </w:p>
    <w:p w:rsidR="00000000" w:rsidRDefault="00971A12">
      <w:pPr>
        <w:jc w:val="both"/>
        <w:divId w:val="1384061458"/>
        <w:rPr>
          <w:rFonts w:eastAsia="Times New Roman"/>
        </w:rPr>
      </w:pPr>
      <w:r>
        <w:rPr>
          <w:rFonts w:eastAsia="Times New Roman"/>
          <w:color w:val="000000"/>
          <w:sz w:val="20"/>
          <w:szCs w:val="20"/>
        </w:rPr>
        <w:t>We are adopting and developing new methodologies to lead this transitio</w:t>
      </w:r>
      <w:r>
        <w:rPr>
          <w:rFonts w:eastAsia="Times New Roman"/>
          <w:color w:val="000000"/>
          <w:sz w:val="20"/>
          <w:szCs w:val="20"/>
        </w:rPr>
        <w:t xml:space="preserve">n to a more privacy-centric world. A key component is leveraging our capabilities in panels, which we believe give us a competitive advantage in digital and cross-platform management. In parallel, our work with existing and new partners to collaborate and </w:t>
      </w:r>
      <w:r>
        <w:rPr>
          <w:rFonts w:eastAsia="Times New Roman"/>
          <w:color w:val="000000"/>
          <w:sz w:val="20"/>
          <w:szCs w:val="20"/>
        </w:rPr>
        <w:t>test emerging solutions is intended to expand the reach of our large-scale integrations. We are creating measurement innovations designed to produce stronger products engineered for privacy, building from the pioneering UDM concept and moving toward privac</w:t>
      </w:r>
      <w:r>
        <w:rPr>
          <w:rFonts w:eastAsia="Times New Roman"/>
          <w:color w:val="000000"/>
          <w:sz w:val="20"/>
          <w:szCs w:val="20"/>
        </w:rPr>
        <w:t>y-first consented identifiers and methodologies.</w:t>
      </w:r>
    </w:p>
    <w:p w:rsidR="00000000" w:rsidRDefault="00971A12">
      <w:pPr>
        <w:jc w:val="both"/>
        <w:divId w:val="1006445188"/>
        <w:rPr>
          <w:rFonts w:eastAsia="Times New Roman"/>
        </w:rPr>
      </w:pPr>
      <w:r>
        <w:rPr>
          <w:rFonts w:eastAsia="Times New Roman"/>
          <w:color w:val="000000"/>
          <w:sz w:val="20"/>
          <w:szCs w:val="20"/>
        </w:rPr>
        <w:t xml:space="preserve">We are also engaged in industry initiatives that focus on the viability and success of cross media measurement to support the "free web," which is driven by advertising investment. One of these initiatives, </w:t>
      </w:r>
      <w:r>
        <w:rPr>
          <w:rFonts w:eastAsia="Times New Roman"/>
          <w:color w:val="000000"/>
          <w:sz w:val="20"/>
          <w:szCs w:val="20"/>
        </w:rPr>
        <w:t>championed by the Association of National Advertisers ("ANA"), Google, Meta, and TikTok, is a global privacy measurement framework proposal from the World Federation of Advertisers ("WFA"). In 2021, we were selected by the ANA as a partner in their Cross-M</w:t>
      </w:r>
      <w:r>
        <w:rPr>
          <w:rFonts w:eastAsia="Times New Roman"/>
          <w:color w:val="000000"/>
          <w:sz w:val="20"/>
          <w:szCs w:val="20"/>
        </w:rPr>
        <w:t>edia Measurement initiative for a pilot in measuring privacy-preserving reach and frequency measurements for television and digital media audiences, which is capable of reporting both demographics and cross-platform de-duplication. During 2022, we worked w</w:t>
      </w:r>
      <w:r>
        <w:rPr>
          <w:rFonts w:eastAsia="Times New Roman"/>
          <w:color w:val="000000"/>
          <w:sz w:val="20"/>
          <w:szCs w:val="20"/>
        </w:rPr>
        <w:t xml:space="preserve">ith the ANA to demonstrate that the WFA's framework for content and ad measurement can be successful and scale. </w:t>
      </w:r>
    </w:p>
    <w:p w:rsidR="00000000" w:rsidRDefault="00971A12">
      <w:pPr>
        <w:jc w:val="both"/>
        <w:divId w:val="1110972840"/>
        <w:rPr>
          <w:rFonts w:eastAsia="Times New Roman"/>
        </w:rPr>
      </w:pPr>
      <w:r>
        <w:rPr>
          <w:rFonts w:eastAsia="Times New Roman"/>
          <w:color w:val="000000"/>
          <w:sz w:val="20"/>
          <w:szCs w:val="20"/>
          <w:u w:val="single"/>
        </w:rPr>
        <w:t>Comscore Predictive Audiences</w:t>
      </w:r>
    </w:p>
    <w:p w:rsidR="00000000" w:rsidRDefault="00971A12">
      <w:pPr>
        <w:jc w:val="both"/>
        <w:divId w:val="1534344874"/>
        <w:rPr>
          <w:rFonts w:eastAsia="Times New Roman"/>
        </w:rPr>
      </w:pPr>
      <w:r>
        <w:rPr>
          <w:rFonts w:eastAsia="Times New Roman"/>
          <w:color w:val="000000"/>
          <w:sz w:val="20"/>
          <w:szCs w:val="20"/>
        </w:rPr>
        <w:t>With third-party cookie deprecation fast approaching, advertisers need bold new solutions to ensure their campaig</w:t>
      </w:r>
      <w:r>
        <w:rPr>
          <w:rFonts w:eastAsia="Times New Roman"/>
          <w:color w:val="000000"/>
          <w:sz w:val="20"/>
          <w:szCs w:val="20"/>
        </w:rPr>
        <w:t>ns continue to reach the right audiences without interruption. In 2021 we launched Predictive Audiences – a cookie-free targeting capability that enables advertisers to reach audiences based on granular consumer behavior through privacy-friendly contextual</w:t>
      </w:r>
      <w:r>
        <w:rPr>
          <w:rFonts w:eastAsia="Times New Roman"/>
          <w:color w:val="000000"/>
          <w:sz w:val="20"/>
          <w:szCs w:val="20"/>
        </w:rPr>
        <w:t xml:space="preserve"> signals. This solution delivers scale and precision beyond what was previously available in the industry, and can be used across digital, mobile, and CTV campaigns.</w:t>
      </w:r>
    </w:p>
    <w:p w:rsidR="00000000" w:rsidRDefault="00971A12">
      <w:pPr>
        <w:jc w:val="both"/>
        <w:divId w:val="341708736"/>
        <w:rPr>
          <w:rFonts w:eastAsia="Times New Roman"/>
        </w:rPr>
      </w:pPr>
      <w:r>
        <w:rPr>
          <w:rFonts w:eastAsia="Times New Roman"/>
          <w:b/>
          <w:bCs/>
          <w:color w:val="000000"/>
          <w:sz w:val="20"/>
          <w:szCs w:val="20"/>
        </w:rPr>
        <w:t>Intellectual Property</w:t>
      </w:r>
    </w:p>
    <w:p w:rsidR="00000000" w:rsidRDefault="00971A12">
      <w:pPr>
        <w:jc w:val="both"/>
        <w:divId w:val="1460339322"/>
        <w:rPr>
          <w:rFonts w:eastAsia="Times New Roman"/>
        </w:rPr>
      </w:pPr>
      <w:r>
        <w:rPr>
          <w:rFonts w:eastAsia="Times New Roman"/>
          <w:color w:val="000000"/>
          <w:sz w:val="20"/>
          <w:szCs w:val="20"/>
        </w:rPr>
        <w:t>Our intellectual property assets are important to protect our busine</w:t>
      </w:r>
      <w:r>
        <w:rPr>
          <w:rFonts w:eastAsia="Times New Roman"/>
          <w:color w:val="000000"/>
          <w:sz w:val="20"/>
          <w:szCs w:val="20"/>
        </w:rPr>
        <w:t xml:space="preserve">ss. We protect our innovations and products with numerous patents, trademarks, copyrights, trade secrets, and other intellectual property. In particular, we file for, and seek to acquire patent rights for our </w:t>
      </w:r>
    </w:p>
    <w:p w:rsidR="00000000" w:rsidRDefault="00971A12">
      <w:pPr>
        <w:jc w:val="center"/>
        <w:divId w:val="208154549"/>
        <w:rPr>
          <w:rFonts w:eastAsia="Times New Roman"/>
        </w:rPr>
      </w:pPr>
      <w:r>
        <w:rPr>
          <w:rFonts w:eastAsia="Times New Roman"/>
          <w:color w:val="000000"/>
          <w:sz w:val="20"/>
          <w:szCs w:val="20"/>
        </w:rPr>
        <w:t>5</w:t>
      </w:r>
    </w:p>
    <w:p w:rsidR="00000000" w:rsidRDefault="00971A12">
      <w:pPr>
        <w:rPr>
          <w:rFonts w:eastAsia="Times New Roman"/>
        </w:rPr>
      </w:pPr>
      <w:r>
        <w:rPr>
          <w:rFonts w:eastAsia="Times New Roman"/>
        </w:rPr>
        <w:pict>
          <v:rect id="_x0000_i1032" style="width:0;height:1.5pt" o:hralign="center" o:hrstd="t" o:hr="t" fillcolor="#a0a0a0" stroked="f"/>
        </w:pict>
      </w:r>
    </w:p>
    <w:p w:rsidR="00000000" w:rsidRDefault="00971A12">
      <w:pPr>
        <w:divId w:val="162398582"/>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30758894"/>
        <w:rPr>
          <w:rFonts w:eastAsia="Times New Roman"/>
        </w:rPr>
      </w:pPr>
    </w:p>
    <w:p w:rsidR="00000000" w:rsidRDefault="00971A12">
      <w:pPr>
        <w:jc w:val="both"/>
        <w:divId w:val="463357433"/>
        <w:rPr>
          <w:rFonts w:eastAsia="Times New Roman"/>
        </w:rPr>
      </w:pPr>
      <w:r>
        <w:rPr>
          <w:rFonts w:eastAsia="Times New Roman"/>
          <w:color w:val="000000"/>
          <w:sz w:val="20"/>
          <w:szCs w:val="20"/>
        </w:rPr>
        <w:t>innovations and we continue to seek to enhance our patent portfolio through targeted and strategic patent filings and licensing opportunities. We believe that we own the material trademarks used in connection with the marketing, distribution and sale of ou</w:t>
      </w:r>
      <w:r>
        <w:rPr>
          <w:rFonts w:eastAsia="Times New Roman"/>
          <w:color w:val="000000"/>
          <w:sz w:val="20"/>
          <w:szCs w:val="20"/>
        </w:rPr>
        <w:t>r products, both domestically and internationally. We will continue to pursue intellectual property opportunities in areas and technologies that we deem to be strategic and appropriate for our business.</w:t>
      </w:r>
    </w:p>
    <w:p w:rsidR="00000000" w:rsidRDefault="00971A12">
      <w:pPr>
        <w:jc w:val="both"/>
        <w:divId w:val="1893926263"/>
        <w:rPr>
          <w:rFonts w:eastAsia="Times New Roman"/>
        </w:rPr>
      </w:pPr>
      <w:r>
        <w:rPr>
          <w:rFonts w:eastAsia="Times New Roman"/>
          <w:color w:val="000000"/>
          <w:sz w:val="20"/>
          <w:szCs w:val="20"/>
          <w:u w:val="single"/>
        </w:rPr>
        <w:t>Patents</w:t>
      </w:r>
    </w:p>
    <w:p w:rsidR="00000000" w:rsidRDefault="00971A12">
      <w:pPr>
        <w:jc w:val="both"/>
        <w:divId w:val="1109164028"/>
        <w:rPr>
          <w:rFonts w:eastAsia="Times New Roman"/>
        </w:rPr>
      </w:pPr>
      <w:r>
        <w:rPr>
          <w:rFonts w:eastAsia="Times New Roman"/>
          <w:color w:val="000000"/>
          <w:sz w:val="20"/>
          <w:szCs w:val="20"/>
        </w:rPr>
        <w:t>Our patents extend across our data capture an</w:t>
      </w:r>
      <w:r>
        <w:rPr>
          <w:rFonts w:eastAsia="Times New Roman"/>
          <w:color w:val="000000"/>
          <w:sz w:val="20"/>
          <w:szCs w:val="20"/>
        </w:rPr>
        <w:t>d processing techniques and include the following:</w:t>
      </w:r>
    </w:p>
    <w:p w:rsidR="00000000" w:rsidRDefault="00971A12">
      <w:pPr>
        <w:ind w:hanging="360"/>
        <w:jc w:val="both"/>
        <w:divId w:val="443817093"/>
        <w:rPr>
          <w:rFonts w:eastAsia="Times New Roman"/>
        </w:rPr>
      </w:pPr>
      <w:r>
        <w:rPr>
          <w:rFonts w:eastAsia="Times New Roman"/>
          <w:color w:val="000000"/>
          <w:sz w:val="20"/>
          <w:szCs w:val="20"/>
        </w:rPr>
        <w:t>•</w:t>
      </w:r>
      <w:r>
        <w:rPr>
          <w:rFonts w:eastAsia="Times New Roman"/>
          <w:color w:val="000000"/>
          <w:sz w:val="20"/>
          <w:szCs w:val="20"/>
          <w:u w:val="single"/>
        </w:rPr>
        <w:t>Data Collection</w:t>
      </w:r>
      <w:r>
        <w:rPr>
          <w:rFonts w:eastAsia="Times New Roman"/>
          <w:color w:val="000000"/>
          <w:sz w:val="20"/>
          <w:szCs w:val="20"/>
        </w:rPr>
        <w:t xml:space="preserve"> - metering such as biometrics and audio fingerprinting, tagging such as video viewability, browser optimization, IP obfuscation and TV-off measurement methodology.</w:t>
      </w:r>
    </w:p>
    <w:p w:rsidR="00000000" w:rsidRDefault="00971A12">
      <w:pPr>
        <w:ind w:hanging="360"/>
        <w:jc w:val="both"/>
        <w:divId w:val="454913168"/>
        <w:rPr>
          <w:rFonts w:eastAsia="Times New Roman"/>
        </w:rPr>
      </w:pPr>
      <w:r>
        <w:rPr>
          <w:rFonts w:eastAsia="Times New Roman"/>
          <w:color w:val="000000"/>
          <w:sz w:val="20"/>
          <w:szCs w:val="20"/>
        </w:rPr>
        <w:t>•</w:t>
      </w:r>
      <w:r>
        <w:rPr>
          <w:rFonts w:eastAsia="Times New Roman"/>
          <w:color w:val="000000"/>
          <w:sz w:val="20"/>
          <w:szCs w:val="20"/>
          <w:u w:val="single"/>
        </w:rPr>
        <w:t>Data Processing</w:t>
      </w:r>
      <w:r>
        <w:rPr>
          <w:rFonts w:eastAsia="Times New Roman"/>
          <w:color w:val="000000"/>
          <w:sz w:val="20"/>
          <w:szCs w:val="20"/>
        </w:rPr>
        <w:t xml:space="preserve"> - traff</w:t>
      </w:r>
      <w:r>
        <w:rPr>
          <w:rFonts w:eastAsia="Times New Roman"/>
          <w:color w:val="000000"/>
          <w:sz w:val="20"/>
          <w:szCs w:val="20"/>
        </w:rPr>
        <w:t>ic and content categorization, demographic attribution, ad effectiveness measurement, data overlap and fusion, invalid traffic detection, data weighting, projection and processing of return path data.</w:t>
      </w:r>
    </w:p>
    <w:p w:rsidR="00000000" w:rsidRDefault="00971A12">
      <w:pPr>
        <w:jc w:val="both"/>
        <w:divId w:val="2131823282"/>
        <w:rPr>
          <w:rFonts w:eastAsia="Times New Roman"/>
        </w:rPr>
      </w:pPr>
      <w:r>
        <w:rPr>
          <w:rFonts w:eastAsia="Times New Roman"/>
          <w:color w:val="000000"/>
          <w:sz w:val="20"/>
          <w:szCs w:val="20"/>
          <w:u w:val="single"/>
        </w:rPr>
        <w:t>Trademarks</w:t>
      </w:r>
    </w:p>
    <w:p w:rsidR="00000000" w:rsidRDefault="00971A12">
      <w:pPr>
        <w:jc w:val="both"/>
        <w:divId w:val="1720544742"/>
        <w:rPr>
          <w:rFonts w:eastAsia="Times New Roman"/>
        </w:rPr>
      </w:pPr>
      <w:r>
        <w:rPr>
          <w:rFonts w:eastAsia="Times New Roman"/>
          <w:color w:val="000000"/>
          <w:sz w:val="20"/>
          <w:szCs w:val="20"/>
        </w:rPr>
        <w:t>We file and maintain trademark protection fo</w:t>
      </w:r>
      <w:r>
        <w:rPr>
          <w:rFonts w:eastAsia="Times New Roman"/>
          <w:color w:val="000000"/>
          <w:sz w:val="20"/>
          <w:szCs w:val="20"/>
        </w:rPr>
        <w:t xml:space="preserve">r our products and services. We rely on trademarks and service marks to protect our intellectual property assets and believe these are important to our marketing efforts and the competitive value of our products and services. We have registered trademarks </w:t>
      </w:r>
      <w:r>
        <w:rPr>
          <w:rFonts w:eastAsia="Times New Roman"/>
          <w:color w:val="000000"/>
          <w:sz w:val="20"/>
          <w:szCs w:val="20"/>
        </w:rPr>
        <w:t>around the globe, including Unified Digital Measurement®, UDM®, vCE®, Metrix®, Essentials®, Box Office Essentials®, OnDemand Essentials®, and TV Essentials®. This 10-K also contains additional trademarks and trade names of our Company and our subsidiaries.</w:t>
      </w:r>
      <w:r>
        <w:rPr>
          <w:rFonts w:eastAsia="Times New Roman"/>
          <w:color w:val="000000"/>
          <w:sz w:val="20"/>
          <w:szCs w:val="20"/>
        </w:rPr>
        <w:t xml:space="preserve"> All trademarks and trade names appearing in this 10-K are the property of their respective holders.</w:t>
      </w:r>
    </w:p>
    <w:p w:rsidR="00000000" w:rsidRDefault="00971A12">
      <w:pPr>
        <w:jc w:val="both"/>
        <w:divId w:val="1095975531"/>
        <w:rPr>
          <w:rFonts w:eastAsia="Times New Roman"/>
        </w:rPr>
      </w:pPr>
      <w:r>
        <w:rPr>
          <w:rFonts w:eastAsia="Times New Roman"/>
          <w:color w:val="000000"/>
          <w:sz w:val="20"/>
          <w:szCs w:val="20"/>
          <w:u w:val="single"/>
        </w:rPr>
        <w:t>Licenses</w:t>
      </w:r>
    </w:p>
    <w:p w:rsidR="00000000" w:rsidRDefault="00971A12">
      <w:pPr>
        <w:jc w:val="both"/>
        <w:divId w:val="598372415"/>
        <w:rPr>
          <w:rFonts w:eastAsia="Times New Roman"/>
        </w:rPr>
      </w:pPr>
      <w:r>
        <w:rPr>
          <w:rFonts w:eastAsia="Times New Roman"/>
          <w:color w:val="000000"/>
          <w:sz w:val="20"/>
          <w:szCs w:val="20"/>
        </w:rPr>
        <w:t>We license data from third-party providers across the media platforms that we measure. Our licenses include agreements with satellite, telecommuni</w:t>
      </w:r>
      <w:r>
        <w:rPr>
          <w:rFonts w:eastAsia="Times New Roman"/>
          <w:color w:val="000000"/>
          <w:sz w:val="20"/>
          <w:szCs w:val="20"/>
        </w:rPr>
        <w:t xml:space="preserve">cations and cable operators covering television and VOD viewership data, third-party scheduling datasets and data matching partners, and agreements with providers of demographic and behavioral mobile and panel data. See "Our Approach to Media Measurement" </w:t>
      </w:r>
      <w:r>
        <w:rPr>
          <w:rFonts w:eastAsia="Times New Roman"/>
          <w:color w:val="000000"/>
          <w:sz w:val="20"/>
          <w:szCs w:val="20"/>
        </w:rPr>
        <w:t>above for a discussion of our data sourcing.</w:t>
      </w:r>
    </w:p>
    <w:p w:rsidR="00000000" w:rsidRDefault="00971A12">
      <w:pPr>
        <w:jc w:val="both"/>
        <w:divId w:val="1092700296"/>
        <w:rPr>
          <w:rFonts w:eastAsia="Times New Roman"/>
        </w:rPr>
      </w:pPr>
      <w:r>
        <w:rPr>
          <w:rFonts w:eastAsia="Times New Roman"/>
          <w:b/>
          <w:bCs/>
          <w:color w:val="000000"/>
          <w:sz w:val="20"/>
          <w:szCs w:val="20"/>
        </w:rPr>
        <w:t>Competition</w:t>
      </w:r>
    </w:p>
    <w:p w:rsidR="00000000" w:rsidRDefault="00971A12">
      <w:pPr>
        <w:jc w:val="both"/>
        <w:divId w:val="945499406"/>
        <w:rPr>
          <w:rFonts w:eastAsia="Times New Roman"/>
        </w:rPr>
      </w:pPr>
      <w:r>
        <w:rPr>
          <w:rFonts w:eastAsia="Times New Roman"/>
          <w:color w:val="000000"/>
          <w:sz w:val="20"/>
          <w:szCs w:val="20"/>
        </w:rPr>
        <w:t>The market for audience and advertising measurement products is highly competitive and is evolving rapidly. We compete primarily with other providers of media intelligence and related analytical products and services. We also compete with providers of mark</w:t>
      </w:r>
      <w:r>
        <w:rPr>
          <w:rFonts w:eastAsia="Times New Roman"/>
          <w:color w:val="000000"/>
          <w:sz w:val="20"/>
          <w:szCs w:val="20"/>
        </w:rPr>
        <w:t>eting services and solutions, with full-service survey providers and with internal solutions developed by customers and potential customers. Our principal competitors include:</w:t>
      </w:r>
    </w:p>
    <w:p w:rsidR="00000000" w:rsidRDefault="00971A12">
      <w:pPr>
        <w:ind w:hanging="360"/>
        <w:jc w:val="both"/>
        <w:divId w:val="210968744"/>
        <w:rPr>
          <w:rFonts w:eastAsia="Times New Roman"/>
        </w:rPr>
      </w:pPr>
      <w:r>
        <w:rPr>
          <w:rFonts w:eastAsia="Times New Roman"/>
          <w:color w:val="000000"/>
          <w:sz w:val="20"/>
          <w:szCs w:val="20"/>
        </w:rPr>
        <w:t>•Full-service market research firms, including Nielsen, Ipsos and GfK;</w:t>
      </w:r>
    </w:p>
    <w:p w:rsidR="00000000" w:rsidRDefault="00971A12">
      <w:pPr>
        <w:ind w:hanging="360"/>
        <w:jc w:val="both"/>
        <w:divId w:val="1741248349"/>
        <w:rPr>
          <w:rFonts w:eastAsia="Times New Roman"/>
        </w:rPr>
      </w:pPr>
      <w:r>
        <w:rPr>
          <w:rFonts w:eastAsia="Times New Roman"/>
          <w:color w:val="000000"/>
          <w:sz w:val="20"/>
          <w:szCs w:val="20"/>
        </w:rPr>
        <w:t>•Televisi</w:t>
      </w:r>
      <w:r>
        <w:rPr>
          <w:rFonts w:eastAsia="Times New Roman"/>
          <w:color w:val="000000"/>
          <w:sz w:val="20"/>
          <w:szCs w:val="20"/>
        </w:rPr>
        <w:t xml:space="preserve">on measurement competitors, which are evolving with the marketplace and now include advertising measurement startups such as VideoAmp, iSpot and others; </w:t>
      </w:r>
    </w:p>
    <w:p w:rsidR="00000000" w:rsidRDefault="00971A12">
      <w:pPr>
        <w:ind w:hanging="360"/>
        <w:jc w:val="both"/>
        <w:divId w:val="1053575235"/>
        <w:rPr>
          <w:rFonts w:eastAsia="Times New Roman"/>
        </w:rPr>
      </w:pPr>
      <w:r>
        <w:rPr>
          <w:rFonts w:eastAsia="Times New Roman"/>
          <w:color w:val="000000"/>
          <w:sz w:val="20"/>
          <w:szCs w:val="20"/>
        </w:rPr>
        <w:t>•Companies that provide audience ratings for TV, radio and other media that have extended or may exten</w:t>
      </w:r>
      <w:r>
        <w:rPr>
          <w:rFonts w:eastAsia="Times New Roman"/>
          <w:color w:val="000000"/>
          <w:sz w:val="20"/>
          <w:szCs w:val="20"/>
        </w:rPr>
        <w:t>d their current services, particularly in certain international markets, to the measurement of digital media, including Nielsen Audio (formerly Arbitron) and Xperi Corporation;</w:t>
      </w:r>
    </w:p>
    <w:p w:rsidR="00000000" w:rsidRDefault="00971A12">
      <w:pPr>
        <w:ind w:hanging="360"/>
        <w:jc w:val="both"/>
        <w:divId w:val="1574044800"/>
        <w:rPr>
          <w:rFonts w:eastAsia="Times New Roman"/>
        </w:rPr>
      </w:pPr>
      <w:r>
        <w:rPr>
          <w:rFonts w:eastAsia="Times New Roman"/>
          <w:color w:val="000000"/>
          <w:sz w:val="20"/>
          <w:szCs w:val="20"/>
        </w:rPr>
        <w:t>•Online advertising companies that provide measurement of online ad effectivene</w:t>
      </w:r>
      <w:r>
        <w:rPr>
          <w:rFonts w:eastAsia="Times New Roman"/>
          <w:color w:val="000000"/>
          <w:sz w:val="20"/>
          <w:szCs w:val="20"/>
        </w:rPr>
        <w:t>ss and ad delivery used for billing purposes, including Nielsen, Google and Meta;</w:t>
      </w:r>
    </w:p>
    <w:p w:rsidR="00000000" w:rsidRDefault="00971A12">
      <w:pPr>
        <w:ind w:hanging="360"/>
        <w:jc w:val="both"/>
        <w:divId w:val="964888614"/>
        <w:rPr>
          <w:rFonts w:eastAsia="Times New Roman"/>
        </w:rPr>
      </w:pPr>
      <w:r>
        <w:rPr>
          <w:rFonts w:eastAsia="Times New Roman"/>
          <w:color w:val="000000"/>
          <w:sz w:val="20"/>
          <w:szCs w:val="20"/>
        </w:rPr>
        <w:t>•Companies that provide digital advertising technology point solutions, including DoubleVerify, Integral Ad Science, Oracle Moat and HUMAN;</w:t>
      </w:r>
    </w:p>
    <w:p w:rsidR="00000000" w:rsidRDefault="00971A12">
      <w:pPr>
        <w:ind w:hanging="360"/>
        <w:jc w:val="both"/>
        <w:divId w:val="664356799"/>
        <w:rPr>
          <w:rFonts w:eastAsia="Times New Roman"/>
        </w:rPr>
      </w:pPr>
      <w:r>
        <w:rPr>
          <w:rFonts w:eastAsia="Times New Roman"/>
          <w:color w:val="000000"/>
          <w:sz w:val="20"/>
          <w:szCs w:val="20"/>
        </w:rPr>
        <w:t>•Companies that provide audience m</w:t>
      </w:r>
      <w:r>
        <w:rPr>
          <w:rFonts w:eastAsia="Times New Roman"/>
          <w:color w:val="000000"/>
          <w:sz w:val="20"/>
          <w:szCs w:val="20"/>
        </w:rPr>
        <w:t>easurement and competitive intelligence across digital platforms, including Nielsen, Similarweb and Data AI;</w:t>
      </w:r>
    </w:p>
    <w:p w:rsidR="00000000" w:rsidRDefault="00971A12">
      <w:pPr>
        <w:ind w:hanging="360"/>
        <w:jc w:val="both"/>
        <w:divId w:val="1788777"/>
        <w:rPr>
          <w:rFonts w:eastAsia="Times New Roman"/>
        </w:rPr>
      </w:pPr>
      <w:r>
        <w:rPr>
          <w:rFonts w:eastAsia="Times New Roman"/>
          <w:color w:val="000000"/>
          <w:sz w:val="20"/>
          <w:szCs w:val="20"/>
        </w:rPr>
        <w:t>•Analytical services companies that provide customers with detailed information about behavior on their own websites, including Adobe Analytics, IB</w:t>
      </w:r>
      <w:r>
        <w:rPr>
          <w:rFonts w:eastAsia="Times New Roman"/>
          <w:color w:val="000000"/>
          <w:sz w:val="20"/>
          <w:szCs w:val="20"/>
        </w:rPr>
        <w:t>M Digital Analytics and WebTrends Inc.;</w:t>
      </w:r>
    </w:p>
    <w:p w:rsidR="00000000" w:rsidRDefault="00971A12">
      <w:pPr>
        <w:ind w:hanging="360"/>
        <w:jc w:val="both"/>
        <w:divId w:val="261036458"/>
        <w:rPr>
          <w:rFonts w:eastAsia="Times New Roman"/>
        </w:rPr>
      </w:pPr>
      <w:r>
        <w:rPr>
          <w:rFonts w:eastAsia="Times New Roman"/>
          <w:color w:val="000000"/>
          <w:sz w:val="20"/>
          <w:szCs w:val="20"/>
        </w:rPr>
        <w:t>•Companies that report Smart TV data such as Vizio, LG, Samsung and Samba TV; and</w:t>
      </w:r>
    </w:p>
    <w:p w:rsidR="00000000" w:rsidRDefault="00971A12">
      <w:pPr>
        <w:ind w:hanging="360"/>
        <w:jc w:val="both"/>
        <w:divId w:val="331690899"/>
        <w:rPr>
          <w:rFonts w:eastAsia="Times New Roman"/>
        </w:rPr>
      </w:pPr>
      <w:r>
        <w:rPr>
          <w:rFonts w:eastAsia="Times New Roman"/>
          <w:color w:val="000000"/>
          <w:sz w:val="20"/>
          <w:szCs w:val="20"/>
        </w:rPr>
        <w:t>•</w:t>
      </w:r>
      <w:r>
        <w:rPr>
          <w:rFonts w:eastAsia="Times New Roman"/>
          <w:color w:val="000000"/>
          <w:sz w:val="20"/>
          <w:szCs w:val="20"/>
        </w:rPr>
        <w:t>Companies that provide consumers with TV and digital services such as DirecTV and Comcast.</w:t>
      </w:r>
    </w:p>
    <w:p w:rsidR="00000000" w:rsidRDefault="00971A12">
      <w:pPr>
        <w:jc w:val="both"/>
        <w:divId w:val="744255017"/>
        <w:rPr>
          <w:rFonts w:eastAsia="Times New Roman"/>
        </w:rPr>
      </w:pPr>
      <w:r>
        <w:rPr>
          <w:rFonts w:eastAsia="Times New Roman"/>
          <w:color w:val="000000"/>
          <w:sz w:val="20"/>
          <w:szCs w:val="20"/>
        </w:rPr>
        <w:t>We compete based on the following principal factors:</w:t>
      </w:r>
    </w:p>
    <w:p w:rsidR="00000000" w:rsidRDefault="00971A12">
      <w:pPr>
        <w:ind w:hanging="360"/>
        <w:jc w:val="both"/>
        <w:divId w:val="893124732"/>
        <w:rPr>
          <w:rFonts w:eastAsia="Times New Roman"/>
        </w:rPr>
      </w:pPr>
      <w:r>
        <w:rPr>
          <w:rFonts w:eastAsia="Times New Roman"/>
          <w:color w:val="000000"/>
          <w:sz w:val="20"/>
          <w:szCs w:val="20"/>
        </w:rPr>
        <w:t>•The ability to provide accurate measurement of digital audiences across multiple digital platforms;</w:t>
      </w:r>
    </w:p>
    <w:p w:rsidR="00000000" w:rsidRDefault="00971A12">
      <w:pPr>
        <w:ind w:hanging="360"/>
        <w:jc w:val="both"/>
        <w:divId w:val="730156721"/>
        <w:rPr>
          <w:rFonts w:eastAsia="Times New Roman"/>
        </w:rPr>
      </w:pPr>
      <w:r>
        <w:rPr>
          <w:rFonts w:eastAsia="Times New Roman"/>
          <w:color w:val="000000"/>
          <w:sz w:val="20"/>
          <w:szCs w:val="20"/>
        </w:rPr>
        <w:t>•The abilit</w:t>
      </w:r>
      <w:r>
        <w:rPr>
          <w:rFonts w:eastAsia="Times New Roman"/>
          <w:color w:val="000000"/>
          <w:sz w:val="20"/>
          <w:szCs w:val="20"/>
        </w:rPr>
        <w:t>y to provide TV audience measurement based on large-scale data that increases accuracy and reduces variability;</w:t>
      </w:r>
    </w:p>
    <w:p w:rsidR="00000000" w:rsidRDefault="00971A12">
      <w:pPr>
        <w:ind w:hanging="360"/>
        <w:jc w:val="both"/>
        <w:divId w:val="99499347"/>
        <w:rPr>
          <w:rFonts w:eastAsia="Times New Roman"/>
        </w:rPr>
      </w:pPr>
      <w:r>
        <w:rPr>
          <w:rFonts w:eastAsia="Times New Roman"/>
          <w:color w:val="000000"/>
          <w:sz w:val="20"/>
          <w:szCs w:val="20"/>
        </w:rPr>
        <w:t>•The ability to provide deduplicated audience measurement across platforms;</w:t>
      </w:r>
    </w:p>
    <w:p w:rsidR="00000000" w:rsidRDefault="00971A12">
      <w:pPr>
        <w:ind w:hanging="360"/>
        <w:jc w:val="both"/>
        <w:divId w:val="965548015"/>
        <w:rPr>
          <w:rFonts w:eastAsia="Times New Roman"/>
        </w:rPr>
      </w:pPr>
      <w:r>
        <w:rPr>
          <w:rFonts w:eastAsia="Times New Roman"/>
          <w:color w:val="000000"/>
          <w:sz w:val="20"/>
          <w:szCs w:val="20"/>
        </w:rPr>
        <w:t>•The ability to provide actual, accurate and reliable data regarding</w:t>
      </w:r>
      <w:r>
        <w:rPr>
          <w:rFonts w:eastAsia="Times New Roman"/>
          <w:color w:val="000000"/>
          <w:sz w:val="20"/>
          <w:szCs w:val="20"/>
        </w:rPr>
        <w:t xml:space="preserve"> audience behavior and activity in a timely manner, including the ability to maintain large and statistically representative panels;</w:t>
      </w:r>
    </w:p>
    <w:p w:rsidR="00000000" w:rsidRDefault="00971A12">
      <w:pPr>
        <w:ind w:hanging="360"/>
        <w:jc w:val="both"/>
        <w:divId w:val="697389805"/>
        <w:rPr>
          <w:rFonts w:eastAsia="Times New Roman"/>
        </w:rPr>
      </w:pPr>
      <w:r>
        <w:rPr>
          <w:rFonts w:eastAsia="Times New Roman"/>
          <w:color w:val="000000"/>
          <w:sz w:val="20"/>
          <w:szCs w:val="20"/>
        </w:rPr>
        <w:t>•The ability to provide reliable and objective third-party data that, as needed, is able to receive industry-accepted accre</w:t>
      </w:r>
      <w:r>
        <w:rPr>
          <w:rFonts w:eastAsia="Times New Roman"/>
          <w:color w:val="000000"/>
          <w:sz w:val="20"/>
          <w:szCs w:val="20"/>
        </w:rPr>
        <w:t>ditation;</w:t>
      </w:r>
    </w:p>
    <w:p w:rsidR="00000000" w:rsidRDefault="00971A12">
      <w:pPr>
        <w:ind w:hanging="360"/>
        <w:jc w:val="both"/>
        <w:divId w:val="1549759575"/>
        <w:rPr>
          <w:rFonts w:eastAsia="Times New Roman"/>
        </w:rPr>
      </w:pPr>
      <w:r>
        <w:rPr>
          <w:rFonts w:eastAsia="Times New Roman"/>
          <w:color w:val="000000"/>
          <w:sz w:val="20"/>
          <w:szCs w:val="20"/>
        </w:rPr>
        <w:t>•The ability to adapt product offerings to emerging digital media technologies and standards;</w:t>
      </w:r>
    </w:p>
    <w:p w:rsidR="00000000" w:rsidRDefault="00971A12">
      <w:pPr>
        <w:jc w:val="center"/>
        <w:divId w:val="1797479566"/>
        <w:rPr>
          <w:rFonts w:eastAsia="Times New Roman"/>
        </w:rPr>
      </w:pPr>
      <w:r>
        <w:rPr>
          <w:rFonts w:eastAsia="Times New Roman"/>
          <w:color w:val="000000"/>
          <w:sz w:val="20"/>
          <w:szCs w:val="20"/>
        </w:rPr>
        <w:t>6</w:t>
      </w:r>
    </w:p>
    <w:p w:rsidR="00000000" w:rsidRDefault="00971A12">
      <w:pPr>
        <w:rPr>
          <w:rFonts w:eastAsia="Times New Roman"/>
        </w:rPr>
      </w:pPr>
      <w:r>
        <w:rPr>
          <w:rFonts w:eastAsia="Times New Roman"/>
        </w:rPr>
        <w:pict>
          <v:rect id="_x0000_i1033" style="width:0;height:1.5pt" o:hralign="center" o:hrstd="t" o:hr="t" fillcolor="#a0a0a0" stroked="f"/>
        </w:pict>
      </w:r>
    </w:p>
    <w:p w:rsidR="00000000" w:rsidRDefault="00971A12">
      <w:pPr>
        <w:divId w:val="906383763"/>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96946606"/>
        <w:rPr>
          <w:rFonts w:eastAsia="Times New Roman"/>
        </w:rPr>
      </w:pPr>
    </w:p>
    <w:p w:rsidR="00000000" w:rsidRDefault="00971A12">
      <w:pPr>
        <w:ind w:hanging="360"/>
        <w:jc w:val="both"/>
        <w:divId w:val="1132207442"/>
        <w:rPr>
          <w:rFonts w:eastAsia="Times New Roman"/>
        </w:rPr>
      </w:pPr>
      <w:r>
        <w:rPr>
          <w:rFonts w:eastAsia="Times New Roman"/>
          <w:color w:val="000000"/>
          <w:sz w:val="20"/>
          <w:szCs w:val="20"/>
        </w:rPr>
        <w:t>•The breadth and depth of products and their flexibility and ease of use;</w:t>
      </w:r>
    </w:p>
    <w:p w:rsidR="00000000" w:rsidRDefault="00971A12">
      <w:pPr>
        <w:ind w:hanging="360"/>
        <w:jc w:val="both"/>
        <w:divId w:val="1740706249"/>
        <w:rPr>
          <w:rFonts w:eastAsia="Times New Roman"/>
        </w:rPr>
      </w:pPr>
      <w:r>
        <w:rPr>
          <w:rFonts w:eastAsia="Times New Roman"/>
          <w:color w:val="000000"/>
          <w:sz w:val="20"/>
          <w:szCs w:val="20"/>
        </w:rPr>
        <w:t>•The availability of data across various industry verticals and geographic areas and expertise across these verticals and in these geographic areas; and</w:t>
      </w:r>
    </w:p>
    <w:p w:rsidR="00000000" w:rsidRDefault="00971A12">
      <w:pPr>
        <w:ind w:hanging="360"/>
        <w:jc w:val="both"/>
        <w:divId w:val="1433745477"/>
        <w:rPr>
          <w:rFonts w:eastAsia="Times New Roman"/>
        </w:rPr>
      </w:pPr>
      <w:r>
        <w:rPr>
          <w:rFonts w:eastAsia="Times New Roman"/>
          <w:color w:val="000000"/>
          <w:sz w:val="20"/>
          <w:szCs w:val="20"/>
        </w:rPr>
        <w:t>•The ab</w:t>
      </w:r>
      <w:r>
        <w:rPr>
          <w:rFonts w:eastAsia="Times New Roman"/>
          <w:color w:val="000000"/>
          <w:sz w:val="20"/>
          <w:szCs w:val="20"/>
        </w:rPr>
        <w:t>ility to offer products that meet the changing needs of customers, particularly in the evolving privacy environment.</w:t>
      </w:r>
    </w:p>
    <w:p w:rsidR="00000000" w:rsidRDefault="00971A12">
      <w:pPr>
        <w:jc w:val="both"/>
        <w:divId w:val="1114134088"/>
        <w:rPr>
          <w:rFonts w:eastAsia="Times New Roman"/>
        </w:rPr>
      </w:pPr>
      <w:r>
        <w:rPr>
          <w:rFonts w:eastAsia="Times New Roman"/>
          <w:color w:val="000000"/>
          <w:sz w:val="20"/>
          <w:szCs w:val="20"/>
        </w:rPr>
        <w:t>We believe we compete favorably on these factors and that our vision and investments in the future of media measurement across platforms wi</w:t>
      </w:r>
      <w:r>
        <w:rPr>
          <w:rFonts w:eastAsia="Times New Roman"/>
          <w:color w:val="000000"/>
          <w:sz w:val="20"/>
          <w:szCs w:val="20"/>
        </w:rPr>
        <w:t>ll deliver products and services that our customers will continue to trust and value.</w:t>
      </w:r>
    </w:p>
    <w:p w:rsidR="00000000" w:rsidRDefault="00971A12">
      <w:pPr>
        <w:jc w:val="both"/>
        <w:divId w:val="927078974"/>
        <w:rPr>
          <w:rFonts w:eastAsia="Times New Roman"/>
        </w:rPr>
      </w:pPr>
      <w:r>
        <w:rPr>
          <w:rFonts w:eastAsia="Times New Roman"/>
          <w:b/>
          <w:bCs/>
          <w:color w:val="000000"/>
          <w:sz w:val="20"/>
          <w:szCs w:val="20"/>
        </w:rPr>
        <w:t xml:space="preserve">Government Regulation and Privacy </w:t>
      </w:r>
    </w:p>
    <w:p w:rsidR="00000000" w:rsidRDefault="00971A12">
      <w:pPr>
        <w:jc w:val="both"/>
        <w:divId w:val="1552573544"/>
        <w:rPr>
          <w:rFonts w:eastAsia="Times New Roman"/>
        </w:rPr>
      </w:pPr>
      <w:r>
        <w:rPr>
          <w:rFonts w:eastAsia="Times New Roman"/>
          <w:color w:val="000000"/>
          <w:sz w:val="20"/>
          <w:szCs w:val="20"/>
        </w:rPr>
        <w:t>Data security and privacy laws apply to our various businesses. We have programs in place to detect, contain and respond to data securi</w:t>
      </w:r>
      <w:r>
        <w:rPr>
          <w:rFonts w:eastAsia="Times New Roman"/>
          <w:color w:val="000000"/>
          <w:sz w:val="20"/>
          <w:szCs w:val="20"/>
        </w:rPr>
        <w:t>ty incidents; however, increasing technology risks or unauthorized users who successfully breach our network security could misappropriate or misuse our proprietary information or cause interruptions in our services. Many countries have data protection law</w:t>
      </w:r>
      <w:r>
        <w:rPr>
          <w:rFonts w:eastAsia="Times New Roman"/>
          <w:color w:val="000000"/>
          <w:sz w:val="20"/>
          <w:szCs w:val="20"/>
        </w:rPr>
        <w:t>s with different requirements than those in the U.S., and many states in the U.S. have or are developing their own data protection and privacy requirements. This may result in inconsistent requirements and differing interpretations across jurisdictions.</w:t>
      </w:r>
    </w:p>
    <w:p w:rsidR="00000000" w:rsidRDefault="00971A12">
      <w:pPr>
        <w:jc w:val="both"/>
        <w:divId w:val="79915956"/>
        <w:rPr>
          <w:rFonts w:eastAsia="Times New Roman"/>
        </w:rPr>
      </w:pPr>
      <w:r>
        <w:rPr>
          <w:rFonts w:eastAsia="Times New Roman"/>
          <w:color w:val="000000"/>
          <w:sz w:val="20"/>
          <w:szCs w:val="20"/>
        </w:rPr>
        <w:t>Governments, privacy advocates and class action attorneys are increasingly scrutinizing how companies collect, process, use, store, share and transmit personal data. A number of laws have recently come into effect, and there are proposals pending before fe</w:t>
      </w:r>
      <w:r>
        <w:rPr>
          <w:rFonts w:eastAsia="Times New Roman"/>
          <w:color w:val="000000"/>
          <w:sz w:val="20"/>
          <w:szCs w:val="20"/>
        </w:rPr>
        <w:t>deral, state and foreign legislative and regulatory bodies that have affected and are likely to continue to affect our business. For example, the European Union's ("EU") General Data Protection Regulation, or GDPR, became effective in 2018, imposing more s</w:t>
      </w:r>
      <w:r>
        <w:rPr>
          <w:rFonts w:eastAsia="Times New Roman"/>
          <w:color w:val="000000"/>
          <w:sz w:val="20"/>
          <w:szCs w:val="20"/>
        </w:rPr>
        <w:t>tringent EU data protection requirements and providing for greater penalties for noncompliance. In addition, regulators in the EU, the U.S. and elsewhere are increasingly focused on transparency, consent, consumer choice and the collection of data using tr</w:t>
      </w:r>
      <w:r>
        <w:rPr>
          <w:rFonts w:eastAsia="Times New Roman"/>
          <w:color w:val="000000"/>
          <w:sz w:val="20"/>
          <w:szCs w:val="20"/>
        </w:rPr>
        <w:t xml:space="preserve">acking technologies. In the EU, cross-border data transfers are increasingly scrutinized to ensure compliance, and there have been expanded enforcement efforts in this area. Five U.S. states now have comprehensive privacy laws governing the collection and </w:t>
      </w:r>
      <w:r>
        <w:rPr>
          <w:rFonts w:eastAsia="Times New Roman"/>
          <w:color w:val="000000"/>
          <w:sz w:val="20"/>
          <w:szCs w:val="20"/>
        </w:rPr>
        <w:t>use of personal information. The California Consumer Privacy Act, which went into effect in 2020, was substantially expanded by the California Privacy Rights Act of 2020, which went into effect in January 2023. The Virginia Consumer Data Protection Act, th</w:t>
      </w:r>
      <w:r>
        <w:rPr>
          <w:rFonts w:eastAsia="Times New Roman"/>
          <w:color w:val="000000"/>
          <w:sz w:val="20"/>
          <w:szCs w:val="20"/>
        </w:rPr>
        <w:t xml:space="preserve">e Colorado Privacy Act, the Connecticut Data Privacy Act and the Utah Consumer Privacy Act all came into effect or will come into effect in 2023. These U.S. federal and state and foreign laws and regulations, which in some cases can be enforced by private </w:t>
      </w:r>
      <w:r>
        <w:rPr>
          <w:rFonts w:eastAsia="Times New Roman"/>
          <w:color w:val="000000"/>
          <w:sz w:val="20"/>
          <w:szCs w:val="20"/>
        </w:rPr>
        <w:t>parties in addition to government entities, are constantly evolving and impose new and complex requirements on our business. Failure to comply with these laws or other privacy, data collection, data transfer or consent requirements, could result in substan</w:t>
      </w:r>
      <w:r>
        <w:rPr>
          <w:rFonts w:eastAsia="Times New Roman"/>
          <w:color w:val="000000"/>
          <w:sz w:val="20"/>
          <w:szCs w:val="20"/>
        </w:rPr>
        <w:t>tial penalties and reputational harm.</w:t>
      </w:r>
    </w:p>
    <w:p w:rsidR="00000000" w:rsidRDefault="00971A12">
      <w:pPr>
        <w:jc w:val="both"/>
        <w:divId w:val="1981493918"/>
        <w:rPr>
          <w:rFonts w:eastAsia="Times New Roman"/>
        </w:rPr>
      </w:pPr>
      <w:r>
        <w:rPr>
          <w:rFonts w:eastAsia="Times New Roman"/>
          <w:color w:val="000000"/>
          <w:sz w:val="20"/>
          <w:szCs w:val="20"/>
        </w:rPr>
        <w:t>We also monitor actions by the Federal Communications Commission, the Federal Trade Commission, and their state and foreign counterparts, including regulatory developments affecting Internet Service Providers, advertis</w:t>
      </w:r>
      <w:r>
        <w:rPr>
          <w:rFonts w:eastAsia="Times New Roman"/>
          <w:color w:val="000000"/>
          <w:sz w:val="20"/>
          <w:szCs w:val="20"/>
        </w:rPr>
        <w:t>ers and other industry participants.</w:t>
      </w:r>
    </w:p>
    <w:p w:rsidR="00000000" w:rsidRDefault="00971A12">
      <w:pPr>
        <w:jc w:val="both"/>
        <w:divId w:val="2033142557"/>
        <w:rPr>
          <w:rFonts w:eastAsia="Times New Roman"/>
        </w:rPr>
      </w:pPr>
      <w:r>
        <w:rPr>
          <w:rFonts w:eastAsia="Times New Roman"/>
          <w:b/>
          <w:bCs/>
          <w:color w:val="000000"/>
          <w:sz w:val="20"/>
          <w:szCs w:val="20"/>
        </w:rPr>
        <w:t>Human Capital Management</w:t>
      </w:r>
    </w:p>
    <w:p w:rsidR="00000000" w:rsidRDefault="00971A12">
      <w:pPr>
        <w:jc w:val="both"/>
        <w:divId w:val="583493585"/>
        <w:rPr>
          <w:rFonts w:eastAsia="Times New Roman"/>
        </w:rPr>
      </w:pPr>
      <w:r>
        <w:rPr>
          <w:rFonts w:eastAsia="Times New Roman"/>
          <w:color w:val="000000"/>
          <w:sz w:val="20"/>
          <w:szCs w:val="20"/>
        </w:rPr>
        <w:t xml:space="preserve">Our management of human capital is essential to the success of our company, and our management team is actively engaged in developing a strong, engaged team to execute on our business plans. </w:t>
      </w:r>
    </w:p>
    <w:p w:rsidR="00000000" w:rsidRDefault="00971A12">
      <w:pPr>
        <w:jc w:val="both"/>
        <w:divId w:val="1961761006"/>
        <w:rPr>
          <w:rFonts w:eastAsia="Times New Roman"/>
        </w:rPr>
      </w:pPr>
      <w:r>
        <w:rPr>
          <w:rFonts w:eastAsia="Times New Roman"/>
          <w:color w:val="000000"/>
          <w:sz w:val="20"/>
          <w:szCs w:val="20"/>
        </w:rPr>
        <w:t>As</w:t>
      </w:r>
      <w:r>
        <w:rPr>
          <w:rFonts w:eastAsia="Times New Roman"/>
          <w:color w:val="000000"/>
          <w:sz w:val="20"/>
          <w:szCs w:val="20"/>
        </w:rPr>
        <w:t xml:space="preserve"> of January 31, 2023, we had 1,382 employees and 174 contingent providers/contractors. Our employee population, which is comprised 94% of full-time employees and 6% of part-time employees, is dispersed across the globe, as outlined below as of December 31,</w:t>
      </w:r>
      <w:r>
        <w:rPr>
          <w:rFonts w:eastAsia="Times New Roman"/>
          <w:color w:val="000000"/>
          <w:sz w:val="20"/>
          <w:szCs w:val="20"/>
        </w:rPr>
        <w:t xml:space="preserve"> 2022.</w:t>
      </w:r>
    </w:p>
    <w:tbl>
      <w:tblPr>
        <w:tblW w:w="5000" w:type="pct"/>
        <w:tblCellMar>
          <w:top w:w="15" w:type="dxa"/>
          <w:left w:w="15" w:type="dxa"/>
          <w:bottom w:w="15" w:type="dxa"/>
          <w:right w:w="15" w:type="dxa"/>
        </w:tblCellMar>
        <w:tblLook w:val="04A0" w:firstRow="1" w:lastRow="0" w:firstColumn="1" w:lastColumn="0" w:noHBand="0" w:noVBand="1"/>
      </w:tblPr>
      <w:tblGrid>
        <w:gridCol w:w="69"/>
        <w:gridCol w:w="7083"/>
        <w:gridCol w:w="36"/>
        <w:gridCol w:w="69"/>
        <w:gridCol w:w="1013"/>
        <w:gridCol w:w="36"/>
      </w:tblGrid>
      <w:tr w:rsidR="00000000">
        <w:trPr>
          <w:divId w:val="795098280"/>
        </w:trPr>
        <w:tc>
          <w:tcPr>
            <w:tcW w:w="50" w:type="pct"/>
            <w:vAlign w:val="center"/>
            <w:hideMark/>
          </w:tcPr>
          <w:p w:rsidR="00000000" w:rsidRDefault="00971A12">
            <w:pPr>
              <w:jc w:val="both"/>
              <w:rPr>
                <w:rFonts w:eastAsia="Times New Roman"/>
              </w:rPr>
            </w:pPr>
          </w:p>
        </w:tc>
        <w:tc>
          <w:tcPr>
            <w:tcW w:w="4271"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618"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795098280"/>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Percent of Employees</w:t>
            </w:r>
          </w:p>
        </w:tc>
      </w:tr>
      <w:tr w:rsidR="00000000">
        <w:trPr>
          <w:divId w:val="795098280"/>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North America</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61%</w:t>
            </w:r>
          </w:p>
        </w:tc>
      </w:tr>
      <w:tr w:rsidR="00000000">
        <w:trPr>
          <w:divId w:val="795098280"/>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Asia-Pacific Rim</w:t>
            </w: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17%</w:t>
            </w:r>
          </w:p>
        </w:tc>
      </w:tr>
      <w:tr w:rsidR="00000000">
        <w:trPr>
          <w:divId w:val="795098280"/>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Europe</w:t>
            </w:r>
          </w:p>
        </w:tc>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12%</w:t>
            </w:r>
          </w:p>
        </w:tc>
      </w:tr>
      <w:tr w:rsidR="00000000">
        <w:trPr>
          <w:divId w:val="795098280"/>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Latin America</w:t>
            </w: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10%</w:t>
            </w:r>
          </w:p>
        </w:tc>
      </w:tr>
    </w:tbl>
    <w:p w:rsidR="00000000" w:rsidRDefault="00971A12">
      <w:pPr>
        <w:jc w:val="both"/>
        <w:divId w:val="633173087"/>
        <w:rPr>
          <w:rFonts w:eastAsia="Times New Roman"/>
        </w:rPr>
      </w:pPr>
      <w:r>
        <w:rPr>
          <w:rFonts w:eastAsia="Times New Roman"/>
          <w:color w:val="000000"/>
          <w:sz w:val="20"/>
          <w:szCs w:val="20"/>
        </w:rPr>
        <w:t>The following table outlines the percentage of employees in different functional areas as of December 31, 2022:</w:t>
      </w:r>
    </w:p>
    <w:tbl>
      <w:tblPr>
        <w:tblW w:w="5000" w:type="pct"/>
        <w:tblCellMar>
          <w:top w:w="15" w:type="dxa"/>
          <w:left w:w="15" w:type="dxa"/>
          <w:bottom w:w="15" w:type="dxa"/>
          <w:right w:w="15" w:type="dxa"/>
        </w:tblCellMar>
        <w:tblLook w:val="04A0" w:firstRow="1" w:lastRow="0" w:firstColumn="1" w:lastColumn="0" w:noHBand="0" w:noVBand="1"/>
      </w:tblPr>
      <w:tblGrid>
        <w:gridCol w:w="68"/>
        <w:gridCol w:w="7083"/>
        <w:gridCol w:w="37"/>
        <w:gridCol w:w="69"/>
        <w:gridCol w:w="1013"/>
        <w:gridCol w:w="36"/>
      </w:tblGrid>
      <w:tr w:rsidR="00000000">
        <w:trPr>
          <w:divId w:val="922643074"/>
        </w:trPr>
        <w:tc>
          <w:tcPr>
            <w:tcW w:w="50" w:type="pct"/>
            <w:vAlign w:val="center"/>
            <w:hideMark/>
          </w:tcPr>
          <w:p w:rsidR="00000000" w:rsidRDefault="00971A12">
            <w:pPr>
              <w:jc w:val="both"/>
              <w:rPr>
                <w:rFonts w:eastAsia="Times New Roman"/>
              </w:rPr>
            </w:pPr>
          </w:p>
        </w:tc>
        <w:tc>
          <w:tcPr>
            <w:tcW w:w="4271"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618"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922643074"/>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Percent of Employees</w:t>
            </w:r>
          </w:p>
        </w:tc>
      </w:tr>
      <w:tr w:rsidR="00000000">
        <w:trPr>
          <w:divId w:val="922643074"/>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Product and Technology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52%</w:t>
            </w:r>
          </w:p>
        </w:tc>
      </w:tr>
      <w:tr w:rsidR="00000000">
        <w:trPr>
          <w:divId w:val="922643074"/>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Sales and Service</w:t>
            </w: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23%</w:t>
            </w:r>
          </w:p>
        </w:tc>
      </w:tr>
      <w:tr w:rsidR="00000000">
        <w:trPr>
          <w:divId w:val="922643074"/>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Movies</w:t>
            </w:r>
          </w:p>
        </w:tc>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15%</w:t>
            </w:r>
          </w:p>
        </w:tc>
      </w:tr>
      <w:tr w:rsidR="00000000">
        <w:trPr>
          <w:divId w:val="922643074"/>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General and Administrative</w:t>
            </w: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10%</w:t>
            </w:r>
          </w:p>
        </w:tc>
      </w:tr>
      <w:tr w:rsidR="00000000">
        <w:trPr>
          <w:divId w:val="922643074"/>
        </w:trPr>
        <w:tc>
          <w:tcPr>
            <w:tcW w:w="0" w:type="auto"/>
            <w:gridSpan w:val="3"/>
            <w:vAlign w:val="center"/>
            <w:hideMark/>
          </w:tcPr>
          <w:p w:rsidR="00000000" w:rsidRDefault="00971A12">
            <w:pPr>
              <w:spacing w:after="100"/>
              <w:jc w:val="center"/>
              <w:rPr>
                <w:rFonts w:eastAsia="Times New Roman"/>
              </w:rPr>
            </w:pPr>
          </w:p>
        </w:tc>
        <w:tc>
          <w:tcPr>
            <w:tcW w:w="0" w:type="auto"/>
            <w:gridSpan w:val="3"/>
            <w:vAlign w:val="center"/>
            <w:hideMark/>
          </w:tcPr>
          <w:p w:rsidR="00000000" w:rsidRDefault="00971A12">
            <w:pPr>
              <w:spacing w:after="100"/>
              <w:rPr>
                <w:rFonts w:eastAsia="Times New Roman"/>
                <w:sz w:val="20"/>
                <w:szCs w:val="20"/>
              </w:rPr>
            </w:pPr>
          </w:p>
        </w:tc>
      </w:tr>
    </w:tbl>
    <w:p w:rsidR="00000000" w:rsidRDefault="00971A12">
      <w:pPr>
        <w:divId w:val="305863169"/>
        <w:rPr>
          <w:rFonts w:eastAsia="Times New Roman"/>
        </w:rPr>
      </w:pPr>
    </w:p>
    <w:p w:rsidR="00000000" w:rsidRDefault="00971A12">
      <w:pPr>
        <w:divId w:val="862867086"/>
        <w:rPr>
          <w:rFonts w:eastAsia="Times New Roman"/>
        </w:rPr>
      </w:pPr>
      <w:r>
        <w:rPr>
          <w:rFonts w:eastAsia="Times New Roman"/>
          <w:color w:val="000000"/>
          <w:sz w:val="20"/>
          <w:szCs w:val="20"/>
          <w:u w:val="single"/>
        </w:rPr>
        <w:t>Employee Engagement &amp; Retention</w:t>
      </w:r>
    </w:p>
    <w:p w:rsidR="00000000" w:rsidRDefault="00971A12">
      <w:pPr>
        <w:jc w:val="both"/>
        <w:divId w:val="1046641963"/>
        <w:rPr>
          <w:rFonts w:eastAsia="Times New Roman"/>
        </w:rPr>
      </w:pPr>
      <w:r>
        <w:rPr>
          <w:rFonts w:eastAsia="Times New Roman"/>
          <w:color w:val="000000"/>
          <w:sz w:val="20"/>
          <w:szCs w:val="20"/>
        </w:rPr>
        <w:t xml:space="preserve">The development, attraction and retention of talent is critical to the success of our business. We focus on building employee engagement; developing a positive culture of trust, transparency, learning, and involvement; and competitive pay and benefits </w:t>
      </w:r>
    </w:p>
    <w:p w:rsidR="00000000" w:rsidRDefault="00971A12">
      <w:pPr>
        <w:jc w:val="center"/>
        <w:divId w:val="2003701516"/>
        <w:rPr>
          <w:rFonts w:eastAsia="Times New Roman"/>
        </w:rPr>
      </w:pPr>
      <w:r>
        <w:rPr>
          <w:rFonts w:eastAsia="Times New Roman"/>
          <w:color w:val="000000"/>
          <w:sz w:val="20"/>
          <w:szCs w:val="20"/>
        </w:rPr>
        <w:t>7</w:t>
      </w:r>
    </w:p>
    <w:p w:rsidR="00000000" w:rsidRDefault="00971A12">
      <w:pPr>
        <w:rPr>
          <w:rFonts w:eastAsia="Times New Roman"/>
        </w:rPr>
      </w:pPr>
      <w:r>
        <w:rPr>
          <w:rFonts w:eastAsia="Times New Roman"/>
        </w:rPr>
        <w:pict>
          <v:rect id="_x0000_i1034" style="width:0;height:1.5pt" o:hralign="center" o:hrstd="t" o:hr="t" fillcolor="#a0a0a0" stroked="f"/>
        </w:pict>
      </w:r>
    </w:p>
    <w:p w:rsidR="00000000" w:rsidRDefault="00971A12">
      <w:pPr>
        <w:divId w:val="1308164922"/>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080175606"/>
        <w:rPr>
          <w:rFonts w:eastAsia="Times New Roman"/>
        </w:rPr>
      </w:pPr>
    </w:p>
    <w:p w:rsidR="00000000" w:rsidRDefault="00971A12">
      <w:pPr>
        <w:jc w:val="both"/>
        <w:divId w:val="1133520333"/>
        <w:rPr>
          <w:rFonts w:eastAsia="Times New Roman"/>
        </w:rPr>
      </w:pPr>
      <w:r>
        <w:rPr>
          <w:rFonts w:eastAsia="Times New Roman"/>
          <w:color w:val="000000"/>
          <w:sz w:val="20"/>
          <w:szCs w:val="20"/>
        </w:rPr>
        <w:t>structures to attract and retain employees and protect the intellectual capital that we have built. We regularly review our employee turnover and satisfaction rates, and develop strategies and tactics to improve employee engagement and retention. On averag</w:t>
      </w:r>
      <w:r>
        <w:rPr>
          <w:rFonts w:eastAsia="Times New Roman"/>
          <w:color w:val="000000"/>
          <w:sz w:val="20"/>
          <w:szCs w:val="20"/>
        </w:rPr>
        <w:t xml:space="preserve">e, employee tenure is approximately five years, and more than 10% of our employees have been employed by our company for more than ten years. </w:t>
      </w:r>
    </w:p>
    <w:p w:rsidR="00000000" w:rsidRDefault="00971A12">
      <w:pPr>
        <w:jc w:val="both"/>
        <w:divId w:val="1274479336"/>
        <w:rPr>
          <w:rFonts w:eastAsia="Times New Roman"/>
        </w:rPr>
      </w:pPr>
      <w:r>
        <w:rPr>
          <w:rFonts w:eastAsia="Times New Roman"/>
          <w:color w:val="000000"/>
          <w:sz w:val="20"/>
          <w:szCs w:val="20"/>
        </w:rPr>
        <w:t xml:space="preserve">We seek to attract and retain the best talent from a diverse group of sources around the world, in order to meet </w:t>
      </w:r>
      <w:r>
        <w:rPr>
          <w:rFonts w:eastAsia="Times New Roman"/>
          <w:color w:val="000000"/>
          <w:sz w:val="20"/>
          <w:szCs w:val="20"/>
        </w:rPr>
        <w:t>our current and future staffing needs. In addition to a robust employee referral practice and independent outreach, we have developed relationships with universities, professional associations, and industry alliances to further increase our outreach and ta</w:t>
      </w:r>
      <w:r>
        <w:rPr>
          <w:rFonts w:eastAsia="Times New Roman"/>
          <w:color w:val="000000"/>
          <w:sz w:val="20"/>
          <w:szCs w:val="20"/>
        </w:rPr>
        <w:t>lent pool. In 2022, our company conducted hiring in North America, Europe, India, and Latin America.</w:t>
      </w:r>
    </w:p>
    <w:p w:rsidR="00000000" w:rsidRDefault="00971A12">
      <w:pPr>
        <w:jc w:val="both"/>
        <w:divId w:val="1958832747"/>
        <w:rPr>
          <w:rFonts w:eastAsia="Times New Roman"/>
        </w:rPr>
      </w:pPr>
      <w:r>
        <w:rPr>
          <w:rFonts w:eastAsia="Times New Roman"/>
          <w:color w:val="000000"/>
          <w:sz w:val="20"/>
          <w:szCs w:val="20"/>
        </w:rPr>
        <w:t>Where feasible within the countries in which we operate, we provide a competitive and varied portfolio of healthcare, wellness, financial, and other benefi</w:t>
      </w:r>
      <w:r>
        <w:rPr>
          <w:rFonts w:eastAsia="Times New Roman"/>
          <w:color w:val="000000"/>
          <w:sz w:val="20"/>
          <w:szCs w:val="20"/>
        </w:rPr>
        <w:t>t offerings to suit the diverse needs and lifestyles of our employees. Within the United States, 84% of our employee population was enrolled in one of our healthcare plans as of December 31, 2022.</w:t>
      </w:r>
    </w:p>
    <w:p w:rsidR="00000000" w:rsidRDefault="00971A12">
      <w:pPr>
        <w:jc w:val="both"/>
        <w:divId w:val="547497055"/>
        <w:rPr>
          <w:rFonts w:eastAsia="Times New Roman"/>
        </w:rPr>
      </w:pPr>
      <w:r>
        <w:rPr>
          <w:rFonts w:eastAsia="Times New Roman"/>
          <w:color w:val="000000"/>
          <w:sz w:val="20"/>
          <w:szCs w:val="20"/>
        </w:rPr>
        <w:t>We provide virtual, on-demand learning opportunities to all</w:t>
      </w:r>
      <w:r>
        <w:rPr>
          <w:rFonts w:eastAsia="Times New Roman"/>
          <w:color w:val="000000"/>
          <w:sz w:val="20"/>
          <w:szCs w:val="20"/>
        </w:rPr>
        <w:t xml:space="preserve"> employees, and we also develop and deliver custom learning programs to meet specific business needs and employee interests. In 2022, approximately 80% of our employees participated in learning activities through the on-demand portal. </w:t>
      </w:r>
    </w:p>
    <w:p w:rsidR="00000000" w:rsidRDefault="00971A12">
      <w:pPr>
        <w:jc w:val="both"/>
        <w:divId w:val="1360357141"/>
        <w:rPr>
          <w:rFonts w:eastAsia="Times New Roman"/>
        </w:rPr>
      </w:pPr>
      <w:r>
        <w:rPr>
          <w:rFonts w:eastAsia="Times New Roman"/>
          <w:color w:val="000000"/>
          <w:sz w:val="20"/>
          <w:szCs w:val="20"/>
        </w:rPr>
        <w:t>We believe we have s</w:t>
      </w:r>
      <w:r>
        <w:rPr>
          <w:rFonts w:eastAsia="Times New Roman"/>
          <w:color w:val="000000"/>
          <w:sz w:val="20"/>
          <w:szCs w:val="20"/>
        </w:rPr>
        <w:t xml:space="preserve">trong labor practices and employee-friendly policies that enable a culture of trust, collaboration, and compliance. Our employment standards begin and end with respect for the dignity and worth of each person. Employees have multiple avenues through which </w:t>
      </w:r>
      <w:r>
        <w:rPr>
          <w:rFonts w:eastAsia="Times New Roman"/>
          <w:color w:val="000000"/>
          <w:sz w:val="20"/>
          <w:szCs w:val="20"/>
        </w:rPr>
        <w:t>to express opinions, ideas, and concerns, which enables an open culture of communication and inclusion; our policies require that complaints are investigated and any findings are addressed. Our employees are not represented by labor unions outside of those</w:t>
      </w:r>
      <w:r>
        <w:rPr>
          <w:rFonts w:eastAsia="Times New Roman"/>
          <w:color w:val="000000"/>
          <w:sz w:val="20"/>
          <w:szCs w:val="20"/>
        </w:rPr>
        <w:t xml:space="preserve"> few countries where union representation is a customary practice of doing business. The Company operates a Compliance Management System, a key component of which is mandatory training for all employees in areas including workplace harassment and our code </w:t>
      </w:r>
      <w:r>
        <w:rPr>
          <w:rFonts w:eastAsia="Times New Roman"/>
          <w:color w:val="000000"/>
          <w:sz w:val="20"/>
          <w:szCs w:val="20"/>
        </w:rPr>
        <w:t>of business conduct.</w:t>
      </w:r>
    </w:p>
    <w:p w:rsidR="00000000" w:rsidRDefault="00971A12">
      <w:pPr>
        <w:jc w:val="both"/>
        <w:divId w:val="1088381979"/>
        <w:rPr>
          <w:rFonts w:eastAsia="Times New Roman"/>
        </w:rPr>
      </w:pPr>
      <w:r>
        <w:rPr>
          <w:rFonts w:eastAsia="Times New Roman"/>
          <w:color w:val="000000"/>
          <w:sz w:val="20"/>
          <w:szCs w:val="20"/>
          <w:u w:val="single"/>
        </w:rPr>
        <w:t>Work Environment</w:t>
      </w:r>
    </w:p>
    <w:p w:rsidR="00000000" w:rsidRDefault="00971A12">
      <w:pPr>
        <w:jc w:val="both"/>
        <w:divId w:val="226917531"/>
        <w:rPr>
          <w:rFonts w:eastAsia="Times New Roman"/>
        </w:rPr>
      </w:pPr>
      <w:r>
        <w:rPr>
          <w:rFonts w:eastAsia="Times New Roman"/>
          <w:color w:val="000000"/>
          <w:sz w:val="20"/>
          <w:szCs w:val="20"/>
        </w:rPr>
        <w:t>We believe we have created a work environment, whether in person or virtually, that represents our commitment to safety and wellness. We provide both system and technology capability as well as personal support, includ</w:t>
      </w:r>
      <w:r>
        <w:rPr>
          <w:rFonts w:eastAsia="Times New Roman"/>
          <w:color w:val="000000"/>
          <w:sz w:val="20"/>
          <w:szCs w:val="20"/>
        </w:rPr>
        <w:t>ing wellness activities and resources, virtual social activities, and support for working parents. Supporting the person, not just the "worker," allows us to maintain business operations without endangering employees or customers. We had no safety incident</w:t>
      </w:r>
      <w:r>
        <w:rPr>
          <w:rFonts w:eastAsia="Times New Roman"/>
          <w:color w:val="000000"/>
          <w:sz w:val="20"/>
          <w:szCs w:val="20"/>
        </w:rPr>
        <w:t>s reported in 2022.</w:t>
      </w:r>
    </w:p>
    <w:p w:rsidR="00000000" w:rsidRDefault="00971A12">
      <w:pPr>
        <w:jc w:val="both"/>
        <w:divId w:val="1899198749"/>
        <w:rPr>
          <w:rFonts w:eastAsia="Times New Roman"/>
        </w:rPr>
      </w:pPr>
      <w:r>
        <w:rPr>
          <w:rFonts w:eastAsia="Times New Roman"/>
          <w:color w:val="000000"/>
          <w:sz w:val="20"/>
          <w:szCs w:val="20"/>
          <w:u w:val="single"/>
        </w:rPr>
        <w:t>Diversity and Inclusion</w:t>
      </w:r>
    </w:p>
    <w:p w:rsidR="00000000" w:rsidRDefault="00971A12">
      <w:pPr>
        <w:jc w:val="both"/>
        <w:divId w:val="1721440328"/>
        <w:rPr>
          <w:rFonts w:eastAsia="Times New Roman"/>
        </w:rPr>
      </w:pPr>
      <w:r>
        <w:rPr>
          <w:rFonts w:eastAsia="Times New Roman"/>
          <w:color w:val="000000"/>
          <w:sz w:val="20"/>
          <w:szCs w:val="20"/>
        </w:rPr>
        <w:t xml:space="preserve">We strive to build and develop a workforce that reflects diversity, equity, and inclusion at all levels of the organization. As of December 31, 2022, over 40% of our global workforce was female and approximately </w:t>
      </w:r>
      <w:r>
        <w:rPr>
          <w:rFonts w:eastAsia="Times New Roman"/>
          <w:color w:val="000000"/>
          <w:sz w:val="20"/>
          <w:szCs w:val="20"/>
        </w:rPr>
        <w:t>40% of our executive leaders were female. Within the United States, more than 30% of our employees identified as a person of color or as other than white. Our view is that our culture of involvement and appreciation of others enables us to more fully devel</w:t>
      </w:r>
      <w:r>
        <w:rPr>
          <w:rFonts w:eastAsia="Times New Roman"/>
          <w:color w:val="000000"/>
          <w:sz w:val="20"/>
          <w:szCs w:val="20"/>
        </w:rPr>
        <w:t>op and leverage the strengths of our workforce to meet our business objectives. We place a high value on inclusion and employee-led opportunities across the Company, including the Employee Resource Groups ("ERGs") which are sponsored by senior leadership b</w:t>
      </w:r>
      <w:r>
        <w:rPr>
          <w:rFonts w:eastAsia="Times New Roman"/>
          <w:color w:val="000000"/>
          <w:sz w:val="20"/>
          <w:szCs w:val="20"/>
        </w:rPr>
        <w:t>ut are developed and maintained by diverse groups of employees who share or champion common interests, representations, or causes. We currently have ERGs in support of LGBTQ+ persons, people of color, women, young professionals, and remote workers. We have</w:t>
      </w:r>
      <w:r>
        <w:rPr>
          <w:rFonts w:eastAsia="Times New Roman"/>
          <w:color w:val="000000"/>
          <w:sz w:val="20"/>
          <w:szCs w:val="20"/>
        </w:rPr>
        <w:t xml:space="preserve"> amplified our conversation and actions relating specifically to inclusion and diversity in the last year, taking a more active executive stance and implementing learning and development initiatives, additional ERGs, virtual employee gatherings and activit</w:t>
      </w:r>
      <w:r>
        <w:rPr>
          <w:rFonts w:eastAsia="Times New Roman"/>
          <w:color w:val="000000"/>
          <w:sz w:val="20"/>
          <w:szCs w:val="20"/>
        </w:rPr>
        <w:t>ies, and talent acquisition opportunities.</w:t>
      </w:r>
    </w:p>
    <w:p w:rsidR="00000000" w:rsidRDefault="00971A12">
      <w:pPr>
        <w:jc w:val="both"/>
        <w:divId w:val="208030960"/>
        <w:rPr>
          <w:rFonts w:eastAsia="Times New Roman"/>
        </w:rPr>
      </w:pPr>
      <w:r>
        <w:rPr>
          <w:rFonts w:eastAsia="Times New Roman"/>
          <w:b/>
          <w:bCs/>
          <w:color w:val="000000"/>
          <w:sz w:val="20"/>
          <w:szCs w:val="20"/>
        </w:rPr>
        <w:t>Locations and Geographic Areas</w:t>
      </w:r>
    </w:p>
    <w:p w:rsidR="00000000" w:rsidRDefault="00971A12">
      <w:pPr>
        <w:jc w:val="both"/>
        <w:divId w:val="1012798348"/>
        <w:rPr>
          <w:rFonts w:eastAsia="Times New Roman"/>
        </w:rPr>
      </w:pPr>
      <w:r>
        <w:rPr>
          <w:rFonts w:eastAsia="Times New Roman"/>
          <w:color w:val="000000"/>
          <w:sz w:val="20"/>
          <w:szCs w:val="20"/>
        </w:rPr>
        <w:t>We are located around the globe with employees in 17 countries. Our primary geographic market is the United States, followed by Asia, Europe, Latin America and Canada. For informatio</w:t>
      </w:r>
      <w:r>
        <w:rPr>
          <w:rFonts w:eastAsia="Times New Roman"/>
          <w:color w:val="000000"/>
          <w:sz w:val="20"/>
          <w:szCs w:val="20"/>
        </w:rPr>
        <w:t xml:space="preserve">n with respect to sales by geographic markets, refer to </w:t>
      </w:r>
      <w:hyperlink w:anchor="i0047531bd13046b986557e31951e34f8_106"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Revenue Recognition</w:t>
      </w:r>
      <w:r>
        <w:rPr>
          <w:rFonts w:eastAsia="Times New Roman"/>
          <w:color w:val="000000"/>
          <w:sz w:val="20"/>
          <w:szCs w:val="20"/>
        </w:rPr>
        <w:t>, of the Notes to Consolidated Financial Statements.</w:t>
      </w:r>
    </w:p>
    <w:p w:rsidR="00000000" w:rsidRDefault="00971A12">
      <w:pPr>
        <w:jc w:val="both"/>
        <w:divId w:val="1971595300"/>
        <w:rPr>
          <w:rFonts w:eastAsia="Times New Roman"/>
        </w:rPr>
      </w:pPr>
      <w:r>
        <w:rPr>
          <w:rFonts w:eastAsia="Times New Roman"/>
          <w:b/>
          <w:bCs/>
          <w:color w:val="000000"/>
          <w:sz w:val="20"/>
          <w:szCs w:val="20"/>
        </w:rPr>
        <w:t>Executive Officers and Directors</w:t>
      </w:r>
    </w:p>
    <w:p w:rsidR="00000000" w:rsidRDefault="00971A12">
      <w:pPr>
        <w:jc w:val="both"/>
        <w:divId w:val="2111004106"/>
        <w:rPr>
          <w:rFonts w:eastAsia="Times New Roman"/>
        </w:rPr>
      </w:pPr>
      <w:r>
        <w:rPr>
          <w:rFonts w:eastAsia="Times New Roman"/>
          <w:color w:val="000000"/>
          <w:sz w:val="20"/>
          <w:szCs w:val="20"/>
          <w:u w:val="single"/>
        </w:rPr>
        <w:t>Executive Officers</w:t>
      </w:r>
    </w:p>
    <w:p w:rsidR="00000000" w:rsidRDefault="00971A12">
      <w:pPr>
        <w:jc w:val="both"/>
        <w:divId w:val="1100643273"/>
        <w:rPr>
          <w:rFonts w:eastAsia="Times New Roman"/>
        </w:rPr>
      </w:pPr>
      <w:r>
        <w:rPr>
          <w:rFonts w:eastAsia="Times New Roman"/>
          <w:i/>
          <w:iCs/>
          <w:color w:val="000000"/>
          <w:sz w:val="20"/>
          <w:szCs w:val="20"/>
        </w:rPr>
        <w:t>Jona</w:t>
      </w:r>
      <w:r>
        <w:rPr>
          <w:rFonts w:eastAsia="Times New Roman"/>
          <w:i/>
          <w:iCs/>
          <w:color w:val="000000"/>
          <w:sz w:val="20"/>
          <w:szCs w:val="20"/>
        </w:rPr>
        <w:t>than (Jon) Carpenter</w:t>
      </w:r>
      <w:r>
        <w:rPr>
          <w:rFonts w:eastAsia="Times New Roman"/>
          <w:color w:val="000000"/>
          <w:sz w:val="20"/>
          <w:szCs w:val="20"/>
        </w:rPr>
        <w:t xml:space="preserve"> has served as our Chief Executive Officer since July 2022 and was our Chief Financial Officer and Treasurer from November 2021 to July 2022. Mr. Carpenter previously served as Chief Financial Officer of Publishers Clearing House, a dir</w:t>
      </w:r>
      <w:r>
        <w:rPr>
          <w:rFonts w:eastAsia="Times New Roman"/>
          <w:color w:val="000000"/>
          <w:sz w:val="20"/>
          <w:szCs w:val="20"/>
        </w:rPr>
        <w:t xml:space="preserve">ect marketing and media company, from June 2016 until November 2021. Prior to Publishers Clearing House, he served in divisional CFO roles for Nielsen Company, Sears Holdings and NBC Universal. He began his career with General Electric in the GE Financial </w:t>
      </w:r>
      <w:r>
        <w:rPr>
          <w:rFonts w:eastAsia="Times New Roman"/>
          <w:color w:val="000000"/>
          <w:sz w:val="20"/>
          <w:szCs w:val="20"/>
        </w:rPr>
        <w:t>Management Program. Mr. Carpenter holds a bachelor's degree in economics from the University of Vermont.</w:t>
      </w:r>
    </w:p>
    <w:p w:rsidR="00000000" w:rsidRDefault="00971A12">
      <w:pPr>
        <w:jc w:val="both"/>
        <w:divId w:val="84957103"/>
        <w:rPr>
          <w:rFonts w:eastAsia="Times New Roman"/>
        </w:rPr>
      </w:pPr>
      <w:r>
        <w:rPr>
          <w:rFonts w:eastAsia="Times New Roman"/>
          <w:i/>
          <w:iCs/>
          <w:color w:val="000000"/>
          <w:sz w:val="20"/>
          <w:szCs w:val="20"/>
        </w:rPr>
        <w:t>Mary Margaret Curry</w:t>
      </w:r>
      <w:r>
        <w:rPr>
          <w:rFonts w:eastAsia="Times New Roman"/>
          <w:color w:val="000000"/>
          <w:sz w:val="20"/>
          <w:szCs w:val="20"/>
        </w:rPr>
        <w:t xml:space="preserve"> </w:t>
      </w:r>
      <w:r>
        <w:rPr>
          <w:rFonts w:eastAsia="Times New Roman"/>
          <w:color w:val="000000"/>
          <w:sz w:val="20"/>
          <w:szCs w:val="20"/>
        </w:rPr>
        <w:t>has served as our Chief Financial Officer and Treasurer since July 2022 and as our Chief Accounting Officer since December 2021. Ms. Curry joined Comscore in 2011 and has served in roles of increasing scope and responsibility since then, including as Globa</w:t>
      </w:r>
      <w:r>
        <w:rPr>
          <w:rFonts w:eastAsia="Times New Roman"/>
          <w:color w:val="000000"/>
          <w:sz w:val="20"/>
          <w:szCs w:val="20"/>
        </w:rPr>
        <w:t xml:space="preserve">l Tax Director (August 2011 to July 2015), Senior Director of Global Tax Compliance and Reporting (July 2015 to May 2018), Vice President of Tax and Treasury (May 2018 to November 2020) and Senior Vice President and Controller (November </w:t>
      </w:r>
    </w:p>
    <w:p w:rsidR="00000000" w:rsidRDefault="00971A12">
      <w:pPr>
        <w:jc w:val="center"/>
        <w:divId w:val="123541558"/>
        <w:rPr>
          <w:rFonts w:eastAsia="Times New Roman"/>
        </w:rPr>
      </w:pPr>
      <w:r>
        <w:rPr>
          <w:rFonts w:eastAsia="Times New Roman"/>
          <w:color w:val="000000"/>
          <w:sz w:val="20"/>
          <w:szCs w:val="20"/>
        </w:rPr>
        <w:t>8</w:t>
      </w:r>
    </w:p>
    <w:p w:rsidR="00000000" w:rsidRDefault="00971A12">
      <w:pPr>
        <w:rPr>
          <w:rFonts w:eastAsia="Times New Roman"/>
        </w:rPr>
      </w:pPr>
      <w:r>
        <w:rPr>
          <w:rFonts w:eastAsia="Times New Roman"/>
        </w:rPr>
        <w:pict>
          <v:rect id="_x0000_i1035" style="width:0;height:1.5pt" o:hralign="center" o:hrstd="t" o:hr="t" fillcolor="#a0a0a0" stroked="f"/>
        </w:pict>
      </w:r>
    </w:p>
    <w:p w:rsidR="00000000" w:rsidRDefault="00971A12">
      <w:pPr>
        <w:divId w:val="111094434"/>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319501198"/>
        <w:rPr>
          <w:rFonts w:eastAsia="Times New Roman"/>
        </w:rPr>
      </w:pPr>
    </w:p>
    <w:p w:rsidR="00000000" w:rsidRDefault="00971A12">
      <w:pPr>
        <w:jc w:val="both"/>
        <w:divId w:val="2059232626"/>
        <w:rPr>
          <w:rFonts w:eastAsia="Times New Roman"/>
        </w:rPr>
      </w:pPr>
      <w:r>
        <w:rPr>
          <w:rFonts w:eastAsia="Times New Roman"/>
          <w:color w:val="000000"/>
          <w:sz w:val="20"/>
          <w:szCs w:val="20"/>
        </w:rPr>
        <w:t>2020 to December 2021). Prior to joining Comscore, she spent nine years with KPMG. Ms. Curry holds b</w:t>
      </w:r>
      <w:r>
        <w:rPr>
          <w:rFonts w:eastAsia="Times New Roman"/>
          <w:color w:val="000000"/>
          <w:sz w:val="20"/>
          <w:szCs w:val="20"/>
        </w:rPr>
        <w:t>achelor's and master's degrees in accounting from East Carolina University and is a Certified Public Accountant.</w:t>
      </w:r>
    </w:p>
    <w:p w:rsidR="00000000" w:rsidRDefault="00971A12">
      <w:pPr>
        <w:jc w:val="both"/>
        <w:divId w:val="2036998009"/>
        <w:rPr>
          <w:rFonts w:eastAsia="Times New Roman"/>
        </w:rPr>
      </w:pPr>
      <w:r>
        <w:rPr>
          <w:rFonts w:eastAsia="Times New Roman"/>
          <w:i/>
          <w:iCs/>
          <w:color w:val="000000"/>
          <w:sz w:val="20"/>
          <w:szCs w:val="20"/>
        </w:rPr>
        <w:t>David Algranati</w:t>
      </w:r>
      <w:r>
        <w:rPr>
          <w:rFonts w:eastAsia="Times New Roman"/>
          <w:color w:val="000000"/>
          <w:sz w:val="20"/>
          <w:szCs w:val="20"/>
        </w:rPr>
        <w:t xml:space="preserve"> has served as our Chief Innovation Officer since August 2022. Dr. Algranati was our Chief Product Officer from May 2019 to Augu</w:t>
      </w:r>
      <w:r>
        <w:rPr>
          <w:rFonts w:eastAsia="Times New Roman"/>
          <w:color w:val="000000"/>
          <w:sz w:val="20"/>
          <w:szCs w:val="20"/>
        </w:rPr>
        <w:t>st 2022 and our Senior Vice President, Product Management from January 2016 to May 2019. He previously served as Senior Vice President, Product Innovation and Custom Research at Rentrak Corporation from July 2011 until our merger with Rentrak in January 20</w:t>
      </w:r>
      <w:r>
        <w:rPr>
          <w:rFonts w:eastAsia="Times New Roman"/>
          <w:color w:val="000000"/>
          <w:sz w:val="20"/>
          <w:szCs w:val="20"/>
        </w:rPr>
        <w:t>16. Prior to Rentrak, he held various roles with Simmons Market Research and Experian. Dr. Algranati holds a bachelor's degree in political science from The George Washington University, master's degrees in statistics and public policy from Carnegie Mellon</w:t>
      </w:r>
      <w:r>
        <w:rPr>
          <w:rFonts w:eastAsia="Times New Roman"/>
          <w:color w:val="000000"/>
          <w:sz w:val="20"/>
          <w:szCs w:val="20"/>
        </w:rPr>
        <w:t xml:space="preserve"> University, and a doctorate in statistics and public policy from Carnegie Mellon University.</w:t>
      </w:r>
    </w:p>
    <w:p w:rsidR="00000000" w:rsidRDefault="00971A12">
      <w:pPr>
        <w:jc w:val="both"/>
        <w:divId w:val="1996255817"/>
        <w:rPr>
          <w:rFonts w:eastAsia="Times New Roman"/>
        </w:rPr>
      </w:pPr>
      <w:r>
        <w:rPr>
          <w:rFonts w:eastAsia="Times New Roman"/>
          <w:i/>
          <w:iCs/>
          <w:color w:val="000000"/>
          <w:sz w:val="20"/>
          <w:szCs w:val="20"/>
        </w:rPr>
        <w:t>Gregory (Greg) Dale</w:t>
      </w:r>
      <w:r>
        <w:rPr>
          <w:rFonts w:eastAsia="Times New Roman"/>
          <w:color w:val="000000"/>
          <w:sz w:val="20"/>
          <w:szCs w:val="20"/>
        </w:rPr>
        <w:t xml:space="preserve"> has served as our Chief Operating Officer since August 2022 and was our General Manager, Digital from December 2021 to August 2022. Mr. Dale p</w:t>
      </w:r>
      <w:r>
        <w:rPr>
          <w:rFonts w:eastAsia="Times New Roman"/>
          <w:color w:val="000000"/>
          <w:sz w:val="20"/>
          <w:szCs w:val="20"/>
        </w:rPr>
        <w:t>reviously served as Chief Operating Officer of Shareablee, Inc., a social media marketing analytics company, from July 2018 through our acquisition of Shareablee in December 2021. Prior to Shareablee, he was Chief Operating Officer of Persado, an artificia</w:t>
      </w:r>
      <w:r>
        <w:rPr>
          <w:rFonts w:eastAsia="Times New Roman"/>
          <w:color w:val="000000"/>
          <w:sz w:val="20"/>
          <w:szCs w:val="20"/>
        </w:rPr>
        <w:t>l intelligence-based marketing content platform, from April 2016 to February 2018. Mr. Dale previously held senior roles with Comscore from 1999 to 2016, and prior to that, worked with data and analytics firm Information Resources, Inc. He holds a bachelor</w:t>
      </w:r>
      <w:r>
        <w:rPr>
          <w:rFonts w:eastAsia="Times New Roman"/>
          <w:color w:val="000000"/>
          <w:sz w:val="20"/>
          <w:szCs w:val="20"/>
        </w:rPr>
        <w:t>'s degree from Purdue University.</w:t>
      </w:r>
    </w:p>
    <w:p w:rsidR="00000000" w:rsidRDefault="00971A12">
      <w:pPr>
        <w:jc w:val="both"/>
        <w:divId w:val="2131125945"/>
        <w:rPr>
          <w:rFonts w:eastAsia="Times New Roman"/>
        </w:rPr>
      </w:pPr>
      <w:r>
        <w:rPr>
          <w:rFonts w:eastAsia="Times New Roman"/>
          <w:color w:val="000000"/>
          <w:sz w:val="20"/>
          <w:szCs w:val="20"/>
          <w:u w:val="single"/>
        </w:rPr>
        <w:t>Non-Executive Directors</w:t>
      </w:r>
    </w:p>
    <w:p w:rsidR="00000000" w:rsidRDefault="00971A12">
      <w:pPr>
        <w:jc w:val="both"/>
        <w:divId w:val="1785462837"/>
        <w:rPr>
          <w:rFonts w:eastAsia="Times New Roman"/>
        </w:rPr>
      </w:pPr>
      <w:r>
        <w:rPr>
          <w:rFonts w:eastAsia="Times New Roman"/>
          <w:i/>
          <w:iCs/>
          <w:color w:val="000000"/>
          <w:sz w:val="20"/>
          <w:szCs w:val="20"/>
        </w:rPr>
        <w:t xml:space="preserve">Nana Banerjee </w:t>
      </w:r>
      <w:r>
        <w:rPr>
          <w:rFonts w:eastAsia="Times New Roman"/>
          <w:color w:val="000000"/>
          <w:sz w:val="20"/>
          <w:szCs w:val="20"/>
        </w:rPr>
        <w:t>has served as Chairman of the Board since July 2022 and as a director since March 2021</w:t>
      </w:r>
      <w:r>
        <w:rPr>
          <w:rFonts w:eastAsia="Times New Roman"/>
          <w:i/>
          <w:iCs/>
          <w:color w:val="000000"/>
          <w:sz w:val="20"/>
          <w:szCs w:val="20"/>
        </w:rPr>
        <w:t xml:space="preserve">. </w:t>
      </w:r>
      <w:r>
        <w:rPr>
          <w:rFonts w:eastAsia="Times New Roman"/>
          <w:color w:val="000000"/>
          <w:sz w:val="20"/>
          <w:szCs w:val="20"/>
        </w:rPr>
        <w:t>Dr. Banerjee serves as a senior advisor to the CEO of Cerberus Capital Management, a private equ</w:t>
      </w:r>
      <w:r>
        <w:rPr>
          <w:rFonts w:eastAsia="Times New Roman"/>
          <w:color w:val="000000"/>
          <w:sz w:val="20"/>
          <w:szCs w:val="20"/>
        </w:rPr>
        <w:t>ity firm, since September 2021. He also serves on the Board of multiple Cerberus portfolio companies. From March 2020 to September 2021, he served as a Senior Managing Director of Cerberus Global Technology Solutions. Dr. Banerjee brings extensive experien</w:t>
      </w:r>
      <w:r>
        <w:rPr>
          <w:rFonts w:eastAsia="Times New Roman"/>
          <w:color w:val="000000"/>
          <w:sz w:val="20"/>
          <w:szCs w:val="20"/>
        </w:rPr>
        <w:t>ce in leading, innovating and scaling analytics and technology businesses globally. Prior to joining Cerberus, he served as the President and CEO of McGraw-Hill, an education solutions company, and a member of its Board of Directors from April 2018 to Octo</w:t>
      </w:r>
      <w:r>
        <w:rPr>
          <w:rFonts w:eastAsia="Times New Roman"/>
          <w:color w:val="000000"/>
          <w:sz w:val="20"/>
          <w:szCs w:val="20"/>
        </w:rPr>
        <w:t>ber 2019. From September 2012 to March 2018, he was Group President and an Executive Officer of Verisk Analytics, a data analytics company, with responsibility for its high-growth businesses as well as oversight responsibility for its joint data and develo</w:t>
      </w:r>
      <w:r>
        <w:rPr>
          <w:rFonts w:eastAsia="Times New Roman"/>
          <w:color w:val="000000"/>
          <w:sz w:val="20"/>
          <w:szCs w:val="20"/>
        </w:rPr>
        <w:t>pment environment and its centralized AI and advanced analytics organizations. He joined Verisk as part of its acquisition of Argus Information and Advisory Services, where he was CEO, and co-president and chief operating officer in prior roles. In other p</w:t>
      </w:r>
      <w:r>
        <w:rPr>
          <w:rFonts w:eastAsia="Times New Roman"/>
          <w:color w:val="000000"/>
          <w:sz w:val="20"/>
          <w:szCs w:val="20"/>
        </w:rPr>
        <w:t>rior roles, Dr. Banerjee served as head of Citibank's credit card business in the United Kingdom and as vice president of marketing and analytics at GE Capital. Dr. Banerjee has a Ph.D. in applied mathematics from the State University of New York, a M.S. d</w:t>
      </w:r>
      <w:r>
        <w:rPr>
          <w:rFonts w:eastAsia="Times New Roman"/>
          <w:color w:val="000000"/>
          <w:sz w:val="20"/>
          <w:szCs w:val="20"/>
        </w:rPr>
        <w:t xml:space="preserve">egree in mathematics from the Indian Institute of Technology, Delhi, and a B.S. degree with honors in mathematics from St. Stephens College, Delhi. Dr. Banerjee's extensive experience in analytics and technology enable him to bring valuable perspective to </w:t>
      </w:r>
      <w:r>
        <w:rPr>
          <w:rFonts w:eastAsia="Times New Roman"/>
          <w:color w:val="000000"/>
          <w:sz w:val="20"/>
          <w:szCs w:val="20"/>
        </w:rPr>
        <w:t>our Board.</w:t>
      </w:r>
    </w:p>
    <w:p w:rsidR="00000000" w:rsidRDefault="00971A12">
      <w:pPr>
        <w:jc w:val="both"/>
        <w:divId w:val="1997763222"/>
        <w:rPr>
          <w:rFonts w:eastAsia="Times New Roman"/>
        </w:rPr>
      </w:pPr>
      <w:r>
        <w:rPr>
          <w:rFonts w:eastAsia="Times New Roman"/>
          <w:i/>
          <w:iCs/>
          <w:color w:val="000000"/>
          <w:sz w:val="20"/>
          <w:szCs w:val="20"/>
        </w:rPr>
        <w:t>Itzhak Fisher</w:t>
      </w:r>
      <w:r>
        <w:rPr>
          <w:rFonts w:eastAsia="Times New Roman"/>
          <w:color w:val="000000"/>
          <w:sz w:val="20"/>
          <w:szCs w:val="20"/>
        </w:rPr>
        <w:t xml:space="preserve"> has served as a director since March 2021. Mr. Fisher is the Chairman and founder (2014 to present) of Pereg Ventures, a venture capital fund that invests in B2B information services businesses across the United States and Israel. </w:t>
      </w:r>
      <w:r>
        <w:rPr>
          <w:rFonts w:eastAsia="Times New Roman"/>
          <w:color w:val="000000"/>
          <w:sz w:val="20"/>
          <w:szCs w:val="20"/>
        </w:rPr>
        <w:t>Previously, he served as the EVP of global product, strategy and business development at Nielsen, as founder and Executive Chairman of Trendum, and as President and CEO of RSL Communications, where he built a telecommunications company that operated in ove</w:t>
      </w:r>
      <w:r>
        <w:rPr>
          <w:rFonts w:eastAsia="Times New Roman"/>
          <w:color w:val="000000"/>
          <w:sz w:val="20"/>
          <w:szCs w:val="20"/>
        </w:rPr>
        <w:t>r 20 countries and generated more than $1.5 billion in revenues. Mr. Fisher received a B.S. in Computer Science from New York Institute of Technology and completed advanced studies in computer science at New York University. He served on the board of direc</w:t>
      </w:r>
      <w:r>
        <w:rPr>
          <w:rFonts w:eastAsia="Times New Roman"/>
          <w:color w:val="000000"/>
          <w:sz w:val="20"/>
          <w:szCs w:val="20"/>
        </w:rPr>
        <w:t>tors of SITO Mobile from June 2017 to July 2018. His other affiliations include the Strategic Advisory Group, Goldman Sachs; Advisory Board, NYU Courant Institute of Mathematical Sciences; and President's Council, Tufts University. Mr. Fisher brings to our</w:t>
      </w:r>
      <w:r>
        <w:rPr>
          <w:rFonts w:eastAsia="Times New Roman"/>
          <w:color w:val="000000"/>
          <w:sz w:val="20"/>
          <w:szCs w:val="20"/>
        </w:rPr>
        <w:t xml:space="preserve"> Board substantial experience in creating, operating and investing in digital, media and retail companies.</w:t>
      </w:r>
    </w:p>
    <w:p w:rsidR="00000000" w:rsidRDefault="00971A12">
      <w:pPr>
        <w:jc w:val="both"/>
        <w:divId w:val="381367984"/>
        <w:rPr>
          <w:rFonts w:eastAsia="Times New Roman"/>
        </w:rPr>
      </w:pPr>
      <w:r>
        <w:rPr>
          <w:rFonts w:eastAsia="Times New Roman"/>
          <w:i/>
          <w:iCs/>
          <w:color w:val="000000"/>
          <w:sz w:val="20"/>
          <w:szCs w:val="20"/>
        </w:rPr>
        <w:t>Leslie Gillin</w:t>
      </w:r>
      <w:r>
        <w:rPr>
          <w:rFonts w:eastAsia="Times New Roman"/>
          <w:color w:val="000000"/>
          <w:sz w:val="20"/>
          <w:szCs w:val="20"/>
        </w:rPr>
        <w:t xml:space="preserve"> has served as a director since January 2023. Ms. Gillin is Chief Growth Officer of Pagaya Technologies, a financial technology company,</w:t>
      </w:r>
      <w:r>
        <w:rPr>
          <w:rFonts w:eastAsia="Times New Roman"/>
          <w:color w:val="000000"/>
          <w:sz w:val="20"/>
          <w:szCs w:val="20"/>
        </w:rPr>
        <w:t xml:space="preserve"> where she oversees global growth strategy, business development, marketing, public relations and external communications. She joined Pagaya in October 2021 from JPMorgan Chase, where she served as Chief Marketing Officer of the firm (December 2019 to Apri</w:t>
      </w:r>
      <w:r>
        <w:rPr>
          <w:rFonts w:eastAsia="Times New Roman"/>
          <w:color w:val="000000"/>
          <w:sz w:val="20"/>
          <w:szCs w:val="20"/>
        </w:rPr>
        <w:t>l 2021) and prior to that was President of Chase's CoBrand Cards Services (February 2017 to December 2019). Ms. Gillin has also held senior executive leadership positions at Bank of America, Citi and MBNA, including leadership roles in Canada and Europe. S</w:t>
      </w:r>
      <w:r>
        <w:rPr>
          <w:rFonts w:eastAsia="Times New Roman"/>
          <w:color w:val="000000"/>
          <w:sz w:val="20"/>
          <w:szCs w:val="20"/>
        </w:rPr>
        <w:t xml:space="preserve">he has been recognized as a Top 50 Women Leaders by </w:t>
      </w:r>
      <w:r>
        <w:rPr>
          <w:rFonts w:eastAsia="Times New Roman"/>
          <w:i/>
          <w:iCs/>
          <w:color w:val="000000"/>
          <w:sz w:val="20"/>
          <w:szCs w:val="20"/>
        </w:rPr>
        <w:t>Women We Admire</w:t>
      </w:r>
      <w:r>
        <w:rPr>
          <w:rFonts w:eastAsia="Times New Roman"/>
          <w:color w:val="000000"/>
          <w:sz w:val="20"/>
          <w:szCs w:val="20"/>
        </w:rPr>
        <w:t xml:space="preserve"> in 2022, as one of 2022's Top 25 Women Leaders in Financial Technology by </w:t>
      </w:r>
      <w:r>
        <w:rPr>
          <w:rFonts w:eastAsia="Times New Roman"/>
          <w:i/>
          <w:iCs/>
          <w:color w:val="000000"/>
          <w:sz w:val="20"/>
          <w:szCs w:val="20"/>
        </w:rPr>
        <w:t>The Financial Technology Report</w:t>
      </w:r>
      <w:r>
        <w:rPr>
          <w:rFonts w:eastAsia="Times New Roman"/>
          <w:color w:val="000000"/>
          <w:sz w:val="20"/>
          <w:szCs w:val="20"/>
        </w:rPr>
        <w:t xml:space="preserve">, honored as a Woman of the Year 2022 by </w:t>
      </w:r>
      <w:r>
        <w:rPr>
          <w:rFonts w:eastAsia="Times New Roman"/>
          <w:i/>
          <w:iCs/>
          <w:color w:val="000000"/>
          <w:sz w:val="20"/>
          <w:szCs w:val="20"/>
        </w:rPr>
        <w:t>The Stevie Awards' Women in Business</w:t>
      </w:r>
      <w:r>
        <w:rPr>
          <w:rFonts w:eastAsia="Times New Roman"/>
          <w:color w:val="000000"/>
          <w:sz w:val="20"/>
          <w:szCs w:val="20"/>
        </w:rPr>
        <w:t xml:space="preserve"> and a</w:t>
      </w:r>
      <w:r>
        <w:rPr>
          <w:rFonts w:eastAsia="Times New Roman"/>
          <w:color w:val="000000"/>
          <w:sz w:val="20"/>
          <w:szCs w:val="20"/>
        </w:rPr>
        <w:t xml:space="preserve"> Top 25 CMO to Watch by </w:t>
      </w:r>
      <w:r>
        <w:rPr>
          <w:rFonts w:eastAsia="Times New Roman"/>
          <w:i/>
          <w:iCs/>
          <w:color w:val="000000"/>
          <w:sz w:val="20"/>
          <w:szCs w:val="20"/>
        </w:rPr>
        <w:t>Business Insider</w:t>
      </w:r>
      <w:r>
        <w:rPr>
          <w:rFonts w:eastAsia="Times New Roman"/>
          <w:color w:val="000000"/>
          <w:sz w:val="20"/>
          <w:szCs w:val="20"/>
        </w:rPr>
        <w:t xml:space="preserve"> in 2020. Ms. Gillin serves on the board of directors of Establishment Labs, a Nasdaq-listed women's biotech company, and has served on the board of The Ad Council, MasterCard UK Forum, the Philadelphia International</w:t>
      </w:r>
      <w:r>
        <w:rPr>
          <w:rFonts w:eastAsia="Times New Roman"/>
          <w:color w:val="000000"/>
          <w:sz w:val="20"/>
          <w:szCs w:val="20"/>
        </w:rPr>
        <w:t xml:space="preserve"> Council of the Arts, The Please Touch Museum and the Delaware Bankers Association. She holds a degree in international relations and Spanish from the University of Delaware and also attended the University of Salamanca. Ms. Gillin brings a strong backgrou</w:t>
      </w:r>
      <w:r>
        <w:rPr>
          <w:rFonts w:eastAsia="Times New Roman"/>
          <w:color w:val="000000"/>
          <w:sz w:val="20"/>
          <w:szCs w:val="20"/>
        </w:rPr>
        <w:t>nd in buy-side media analytics, marketing and financial services to our Board.</w:t>
      </w:r>
    </w:p>
    <w:p w:rsidR="00000000" w:rsidRDefault="00971A12">
      <w:pPr>
        <w:jc w:val="both"/>
        <w:divId w:val="444038501"/>
        <w:rPr>
          <w:rFonts w:eastAsia="Times New Roman"/>
        </w:rPr>
      </w:pPr>
      <w:r>
        <w:rPr>
          <w:rFonts w:eastAsia="Times New Roman"/>
          <w:i/>
          <w:iCs/>
          <w:color w:val="000000"/>
          <w:sz w:val="20"/>
          <w:szCs w:val="20"/>
        </w:rPr>
        <w:t xml:space="preserve">David Kline </w:t>
      </w:r>
      <w:r>
        <w:rPr>
          <w:rFonts w:eastAsia="Times New Roman"/>
          <w:color w:val="000000"/>
          <w:sz w:val="20"/>
          <w:szCs w:val="20"/>
        </w:rPr>
        <w:t>has served as a director since March 2021. Mr. Kline is Executive Vice President at Charter Communications, a communications and media company, and President of Spectrum Reach, the advertising sales division of Charter. Mr. Kline joined Charter in 2015 and</w:t>
      </w:r>
      <w:r>
        <w:rPr>
          <w:rFonts w:eastAsia="Times New Roman"/>
          <w:color w:val="000000"/>
          <w:sz w:val="20"/>
          <w:szCs w:val="20"/>
        </w:rPr>
        <w:t xml:space="preserve"> provides strategic leadership to guide the company in both the traditional and advanced TV advertising space. Mr. Kline joined Charter from Visible World (now FreeWheel), where he served as President and COO directing their household addressable sales and</w:t>
      </w:r>
      <w:r>
        <w:rPr>
          <w:rFonts w:eastAsia="Times New Roman"/>
          <w:color w:val="000000"/>
          <w:sz w:val="20"/>
          <w:szCs w:val="20"/>
        </w:rPr>
        <w:t xml:space="preserve"> programmatic advertising efforts. Earlier in his career, he served as President and COO of Cablevision Media Sales (now Altice Media Solutions) for more than 17 years. Mr. Kline serves on the board of directors for the Video Advertising Bureau and private</w:t>
      </w:r>
      <w:r>
        <w:rPr>
          <w:rFonts w:eastAsia="Times New Roman"/>
          <w:color w:val="000000"/>
          <w:sz w:val="20"/>
          <w:szCs w:val="20"/>
        </w:rPr>
        <w:t xml:space="preserve"> companies Ampersand, Blockgraph (where he was appointed Chairman in April 2022) and Canoe. He received a </w:t>
      </w:r>
    </w:p>
    <w:p w:rsidR="00000000" w:rsidRDefault="00971A12">
      <w:pPr>
        <w:jc w:val="center"/>
        <w:divId w:val="709066059"/>
        <w:rPr>
          <w:rFonts w:eastAsia="Times New Roman"/>
        </w:rPr>
      </w:pPr>
      <w:r>
        <w:rPr>
          <w:rFonts w:eastAsia="Times New Roman"/>
          <w:color w:val="000000"/>
          <w:sz w:val="20"/>
          <w:szCs w:val="20"/>
        </w:rPr>
        <w:t>9</w:t>
      </w:r>
    </w:p>
    <w:p w:rsidR="00000000" w:rsidRDefault="00971A12">
      <w:pPr>
        <w:rPr>
          <w:rFonts w:eastAsia="Times New Roman"/>
        </w:rPr>
      </w:pPr>
      <w:r>
        <w:rPr>
          <w:rFonts w:eastAsia="Times New Roman"/>
        </w:rPr>
        <w:pict>
          <v:rect id="_x0000_i1036" style="width:0;height:1.5pt" o:hralign="center" o:hrstd="t" o:hr="t" fillcolor="#a0a0a0" stroked="f"/>
        </w:pict>
      </w:r>
    </w:p>
    <w:p w:rsidR="00000000" w:rsidRDefault="00971A12">
      <w:pPr>
        <w:divId w:val="727921931"/>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26412582"/>
        <w:rPr>
          <w:rFonts w:eastAsia="Times New Roman"/>
        </w:rPr>
      </w:pPr>
    </w:p>
    <w:p w:rsidR="00000000" w:rsidRDefault="00971A12">
      <w:pPr>
        <w:jc w:val="both"/>
        <w:divId w:val="577709026"/>
        <w:rPr>
          <w:rFonts w:eastAsia="Times New Roman"/>
        </w:rPr>
      </w:pPr>
      <w:r>
        <w:rPr>
          <w:rFonts w:eastAsia="Times New Roman"/>
          <w:color w:val="000000"/>
          <w:sz w:val="20"/>
          <w:szCs w:val="20"/>
        </w:rPr>
        <w:t>B.A. in a personalized study program focusing on marketing, finance, accounting and management from Ohio State University. Mr. Kline is a pioneering leader in the traditional and advanced TV advertising space and brings valuable r</w:t>
      </w:r>
      <w:r>
        <w:rPr>
          <w:rFonts w:eastAsia="Times New Roman"/>
          <w:color w:val="000000"/>
          <w:sz w:val="20"/>
          <w:szCs w:val="20"/>
        </w:rPr>
        <w:t>elationships and perspective to our Board.</w:t>
      </w:r>
    </w:p>
    <w:p w:rsidR="00000000" w:rsidRDefault="00971A12">
      <w:pPr>
        <w:jc w:val="both"/>
        <w:divId w:val="577325052"/>
        <w:rPr>
          <w:rFonts w:eastAsia="Times New Roman"/>
        </w:rPr>
      </w:pPr>
      <w:r>
        <w:rPr>
          <w:rFonts w:eastAsia="Times New Roman"/>
          <w:i/>
          <w:iCs/>
          <w:color w:val="000000"/>
          <w:sz w:val="20"/>
          <w:szCs w:val="20"/>
        </w:rPr>
        <w:t xml:space="preserve">Pierre Liduena </w:t>
      </w:r>
      <w:r>
        <w:rPr>
          <w:rFonts w:eastAsia="Times New Roman"/>
          <w:color w:val="000000"/>
          <w:sz w:val="20"/>
          <w:szCs w:val="20"/>
        </w:rPr>
        <w:t>has served as a director since April 2021. Mr. Liduena is Group Vice President, Business Development at Charter Communications, a communications and media company, where he manages strategic partner</w:t>
      </w:r>
      <w:r>
        <w:rPr>
          <w:rFonts w:eastAsia="Times New Roman"/>
          <w:color w:val="000000"/>
          <w:sz w:val="20"/>
          <w:szCs w:val="20"/>
        </w:rPr>
        <w:t>ships for Charter. Prior to this he was Vice President, Corporate Development at Charter, where he managed M&amp;A and Corporate Ventures activities. Prior to joining Charter in 2012, Mr. Liduena worked at UBS in the Technology, Media &amp; Telecom investment bank</w:t>
      </w:r>
      <w:r>
        <w:rPr>
          <w:rFonts w:eastAsia="Times New Roman"/>
          <w:color w:val="000000"/>
          <w:sz w:val="20"/>
          <w:szCs w:val="20"/>
        </w:rPr>
        <w:t xml:space="preserve">ing group, and at EY in the Audit and Transaction Advisory groups. Mr. Liduena holds a Master in Management from EDHEC Business School in France, and an M.B.A. from the Wharton School of the University of Pennsylvania. In addition, he is a graduate of the </w:t>
      </w:r>
      <w:r>
        <w:rPr>
          <w:rFonts w:eastAsia="Times New Roman"/>
          <w:color w:val="000000"/>
          <w:sz w:val="20"/>
          <w:szCs w:val="20"/>
        </w:rPr>
        <w:t>Cable Executive Management program at Harvard Business School. Mr. Liduena brings to our Board financial expertise and substantial M&amp;A and industry experience.</w:t>
      </w:r>
    </w:p>
    <w:p w:rsidR="00000000" w:rsidRDefault="00971A12">
      <w:pPr>
        <w:jc w:val="both"/>
        <w:divId w:val="867832551"/>
        <w:rPr>
          <w:rFonts w:eastAsia="Times New Roman"/>
        </w:rPr>
      </w:pPr>
      <w:r>
        <w:rPr>
          <w:rFonts w:eastAsia="Times New Roman"/>
          <w:i/>
          <w:iCs/>
          <w:color w:val="000000"/>
          <w:sz w:val="20"/>
          <w:szCs w:val="20"/>
        </w:rPr>
        <w:t xml:space="preserve">William (Bill) Livek </w:t>
      </w:r>
      <w:r>
        <w:rPr>
          <w:rFonts w:eastAsia="Times New Roman"/>
          <w:color w:val="000000"/>
          <w:sz w:val="20"/>
          <w:szCs w:val="20"/>
        </w:rPr>
        <w:t>has served as our Vice Chairman since January 2016. Mr. Livek was our Chief</w:t>
      </w:r>
      <w:r>
        <w:rPr>
          <w:rFonts w:eastAsia="Times New Roman"/>
          <w:color w:val="000000"/>
          <w:sz w:val="20"/>
          <w:szCs w:val="20"/>
        </w:rPr>
        <w:t xml:space="preserve"> Executive Officer from November 2019 to July 2022 and our President from January 2016 to May 2018. He previously served as Vice Chairman and Chief Executive Officer of Rentrak Corporation, a media measurement and consumer targeting company, from June 2009</w:t>
      </w:r>
      <w:r>
        <w:rPr>
          <w:rFonts w:eastAsia="Times New Roman"/>
          <w:color w:val="000000"/>
          <w:sz w:val="20"/>
          <w:szCs w:val="20"/>
        </w:rPr>
        <w:t xml:space="preserve"> until our merger with Rentrak in January 2016. Prior to Rentrak, Mr. Livek was founder and Chief Executive Officer of Symmetrical Capital, an investment and consulting firm; Senior Vice President, Strategic Alliances and International Expansion, of Experi</w:t>
      </w:r>
      <w:r>
        <w:rPr>
          <w:rFonts w:eastAsia="Times New Roman"/>
          <w:color w:val="000000"/>
          <w:sz w:val="20"/>
          <w:szCs w:val="20"/>
        </w:rPr>
        <w:t>an Information Solutions, Inc., a provider of information, analytical and marketing services; and co-President of Experian's subsidiary Experian Research Services. Mr. Livek has served on the board of directors of the Advertising Research Foundation ("ARF"</w:t>
      </w:r>
      <w:r>
        <w:rPr>
          <w:rFonts w:eastAsia="Times New Roman"/>
          <w:color w:val="000000"/>
          <w:sz w:val="20"/>
          <w:szCs w:val="20"/>
        </w:rPr>
        <w:t>) since July 2022, and prior to that was a member of the ARF board of trustees. He holds a B.S. degree in Communications Radio/Television from Southern Illinois University. Mr. Livek brings substantial industry experience and audience measurement expertise</w:t>
      </w:r>
      <w:r>
        <w:rPr>
          <w:rFonts w:eastAsia="Times New Roman"/>
          <w:color w:val="000000"/>
          <w:sz w:val="20"/>
          <w:szCs w:val="20"/>
        </w:rPr>
        <w:t xml:space="preserve"> to our Board.</w:t>
      </w:r>
    </w:p>
    <w:p w:rsidR="00000000" w:rsidRDefault="00971A12">
      <w:pPr>
        <w:jc w:val="both"/>
        <w:divId w:val="933395543"/>
        <w:rPr>
          <w:rFonts w:eastAsia="Times New Roman"/>
        </w:rPr>
      </w:pPr>
      <w:r>
        <w:rPr>
          <w:rFonts w:eastAsia="Times New Roman"/>
          <w:i/>
          <w:iCs/>
          <w:color w:val="000000"/>
          <w:sz w:val="20"/>
          <w:szCs w:val="20"/>
        </w:rPr>
        <w:t xml:space="preserve">Kathleen (Kathi) Love </w:t>
      </w:r>
      <w:r>
        <w:rPr>
          <w:rFonts w:eastAsia="Times New Roman"/>
          <w:color w:val="000000"/>
          <w:sz w:val="20"/>
          <w:szCs w:val="20"/>
        </w:rPr>
        <w:t>has served as a director since April 2019. Ms. Love is currently the CEO of Motherwell Resources LLC, a company devoted to management consulting and executive coaching. Prior to founding Motherwell in 2013, Ms. Love ser</w:t>
      </w:r>
      <w:r>
        <w:rPr>
          <w:rFonts w:eastAsia="Times New Roman"/>
          <w:color w:val="000000"/>
          <w:sz w:val="20"/>
          <w:szCs w:val="20"/>
        </w:rPr>
        <w:t>ved as the President and CEO of GFK MRI (formerly Mediamark Research). MRI produced audience ratings for the consumer magazine industry in the United States, along with offering a projectable database on the demographics, attitudes, activities and buying b</w:t>
      </w:r>
      <w:r>
        <w:rPr>
          <w:rFonts w:eastAsia="Times New Roman"/>
          <w:color w:val="000000"/>
          <w:sz w:val="20"/>
          <w:szCs w:val="20"/>
        </w:rPr>
        <w:t>ehaviors of the U.S. consumer. MRI also developed and sold various software products. In 2018, Ms. Love was inducted into the Market Research Council Hall of Fame. Prior to joining MRI, Ms. Love held executive positions at The New York Times, EMAP Publishi</w:t>
      </w:r>
      <w:r>
        <w:rPr>
          <w:rFonts w:eastAsia="Times New Roman"/>
          <w:color w:val="000000"/>
          <w:sz w:val="20"/>
          <w:szCs w:val="20"/>
        </w:rPr>
        <w:t>ng and The Magazine Publishers of America. She has been an adjunct or guest instructor at Rutgers University, Brooklyn College and Queens College. Ms. Love holds a B.A. degree from Douglass College, Rutgers – The State University, an M.A. from Michigan Sta</w:t>
      </w:r>
      <w:r>
        <w:rPr>
          <w:rFonts w:eastAsia="Times New Roman"/>
          <w:color w:val="000000"/>
          <w:sz w:val="20"/>
          <w:szCs w:val="20"/>
        </w:rPr>
        <w:t>te University and an M.Phil. from The Graduate Center, C.U.N.Y. She has advanced to candidacy for a Ph.D. in psychology and is a professional certified executive coach (PCC) and a member of the International Coach Federation (ICF). She has served on the bo</w:t>
      </w:r>
      <w:r>
        <w:rPr>
          <w:rFonts w:eastAsia="Times New Roman"/>
          <w:color w:val="000000"/>
          <w:sz w:val="20"/>
          <w:szCs w:val="20"/>
        </w:rPr>
        <w:t>ard of directors of the Advertising Research Foundation, The Media Behavior Institute and the Market Research Council, of which she is past President. She sits on the board of the Associate Alumnae of Douglass College and serves as the treasurer and on the</w:t>
      </w:r>
      <w:r>
        <w:rPr>
          <w:rFonts w:eastAsia="Times New Roman"/>
          <w:color w:val="000000"/>
          <w:sz w:val="20"/>
          <w:szCs w:val="20"/>
        </w:rPr>
        <w:t xml:space="preserve"> investment committee. She also uses her coaching skills during pro bono work at the Atlas School for Autism.</w:t>
      </w:r>
    </w:p>
    <w:p w:rsidR="00000000" w:rsidRDefault="00971A12">
      <w:pPr>
        <w:jc w:val="both"/>
        <w:divId w:val="920483071"/>
        <w:rPr>
          <w:rFonts w:eastAsia="Times New Roman"/>
        </w:rPr>
      </w:pPr>
      <w:r>
        <w:rPr>
          <w:rFonts w:eastAsia="Times New Roman"/>
          <w:i/>
          <w:iCs/>
          <w:color w:val="000000"/>
          <w:sz w:val="20"/>
          <w:szCs w:val="20"/>
        </w:rPr>
        <w:t xml:space="preserve">Martin (Marty) Patterson </w:t>
      </w:r>
      <w:r>
        <w:rPr>
          <w:rFonts w:eastAsia="Times New Roman"/>
          <w:color w:val="000000"/>
          <w:sz w:val="20"/>
          <w:szCs w:val="20"/>
        </w:rPr>
        <w:t>has served as a director since March 2021. Mr. Patterson currently serves as Vice President of Liberty Media Corporation,</w:t>
      </w:r>
      <w:r>
        <w:rPr>
          <w:rFonts w:eastAsia="Times New Roman"/>
          <w:color w:val="000000"/>
          <w:sz w:val="20"/>
          <w:szCs w:val="20"/>
        </w:rPr>
        <w:t xml:space="preserve"> Qurate Retail, Inc., Liberty TripAdvisor Holdings, Inc. and Liberty Broadband Corporation. He has been with Liberty Media Corporation, a media, communications and entertainment company, and its predecessors since 2010. Mr. Patterson currently serves as a </w:t>
      </w:r>
      <w:r>
        <w:rPr>
          <w:rFonts w:eastAsia="Times New Roman"/>
          <w:color w:val="000000"/>
          <w:sz w:val="20"/>
          <w:szCs w:val="20"/>
        </w:rPr>
        <w:t>director of Skyhook Wireless, Inc. and was formerly a director of Ideiasnet S.A. He received his B.A. from Colorado College and is a CFA Charterholder. Mr. Patterson brings to our Board extensive experience identifying and evaluating investment opportuniti</w:t>
      </w:r>
      <w:r>
        <w:rPr>
          <w:rFonts w:eastAsia="Times New Roman"/>
          <w:color w:val="000000"/>
          <w:sz w:val="20"/>
          <w:szCs w:val="20"/>
        </w:rPr>
        <w:t>es in the technology, media and telecommunications sectors.</w:t>
      </w:r>
    </w:p>
    <w:p w:rsidR="00000000" w:rsidRDefault="00971A12">
      <w:pPr>
        <w:jc w:val="both"/>
        <w:divId w:val="178929144"/>
        <w:rPr>
          <w:rFonts w:eastAsia="Times New Roman"/>
        </w:rPr>
      </w:pPr>
      <w:r>
        <w:rPr>
          <w:rFonts w:eastAsia="Times New Roman"/>
          <w:i/>
          <w:iCs/>
          <w:color w:val="000000"/>
          <w:sz w:val="20"/>
          <w:szCs w:val="20"/>
        </w:rPr>
        <w:t xml:space="preserve">Brent Rosenthal </w:t>
      </w:r>
      <w:r>
        <w:rPr>
          <w:rFonts w:eastAsia="Times New Roman"/>
          <w:color w:val="000000"/>
          <w:sz w:val="20"/>
          <w:szCs w:val="20"/>
        </w:rPr>
        <w:t>has served as Lead Director since July 2022 and as a director since January 2016. He served as Chairman of the Board from April 2018 to July 2022. Mr. Rosenthal is the Founder of M</w:t>
      </w:r>
      <w:r>
        <w:rPr>
          <w:rFonts w:eastAsia="Times New Roman"/>
          <w:color w:val="000000"/>
          <w:sz w:val="20"/>
          <w:szCs w:val="20"/>
        </w:rPr>
        <w:t>ountain Hawk Capital Partners, LLC, an investment fund focused on small and microcap equities in the technology, media, telecom (TMT) and food industries. Mr. Rosenthal has been the Lead Independent Director/Non-Executive Chairman of the board of directors</w:t>
      </w:r>
      <w:r>
        <w:rPr>
          <w:rFonts w:eastAsia="Times New Roman"/>
          <w:color w:val="000000"/>
          <w:sz w:val="20"/>
          <w:szCs w:val="20"/>
        </w:rPr>
        <w:t xml:space="preserve"> of RiceBran Technologies, a food company, since July 2016 and served as an advisor to the board of directors and executive management of FLYHT Aerospace from December 2019 to June 2020 and as a member of the FLYHT Aerospace board of directors since June 2</w:t>
      </w:r>
      <w:r>
        <w:rPr>
          <w:rFonts w:eastAsia="Times New Roman"/>
          <w:color w:val="000000"/>
          <w:sz w:val="20"/>
          <w:szCs w:val="20"/>
        </w:rPr>
        <w:t xml:space="preserve">020. He also served on the board of directors of SITO Mobile, Ltd., a mobile location-based media platform, from August 2016 to July 2018, and as Non-Executive Chairman of its board of directors from June 2017 to July 2018. Previously, Mr. Rosenthal was a </w:t>
      </w:r>
      <w:r>
        <w:rPr>
          <w:rFonts w:eastAsia="Times New Roman"/>
          <w:color w:val="000000"/>
          <w:sz w:val="20"/>
          <w:szCs w:val="20"/>
        </w:rPr>
        <w:t>Partner in affiliates of W.R. Huff Asset Management where he worked from 2002 to 2016. Mr. Rosenthal served as the Non-Executive Chairman of Rentrak Corporation from 2011 to 2016. He was Special Advisor to the board of directors of Park City Group from Nov</w:t>
      </w:r>
      <w:r>
        <w:rPr>
          <w:rFonts w:eastAsia="Times New Roman"/>
          <w:color w:val="000000"/>
          <w:sz w:val="20"/>
          <w:szCs w:val="20"/>
        </w:rPr>
        <w:t>ember 2015 to February 2018. Mr. Rosenthal earned his B.S. from Lehigh University and M.B.A. from the S.C. Johnson Graduate School of Management at Cornell University. He is an inactive Certified Public Accountant. Mr. Rosenthal brings to our Board financi</w:t>
      </w:r>
      <w:r>
        <w:rPr>
          <w:rFonts w:eastAsia="Times New Roman"/>
          <w:color w:val="000000"/>
          <w:sz w:val="20"/>
          <w:szCs w:val="20"/>
        </w:rPr>
        <w:t>al expertise and experience in the media and information industries.</w:t>
      </w:r>
    </w:p>
    <w:p w:rsidR="00000000" w:rsidRDefault="00971A12">
      <w:pPr>
        <w:jc w:val="both"/>
        <w:divId w:val="2054696456"/>
        <w:rPr>
          <w:rFonts w:eastAsia="Times New Roman"/>
        </w:rPr>
      </w:pPr>
      <w:r>
        <w:rPr>
          <w:rFonts w:eastAsia="Times New Roman"/>
          <w:i/>
          <w:iCs/>
          <w:color w:val="000000"/>
          <w:sz w:val="20"/>
          <w:szCs w:val="20"/>
        </w:rPr>
        <w:t xml:space="preserve">Brian Wendling </w:t>
      </w:r>
      <w:r>
        <w:rPr>
          <w:rFonts w:eastAsia="Times New Roman"/>
          <w:color w:val="000000"/>
          <w:sz w:val="20"/>
          <w:szCs w:val="20"/>
        </w:rPr>
        <w:t>has served as a director since March 2021. Mr. Wendling is Chief Accounting Officer and Principal Financial Officer of Liberty Media Corporation, Qurate Retail, Inc. and Li</w:t>
      </w:r>
      <w:r>
        <w:rPr>
          <w:rFonts w:eastAsia="Times New Roman"/>
          <w:color w:val="000000"/>
          <w:sz w:val="20"/>
          <w:szCs w:val="20"/>
        </w:rPr>
        <w:t>berty Broadband Corporation. He is also Senior Vice President and Chief Financial Officer of Liberty TripAdvisor Holdings, Inc. Mr. Wendling has held various positions with these companies and their predecessors since 1999. Prior to joining these companies</w:t>
      </w:r>
      <w:r>
        <w:rPr>
          <w:rFonts w:eastAsia="Times New Roman"/>
          <w:color w:val="000000"/>
          <w:sz w:val="20"/>
          <w:szCs w:val="20"/>
        </w:rPr>
        <w:t xml:space="preserve">, he worked in the assurance practice of the accounting firm KPMG. Mr. Wendling has previously served on the boards of Fun Technologies Inc. and CommerceHub, Inc. He also serves on the board of </w:t>
      </w:r>
    </w:p>
    <w:p w:rsidR="00000000" w:rsidRDefault="00971A12">
      <w:pPr>
        <w:jc w:val="center"/>
        <w:divId w:val="131294389"/>
        <w:rPr>
          <w:rFonts w:eastAsia="Times New Roman"/>
        </w:rPr>
      </w:pPr>
      <w:r>
        <w:rPr>
          <w:rFonts w:eastAsia="Times New Roman"/>
          <w:color w:val="000000"/>
          <w:sz w:val="20"/>
          <w:szCs w:val="20"/>
        </w:rPr>
        <w:t>10</w:t>
      </w:r>
    </w:p>
    <w:p w:rsidR="00000000" w:rsidRDefault="00971A12">
      <w:pPr>
        <w:rPr>
          <w:rFonts w:eastAsia="Times New Roman"/>
        </w:rPr>
      </w:pPr>
      <w:r>
        <w:rPr>
          <w:rFonts w:eastAsia="Times New Roman"/>
        </w:rPr>
        <w:pict>
          <v:rect id="_x0000_i1037" style="width:0;height:1.5pt" o:hralign="center" o:hrstd="t" o:hr="t" fillcolor="#a0a0a0" stroked="f"/>
        </w:pict>
      </w:r>
    </w:p>
    <w:p w:rsidR="00000000" w:rsidRDefault="00971A12">
      <w:pPr>
        <w:divId w:val="1226912266"/>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088505052"/>
        <w:rPr>
          <w:rFonts w:eastAsia="Times New Roman"/>
        </w:rPr>
      </w:pPr>
    </w:p>
    <w:p w:rsidR="00000000" w:rsidRDefault="00971A12">
      <w:pPr>
        <w:jc w:val="both"/>
        <w:divId w:val="1165634031"/>
        <w:rPr>
          <w:rFonts w:eastAsia="Times New Roman"/>
        </w:rPr>
      </w:pPr>
      <w:r>
        <w:rPr>
          <w:rFonts w:eastAsia="Times New Roman"/>
          <w:color w:val="000000"/>
          <w:sz w:val="20"/>
          <w:szCs w:val="20"/>
        </w:rPr>
        <w:t>Clothes to Kids of Colorado. He received his Bachelor of Science degree in accounting from Indiana University. Mr. Wendling brings over 25 years of accounting, public reporting and compliance experience to our Board.</w:t>
      </w:r>
    </w:p>
    <w:p w:rsidR="00000000" w:rsidRDefault="00971A12">
      <w:pPr>
        <w:jc w:val="both"/>
        <w:divId w:val="1245607209"/>
        <w:rPr>
          <w:rFonts w:eastAsia="Times New Roman"/>
        </w:rPr>
      </w:pPr>
      <w:r>
        <w:rPr>
          <w:rFonts w:eastAsia="Times New Roman"/>
          <w:b/>
          <w:bCs/>
          <w:color w:val="000000"/>
          <w:sz w:val="20"/>
          <w:szCs w:val="20"/>
        </w:rPr>
        <w:t>Available Information</w:t>
      </w:r>
    </w:p>
    <w:p w:rsidR="00000000" w:rsidRDefault="00971A12">
      <w:pPr>
        <w:jc w:val="both"/>
        <w:divId w:val="1444765304"/>
        <w:rPr>
          <w:rFonts w:eastAsia="Times New Roman"/>
        </w:rPr>
      </w:pPr>
      <w:r>
        <w:rPr>
          <w:rFonts w:eastAsia="Times New Roman"/>
          <w:color w:val="000000"/>
          <w:sz w:val="20"/>
          <w:szCs w:val="20"/>
        </w:rPr>
        <w:t>We make our perio</w:t>
      </w:r>
      <w:r>
        <w:rPr>
          <w:rFonts w:eastAsia="Times New Roman"/>
          <w:color w:val="000000"/>
          <w:sz w:val="20"/>
          <w:szCs w:val="20"/>
        </w:rPr>
        <w:t>dic and current reports along with amendments to such reports available, free of charge, on our website as soon as reasonably practicable after such material is electronically filed with or furnished to the Securities and Exchange Commission ("SEC"). Our w</w:t>
      </w:r>
      <w:r>
        <w:rPr>
          <w:rFonts w:eastAsia="Times New Roman"/>
          <w:color w:val="000000"/>
          <w:sz w:val="20"/>
          <w:szCs w:val="20"/>
        </w:rPr>
        <w:t>ebsite address is www.comscore.com, and such reports are made available free of charge under "SEC Filings" in the Investor Relations section of our website. Information contained on our website is not part of this 10-K and is not incorporated herein by ref</w:t>
      </w:r>
      <w:r>
        <w:rPr>
          <w:rFonts w:eastAsia="Times New Roman"/>
          <w:color w:val="000000"/>
          <w:sz w:val="20"/>
          <w:szCs w:val="20"/>
        </w:rPr>
        <w:t>erence.</w:t>
      </w:r>
    </w:p>
    <w:p w:rsidR="00000000" w:rsidRDefault="00971A12">
      <w:pPr>
        <w:jc w:val="both"/>
        <w:divId w:val="1291084357"/>
        <w:rPr>
          <w:rFonts w:eastAsia="Times New Roman"/>
        </w:rPr>
      </w:pPr>
      <w:r>
        <w:rPr>
          <w:rFonts w:eastAsia="Times New Roman"/>
          <w:color w:val="000000"/>
          <w:sz w:val="20"/>
          <w:szCs w:val="20"/>
        </w:rPr>
        <w:t>You can read our SEC filings, including this 10-K as well as our other periodic and current reports, on the SEC's website at www.sec.gov.</w:t>
      </w:r>
    </w:p>
    <w:p w:rsidR="00000000" w:rsidRDefault="00971A12">
      <w:pPr>
        <w:jc w:val="center"/>
        <w:divId w:val="532570849"/>
        <w:rPr>
          <w:rFonts w:eastAsia="Times New Roman"/>
        </w:rPr>
      </w:pPr>
      <w:r>
        <w:rPr>
          <w:rFonts w:eastAsia="Times New Roman"/>
          <w:color w:val="000000"/>
          <w:sz w:val="20"/>
          <w:szCs w:val="20"/>
        </w:rPr>
        <w:t>11</w:t>
      </w:r>
    </w:p>
    <w:p w:rsidR="00000000" w:rsidRDefault="00971A12">
      <w:pPr>
        <w:rPr>
          <w:rFonts w:eastAsia="Times New Roman"/>
        </w:rPr>
      </w:pPr>
      <w:r>
        <w:rPr>
          <w:rFonts w:eastAsia="Times New Roman"/>
        </w:rPr>
        <w:pict>
          <v:rect id="_x0000_i1038" style="width:0;height:1.5pt" o:hralign="center" o:hrstd="t" o:hr="t" fillcolor="#a0a0a0" stroked="f"/>
        </w:pict>
      </w:r>
    </w:p>
    <w:p w:rsidR="00000000" w:rsidRDefault="00971A12">
      <w:pPr>
        <w:divId w:val="105733961"/>
        <w:rPr>
          <w:rFonts w:eastAsia="Times New Roman"/>
        </w:rPr>
      </w:pPr>
      <w:hyperlink w:anchor="i0047531bd13046b986557e31951e34f8_7" w:history="1">
        <w:r>
          <w:rPr>
            <w:rStyle w:val="a3"/>
            <w:rFonts w:eastAsia="Times New Roman"/>
            <w:sz w:val="20"/>
            <w:szCs w:val="20"/>
          </w:rPr>
          <w:t>Table of Con</w:t>
        </w:r>
        <w:r>
          <w:rPr>
            <w:rStyle w:val="a3"/>
            <w:rFonts w:eastAsia="Times New Roman"/>
            <w:sz w:val="20"/>
            <w:szCs w:val="20"/>
          </w:rPr>
          <w:t>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697507680"/>
        <w:rPr>
          <w:rFonts w:eastAsia="Times New Roman"/>
        </w:rPr>
      </w:pPr>
    </w:p>
    <w:p w:rsidR="00000000" w:rsidRDefault="00971A12">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89"/>
        <w:gridCol w:w="821"/>
        <w:gridCol w:w="36"/>
        <w:gridCol w:w="37"/>
        <w:gridCol w:w="7287"/>
        <w:gridCol w:w="36"/>
      </w:tblGrid>
      <w:tr w:rsidR="00000000">
        <w:trPr>
          <w:jc w:val="center"/>
        </w:trPr>
        <w:tc>
          <w:tcPr>
            <w:tcW w:w="50" w:type="pct"/>
            <w:vAlign w:val="center"/>
            <w:hideMark/>
          </w:tcPr>
          <w:p w:rsidR="00000000" w:rsidRDefault="00971A12">
            <w:pPr>
              <w:jc w:val="center"/>
              <w:rPr>
                <w:rFonts w:eastAsia="Times New Roman"/>
              </w:rPr>
            </w:pPr>
          </w:p>
        </w:tc>
        <w:tc>
          <w:tcPr>
            <w:tcW w:w="46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42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20"/>
                <w:szCs w:val="20"/>
              </w:rPr>
              <w:t>ITEM 1A.</w:t>
            </w: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b/>
                <w:bCs/>
                <w:i/>
                <w:iCs/>
                <w:color w:val="000000"/>
                <w:sz w:val="20"/>
                <w:szCs w:val="20"/>
              </w:rPr>
              <w:t>RISK FACTORS</w:t>
            </w:r>
          </w:p>
        </w:tc>
      </w:tr>
    </w:tbl>
    <w:p w:rsidR="00000000" w:rsidRDefault="00971A12">
      <w:pPr>
        <w:jc w:val="both"/>
        <w:divId w:val="1724481288"/>
        <w:rPr>
          <w:rFonts w:eastAsia="Times New Roman"/>
        </w:rPr>
      </w:pPr>
      <w:r>
        <w:rPr>
          <w:rFonts w:eastAsia="Times New Roman"/>
          <w:i/>
          <w:iCs/>
          <w:color w:val="000000"/>
          <w:sz w:val="20"/>
          <w:szCs w:val="20"/>
        </w:rPr>
        <w:t>An investment in our Common Stock involves a substantial risk of loss. You should carefully consider the following risk factors, together with all of the other information included in this 10-K, before you decide whether to invest in our stock. The risks i</w:t>
      </w:r>
      <w:r>
        <w:rPr>
          <w:rFonts w:eastAsia="Times New Roman"/>
          <w:i/>
          <w:iCs/>
          <w:color w:val="000000"/>
          <w:sz w:val="20"/>
          <w:szCs w:val="20"/>
        </w:rPr>
        <w:t>dentified below could materially and adversely affect our business, financial condition and operating results. In that case, the trading price of our Common Stock could decline, and you could lose part or all of your investment. The risks described below a</w:t>
      </w:r>
      <w:r>
        <w:rPr>
          <w:rFonts w:eastAsia="Times New Roman"/>
          <w:i/>
          <w:iCs/>
          <w:color w:val="000000"/>
          <w:sz w:val="20"/>
          <w:szCs w:val="20"/>
        </w:rPr>
        <w:t>re not the only risks we face. Additional risks and uncertainties not currently known to us or that we currently deem to be immaterial also may materially and adversely affect our business, financial condition and operating results, and may result in the l</w:t>
      </w:r>
      <w:r>
        <w:rPr>
          <w:rFonts w:eastAsia="Times New Roman"/>
          <w:i/>
          <w:iCs/>
          <w:color w:val="000000"/>
          <w:sz w:val="20"/>
          <w:szCs w:val="20"/>
        </w:rPr>
        <w:t>oss of part or all of your investment.</w:t>
      </w:r>
    </w:p>
    <w:p w:rsidR="00000000" w:rsidRDefault="00971A12">
      <w:pPr>
        <w:jc w:val="both"/>
        <w:divId w:val="2033452448"/>
        <w:rPr>
          <w:rFonts w:eastAsia="Times New Roman"/>
        </w:rPr>
      </w:pPr>
      <w:r>
        <w:rPr>
          <w:rFonts w:eastAsia="Times New Roman"/>
          <w:b/>
          <w:bCs/>
          <w:color w:val="000000"/>
          <w:sz w:val="20"/>
          <w:szCs w:val="20"/>
        </w:rPr>
        <w:t>Summary Risk Factors</w:t>
      </w:r>
    </w:p>
    <w:p w:rsidR="00000000" w:rsidRDefault="00971A12">
      <w:pPr>
        <w:jc w:val="both"/>
        <w:divId w:val="1628390227"/>
        <w:rPr>
          <w:rFonts w:eastAsia="Times New Roman"/>
        </w:rPr>
      </w:pPr>
      <w:r>
        <w:rPr>
          <w:rFonts w:eastAsia="Times New Roman"/>
          <w:color w:val="000000"/>
          <w:sz w:val="20"/>
          <w:szCs w:val="20"/>
        </w:rPr>
        <w:t>Our business is subject to a number of risks, including risks that may prevent us from achieving our business objectives or may adversely affect our business, financial condition, results of operations, cash flows and prospects. These risks are discussed m</w:t>
      </w:r>
      <w:r>
        <w:rPr>
          <w:rFonts w:eastAsia="Times New Roman"/>
          <w:color w:val="000000"/>
          <w:sz w:val="20"/>
          <w:szCs w:val="20"/>
        </w:rPr>
        <w:t>ore fully below and include, but are not limited to:</w:t>
      </w:r>
    </w:p>
    <w:p w:rsidR="00000000" w:rsidRDefault="00971A12">
      <w:pPr>
        <w:jc w:val="both"/>
        <w:divId w:val="1933929001"/>
        <w:rPr>
          <w:rFonts w:eastAsia="Times New Roman"/>
        </w:rPr>
      </w:pPr>
      <w:r>
        <w:rPr>
          <w:rFonts w:eastAsia="Times New Roman"/>
          <w:b/>
          <w:bCs/>
          <w:i/>
          <w:iCs/>
          <w:color w:val="000000"/>
          <w:sz w:val="20"/>
          <w:szCs w:val="20"/>
        </w:rPr>
        <w:t>Risks Related to Our Business and Our Technologies</w:t>
      </w:r>
    </w:p>
    <w:p w:rsidR="00000000" w:rsidRDefault="00971A12">
      <w:pPr>
        <w:ind w:hanging="360"/>
        <w:jc w:val="both"/>
        <w:divId w:val="1127504905"/>
        <w:rPr>
          <w:rFonts w:eastAsia="Times New Roman"/>
        </w:rPr>
      </w:pPr>
      <w:r>
        <w:rPr>
          <w:rFonts w:eastAsia="Times New Roman"/>
          <w:color w:val="000000"/>
          <w:sz w:val="20"/>
          <w:szCs w:val="20"/>
        </w:rPr>
        <w:t>•</w:t>
      </w:r>
      <w:r>
        <w:rPr>
          <w:rFonts w:eastAsia="Times New Roman"/>
          <w:color w:val="000000"/>
          <w:sz w:val="20"/>
          <w:szCs w:val="20"/>
        </w:rPr>
        <w:t>Macroeconomic factors could negatively impact demand for our products and increase our costs.</w:t>
      </w:r>
    </w:p>
    <w:p w:rsidR="00000000" w:rsidRDefault="00971A12">
      <w:pPr>
        <w:ind w:hanging="360"/>
        <w:jc w:val="both"/>
        <w:divId w:val="1901286313"/>
        <w:rPr>
          <w:rFonts w:eastAsia="Times New Roman"/>
        </w:rPr>
      </w:pPr>
      <w:r>
        <w:rPr>
          <w:rFonts w:ascii="Arial" w:eastAsia="Times New Roman" w:hAnsi="Arial" w:cs="Arial"/>
          <w:color w:val="000000"/>
          <w:sz w:val="20"/>
          <w:szCs w:val="20"/>
        </w:rPr>
        <w:t>•</w:t>
      </w:r>
      <w:r>
        <w:rPr>
          <w:rFonts w:eastAsia="Times New Roman"/>
          <w:color w:val="000000"/>
          <w:sz w:val="20"/>
          <w:szCs w:val="20"/>
        </w:rPr>
        <w:t>The market for our products is highly competitive, and our revenues could decline if we cannot compete effectively.</w:t>
      </w:r>
    </w:p>
    <w:p w:rsidR="00000000" w:rsidRDefault="00971A12">
      <w:pPr>
        <w:ind w:hanging="360"/>
        <w:jc w:val="both"/>
        <w:divId w:val="636645726"/>
        <w:rPr>
          <w:rFonts w:eastAsia="Times New Roman"/>
        </w:rPr>
      </w:pPr>
      <w:r>
        <w:rPr>
          <w:rFonts w:ascii="Arial" w:eastAsia="Times New Roman" w:hAnsi="Arial" w:cs="Arial"/>
          <w:color w:val="000000"/>
          <w:sz w:val="20"/>
          <w:szCs w:val="20"/>
        </w:rPr>
        <w:t>•</w:t>
      </w:r>
      <w:r>
        <w:rPr>
          <w:rFonts w:eastAsia="Times New Roman"/>
          <w:color w:val="000000"/>
          <w:sz w:val="20"/>
          <w:szCs w:val="20"/>
        </w:rPr>
        <w:t>If we are unable to provide complete analyti</w:t>
      </w:r>
      <w:r>
        <w:rPr>
          <w:rFonts w:eastAsia="Times New Roman"/>
          <w:color w:val="000000"/>
          <w:sz w:val="20"/>
          <w:szCs w:val="20"/>
        </w:rPr>
        <w:t>cs, our ability to maintain and grow our business may be harmed.</w:t>
      </w:r>
    </w:p>
    <w:p w:rsidR="00000000" w:rsidRDefault="00971A12">
      <w:pPr>
        <w:ind w:hanging="360"/>
        <w:jc w:val="both"/>
        <w:divId w:val="1047293118"/>
        <w:rPr>
          <w:rFonts w:eastAsia="Times New Roman"/>
        </w:rPr>
      </w:pPr>
      <w:r>
        <w:rPr>
          <w:rFonts w:ascii="Arial" w:eastAsia="Times New Roman" w:hAnsi="Arial" w:cs="Arial"/>
          <w:color w:val="000000"/>
          <w:sz w:val="20"/>
          <w:szCs w:val="20"/>
        </w:rPr>
        <w:t>•</w:t>
      </w:r>
      <w:r>
        <w:rPr>
          <w:rFonts w:eastAsia="Times New Roman"/>
          <w:color w:val="000000"/>
          <w:sz w:val="20"/>
          <w:szCs w:val="20"/>
        </w:rPr>
        <w:t>We depend on third parties for data and hosting/delivery services that are critical to our business.</w:t>
      </w:r>
    </w:p>
    <w:p w:rsidR="00000000" w:rsidRDefault="00971A12">
      <w:pPr>
        <w:ind w:hanging="360"/>
        <w:jc w:val="both"/>
        <w:divId w:val="1472790733"/>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If we fail to respond to technological developments or evolving industry standards, our </w:t>
      </w:r>
      <w:r>
        <w:rPr>
          <w:rFonts w:eastAsia="Times New Roman"/>
          <w:color w:val="000000"/>
          <w:sz w:val="20"/>
          <w:szCs w:val="20"/>
        </w:rPr>
        <w:t>products may become obsolete or less competitive.</w:t>
      </w:r>
    </w:p>
    <w:p w:rsidR="00000000" w:rsidRDefault="00971A12">
      <w:pPr>
        <w:ind w:hanging="360"/>
        <w:jc w:val="both"/>
        <w:divId w:val="1340541198"/>
        <w:rPr>
          <w:rFonts w:eastAsia="Times New Roman"/>
        </w:rPr>
      </w:pPr>
      <w:r>
        <w:rPr>
          <w:rFonts w:ascii="Arial" w:eastAsia="Times New Roman" w:hAnsi="Arial" w:cs="Arial"/>
          <w:color w:val="000000"/>
          <w:sz w:val="20"/>
          <w:szCs w:val="20"/>
        </w:rPr>
        <w:t>•</w:t>
      </w:r>
      <w:r>
        <w:rPr>
          <w:rFonts w:eastAsia="Times New Roman"/>
          <w:color w:val="000000"/>
          <w:sz w:val="20"/>
          <w:szCs w:val="20"/>
        </w:rPr>
        <w:t>Our business may be harmed if we deliver inaccurate or untimely information products, change our methodologies or the scope of information we collect, or are unable to maintain sufficient panels.</w:t>
      </w:r>
    </w:p>
    <w:p w:rsidR="00000000" w:rsidRDefault="00971A12">
      <w:pPr>
        <w:ind w:hanging="360"/>
        <w:jc w:val="both"/>
        <w:divId w:val="1663505864"/>
        <w:rPr>
          <w:rFonts w:eastAsia="Times New Roman"/>
        </w:rPr>
      </w:pPr>
      <w:r>
        <w:rPr>
          <w:rFonts w:ascii="Arial" w:eastAsia="Times New Roman" w:hAnsi="Arial" w:cs="Arial"/>
          <w:color w:val="000000"/>
          <w:sz w:val="20"/>
          <w:szCs w:val="20"/>
        </w:rPr>
        <w:t>•</w:t>
      </w:r>
      <w:r>
        <w:rPr>
          <w:rFonts w:eastAsia="Times New Roman"/>
          <w:color w:val="000000"/>
          <w:sz w:val="20"/>
          <w:szCs w:val="20"/>
        </w:rPr>
        <w:t>We deriv</w:t>
      </w:r>
      <w:r>
        <w:rPr>
          <w:rFonts w:eastAsia="Times New Roman"/>
          <w:color w:val="000000"/>
          <w:sz w:val="20"/>
          <w:szCs w:val="20"/>
        </w:rPr>
        <w:t>e a significant portion of our revenues from subscription-based products, and our customers could terminate or fail to renew their subscriptions.</w:t>
      </w:r>
    </w:p>
    <w:p w:rsidR="00000000" w:rsidRDefault="00971A12">
      <w:pPr>
        <w:ind w:hanging="360"/>
        <w:jc w:val="both"/>
        <w:divId w:val="436756999"/>
        <w:rPr>
          <w:rFonts w:eastAsia="Times New Roman"/>
        </w:rPr>
      </w:pPr>
      <w:r>
        <w:rPr>
          <w:rFonts w:ascii="Arial" w:eastAsia="Times New Roman" w:hAnsi="Arial" w:cs="Arial"/>
          <w:color w:val="000000"/>
          <w:sz w:val="20"/>
          <w:szCs w:val="20"/>
        </w:rPr>
        <w:t>•</w:t>
      </w:r>
      <w:r>
        <w:rPr>
          <w:rFonts w:eastAsia="Times New Roman"/>
          <w:color w:val="000000"/>
          <w:sz w:val="20"/>
          <w:szCs w:val="20"/>
        </w:rPr>
        <w:t>Our financial results may suffer if we are unable to retain or add large customers or if we cannot persuade c</w:t>
      </w:r>
      <w:r>
        <w:rPr>
          <w:rFonts w:eastAsia="Times New Roman"/>
          <w:color w:val="000000"/>
          <w:sz w:val="20"/>
          <w:szCs w:val="20"/>
        </w:rPr>
        <w:t>ustomers to substitute our products for incumbent providers.</w:t>
      </w:r>
    </w:p>
    <w:p w:rsidR="00000000" w:rsidRDefault="00971A12">
      <w:pPr>
        <w:ind w:hanging="360"/>
        <w:jc w:val="both"/>
        <w:divId w:val="1359158826"/>
        <w:rPr>
          <w:rFonts w:eastAsia="Times New Roman"/>
        </w:rPr>
      </w:pPr>
      <w:r>
        <w:rPr>
          <w:rFonts w:ascii="Arial" w:eastAsia="Times New Roman" w:hAnsi="Arial" w:cs="Arial"/>
          <w:color w:val="000000"/>
          <w:sz w:val="20"/>
          <w:szCs w:val="20"/>
        </w:rPr>
        <w:t>•</w:t>
      </w:r>
      <w:r>
        <w:rPr>
          <w:rFonts w:eastAsia="Times New Roman"/>
          <w:color w:val="000000"/>
          <w:sz w:val="20"/>
          <w:szCs w:val="20"/>
        </w:rPr>
        <w:t>Our acquisitions or partnerships with other companies may not be successful and may divert our management's attention.</w:t>
      </w:r>
    </w:p>
    <w:p w:rsidR="00000000" w:rsidRDefault="00971A12">
      <w:pPr>
        <w:ind w:hanging="360"/>
        <w:jc w:val="both"/>
        <w:divId w:val="1140994638"/>
        <w:rPr>
          <w:rFonts w:eastAsia="Times New Roman"/>
        </w:rPr>
      </w:pPr>
      <w:r>
        <w:rPr>
          <w:rFonts w:ascii="Arial" w:eastAsia="Times New Roman" w:hAnsi="Arial" w:cs="Arial"/>
          <w:color w:val="000000"/>
          <w:sz w:val="20"/>
          <w:szCs w:val="20"/>
        </w:rPr>
        <w:t>•</w:t>
      </w:r>
      <w:r>
        <w:rPr>
          <w:rFonts w:eastAsia="Times New Roman"/>
          <w:color w:val="000000"/>
          <w:sz w:val="20"/>
          <w:szCs w:val="20"/>
        </w:rPr>
        <w:t>System failures, security breaches, delays in system operations, or failur</w:t>
      </w:r>
      <w:r>
        <w:rPr>
          <w:rFonts w:eastAsia="Times New Roman"/>
          <w:color w:val="000000"/>
          <w:sz w:val="20"/>
          <w:szCs w:val="20"/>
        </w:rPr>
        <w:t>e to pass customer or partner security reviews may harm our business.</w:t>
      </w:r>
    </w:p>
    <w:p w:rsidR="00000000" w:rsidRDefault="00971A12">
      <w:pPr>
        <w:ind w:hanging="360"/>
        <w:jc w:val="both"/>
        <w:divId w:val="40330390"/>
        <w:rPr>
          <w:rFonts w:eastAsia="Times New Roman"/>
        </w:rPr>
      </w:pPr>
      <w:r>
        <w:rPr>
          <w:rFonts w:eastAsia="Times New Roman"/>
          <w:color w:val="000000"/>
          <w:sz w:val="20"/>
          <w:szCs w:val="20"/>
        </w:rPr>
        <w:t>•Our restructuring activities may not deliver the expected results and could disrupt our business operations.</w:t>
      </w:r>
    </w:p>
    <w:p w:rsidR="00000000" w:rsidRDefault="00971A12">
      <w:pPr>
        <w:ind w:hanging="360"/>
        <w:jc w:val="both"/>
        <w:divId w:val="1707289648"/>
        <w:rPr>
          <w:rFonts w:eastAsia="Times New Roman"/>
        </w:rPr>
      </w:pPr>
      <w:r>
        <w:rPr>
          <w:rFonts w:ascii="Arial" w:eastAsia="Times New Roman" w:hAnsi="Arial" w:cs="Arial"/>
          <w:color w:val="000000"/>
          <w:sz w:val="20"/>
          <w:szCs w:val="20"/>
        </w:rPr>
        <w:t>•</w:t>
      </w:r>
      <w:r>
        <w:rPr>
          <w:rFonts w:eastAsia="Times New Roman"/>
          <w:color w:val="000000"/>
          <w:sz w:val="20"/>
          <w:szCs w:val="20"/>
        </w:rPr>
        <w:t>We may not be able to adequately retain and hire qualified personnel.</w:t>
      </w:r>
    </w:p>
    <w:p w:rsidR="00000000" w:rsidRDefault="00971A12">
      <w:pPr>
        <w:ind w:hanging="360"/>
        <w:jc w:val="both"/>
        <w:divId w:val="1343631588"/>
        <w:rPr>
          <w:rFonts w:eastAsia="Times New Roman"/>
        </w:rPr>
      </w:pPr>
      <w:r>
        <w:rPr>
          <w:rFonts w:eastAsia="Times New Roman"/>
          <w:color w:val="000000"/>
          <w:sz w:val="20"/>
          <w:szCs w:val="20"/>
        </w:rPr>
        <w:t xml:space="preserve">•The </w:t>
      </w:r>
      <w:r>
        <w:rPr>
          <w:rFonts w:eastAsia="Times New Roman"/>
          <w:color w:val="000000"/>
          <w:sz w:val="20"/>
          <w:szCs w:val="20"/>
        </w:rPr>
        <w:t>COVID-19 pandemic and other global events could continue to adversely affect our business.</w:t>
      </w:r>
    </w:p>
    <w:p w:rsidR="00000000" w:rsidRDefault="00971A12">
      <w:pPr>
        <w:jc w:val="both"/>
        <w:divId w:val="1112631784"/>
        <w:rPr>
          <w:rFonts w:eastAsia="Times New Roman"/>
        </w:rPr>
      </w:pPr>
      <w:r>
        <w:rPr>
          <w:rFonts w:eastAsia="Times New Roman"/>
          <w:b/>
          <w:bCs/>
          <w:i/>
          <w:iCs/>
          <w:color w:val="000000"/>
          <w:sz w:val="20"/>
          <w:szCs w:val="20"/>
        </w:rPr>
        <w:t>Risks Related to Our Results of Operations</w:t>
      </w:r>
    </w:p>
    <w:p w:rsidR="00000000" w:rsidRDefault="00971A12">
      <w:pPr>
        <w:ind w:hanging="360"/>
        <w:jc w:val="both"/>
        <w:divId w:val="37241235"/>
        <w:rPr>
          <w:rFonts w:eastAsia="Times New Roman"/>
        </w:rPr>
      </w:pPr>
      <w:r>
        <w:rPr>
          <w:rFonts w:eastAsia="Times New Roman"/>
          <w:color w:val="000000"/>
          <w:sz w:val="20"/>
          <w:szCs w:val="20"/>
        </w:rPr>
        <w:t>•We may fail to meet the expectations of securities analysts or investors, which could cause our stock price to decline.</w:t>
      </w:r>
    </w:p>
    <w:p w:rsidR="00000000" w:rsidRDefault="00971A12">
      <w:pPr>
        <w:ind w:hanging="360"/>
        <w:jc w:val="both"/>
        <w:divId w:val="989477407"/>
        <w:rPr>
          <w:rFonts w:eastAsia="Times New Roman"/>
        </w:rPr>
      </w:pPr>
      <w:r>
        <w:rPr>
          <w:rFonts w:eastAsia="Times New Roman"/>
          <w:color w:val="000000"/>
          <w:sz w:val="20"/>
          <w:szCs w:val="20"/>
        </w:rPr>
        <w:t>•</w:t>
      </w:r>
      <w:r>
        <w:rPr>
          <w:rFonts w:eastAsia="Times New Roman"/>
          <w:color w:val="000000"/>
          <w:sz w:val="20"/>
          <w:szCs w:val="20"/>
        </w:rPr>
        <w:t>We may not generate sufficient cash to service our debt, dividend obligations, lease facilities and trade payables.</w:t>
      </w:r>
    </w:p>
    <w:p w:rsidR="00000000" w:rsidRDefault="00971A12">
      <w:pPr>
        <w:ind w:hanging="360"/>
        <w:jc w:val="both"/>
        <w:divId w:val="1585142951"/>
        <w:rPr>
          <w:rFonts w:eastAsia="Times New Roman"/>
        </w:rPr>
      </w:pPr>
      <w:r>
        <w:rPr>
          <w:rFonts w:eastAsia="Times New Roman"/>
          <w:color w:val="000000"/>
          <w:sz w:val="20"/>
          <w:szCs w:val="20"/>
        </w:rPr>
        <w:t>•We may incur another impairment of goodwill or other intangible assets.</w:t>
      </w:r>
    </w:p>
    <w:p w:rsidR="00000000" w:rsidRDefault="00971A12">
      <w:pPr>
        <w:ind w:hanging="360"/>
        <w:jc w:val="both"/>
        <w:divId w:val="626930587"/>
        <w:rPr>
          <w:rFonts w:eastAsia="Times New Roman"/>
        </w:rPr>
      </w:pPr>
      <w:r>
        <w:rPr>
          <w:rFonts w:eastAsia="Times New Roman"/>
          <w:color w:val="000000"/>
          <w:sz w:val="20"/>
          <w:szCs w:val="20"/>
        </w:rPr>
        <w:t>•Changes in the fair value of our financing derivatives or warrants</w:t>
      </w:r>
      <w:r>
        <w:rPr>
          <w:rFonts w:eastAsia="Times New Roman"/>
          <w:color w:val="000000"/>
          <w:sz w:val="20"/>
          <w:szCs w:val="20"/>
        </w:rPr>
        <w:t xml:space="preserve"> could adversely affect our financial condition and results.</w:t>
      </w:r>
    </w:p>
    <w:p w:rsidR="00000000" w:rsidRDefault="00971A12">
      <w:pPr>
        <w:ind w:hanging="360"/>
        <w:jc w:val="both"/>
        <w:divId w:val="1487748602"/>
        <w:rPr>
          <w:rFonts w:eastAsia="Times New Roman"/>
        </w:rPr>
      </w:pPr>
      <w:r>
        <w:rPr>
          <w:rFonts w:eastAsia="Times New Roman"/>
          <w:color w:val="000000"/>
          <w:sz w:val="20"/>
          <w:szCs w:val="20"/>
        </w:rPr>
        <w:t>•We may encounter difficulties managing our costs, may continue to incur net losses, and may not achieve profitability.</w:t>
      </w:r>
    </w:p>
    <w:p w:rsidR="00000000" w:rsidRDefault="00971A12">
      <w:pPr>
        <w:ind w:hanging="360"/>
        <w:jc w:val="both"/>
        <w:divId w:val="1266616188"/>
        <w:rPr>
          <w:rFonts w:eastAsia="Times New Roman"/>
        </w:rPr>
      </w:pPr>
      <w:r>
        <w:rPr>
          <w:rFonts w:eastAsia="Times New Roman"/>
          <w:color w:val="000000"/>
          <w:sz w:val="20"/>
          <w:szCs w:val="20"/>
        </w:rPr>
        <w:t>•Our net operating loss carryforwards may expire unutilized or underutilize</w:t>
      </w:r>
      <w:r>
        <w:rPr>
          <w:rFonts w:eastAsia="Times New Roman"/>
          <w:color w:val="000000"/>
          <w:sz w:val="20"/>
          <w:szCs w:val="20"/>
        </w:rPr>
        <w:t>d.</w:t>
      </w:r>
    </w:p>
    <w:p w:rsidR="00000000" w:rsidRDefault="00971A12">
      <w:pPr>
        <w:jc w:val="both"/>
        <w:divId w:val="894193856"/>
        <w:rPr>
          <w:rFonts w:eastAsia="Times New Roman"/>
        </w:rPr>
      </w:pPr>
      <w:r>
        <w:rPr>
          <w:rFonts w:eastAsia="Times New Roman"/>
          <w:b/>
          <w:bCs/>
          <w:i/>
          <w:iCs/>
          <w:color w:val="000000"/>
          <w:sz w:val="20"/>
          <w:szCs w:val="20"/>
        </w:rPr>
        <w:t>Risks Related to Legal and Regulatory Compliance, Litigation and Tax Matters</w:t>
      </w:r>
    </w:p>
    <w:p w:rsidR="00000000" w:rsidRDefault="00971A12">
      <w:pPr>
        <w:ind w:hanging="360"/>
        <w:jc w:val="both"/>
        <w:divId w:val="32659516"/>
        <w:rPr>
          <w:rFonts w:eastAsia="Times New Roman"/>
        </w:rPr>
      </w:pPr>
      <w:r>
        <w:rPr>
          <w:rFonts w:eastAsia="Times New Roman"/>
          <w:color w:val="000000"/>
          <w:sz w:val="20"/>
          <w:szCs w:val="20"/>
        </w:rPr>
        <w:t>•Concern over privacy violations and data breaches could materially harm our business.</w:t>
      </w:r>
    </w:p>
    <w:p w:rsidR="00000000" w:rsidRDefault="00971A12">
      <w:pPr>
        <w:ind w:hanging="360"/>
        <w:jc w:val="both"/>
        <w:divId w:val="409742645"/>
        <w:rPr>
          <w:rFonts w:eastAsia="Times New Roman"/>
        </w:rPr>
      </w:pPr>
      <w:r>
        <w:rPr>
          <w:rFonts w:eastAsia="Times New Roman"/>
          <w:color w:val="000000"/>
          <w:sz w:val="20"/>
          <w:szCs w:val="20"/>
        </w:rPr>
        <w:t>•Domestic or foreign laws may limit our ability to collect and incorporate media usage in</w:t>
      </w:r>
      <w:r>
        <w:rPr>
          <w:rFonts w:eastAsia="Times New Roman"/>
          <w:color w:val="000000"/>
          <w:sz w:val="20"/>
          <w:szCs w:val="20"/>
        </w:rPr>
        <w:t>formation in our products and impose costly requirements on our business.</w:t>
      </w:r>
    </w:p>
    <w:p w:rsidR="00000000" w:rsidRDefault="00971A12">
      <w:pPr>
        <w:ind w:hanging="360"/>
        <w:jc w:val="both"/>
        <w:divId w:val="1742485490"/>
        <w:rPr>
          <w:rFonts w:eastAsia="Times New Roman"/>
        </w:rPr>
      </w:pPr>
      <w:r>
        <w:rPr>
          <w:rFonts w:eastAsia="Times New Roman"/>
          <w:color w:val="000000"/>
          <w:sz w:val="20"/>
          <w:szCs w:val="20"/>
        </w:rPr>
        <w:t>•Third parties could assert that we are infringing their intellectual property rights, or we could be unable to protect and enforce our own intellectual property rights.</w:t>
      </w:r>
    </w:p>
    <w:p w:rsidR="00000000" w:rsidRDefault="00971A12">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Our use of </w:t>
      </w:r>
      <w:r>
        <w:rPr>
          <w:rFonts w:eastAsia="Times New Roman"/>
          <w:color w:val="000000"/>
          <w:sz w:val="20"/>
          <w:szCs w:val="20"/>
        </w:rPr>
        <w:t>open source software could limit our ability to sell our products or require us to reengineer our products.</w:t>
      </w:r>
    </w:p>
    <w:p w:rsidR="00000000" w:rsidRDefault="00971A12">
      <w:pPr>
        <w:ind w:hanging="360"/>
        <w:jc w:val="both"/>
        <w:divId w:val="1559972314"/>
        <w:rPr>
          <w:rFonts w:eastAsia="Times New Roman"/>
        </w:rPr>
      </w:pPr>
      <w:r>
        <w:rPr>
          <w:rFonts w:eastAsia="Times New Roman"/>
          <w:color w:val="000000"/>
          <w:sz w:val="20"/>
          <w:szCs w:val="20"/>
        </w:rPr>
        <w:t>•</w:t>
      </w:r>
      <w:r>
        <w:rPr>
          <w:rFonts w:eastAsia="Times New Roman"/>
          <w:color w:val="000000"/>
          <w:sz w:val="20"/>
          <w:szCs w:val="20"/>
        </w:rPr>
        <w:t>There could be adverse developments in tax laws or disagreements with our tax positions in the jurisdictions where we operate.</w:t>
      </w:r>
    </w:p>
    <w:p w:rsidR="00000000" w:rsidRDefault="00971A12">
      <w:pPr>
        <w:jc w:val="center"/>
        <w:divId w:val="1311979498"/>
        <w:rPr>
          <w:rFonts w:eastAsia="Times New Roman"/>
        </w:rPr>
      </w:pPr>
      <w:r>
        <w:rPr>
          <w:rFonts w:eastAsia="Times New Roman"/>
          <w:color w:val="000000"/>
          <w:sz w:val="20"/>
          <w:szCs w:val="20"/>
        </w:rPr>
        <w:t>12</w:t>
      </w:r>
    </w:p>
    <w:p w:rsidR="00000000" w:rsidRDefault="00971A12">
      <w:pPr>
        <w:rPr>
          <w:rFonts w:eastAsia="Times New Roman"/>
        </w:rPr>
      </w:pPr>
      <w:r>
        <w:rPr>
          <w:rFonts w:eastAsia="Times New Roman"/>
        </w:rPr>
        <w:pict>
          <v:rect id="_x0000_i1039" style="width:0;height:1.5pt" o:hralign="center" o:hrstd="t" o:hr="t" fillcolor="#a0a0a0" stroked="f"/>
        </w:pict>
      </w:r>
    </w:p>
    <w:p w:rsidR="00000000" w:rsidRDefault="00971A12">
      <w:pPr>
        <w:divId w:val="365376416"/>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622073683"/>
        <w:rPr>
          <w:rFonts w:eastAsia="Times New Roman"/>
        </w:rPr>
      </w:pPr>
    </w:p>
    <w:p w:rsidR="00000000" w:rsidRDefault="00971A12">
      <w:pPr>
        <w:jc w:val="both"/>
        <w:divId w:val="693726336"/>
        <w:rPr>
          <w:rFonts w:eastAsia="Times New Roman"/>
        </w:rPr>
      </w:pPr>
      <w:r>
        <w:rPr>
          <w:rFonts w:eastAsia="Times New Roman"/>
          <w:b/>
          <w:bCs/>
          <w:i/>
          <w:iCs/>
          <w:color w:val="000000"/>
          <w:sz w:val="20"/>
          <w:szCs w:val="20"/>
        </w:rPr>
        <w:t>Risks Related to International Operations</w:t>
      </w:r>
    </w:p>
    <w:p w:rsidR="00000000" w:rsidRDefault="00971A12">
      <w:pPr>
        <w:ind w:hanging="360"/>
        <w:jc w:val="both"/>
        <w:divId w:val="508757462"/>
        <w:rPr>
          <w:rFonts w:eastAsia="Times New Roman"/>
        </w:rPr>
      </w:pPr>
      <w:r>
        <w:rPr>
          <w:rFonts w:eastAsia="Times New Roman"/>
          <w:color w:val="000000"/>
          <w:sz w:val="20"/>
          <w:szCs w:val="20"/>
        </w:rPr>
        <w:t>•Our business could become increasingly susceptible to risks associated with international operations.</w:t>
      </w:r>
    </w:p>
    <w:p w:rsidR="00000000" w:rsidRDefault="00971A12">
      <w:pPr>
        <w:ind w:hanging="360"/>
        <w:jc w:val="both"/>
        <w:divId w:val="1577939077"/>
        <w:rPr>
          <w:rFonts w:eastAsia="Times New Roman"/>
        </w:rPr>
      </w:pPr>
      <w:r>
        <w:rPr>
          <w:rFonts w:eastAsia="Times New Roman"/>
          <w:color w:val="000000"/>
          <w:sz w:val="20"/>
          <w:szCs w:val="20"/>
        </w:rPr>
        <w:t>•Export controls and sanctions laws could impai</w:t>
      </w:r>
      <w:r>
        <w:rPr>
          <w:rFonts w:eastAsia="Times New Roman"/>
          <w:color w:val="000000"/>
          <w:sz w:val="20"/>
          <w:szCs w:val="20"/>
        </w:rPr>
        <w:t>r our ability to compete in international markets and subject us to liability.</w:t>
      </w:r>
    </w:p>
    <w:p w:rsidR="00000000" w:rsidRDefault="00971A12">
      <w:pPr>
        <w:ind w:hanging="360"/>
        <w:jc w:val="both"/>
        <w:divId w:val="1086464112"/>
        <w:rPr>
          <w:rFonts w:eastAsia="Times New Roman"/>
        </w:rPr>
      </w:pPr>
      <w:r>
        <w:rPr>
          <w:rFonts w:eastAsia="Times New Roman"/>
          <w:color w:val="000000"/>
          <w:sz w:val="20"/>
          <w:szCs w:val="20"/>
        </w:rPr>
        <w:t>•Changes in foreign currencies could have a significant effect on our operating results.</w:t>
      </w:r>
    </w:p>
    <w:p w:rsidR="00000000" w:rsidRDefault="00971A12">
      <w:pPr>
        <w:jc w:val="both"/>
        <w:divId w:val="1801414885"/>
        <w:rPr>
          <w:rFonts w:eastAsia="Times New Roman"/>
        </w:rPr>
      </w:pPr>
      <w:r>
        <w:rPr>
          <w:rFonts w:eastAsia="Times New Roman"/>
          <w:b/>
          <w:bCs/>
          <w:i/>
          <w:iCs/>
          <w:color w:val="000000"/>
          <w:sz w:val="20"/>
          <w:szCs w:val="20"/>
        </w:rPr>
        <w:t>Risks Related to Our Capital Structure and Financings</w:t>
      </w:r>
    </w:p>
    <w:p w:rsidR="00000000" w:rsidRDefault="00971A12">
      <w:pPr>
        <w:ind w:hanging="360"/>
        <w:jc w:val="both"/>
        <w:divId w:val="1025865305"/>
        <w:rPr>
          <w:rFonts w:eastAsia="Times New Roman"/>
        </w:rPr>
      </w:pPr>
      <w:r>
        <w:rPr>
          <w:rFonts w:ascii="Arial" w:eastAsia="Times New Roman" w:hAnsi="Arial" w:cs="Arial"/>
          <w:color w:val="000000"/>
        </w:rPr>
        <w:t>•</w:t>
      </w:r>
      <w:r>
        <w:rPr>
          <w:rFonts w:eastAsia="Times New Roman"/>
          <w:color w:val="000000"/>
          <w:sz w:val="20"/>
          <w:szCs w:val="20"/>
        </w:rPr>
        <w:t>The holders of our Series B Conve</w:t>
      </w:r>
      <w:r>
        <w:rPr>
          <w:rFonts w:eastAsia="Times New Roman"/>
          <w:color w:val="000000"/>
          <w:sz w:val="20"/>
          <w:szCs w:val="20"/>
        </w:rPr>
        <w:t>rtible Preferred Stock ("Preferred Stock") have significant influence and rights that may conflict with the interests of our other stockholders.</w:t>
      </w:r>
    </w:p>
    <w:p w:rsidR="00000000" w:rsidRDefault="00971A12">
      <w:pPr>
        <w:ind w:hanging="360"/>
        <w:jc w:val="both"/>
        <w:divId w:val="1377704255"/>
        <w:rPr>
          <w:rFonts w:eastAsia="Times New Roman"/>
        </w:rPr>
      </w:pPr>
      <w:r>
        <w:rPr>
          <w:rFonts w:ascii="Arial" w:eastAsia="Times New Roman" w:hAnsi="Arial" w:cs="Arial"/>
          <w:color w:val="000000"/>
        </w:rPr>
        <w:t>•</w:t>
      </w:r>
      <w:r>
        <w:rPr>
          <w:rFonts w:eastAsia="Times New Roman"/>
          <w:color w:val="000000"/>
          <w:sz w:val="20"/>
          <w:szCs w:val="20"/>
        </w:rPr>
        <w:t>We may not realize the anticipated benefits of our Preferred Stock transactions, including commercial benefits</w:t>
      </w:r>
      <w:r>
        <w:rPr>
          <w:rFonts w:eastAsia="Times New Roman"/>
          <w:color w:val="000000"/>
          <w:sz w:val="20"/>
          <w:szCs w:val="20"/>
        </w:rPr>
        <w:t xml:space="preserve"> from our data license with Charter.</w:t>
      </w:r>
    </w:p>
    <w:p w:rsidR="00000000" w:rsidRDefault="00971A12">
      <w:pPr>
        <w:ind w:hanging="360"/>
        <w:jc w:val="both"/>
        <w:divId w:val="242766236"/>
        <w:rPr>
          <w:rFonts w:eastAsia="Times New Roman"/>
        </w:rPr>
      </w:pPr>
      <w:r>
        <w:rPr>
          <w:rFonts w:ascii="Arial" w:eastAsia="Times New Roman" w:hAnsi="Arial" w:cs="Arial"/>
          <w:color w:val="000000"/>
        </w:rPr>
        <w:t>•</w:t>
      </w:r>
      <w:r>
        <w:rPr>
          <w:rFonts w:eastAsia="Times New Roman"/>
          <w:color w:val="000000"/>
          <w:sz w:val="20"/>
          <w:szCs w:val="20"/>
        </w:rPr>
        <w:t>The market value of our Common Stock could decline if the holders of our Preferred Stock sell their shares when transfer restrictions expire.</w:t>
      </w:r>
    </w:p>
    <w:p w:rsidR="00000000" w:rsidRDefault="00971A12">
      <w:pPr>
        <w:ind w:hanging="360"/>
        <w:jc w:val="both"/>
        <w:divId w:val="1808814327"/>
        <w:rPr>
          <w:rFonts w:eastAsia="Times New Roman"/>
        </w:rPr>
      </w:pPr>
      <w:r>
        <w:rPr>
          <w:rFonts w:eastAsia="Times New Roman"/>
          <w:color w:val="000000"/>
          <w:sz w:val="20"/>
          <w:szCs w:val="20"/>
        </w:rPr>
        <w:t>•Our financing and debt covenants could restrict our operating flexibility.</w:t>
      </w:r>
    </w:p>
    <w:p w:rsidR="00000000" w:rsidRDefault="00971A12">
      <w:pPr>
        <w:ind w:hanging="360"/>
        <w:jc w:val="both"/>
        <w:divId w:val="640186143"/>
        <w:rPr>
          <w:rFonts w:eastAsia="Times New Roman"/>
        </w:rPr>
      </w:pPr>
      <w:r>
        <w:rPr>
          <w:rFonts w:ascii="Arial" w:eastAsia="Times New Roman" w:hAnsi="Arial" w:cs="Arial"/>
          <w:color w:val="000000"/>
        </w:rPr>
        <w:t>•</w:t>
      </w:r>
      <w:r>
        <w:rPr>
          <w:rFonts w:eastAsia="Times New Roman"/>
          <w:color w:val="000000"/>
          <w:sz w:val="20"/>
          <w:szCs w:val="20"/>
        </w:rPr>
        <w:t>Any failure to meet our debt obligations could adversely affect our business and financial condition.</w:t>
      </w:r>
    </w:p>
    <w:p w:rsidR="00000000" w:rsidRDefault="00971A12">
      <w:pPr>
        <w:ind w:hanging="360"/>
        <w:jc w:val="both"/>
        <w:divId w:val="507867461"/>
        <w:rPr>
          <w:rFonts w:eastAsia="Times New Roman"/>
        </w:rPr>
      </w:pPr>
      <w:r>
        <w:rPr>
          <w:rFonts w:eastAsia="Times New Roman"/>
          <w:color w:val="000000"/>
          <w:sz w:val="20"/>
          <w:szCs w:val="20"/>
        </w:rPr>
        <w:t>•We may need additional capital to support our business or meet our debt or dividend obligations, which may not be available on acceptable terms or at al</w:t>
      </w:r>
      <w:r>
        <w:rPr>
          <w:rFonts w:eastAsia="Times New Roman"/>
          <w:color w:val="000000"/>
          <w:sz w:val="20"/>
          <w:szCs w:val="20"/>
        </w:rPr>
        <w:t>l.</w:t>
      </w:r>
    </w:p>
    <w:p w:rsidR="00000000" w:rsidRDefault="00971A12">
      <w:pPr>
        <w:jc w:val="both"/>
        <w:divId w:val="177891943"/>
        <w:rPr>
          <w:rFonts w:eastAsia="Times New Roman"/>
        </w:rPr>
      </w:pPr>
      <w:r>
        <w:rPr>
          <w:rFonts w:eastAsia="Times New Roman"/>
          <w:b/>
          <w:bCs/>
          <w:i/>
          <w:iCs/>
          <w:color w:val="000000"/>
          <w:sz w:val="20"/>
          <w:szCs w:val="20"/>
        </w:rPr>
        <w:t>General Risks Related to Ownership of Our Common Stock</w:t>
      </w:r>
    </w:p>
    <w:p w:rsidR="00000000" w:rsidRDefault="00971A12">
      <w:pPr>
        <w:ind w:hanging="360"/>
        <w:jc w:val="both"/>
        <w:divId w:val="156774854"/>
        <w:rPr>
          <w:rFonts w:eastAsia="Times New Roman"/>
        </w:rPr>
      </w:pPr>
      <w:r>
        <w:rPr>
          <w:rFonts w:ascii="Arial" w:eastAsia="Times New Roman" w:hAnsi="Arial" w:cs="Arial"/>
          <w:color w:val="000000"/>
          <w:sz w:val="20"/>
          <w:szCs w:val="20"/>
        </w:rPr>
        <w:t>•</w:t>
      </w:r>
      <w:r>
        <w:rPr>
          <w:rFonts w:eastAsia="Times New Roman"/>
          <w:color w:val="000000"/>
          <w:sz w:val="20"/>
          <w:szCs w:val="20"/>
        </w:rPr>
        <w:t>Securities that we may become obligated to issue under existing or future agreements may cause immediate and substantial dilution to our current stockholders.</w:t>
      </w:r>
    </w:p>
    <w:p w:rsidR="00000000" w:rsidRDefault="00971A12">
      <w:pPr>
        <w:ind w:hanging="360"/>
        <w:jc w:val="both"/>
        <w:divId w:val="23411776"/>
        <w:rPr>
          <w:rFonts w:eastAsia="Times New Roman"/>
        </w:rPr>
      </w:pPr>
      <w:r>
        <w:rPr>
          <w:rFonts w:eastAsia="Times New Roman"/>
          <w:color w:val="000000"/>
          <w:sz w:val="20"/>
          <w:szCs w:val="20"/>
        </w:rPr>
        <w:t>•Provisions in our governing documents</w:t>
      </w:r>
      <w:r>
        <w:rPr>
          <w:rFonts w:eastAsia="Times New Roman"/>
          <w:color w:val="000000"/>
          <w:sz w:val="20"/>
          <w:szCs w:val="20"/>
        </w:rPr>
        <w:t xml:space="preserve"> and under Delaware law might discourage, delay or prevent a change of control or changes in our management.</w:t>
      </w:r>
    </w:p>
    <w:p w:rsidR="00000000" w:rsidRDefault="00971A12">
      <w:pPr>
        <w:jc w:val="both"/>
        <w:divId w:val="1968386006"/>
        <w:rPr>
          <w:rFonts w:eastAsia="Times New Roman"/>
        </w:rPr>
      </w:pPr>
      <w:r>
        <w:rPr>
          <w:rFonts w:eastAsia="Times New Roman"/>
          <w:b/>
          <w:bCs/>
          <w:color w:val="000000"/>
          <w:sz w:val="20"/>
          <w:szCs w:val="20"/>
        </w:rPr>
        <w:t>Risks Related to Our Business and Our Technologies</w:t>
      </w:r>
    </w:p>
    <w:p w:rsidR="00000000" w:rsidRDefault="00971A12">
      <w:pPr>
        <w:jc w:val="both"/>
        <w:divId w:val="759257518"/>
        <w:rPr>
          <w:rFonts w:eastAsia="Times New Roman"/>
        </w:rPr>
      </w:pPr>
      <w:r>
        <w:rPr>
          <w:rFonts w:eastAsia="Times New Roman"/>
          <w:b/>
          <w:bCs/>
          <w:i/>
          <w:iCs/>
          <w:color w:val="000000"/>
          <w:sz w:val="20"/>
          <w:szCs w:val="20"/>
        </w:rPr>
        <w:t>Macroeconomic factors could adversely affect our business and financial results.</w:t>
      </w:r>
    </w:p>
    <w:p w:rsidR="00000000" w:rsidRDefault="00971A12">
      <w:pPr>
        <w:jc w:val="both"/>
        <w:divId w:val="303314572"/>
        <w:rPr>
          <w:rFonts w:eastAsia="Times New Roman"/>
        </w:rPr>
      </w:pPr>
      <w:r>
        <w:rPr>
          <w:rFonts w:eastAsia="Times New Roman"/>
          <w:color w:val="000000"/>
          <w:sz w:val="20"/>
          <w:szCs w:val="20"/>
        </w:rPr>
        <w:t>Our business depends on the health of the media and advertising industries in which we operate. The strength of the advertising market can fluctuate in response to the economi</w:t>
      </w:r>
      <w:r>
        <w:rPr>
          <w:rFonts w:eastAsia="Times New Roman"/>
          <w:color w:val="000000"/>
          <w:sz w:val="20"/>
          <w:szCs w:val="20"/>
        </w:rPr>
        <w:t>c prospects of specific advertisers or industries, advertisers' spending priorities, and the economy in general. In recent months, macroeconomic factors such as inflation, rising interest rates and supply chain disruptions have caused some advertisers to r</w:t>
      </w:r>
      <w:r>
        <w:rPr>
          <w:rFonts w:eastAsia="Times New Roman"/>
          <w:color w:val="000000"/>
          <w:sz w:val="20"/>
          <w:szCs w:val="20"/>
        </w:rPr>
        <w:t>educe or delay advertising expenditures. These declines, which may continue in future periods, have a direct impact on demand for our products, which measure advertising campaigns and audiences across platforms.</w:t>
      </w:r>
    </w:p>
    <w:p w:rsidR="00000000" w:rsidRDefault="00971A12">
      <w:pPr>
        <w:jc w:val="both"/>
        <w:divId w:val="769473080"/>
        <w:rPr>
          <w:rFonts w:eastAsia="Times New Roman"/>
        </w:rPr>
      </w:pPr>
      <w:r>
        <w:rPr>
          <w:rFonts w:eastAsia="Times New Roman"/>
          <w:color w:val="000000"/>
          <w:sz w:val="20"/>
          <w:szCs w:val="20"/>
        </w:rPr>
        <w:t>Sustained reductions in advertising spending</w:t>
      </w:r>
      <w:r>
        <w:rPr>
          <w:rFonts w:eastAsia="Times New Roman"/>
          <w:color w:val="000000"/>
          <w:sz w:val="20"/>
          <w:szCs w:val="20"/>
        </w:rPr>
        <w:t xml:space="preserve"> could result in customers terminating their subscriptions for our products, delaying renewals, or renewing on terms less favorable to us. Furthermore, our newer products, for which we recognize revenue based on impressions used, may be subject to higher f</w:t>
      </w:r>
      <w:r>
        <w:rPr>
          <w:rFonts w:eastAsia="Times New Roman"/>
          <w:color w:val="000000"/>
          <w:sz w:val="20"/>
          <w:szCs w:val="20"/>
        </w:rPr>
        <w:t>luctuations in revenue from changes in our customers' advertising budgets and spending. Macroeconomic factors could also increase our costs, reducing margins and preventing us from meeting our profitability goals. Finally, these factors make it more diffic</w:t>
      </w:r>
      <w:r>
        <w:rPr>
          <w:rFonts w:eastAsia="Times New Roman"/>
          <w:color w:val="000000"/>
          <w:sz w:val="20"/>
          <w:szCs w:val="20"/>
        </w:rPr>
        <w:t>ult for us to predict our future revenue and costs, which could result in misallocation of resources or operating inefficiencies that could harm our business. The extent of the impact of macroeconomic factors on our business is uncertain and may continue t</w:t>
      </w:r>
      <w:r>
        <w:rPr>
          <w:rFonts w:eastAsia="Times New Roman"/>
          <w:color w:val="000000"/>
          <w:sz w:val="20"/>
          <w:szCs w:val="20"/>
        </w:rPr>
        <w:t>o adversely affect our operations and financial results.</w:t>
      </w:r>
    </w:p>
    <w:p w:rsidR="00000000" w:rsidRDefault="00971A12">
      <w:pPr>
        <w:jc w:val="both"/>
        <w:divId w:val="394284253"/>
        <w:rPr>
          <w:rFonts w:eastAsia="Times New Roman"/>
        </w:rPr>
      </w:pPr>
      <w:r>
        <w:rPr>
          <w:rFonts w:eastAsia="Times New Roman"/>
          <w:b/>
          <w:bCs/>
          <w:i/>
          <w:iCs/>
          <w:color w:val="000000"/>
          <w:sz w:val="20"/>
          <w:szCs w:val="20"/>
        </w:rPr>
        <w:t>The market for media measurement and analytics products is highly competitive, and if we cannot compete effectively, our revenues could decline and our business could be harmed.</w:t>
      </w:r>
    </w:p>
    <w:p w:rsidR="00000000" w:rsidRDefault="00971A12">
      <w:pPr>
        <w:jc w:val="both"/>
        <w:divId w:val="1636569817"/>
        <w:rPr>
          <w:rFonts w:eastAsia="Times New Roman"/>
        </w:rPr>
      </w:pPr>
      <w:r>
        <w:rPr>
          <w:rFonts w:eastAsia="Times New Roman"/>
          <w:color w:val="000000"/>
          <w:sz w:val="20"/>
          <w:szCs w:val="20"/>
        </w:rPr>
        <w:t>The market for audien</w:t>
      </w:r>
      <w:r>
        <w:rPr>
          <w:rFonts w:eastAsia="Times New Roman"/>
          <w:color w:val="000000"/>
          <w:sz w:val="20"/>
          <w:szCs w:val="20"/>
        </w:rPr>
        <w:t>ce and advertising measurement products is highly competitive and is evolving rapidly. We compete primarily with providers of media intelligence and related analytical products and services. We also compete with providers of marketing services and solution</w:t>
      </w:r>
      <w:r>
        <w:rPr>
          <w:rFonts w:eastAsia="Times New Roman"/>
          <w:color w:val="000000"/>
          <w:sz w:val="20"/>
          <w:szCs w:val="20"/>
        </w:rPr>
        <w:t>s, with full-service survey providers, and with internal solutions developed by customers and potential customers. In recent years, competition has intensified as a result of the entrance of new competitors and the development of new technologies, products</w:t>
      </w:r>
      <w:r>
        <w:rPr>
          <w:rFonts w:eastAsia="Times New Roman"/>
          <w:color w:val="000000"/>
          <w:sz w:val="20"/>
          <w:szCs w:val="20"/>
        </w:rPr>
        <w:t xml:space="preserve"> and services in our industry, and we expect this trend to continue. Some of our competitors have substantially greater resources than we do. As a result, these competitors may be able to devote greater resources to development of systems and technologies,</w:t>
      </w:r>
      <w:r>
        <w:rPr>
          <w:rFonts w:eastAsia="Times New Roman"/>
          <w:color w:val="000000"/>
          <w:sz w:val="20"/>
          <w:szCs w:val="20"/>
        </w:rPr>
        <w:t xml:space="preserve"> acquisition of data, recruitment and retention of personnel, marketing and promotional campaigns, panel retention and development, and other key areas that can impact our ability to compete effectively. In addition, some of our competitors have adopted an</w:t>
      </w:r>
      <w:r>
        <w:rPr>
          <w:rFonts w:eastAsia="Times New Roman"/>
          <w:color w:val="000000"/>
          <w:sz w:val="20"/>
          <w:szCs w:val="20"/>
        </w:rPr>
        <w:t xml:space="preserve">d may continue to adopt aggressive pricing policies, including the provision of certain services at little or no cost, in order to retain or acquire customers. Furthermore, large software companies, internet platforms and database management companies may </w:t>
      </w:r>
      <w:r>
        <w:rPr>
          <w:rFonts w:eastAsia="Times New Roman"/>
          <w:color w:val="000000"/>
          <w:sz w:val="20"/>
          <w:szCs w:val="20"/>
        </w:rPr>
        <w:t>enter our market or enhance their current offerings, either by developing competing services or by acquiring our competitors, and could leverage their significant resources and pre-existing relationships with our current and potential customers. Finally, c</w:t>
      </w:r>
      <w:r>
        <w:rPr>
          <w:rFonts w:eastAsia="Times New Roman"/>
          <w:color w:val="000000"/>
          <w:sz w:val="20"/>
          <w:szCs w:val="20"/>
        </w:rPr>
        <w:t>onsolidation of our competitors could make it difficult for us to compete effectively. If we are unable to compete successfully against our current and future competitors, we may not be able to retain and acquire customers, and we may consequently experien</w:t>
      </w:r>
      <w:r>
        <w:rPr>
          <w:rFonts w:eastAsia="Times New Roman"/>
          <w:color w:val="000000"/>
          <w:sz w:val="20"/>
          <w:szCs w:val="20"/>
        </w:rPr>
        <w:t>ce a decline in revenues, reduced operating margins, loss of market share and diminished value from our products.</w:t>
      </w:r>
    </w:p>
    <w:p w:rsidR="00000000" w:rsidRDefault="00971A12">
      <w:pPr>
        <w:jc w:val="center"/>
        <w:divId w:val="236090073"/>
        <w:rPr>
          <w:rFonts w:eastAsia="Times New Roman"/>
        </w:rPr>
      </w:pPr>
      <w:r>
        <w:rPr>
          <w:rFonts w:eastAsia="Times New Roman"/>
          <w:color w:val="000000"/>
          <w:sz w:val="20"/>
          <w:szCs w:val="20"/>
        </w:rPr>
        <w:t>13</w:t>
      </w:r>
    </w:p>
    <w:p w:rsidR="00000000" w:rsidRDefault="00971A12">
      <w:pPr>
        <w:rPr>
          <w:rFonts w:eastAsia="Times New Roman"/>
        </w:rPr>
      </w:pPr>
      <w:r>
        <w:rPr>
          <w:rFonts w:eastAsia="Times New Roman"/>
        </w:rPr>
        <w:pict>
          <v:rect id="_x0000_i1040" style="width:0;height:1.5pt" o:hralign="center" o:hrstd="t" o:hr="t" fillcolor="#a0a0a0" stroked="f"/>
        </w:pict>
      </w:r>
    </w:p>
    <w:p w:rsidR="00000000" w:rsidRDefault="00971A12">
      <w:pPr>
        <w:divId w:val="1253054519"/>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2078629694"/>
        <w:rPr>
          <w:rFonts w:eastAsia="Times New Roman"/>
        </w:rPr>
      </w:pPr>
    </w:p>
    <w:p w:rsidR="00000000" w:rsidRDefault="00971A12">
      <w:pPr>
        <w:jc w:val="both"/>
        <w:divId w:val="1924680032"/>
        <w:rPr>
          <w:rFonts w:eastAsia="Times New Roman"/>
        </w:rPr>
      </w:pPr>
      <w:r>
        <w:rPr>
          <w:rFonts w:eastAsia="Times New Roman"/>
          <w:b/>
          <w:bCs/>
          <w:i/>
          <w:iCs/>
          <w:color w:val="000000"/>
          <w:sz w:val="20"/>
          <w:szCs w:val="20"/>
        </w:rPr>
        <w:t>If we are unable to provide television, digital or cross-platform analytics, or if our analytics are incomplete, our abi</w:t>
      </w:r>
      <w:r>
        <w:rPr>
          <w:rFonts w:eastAsia="Times New Roman"/>
          <w:b/>
          <w:bCs/>
          <w:i/>
          <w:iCs/>
          <w:color w:val="000000"/>
          <w:sz w:val="20"/>
          <w:szCs w:val="20"/>
        </w:rPr>
        <w:t>lity to maintain and grow our business may be harmed.</w:t>
      </w:r>
    </w:p>
    <w:p w:rsidR="00000000" w:rsidRDefault="00971A12">
      <w:pPr>
        <w:jc w:val="both"/>
        <w:divId w:val="1977635958"/>
        <w:rPr>
          <w:rFonts w:eastAsia="Times New Roman"/>
        </w:rPr>
      </w:pPr>
      <w:r>
        <w:rPr>
          <w:rFonts w:eastAsia="Times New Roman"/>
          <w:color w:val="000000"/>
          <w:sz w:val="20"/>
          <w:szCs w:val="20"/>
        </w:rPr>
        <w:t>As the media and advertising industries increasingly evaluate advertising campaigns across various forms of media, such as television, online, and mobile, the ability to measure the combined size and co</w:t>
      </w:r>
      <w:r>
        <w:rPr>
          <w:rFonts w:eastAsia="Times New Roman"/>
          <w:color w:val="000000"/>
          <w:sz w:val="20"/>
          <w:szCs w:val="20"/>
        </w:rPr>
        <w:t>mposition of audiences across platforms is increasingly important and in demand. If we are unable to gain or maintain access to information measuring a media component or type, or if we are unable to do so on commercially reasonable terms, our ability to m</w:t>
      </w:r>
      <w:r>
        <w:rPr>
          <w:rFonts w:eastAsia="Times New Roman"/>
          <w:color w:val="000000"/>
          <w:sz w:val="20"/>
          <w:szCs w:val="20"/>
        </w:rPr>
        <w:t>eet our customers' demands and our business and financial performance may be harmed. Furthermore, even if we do have access to television and digital (including mobile and CTV) data, if we have insufficient technology, or encounter challenges in our method</w:t>
      </w:r>
      <w:r>
        <w:rPr>
          <w:rFonts w:eastAsia="Times New Roman"/>
          <w:color w:val="000000"/>
          <w:sz w:val="20"/>
          <w:szCs w:val="20"/>
        </w:rPr>
        <w:t>ological approaches, our products may be inferior to other offerings, and we may be unable to meet our customers' demands. In such event, our business and financial performance may be harmed.</w:t>
      </w:r>
    </w:p>
    <w:p w:rsidR="00000000" w:rsidRDefault="00971A12">
      <w:pPr>
        <w:jc w:val="both"/>
        <w:divId w:val="1247378127"/>
        <w:rPr>
          <w:rFonts w:eastAsia="Times New Roman"/>
        </w:rPr>
      </w:pPr>
      <w:r>
        <w:rPr>
          <w:rFonts w:eastAsia="Times New Roman"/>
          <w:color w:val="000000"/>
          <w:sz w:val="20"/>
          <w:szCs w:val="20"/>
        </w:rPr>
        <w:t>In particular, our acquisition of television data may be reliant</w:t>
      </w:r>
      <w:r>
        <w:rPr>
          <w:rFonts w:eastAsia="Times New Roman"/>
          <w:color w:val="000000"/>
          <w:sz w:val="20"/>
          <w:szCs w:val="20"/>
        </w:rPr>
        <w:t xml:space="preserve"> on companies that have historically held a dominant market position measuring television to produce industry-accepted measurement across a combination of media platforms. Our competitors or other providers may have more leverage with data providers and ma</w:t>
      </w:r>
      <w:r>
        <w:rPr>
          <w:rFonts w:eastAsia="Times New Roman"/>
          <w:color w:val="000000"/>
          <w:sz w:val="20"/>
          <w:szCs w:val="20"/>
        </w:rPr>
        <w:t>y be unable or unwilling to provide us with access to quality data to support our products, on reasonable terms or at all. Likewise, our acquisition of digital data may be reliant on large digital publishers that may technologically or legally prevent acce</w:t>
      </w:r>
      <w:r>
        <w:rPr>
          <w:rFonts w:eastAsia="Times New Roman"/>
          <w:color w:val="000000"/>
          <w:sz w:val="20"/>
          <w:szCs w:val="20"/>
        </w:rPr>
        <w:t>ss to their proprietary platforms for research or measurement purposes. Moreover, as mobile devices, technology and CTV viewing continue to proliferate, gaining and maintaining cost-effective access to mobile and CTV data will become increasingly critical,</w:t>
      </w:r>
      <w:r>
        <w:rPr>
          <w:rFonts w:eastAsia="Times New Roman"/>
          <w:color w:val="000000"/>
          <w:sz w:val="20"/>
          <w:szCs w:val="20"/>
        </w:rPr>
        <w:t xml:space="preserve"> and we could face difficulty in accessing these forms of data. If we are unable to acquire and integrate data effectively and efficiently, or if the cost of data acquisition or integration increases, our business, financial condition and results of operat</w:t>
      </w:r>
      <w:r>
        <w:rPr>
          <w:rFonts w:eastAsia="Times New Roman"/>
          <w:color w:val="000000"/>
          <w:sz w:val="20"/>
          <w:szCs w:val="20"/>
        </w:rPr>
        <w:t>ions may be harmed.</w:t>
      </w:r>
    </w:p>
    <w:p w:rsidR="00000000" w:rsidRDefault="00971A12">
      <w:pPr>
        <w:jc w:val="both"/>
        <w:divId w:val="25982448"/>
        <w:rPr>
          <w:rFonts w:eastAsia="Times New Roman"/>
        </w:rPr>
      </w:pPr>
      <w:r>
        <w:rPr>
          <w:rFonts w:eastAsia="Times New Roman"/>
          <w:b/>
          <w:bCs/>
          <w:i/>
          <w:iCs/>
          <w:color w:val="000000"/>
          <w:sz w:val="20"/>
          <w:szCs w:val="20"/>
        </w:rPr>
        <w:t>We depend on third parties for data and services that are critical to our business, and our business could suffer if we cannot continue to obtain reliable data from these suppliers or if third parties place additional restrictions on ou</w:t>
      </w:r>
      <w:r>
        <w:rPr>
          <w:rFonts w:eastAsia="Times New Roman"/>
          <w:b/>
          <w:bCs/>
          <w:i/>
          <w:iCs/>
          <w:color w:val="000000"/>
          <w:sz w:val="20"/>
          <w:szCs w:val="20"/>
        </w:rPr>
        <w:t>r use of such data.</w:t>
      </w:r>
    </w:p>
    <w:p w:rsidR="00000000" w:rsidRDefault="00971A12">
      <w:pPr>
        <w:jc w:val="both"/>
        <w:divId w:val="470292850"/>
        <w:rPr>
          <w:rFonts w:eastAsia="Times New Roman"/>
        </w:rPr>
      </w:pPr>
      <w:r>
        <w:rPr>
          <w:rFonts w:eastAsia="Times New Roman"/>
          <w:color w:val="000000"/>
          <w:sz w:val="20"/>
          <w:szCs w:val="20"/>
        </w:rPr>
        <w:t>We rely on third-party data sources for information usage across the media platforms that we measure, as well as demographics about the people that use such platforms. The availability and accuracy of this data is important to the conti</w:t>
      </w:r>
      <w:r>
        <w:rPr>
          <w:rFonts w:eastAsia="Times New Roman"/>
          <w:color w:val="000000"/>
          <w:sz w:val="20"/>
          <w:szCs w:val="20"/>
        </w:rPr>
        <w:t xml:space="preserve">nuation and development of our products and the performance of our obligations to customers. These data suppliers, some of whom compete with us or our significant stockholders, may increase restrictions on our use of such data, undertake audits (at either </w:t>
      </w:r>
      <w:r>
        <w:rPr>
          <w:rFonts w:eastAsia="Times New Roman"/>
          <w:color w:val="000000"/>
          <w:sz w:val="20"/>
          <w:szCs w:val="20"/>
        </w:rPr>
        <w:t>our or their expense) of our use of such data, require us to implement new processes with respect to such data, fail to adhere to our quality control, privacy or security standards or otherwise satisfactorily perform services, increase the price they charg</w:t>
      </w:r>
      <w:r>
        <w:rPr>
          <w:rFonts w:eastAsia="Times New Roman"/>
          <w:color w:val="000000"/>
          <w:sz w:val="20"/>
          <w:szCs w:val="20"/>
        </w:rPr>
        <w:t>e us for the data or refuse to license the data to us. Additional restrictions on third-party data could limit our ability to include that data in our products, which could lead to decreased commercial opportunities for our products as well as loss of cust</w:t>
      </w:r>
      <w:r>
        <w:rPr>
          <w:rFonts w:eastAsia="Times New Roman"/>
          <w:color w:val="000000"/>
          <w:sz w:val="20"/>
          <w:szCs w:val="20"/>
        </w:rPr>
        <w:t>omers, sales credits, refunds or liability to our customers. To comply with any additional restrictions, we may be required to implement certain additional technological and manual controls that could put pressure on our cost structure and could affect our</w:t>
      </w:r>
      <w:r>
        <w:rPr>
          <w:rFonts w:eastAsia="Times New Roman"/>
          <w:color w:val="000000"/>
          <w:sz w:val="20"/>
          <w:szCs w:val="20"/>
        </w:rPr>
        <w:t xml:space="preserve"> pricing. Supplier consolidation and increased pricing for additional use cases, including in connection with the integration of acquired companies and technologies, could also put pressure on our cost structure and our ability to meet obligations to our c</w:t>
      </w:r>
      <w:r>
        <w:rPr>
          <w:rFonts w:eastAsia="Times New Roman"/>
          <w:color w:val="000000"/>
          <w:sz w:val="20"/>
          <w:szCs w:val="20"/>
        </w:rPr>
        <w:t>ustomers. We may be required to enter into vendor relationships, strategic alliances, or joint ventures with some third parties in order to obtain access to the data sources that we need. If our partners do not apply rigorous standards to their data collec</w:t>
      </w:r>
      <w:r>
        <w:rPr>
          <w:rFonts w:eastAsia="Times New Roman"/>
          <w:color w:val="000000"/>
          <w:sz w:val="20"/>
          <w:szCs w:val="20"/>
        </w:rPr>
        <w:t xml:space="preserve">tion methodology and actions, notwithstanding our best efforts, we may receive third-party data that is inaccurate, defective, or delayed. If third-party information is not available to us on commercially reasonable terms, or is found to be inaccurate, it </w:t>
      </w:r>
      <w:r>
        <w:rPr>
          <w:rFonts w:eastAsia="Times New Roman"/>
          <w:color w:val="000000"/>
          <w:sz w:val="20"/>
          <w:szCs w:val="20"/>
        </w:rPr>
        <w:t>could harm our products, our reputation, and our business and financial performance.</w:t>
      </w:r>
    </w:p>
    <w:p w:rsidR="00000000" w:rsidRDefault="00971A12">
      <w:pPr>
        <w:jc w:val="both"/>
        <w:divId w:val="1101534825"/>
        <w:rPr>
          <w:rFonts w:eastAsia="Times New Roman"/>
        </w:rPr>
      </w:pPr>
      <w:r>
        <w:rPr>
          <w:rFonts w:eastAsia="Times New Roman"/>
          <w:b/>
          <w:bCs/>
          <w:i/>
          <w:iCs/>
          <w:color w:val="000000"/>
          <w:sz w:val="20"/>
          <w:szCs w:val="20"/>
        </w:rPr>
        <w:t>If we fail to respond to technological developments or evolving industry standards, our products may become obsolete or less competitive.</w:t>
      </w:r>
    </w:p>
    <w:p w:rsidR="00000000" w:rsidRDefault="00971A12">
      <w:pPr>
        <w:jc w:val="both"/>
        <w:divId w:val="1180893679"/>
        <w:rPr>
          <w:rFonts w:eastAsia="Times New Roman"/>
        </w:rPr>
      </w:pPr>
      <w:r>
        <w:rPr>
          <w:rFonts w:eastAsia="Times New Roman"/>
          <w:color w:val="000000"/>
          <w:sz w:val="20"/>
          <w:szCs w:val="20"/>
        </w:rPr>
        <w:t>We operate in industries that req</w:t>
      </w:r>
      <w:r>
        <w:rPr>
          <w:rFonts w:eastAsia="Times New Roman"/>
          <w:color w:val="000000"/>
          <w:sz w:val="20"/>
          <w:szCs w:val="20"/>
        </w:rPr>
        <w:t>uire sophisticated data collection and processing technologies. Our future success will depend in part on our ability to develop new and modify or enhance our existing products and services, including without limitation, our data collection technologies an</w:t>
      </w:r>
      <w:r>
        <w:rPr>
          <w:rFonts w:eastAsia="Times New Roman"/>
          <w:color w:val="000000"/>
          <w:sz w:val="20"/>
          <w:szCs w:val="20"/>
        </w:rPr>
        <w:t>d approaches, in order to meet customer needs, add functionality and address technological advancements and industry standards. For example, the development of opt-in permissions and enhanced focus on consent-based measurement provide the benefit of limiti</w:t>
      </w:r>
      <w:r>
        <w:rPr>
          <w:rFonts w:eastAsia="Times New Roman"/>
          <w:color w:val="000000"/>
          <w:sz w:val="20"/>
          <w:szCs w:val="20"/>
        </w:rPr>
        <w:t>ng the transfer of consumer personal information, but also mean changes to our data collection, storage and delivery processes. If we are unable to innovate and adapt our methodologies to meet evolving customer needs, our products may become obsolete or le</w:t>
      </w:r>
      <w:r>
        <w:rPr>
          <w:rFonts w:eastAsia="Times New Roman"/>
          <w:color w:val="000000"/>
          <w:sz w:val="20"/>
          <w:szCs w:val="20"/>
        </w:rPr>
        <w:t>ss competitive. As another example, if certain proprietary devices become the primary mode of receiving content and conducting transactions on the internet, and we are unable to adapt to collect information from such devices, then we would not be able to r</w:t>
      </w:r>
      <w:r>
        <w:rPr>
          <w:rFonts w:eastAsia="Times New Roman"/>
          <w:color w:val="000000"/>
          <w:sz w:val="20"/>
          <w:szCs w:val="20"/>
        </w:rPr>
        <w:t>eport on digital usage activity. To remain competitive, we will need to develop new products that address these evolving technologies and standards across the universe of media including television, online, and mobile usage. However, we may be unsuccessful</w:t>
      </w:r>
      <w:r>
        <w:rPr>
          <w:rFonts w:eastAsia="Times New Roman"/>
          <w:color w:val="000000"/>
          <w:sz w:val="20"/>
          <w:szCs w:val="20"/>
        </w:rPr>
        <w:t xml:space="preserve"> in identifying new product opportunities, developing or marketing new products in a timely or cost-effective manner, or obtaining the necessary access to data or technologies needed to support new products, or we may be limited in our ability to operate d</w:t>
      </w:r>
      <w:r>
        <w:rPr>
          <w:rFonts w:eastAsia="Times New Roman"/>
          <w:color w:val="000000"/>
          <w:sz w:val="20"/>
          <w:szCs w:val="20"/>
        </w:rPr>
        <w:t>ue to patents held by others. In addition, our product innovations may not achieve the market penetration or price levels necessary for profitability. If we are unable to develop and integrate timely enhancements to, and new features for, our existing meth</w:t>
      </w:r>
      <w:r>
        <w:rPr>
          <w:rFonts w:eastAsia="Times New Roman"/>
          <w:color w:val="000000"/>
          <w:sz w:val="20"/>
          <w:szCs w:val="20"/>
        </w:rPr>
        <w:t>odologies or products or if we are unable to develop new products and technology that keep pace with rapid technological developments, changing industry standards or consumer preferences, our products may become obsolete, less marketable and less competiti</w:t>
      </w:r>
      <w:r>
        <w:rPr>
          <w:rFonts w:eastAsia="Times New Roman"/>
          <w:color w:val="000000"/>
          <w:sz w:val="20"/>
          <w:szCs w:val="20"/>
        </w:rPr>
        <w:t>ve, and our business will be harmed.</w:t>
      </w:r>
    </w:p>
    <w:p w:rsidR="00000000" w:rsidRDefault="00971A12">
      <w:pPr>
        <w:jc w:val="both"/>
        <w:divId w:val="846216135"/>
        <w:rPr>
          <w:rFonts w:eastAsia="Times New Roman"/>
        </w:rPr>
      </w:pPr>
      <w:r>
        <w:rPr>
          <w:rFonts w:eastAsia="Times New Roman"/>
          <w:color w:val="000000"/>
          <w:sz w:val="20"/>
          <w:szCs w:val="20"/>
        </w:rPr>
        <w:t xml:space="preserve">Furthermore, the market for our products is characterized by changes in protocols and evolving industry standards. For example, industry associations such as the Advertising Research Foundation, the Council of American </w:t>
      </w:r>
      <w:r>
        <w:rPr>
          <w:rFonts w:eastAsia="Times New Roman"/>
          <w:color w:val="000000"/>
          <w:sz w:val="20"/>
          <w:szCs w:val="20"/>
        </w:rPr>
        <w:t xml:space="preserve">Survey Research Organizations, the </w:t>
      </w:r>
    </w:p>
    <w:p w:rsidR="00000000" w:rsidRDefault="00971A12">
      <w:pPr>
        <w:jc w:val="center"/>
        <w:divId w:val="1249116863"/>
        <w:rPr>
          <w:rFonts w:eastAsia="Times New Roman"/>
        </w:rPr>
      </w:pPr>
      <w:r>
        <w:rPr>
          <w:rFonts w:eastAsia="Times New Roman"/>
          <w:color w:val="000000"/>
          <w:sz w:val="20"/>
          <w:szCs w:val="20"/>
        </w:rPr>
        <w:t>14</w:t>
      </w:r>
    </w:p>
    <w:p w:rsidR="00000000" w:rsidRDefault="00971A12">
      <w:pPr>
        <w:rPr>
          <w:rFonts w:eastAsia="Times New Roman"/>
        </w:rPr>
      </w:pPr>
      <w:r>
        <w:rPr>
          <w:rFonts w:eastAsia="Times New Roman"/>
        </w:rPr>
        <w:pict>
          <v:rect id="_x0000_i1041" style="width:0;height:1.5pt" o:hralign="center" o:hrstd="t" o:hr="t" fillcolor="#a0a0a0" stroked="f"/>
        </w:pict>
      </w:r>
    </w:p>
    <w:p w:rsidR="00000000" w:rsidRDefault="00971A12">
      <w:pPr>
        <w:divId w:val="306201716"/>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628166111"/>
        <w:rPr>
          <w:rFonts w:eastAsia="Times New Roman"/>
        </w:rPr>
      </w:pPr>
    </w:p>
    <w:p w:rsidR="00000000" w:rsidRDefault="00971A12">
      <w:pPr>
        <w:jc w:val="both"/>
        <w:divId w:val="1297417803"/>
        <w:rPr>
          <w:rFonts w:eastAsia="Times New Roman"/>
        </w:rPr>
      </w:pPr>
      <w:r>
        <w:rPr>
          <w:rFonts w:eastAsia="Times New Roman"/>
          <w:color w:val="000000"/>
          <w:sz w:val="20"/>
          <w:szCs w:val="20"/>
        </w:rPr>
        <w:t>Internet Advertising Bureau, and the Media Rating Council as well as foreign and international industry associations have initiated efforts to either review market research methodologies across the media that we measure or develop minimum standards for suc</w:t>
      </w:r>
      <w:r>
        <w:rPr>
          <w:rFonts w:eastAsia="Times New Roman"/>
          <w:color w:val="000000"/>
          <w:sz w:val="20"/>
          <w:szCs w:val="20"/>
        </w:rPr>
        <w:t>h research. Failure to seek or achieve accreditation, delays in accreditation, or adverse audit findings may negatively impact the market acceptance of our products. Meanwhile, successful accreditation or audits may lead to costly changes to our procedures</w:t>
      </w:r>
      <w:r>
        <w:rPr>
          <w:rFonts w:eastAsia="Times New Roman"/>
          <w:color w:val="000000"/>
          <w:sz w:val="20"/>
          <w:szCs w:val="20"/>
        </w:rPr>
        <w:t xml:space="preserve"> and methodologies and may not result in the anticipated commercial benefits.</w:t>
      </w:r>
    </w:p>
    <w:p w:rsidR="00000000" w:rsidRDefault="00971A12">
      <w:pPr>
        <w:jc w:val="both"/>
        <w:divId w:val="2130052655"/>
        <w:rPr>
          <w:rFonts w:eastAsia="Times New Roman"/>
        </w:rPr>
      </w:pPr>
      <w:r>
        <w:rPr>
          <w:rFonts w:eastAsia="Times New Roman"/>
          <w:b/>
          <w:bCs/>
          <w:i/>
          <w:iCs/>
          <w:color w:val="000000"/>
          <w:sz w:val="20"/>
          <w:szCs w:val="20"/>
        </w:rPr>
        <w:t>Our business may be harmed if we deliver, or are perceived to deliver, inaccurate or untimely information products.</w:t>
      </w:r>
    </w:p>
    <w:p w:rsidR="00000000" w:rsidRDefault="00971A12">
      <w:pPr>
        <w:jc w:val="both"/>
        <w:divId w:val="882593351"/>
        <w:rPr>
          <w:rFonts w:eastAsia="Times New Roman"/>
        </w:rPr>
      </w:pPr>
      <w:r>
        <w:rPr>
          <w:rFonts w:eastAsia="Times New Roman"/>
          <w:color w:val="000000"/>
          <w:sz w:val="20"/>
          <w:szCs w:val="20"/>
        </w:rPr>
        <w:t>The metrics contained in our products may be viewed as an impo</w:t>
      </w:r>
      <w:r>
        <w:rPr>
          <w:rFonts w:eastAsia="Times New Roman"/>
          <w:color w:val="000000"/>
          <w:sz w:val="20"/>
          <w:szCs w:val="20"/>
        </w:rPr>
        <w:t>rtant measure of the success of certain businesses, especially those that utilize our metrics to evaluate a variety of investments ranging from their internal operations to advertising initiatives. If the information that we provide to our customers, the m</w:t>
      </w:r>
      <w:r>
        <w:rPr>
          <w:rFonts w:eastAsia="Times New Roman"/>
          <w:color w:val="000000"/>
          <w:sz w:val="20"/>
          <w:szCs w:val="20"/>
        </w:rPr>
        <w:t>edia, or the public is inaccurate, or perceived to be inaccurate, whether due to inadequate methodological approaches, errors, biases towards certain available data sources or partners, disparate data sets across our products, defects or errors in data col</w:t>
      </w:r>
      <w:r>
        <w:rPr>
          <w:rFonts w:eastAsia="Times New Roman"/>
          <w:color w:val="000000"/>
          <w:sz w:val="20"/>
          <w:szCs w:val="20"/>
        </w:rPr>
        <w:t>lection and processing (conducted by us or by third parties) or the systems used to collect, process or deliver data, our business may be harmed. Similarly, if the information that we provide to our customers is delayed or perceived to be untimely, our bus</w:t>
      </w:r>
      <w:r>
        <w:rPr>
          <w:rFonts w:eastAsia="Times New Roman"/>
          <w:color w:val="000000"/>
          <w:sz w:val="20"/>
          <w:szCs w:val="20"/>
        </w:rPr>
        <w:t>iness may be harmed.</w:t>
      </w:r>
    </w:p>
    <w:p w:rsidR="00000000" w:rsidRDefault="00971A12">
      <w:pPr>
        <w:jc w:val="both"/>
        <w:divId w:val="174618953"/>
        <w:rPr>
          <w:rFonts w:eastAsia="Times New Roman"/>
        </w:rPr>
      </w:pPr>
      <w:r>
        <w:rPr>
          <w:rFonts w:eastAsia="Times New Roman"/>
          <w:color w:val="000000"/>
          <w:sz w:val="20"/>
          <w:szCs w:val="20"/>
        </w:rPr>
        <w:t>Any inaccuracy, perceived inaccuracy, inconsistency or delay in the data reported by us could lead to consequences that could adversely impact our operating results, including loss of customers; sales credits, refunds or liability to o</w:t>
      </w:r>
      <w:r>
        <w:rPr>
          <w:rFonts w:eastAsia="Times New Roman"/>
          <w:color w:val="000000"/>
          <w:sz w:val="20"/>
          <w:szCs w:val="20"/>
        </w:rPr>
        <w:t>ur customers; the incurrence of substantial costs to correct any material defect, error or inconsistency; increased warranty and insurance costs; potential litigation; interruptions in the availability of our products; diversion of development resources to</w:t>
      </w:r>
      <w:r>
        <w:rPr>
          <w:rFonts w:eastAsia="Times New Roman"/>
          <w:color w:val="000000"/>
          <w:sz w:val="20"/>
          <w:szCs w:val="20"/>
        </w:rPr>
        <w:t xml:space="preserve"> improve our processes or delivery; lost or delayed market acceptance and sales of our products; and damage to our brand.</w:t>
      </w:r>
    </w:p>
    <w:p w:rsidR="00000000" w:rsidRDefault="00971A12">
      <w:pPr>
        <w:jc w:val="both"/>
        <w:divId w:val="326399253"/>
        <w:rPr>
          <w:rFonts w:eastAsia="Times New Roman"/>
        </w:rPr>
      </w:pPr>
      <w:r>
        <w:rPr>
          <w:rFonts w:eastAsia="Times New Roman"/>
          <w:b/>
          <w:bCs/>
          <w:i/>
          <w:iCs/>
          <w:color w:val="000000"/>
          <w:sz w:val="20"/>
          <w:szCs w:val="20"/>
        </w:rPr>
        <w:t>Our business may be harmed if we change our methodologies or the scope of information we collect.</w:t>
      </w:r>
    </w:p>
    <w:p w:rsidR="00000000" w:rsidRDefault="00971A12">
      <w:pPr>
        <w:jc w:val="both"/>
        <w:divId w:val="1675835364"/>
        <w:rPr>
          <w:rFonts w:eastAsia="Times New Roman"/>
        </w:rPr>
      </w:pPr>
      <w:r>
        <w:rPr>
          <w:rFonts w:eastAsia="Times New Roman"/>
          <w:color w:val="000000"/>
          <w:sz w:val="20"/>
          <w:szCs w:val="20"/>
        </w:rPr>
        <w:t>We have in the past and may in the f</w:t>
      </w:r>
      <w:r>
        <w:rPr>
          <w:rFonts w:eastAsia="Times New Roman"/>
          <w:color w:val="000000"/>
          <w:sz w:val="20"/>
          <w:szCs w:val="20"/>
        </w:rPr>
        <w:t>uture change our methodologies, the methodologies of companies we acquire, or the scope of information we collect. Such changes may result from identified deficiencies in current methodologies, development of more advanced methodologies, changes in our bus</w:t>
      </w:r>
      <w:r>
        <w:rPr>
          <w:rFonts w:eastAsia="Times New Roman"/>
          <w:color w:val="000000"/>
          <w:sz w:val="20"/>
          <w:szCs w:val="20"/>
        </w:rPr>
        <w:t>iness plans or in industry standards, changes in law or regulatory requirements, changes in technology used by websites, browsers, mobile applications, servers, or media we measure, integration of acquired companies or expressed or perceived needs of our c</w:t>
      </w:r>
      <w:r>
        <w:rPr>
          <w:rFonts w:eastAsia="Times New Roman"/>
          <w:color w:val="000000"/>
          <w:sz w:val="20"/>
          <w:szCs w:val="20"/>
        </w:rPr>
        <w:t>ustomers, potential customers or partners. Any such changes or perceived changes, or our inability to accurately or adequately communicate to our customers and the media such changes and the potential implications of such changes on the data we have publis</w:t>
      </w:r>
      <w:r>
        <w:rPr>
          <w:rFonts w:eastAsia="Times New Roman"/>
          <w:color w:val="000000"/>
          <w:sz w:val="20"/>
          <w:szCs w:val="20"/>
        </w:rPr>
        <w:t>hed or will publish in the future, may result in customer dissatisfaction, particularly if certain information is no longer collected or information collected in future periods is not comparable with information collected in prior periods. As a result of f</w:t>
      </w:r>
      <w:r>
        <w:rPr>
          <w:rFonts w:eastAsia="Times New Roman"/>
          <w:color w:val="000000"/>
          <w:sz w:val="20"/>
          <w:szCs w:val="20"/>
        </w:rPr>
        <w:t>uture methodology changes, some of our customers that may also supply us with data may decide not to continue buying products or services from us or may decide to discontinue providing us with their data to support our products. Such customers may elect to</w:t>
      </w:r>
      <w:r>
        <w:rPr>
          <w:rFonts w:eastAsia="Times New Roman"/>
          <w:color w:val="000000"/>
          <w:sz w:val="20"/>
          <w:szCs w:val="20"/>
        </w:rPr>
        <w:t xml:space="preserve"> publicly air their dissatisfaction with the methodological changes made by us, which may damage our brand and harm our reputation.</w:t>
      </w:r>
    </w:p>
    <w:p w:rsidR="00000000" w:rsidRDefault="00971A12">
      <w:pPr>
        <w:jc w:val="both"/>
        <w:divId w:val="1214537929"/>
        <w:rPr>
          <w:rFonts w:eastAsia="Times New Roman"/>
        </w:rPr>
      </w:pPr>
      <w:r>
        <w:rPr>
          <w:rFonts w:eastAsia="Times New Roman"/>
          <w:b/>
          <w:bCs/>
          <w:i/>
          <w:iCs/>
          <w:color w:val="000000"/>
          <w:sz w:val="20"/>
          <w:szCs w:val="20"/>
        </w:rPr>
        <w:t>If we are not able to maintain panels of sufficient size and scope, or if the costs of establishing and maintaining our pane</w:t>
      </w:r>
      <w:r>
        <w:rPr>
          <w:rFonts w:eastAsia="Times New Roman"/>
          <w:b/>
          <w:bCs/>
          <w:i/>
          <w:iCs/>
          <w:color w:val="000000"/>
          <w:sz w:val="20"/>
          <w:szCs w:val="20"/>
        </w:rPr>
        <w:t>ls materially increase, our business could be harmed.</w:t>
      </w:r>
    </w:p>
    <w:p w:rsidR="00000000" w:rsidRDefault="00971A12">
      <w:pPr>
        <w:jc w:val="both"/>
        <w:divId w:val="531266125"/>
        <w:rPr>
          <w:rFonts w:eastAsia="Times New Roman"/>
        </w:rPr>
      </w:pPr>
      <w:r>
        <w:rPr>
          <w:rFonts w:eastAsia="Times New Roman"/>
          <w:color w:val="000000"/>
          <w:sz w:val="20"/>
          <w:szCs w:val="20"/>
        </w:rPr>
        <w:t>We believe that the quality, size and scope of our research panels are important to our business. In recent years, however, panel participation has declined, in part due to changes by software providers</w:t>
      </w:r>
      <w:r>
        <w:rPr>
          <w:rFonts w:eastAsia="Times New Roman"/>
          <w:color w:val="000000"/>
          <w:sz w:val="20"/>
          <w:szCs w:val="20"/>
        </w:rPr>
        <w:t xml:space="preserve"> that have made it more difficult to obtain consent to participate in panels. At the same time, the cost of recruiting new panelists has increased. Although we have taken steps to mitigate the impact of these changes on our business, there can be no assura</w:t>
      </w:r>
      <w:r>
        <w:rPr>
          <w:rFonts w:eastAsia="Times New Roman"/>
          <w:color w:val="000000"/>
          <w:sz w:val="20"/>
          <w:szCs w:val="20"/>
        </w:rPr>
        <w:t>nce that we will be able to maintain panels of sufficient size and scope to provide the quality of marketing intelligence that our customers demand from our products. We anticipate that the cost of panel recruitment will continue to increase with the proli</w:t>
      </w:r>
      <w:r>
        <w:rPr>
          <w:rFonts w:eastAsia="Times New Roman"/>
          <w:color w:val="000000"/>
          <w:sz w:val="20"/>
          <w:szCs w:val="20"/>
        </w:rPr>
        <w:t>feration of proprietary and secure media content delivery platforms and evolving regulatory requirements, and that the difficulty in collecting these forms of data will continue to grow, which may require significant hardware and software investments, as w</w:t>
      </w:r>
      <w:r>
        <w:rPr>
          <w:rFonts w:eastAsia="Times New Roman"/>
          <w:color w:val="000000"/>
          <w:sz w:val="20"/>
          <w:szCs w:val="20"/>
        </w:rPr>
        <w:t>ell as increases to our panel incentive and panel management costs. To the extent that such additional expenses are not accompanied by increased revenues, our operating margins may be reduced and our financial results could be adversely affected. If we are</w:t>
      </w:r>
      <w:r>
        <w:rPr>
          <w:rFonts w:eastAsia="Times New Roman"/>
          <w:color w:val="000000"/>
          <w:sz w:val="20"/>
          <w:szCs w:val="20"/>
        </w:rPr>
        <w:t xml:space="preserve"> unable to maintain panels of sufficient size and scope, we could face negative consequences, including degradation in the quality of our products, failure to receive accreditation from industry associations, loss of customers and damage to our brand.</w:t>
      </w:r>
    </w:p>
    <w:p w:rsidR="00000000" w:rsidRDefault="00971A12">
      <w:pPr>
        <w:jc w:val="both"/>
        <w:divId w:val="49350462"/>
        <w:rPr>
          <w:rFonts w:eastAsia="Times New Roman"/>
        </w:rPr>
      </w:pPr>
      <w:r>
        <w:rPr>
          <w:rFonts w:eastAsia="Times New Roman"/>
          <w:b/>
          <w:bCs/>
          <w:i/>
          <w:iCs/>
          <w:color w:val="000000"/>
          <w:sz w:val="20"/>
          <w:szCs w:val="20"/>
        </w:rPr>
        <w:t>We d</w:t>
      </w:r>
      <w:r>
        <w:rPr>
          <w:rFonts w:eastAsia="Times New Roman"/>
          <w:b/>
          <w:bCs/>
          <w:i/>
          <w:iCs/>
          <w:color w:val="000000"/>
          <w:sz w:val="20"/>
          <w:szCs w:val="20"/>
        </w:rPr>
        <w:t>erive a significant portion of our revenues from sales of our subscription-based products. If our customers terminate or fail to renew their subscriptions, our business could suffer.</w:t>
      </w:r>
    </w:p>
    <w:p w:rsidR="00000000" w:rsidRDefault="00971A12">
      <w:pPr>
        <w:jc w:val="both"/>
        <w:divId w:val="1436944652"/>
        <w:rPr>
          <w:rFonts w:eastAsia="Times New Roman"/>
        </w:rPr>
      </w:pPr>
      <w:r>
        <w:rPr>
          <w:rFonts w:eastAsia="Times New Roman"/>
          <w:color w:val="000000"/>
          <w:sz w:val="20"/>
          <w:szCs w:val="20"/>
        </w:rPr>
        <w:t>We currently derive a significant portion of our revenues from our syndic</w:t>
      </w:r>
      <w:r>
        <w:rPr>
          <w:rFonts w:eastAsia="Times New Roman"/>
          <w:color w:val="000000"/>
          <w:sz w:val="20"/>
          <w:szCs w:val="20"/>
        </w:rPr>
        <w:t xml:space="preserve">ated products, which are typically one-year subscription-based products. This has generally provided us with recurring revenue due to high renewal rates among our enterprise customers; however, syndicated digital revenue from our smaller and international </w:t>
      </w:r>
      <w:r>
        <w:rPr>
          <w:rFonts w:eastAsia="Times New Roman"/>
          <w:color w:val="000000"/>
          <w:sz w:val="20"/>
          <w:szCs w:val="20"/>
        </w:rPr>
        <w:t>customers has declined in recent years. If additional customers terminate their subscriptions for our products, do not renew their subscriptions, delay renewals of their subscriptions or renew on terms less favorable to us, our revenues could decline and o</w:t>
      </w:r>
      <w:r>
        <w:rPr>
          <w:rFonts w:eastAsia="Times New Roman"/>
          <w:color w:val="000000"/>
          <w:sz w:val="20"/>
          <w:szCs w:val="20"/>
        </w:rPr>
        <w:t>ur business could suffer.</w:t>
      </w:r>
    </w:p>
    <w:p w:rsidR="00000000" w:rsidRDefault="00971A12">
      <w:pPr>
        <w:jc w:val="both"/>
        <w:divId w:val="167642618"/>
        <w:rPr>
          <w:rFonts w:eastAsia="Times New Roman"/>
        </w:rPr>
      </w:pPr>
      <w:r>
        <w:rPr>
          <w:rFonts w:eastAsia="Times New Roman"/>
          <w:color w:val="000000"/>
          <w:sz w:val="20"/>
          <w:szCs w:val="20"/>
        </w:rPr>
        <w:t>Our customers have no obligation to renew after the expiration of their initial subscription period, and we cannot be assured that current subscriptions will be renewed at the same or higher dollar amounts, if at all. Furthermore,</w:t>
      </w:r>
      <w:r>
        <w:rPr>
          <w:rFonts w:eastAsia="Times New Roman"/>
          <w:color w:val="000000"/>
          <w:sz w:val="20"/>
          <w:szCs w:val="20"/>
        </w:rPr>
        <w:t xml:space="preserve"> our newer products, for which revenue is recognized based on impressions used, may be subject to higher fluctuations in revenue. Our customer renewal rates may decline or fluctuate due to a number of factors, including customer satisfaction or dissatisfac</w:t>
      </w:r>
      <w:r>
        <w:rPr>
          <w:rFonts w:eastAsia="Times New Roman"/>
          <w:color w:val="000000"/>
          <w:sz w:val="20"/>
          <w:szCs w:val="20"/>
        </w:rPr>
        <w:t xml:space="preserve">tion with our products, the costs or </w:t>
      </w:r>
    </w:p>
    <w:p w:rsidR="00000000" w:rsidRDefault="00971A12">
      <w:pPr>
        <w:jc w:val="center"/>
        <w:divId w:val="1583752899"/>
        <w:rPr>
          <w:rFonts w:eastAsia="Times New Roman"/>
        </w:rPr>
      </w:pPr>
      <w:r>
        <w:rPr>
          <w:rFonts w:eastAsia="Times New Roman"/>
          <w:color w:val="000000"/>
          <w:sz w:val="20"/>
          <w:szCs w:val="20"/>
        </w:rPr>
        <w:t>15</w:t>
      </w:r>
    </w:p>
    <w:p w:rsidR="00000000" w:rsidRDefault="00971A12">
      <w:pPr>
        <w:rPr>
          <w:rFonts w:eastAsia="Times New Roman"/>
        </w:rPr>
      </w:pPr>
      <w:r>
        <w:rPr>
          <w:rFonts w:eastAsia="Times New Roman"/>
        </w:rPr>
        <w:pict>
          <v:rect id="_x0000_i1042" style="width:0;height:1.5pt" o:hralign="center" o:hrstd="t" o:hr="t" fillcolor="#a0a0a0" stroked="f"/>
        </w:pict>
      </w:r>
    </w:p>
    <w:p w:rsidR="00000000" w:rsidRDefault="00971A12">
      <w:pPr>
        <w:divId w:val="1663971180"/>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336612353"/>
        <w:rPr>
          <w:rFonts w:eastAsia="Times New Roman"/>
        </w:rPr>
      </w:pPr>
    </w:p>
    <w:p w:rsidR="00000000" w:rsidRDefault="00971A12">
      <w:pPr>
        <w:jc w:val="both"/>
        <w:divId w:val="1363901537"/>
        <w:rPr>
          <w:rFonts w:eastAsia="Times New Roman"/>
        </w:rPr>
      </w:pPr>
      <w:r>
        <w:rPr>
          <w:rFonts w:eastAsia="Times New Roman"/>
          <w:color w:val="000000"/>
          <w:sz w:val="20"/>
          <w:szCs w:val="20"/>
        </w:rPr>
        <w:t>functionality of our products, the prices or functionality of products offered by our competitors, the health of the advertising marketplace and the industries in which we operate, mergers and acquisitions affecting our customer base, general economic cond</w:t>
      </w:r>
      <w:r>
        <w:rPr>
          <w:rFonts w:eastAsia="Times New Roman"/>
          <w:color w:val="000000"/>
          <w:sz w:val="20"/>
          <w:szCs w:val="20"/>
        </w:rPr>
        <w:t>itions or reductions in our customers' spending levels.</w:t>
      </w:r>
    </w:p>
    <w:p w:rsidR="00000000" w:rsidRDefault="00971A12">
      <w:pPr>
        <w:jc w:val="both"/>
        <w:divId w:val="1397126485"/>
        <w:rPr>
          <w:rFonts w:eastAsia="Times New Roman"/>
        </w:rPr>
      </w:pPr>
      <w:r>
        <w:rPr>
          <w:rFonts w:eastAsia="Times New Roman"/>
          <w:b/>
          <w:bCs/>
          <w:i/>
          <w:iCs/>
          <w:color w:val="000000"/>
          <w:sz w:val="20"/>
          <w:szCs w:val="20"/>
        </w:rPr>
        <w:t>Our growth depends upon our ability to retain existing large customers and add new large customers. To the extent we are not successful in doing so, our ability to grow revenue and attain profitabilit</w:t>
      </w:r>
      <w:r>
        <w:rPr>
          <w:rFonts w:eastAsia="Times New Roman"/>
          <w:b/>
          <w:bCs/>
          <w:i/>
          <w:iCs/>
          <w:color w:val="000000"/>
          <w:sz w:val="20"/>
          <w:szCs w:val="20"/>
        </w:rPr>
        <w:t>y and positive cash flow may be impaired.</w:t>
      </w:r>
    </w:p>
    <w:p w:rsidR="00000000" w:rsidRDefault="00971A12">
      <w:pPr>
        <w:jc w:val="both"/>
        <w:divId w:val="1444499086"/>
        <w:rPr>
          <w:rFonts w:eastAsia="Times New Roman"/>
        </w:rPr>
      </w:pPr>
      <w:r>
        <w:rPr>
          <w:rFonts w:eastAsia="Times New Roman"/>
          <w:color w:val="000000"/>
          <w:sz w:val="20"/>
          <w:szCs w:val="20"/>
        </w:rPr>
        <w:t>Our success depends in part on our ability to sell our products to large customers and on the renewal of subscriptions and contracts with these customers in subsequent years. For the years ended 2022, 2021 and 2020</w:t>
      </w:r>
      <w:r>
        <w:rPr>
          <w:rFonts w:eastAsia="Times New Roman"/>
          <w:color w:val="000000"/>
          <w:sz w:val="20"/>
          <w:szCs w:val="20"/>
        </w:rPr>
        <w:t>,</w:t>
      </w:r>
      <w:r>
        <w:rPr>
          <w:rFonts w:eastAsia="Times New Roman"/>
          <w:color w:val="000000"/>
          <w:sz w:val="20"/>
          <w:szCs w:val="20"/>
          <w:shd w:val="clear" w:color="auto" w:fill="FFFFFF"/>
        </w:rPr>
        <w:t xml:space="preserve"> we derived 34%, 35</w:t>
      </w:r>
      <w:r>
        <w:rPr>
          <w:rFonts w:eastAsia="Times New Roman"/>
          <w:color w:val="000000"/>
          <w:sz w:val="20"/>
          <w:szCs w:val="20"/>
        </w:rPr>
        <w:t xml:space="preserve">% and 30%, respectively, of our total revenues from our top 10 customers. Uncertain economic conditions, changes in the regulatory environment or other factors, such as the failure or consolidation of large customer companies, internal </w:t>
      </w:r>
      <w:r>
        <w:rPr>
          <w:rFonts w:eastAsia="Times New Roman"/>
          <w:color w:val="000000"/>
          <w:sz w:val="20"/>
          <w:szCs w:val="20"/>
        </w:rPr>
        <w:t>reorganization or changes in focus, or dissatisfaction with our products, may cause certain large customers to terminate or reduce their subscriptions and contracts with us. The loss of any one or more of these customers could decrease our revenues and har</w:t>
      </w:r>
      <w:r>
        <w:rPr>
          <w:rFonts w:eastAsia="Times New Roman"/>
          <w:color w:val="000000"/>
          <w:sz w:val="20"/>
          <w:szCs w:val="20"/>
        </w:rPr>
        <w:t>m our current and future operating results. The addition of new large customers or increases in sales to existing large customers may require particularly long implementation periods and other significant upfront costs, which may adversely affect our profi</w:t>
      </w:r>
      <w:r>
        <w:rPr>
          <w:rFonts w:eastAsia="Times New Roman"/>
          <w:color w:val="000000"/>
          <w:sz w:val="20"/>
          <w:szCs w:val="20"/>
        </w:rPr>
        <w:t>tability or divert resources from our other priorities. To compete effectively, we have in the past been, and may in the future be, forced to offer significant discounts to maintain existing customers or acquire other large customers. In addition, we may b</w:t>
      </w:r>
      <w:r>
        <w:rPr>
          <w:rFonts w:eastAsia="Times New Roman"/>
          <w:color w:val="000000"/>
          <w:sz w:val="20"/>
          <w:szCs w:val="20"/>
        </w:rPr>
        <w:t>e forced to reduce or withdraw from our relationships with certain existing customers or refrain from acquiring certain new customers in order to acquire or maintain relationships with important large customers. As a result, new large customers or increase</w:t>
      </w:r>
      <w:r>
        <w:rPr>
          <w:rFonts w:eastAsia="Times New Roman"/>
          <w:color w:val="000000"/>
          <w:sz w:val="20"/>
          <w:szCs w:val="20"/>
        </w:rPr>
        <w:t>d usage of our products by large customers may cause our profit margins to decline, and our ability to sell our products to other customers could be adversely affected.</w:t>
      </w:r>
    </w:p>
    <w:p w:rsidR="00000000" w:rsidRDefault="00971A12">
      <w:pPr>
        <w:jc w:val="both"/>
        <w:divId w:val="1198547886"/>
        <w:rPr>
          <w:rFonts w:eastAsia="Times New Roman"/>
        </w:rPr>
      </w:pPr>
      <w:r>
        <w:rPr>
          <w:rFonts w:eastAsia="Times New Roman"/>
          <w:b/>
          <w:bCs/>
          <w:i/>
          <w:iCs/>
          <w:color w:val="000000"/>
          <w:sz w:val="20"/>
          <w:szCs w:val="20"/>
        </w:rPr>
        <w:t xml:space="preserve">If we are unable to effectively persuade customers to buy our products in substitution </w:t>
      </w:r>
      <w:r>
        <w:rPr>
          <w:rFonts w:eastAsia="Times New Roman"/>
          <w:b/>
          <w:bCs/>
          <w:i/>
          <w:iCs/>
          <w:color w:val="000000"/>
          <w:sz w:val="20"/>
          <w:szCs w:val="20"/>
        </w:rPr>
        <w:t>for those of an incumbent services provider, our revenue growth may suffer.</w:t>
      </w:r>
    </w:p>
    <w:p w:rsidR="00000000" w:rsidRDefault="00971A12">
      <w:pPr>
        <w:jc w:val="both"/>
        <w:divId w:val="663553972"/>
        <w:rPr>
          <w:rFonts w:eastAsia="Times New Roman"/>
        </w:rPr>
      </w:pPr>
      <w:r>
        <w:rPr>
          <w:rFonts w:eastAsia="Times New Roman"/>
          <w:color w:val="000000"/>
          <w:sz w:val="20"/>
          <w:szCs w:val="20"/>
        </w:rPr>
        <w:t>Some of our products require that we persuade prospective customers, or customers of our existing products, to buy our products in substitution for those of an incumbent service pr</w:t>
      </w:r>
      <w:r>
        <w:rPr>
          <w:rFonts w:eastAsia="Times New Roman"/>
          <w:color w:val="000000"/>
          <w:sz w:val="20"/>
          <w:szCs w:val="20"/>
        </w:rPr>
        <w:t>ovider. In some instances, the customer may have built their systems and processes around the incumbent provider's products. Persuading such customers to switch service providers may be difficult and require longer sales cycles, affecting our ability to in</w:t>
      </w:r>
      <w:r>
        <w:rPr>
          <w:rFonts w:eastAsia="Times New Roman"/>
          <w:color w:val="000000"/>
          <w:sz w:val="20"/>
          <w:szCs w:val="20"/>
        </w:rPr>
        <w:t>crease revenue in these areas. Moreover, the incumbent service provider may have the ability to significantly discount its services or enter into long-term agreements, which could further impede our ability to persuade customers to switch service providers</w:t>
      </w:r>
      <w:r>
        <w:rPr>
          <w:rFonts w:eastAsia="Times New Roman"/>
          <w:color w:val="000000"/>
          <w:sz w:val="20"/>
          <w:szCs w:val="20"/>
        </w:rPr>
        <w:t>, and accordingly, our ability to increase our revenues.</w:t>
      </w:r>
    </w:p>
    <w:p w:rsidR="00000000" w:rsidRDefault="00971A12">
      <w:pPr>
        <w:jc w:val="both"/>
        <w:divId w:val="2092924535"/>
        <w:rPr>
          <w:rFonts w:eastAsia="Times New Roman"/>
        </w:rPr>
      </w:pPr>
      <w:r>
        <w:rPr>
          <w:rFonts w:eastAsia="Times New Roman"/>
          <w:b/>
          <w:bCs/>
          <w:i/>
          <w:iCs/>
          <w:color w:val="000000"/>
          <w:sz w:val="20"/>
          <w:szCs w:val="20"/>
        </w:rPr>
        <w:t>We may expand through investments in, acquisitions of, or the development of new products with assistance from, other companies, any of which may not be successful and may divert our management's att</w:t>
      </w:r>
      <w:r>
        <w:rPr>
          <w:rFonts w:eastAsia="Times New Roman"/>
          <w:b/>
          <w:bCs/>
          <w:i/>
          <w:iCs/>
          <w:color w:val="000000"/>
          <w:sz w:val="20"/>
          <w:szCs w:val="20"/>
        </w:rPr>
        <w:t>ention.</w:t>
      </w:r>
    </w:p>
    <w:p w:rsidR="00000000" w:rsidRDefault="00971A12">
      <w:pPr>
        <w:jc w:val="both"/>
        <w:divId w:val="1237280563"/>
        <w:rPr>
          <w:rFonts w:eastAsia="Times New Roman"/>
        </w:rPr>
      </w:pPr>
      <w:r>
        <w:rPr>
          <w:rFonts w:eastAsia="Times New Roman"/>
          <w:color w:val="000000"/>
          <w:sz w:val="20"/>
          <w:szCs w:val="20"/>
        </w:rPr>
        <w:t>In the past, we completed several strategic acquisitions, most recently our acquisition of Shareablee in 2021. We also may evaluate and enter into discussions regarding an array of potential strategic transactions, including acquiring complementary</w:t>
      </w:r>
      <w:r>
        <w:rPr>
          <w:rFonts w:eastAsia="Times New Roman"/>
          <w:color w:val="000000"/>
          <w:sz w:val="20"/>
          <w:szCs w:val="20"/>
        </w:rPr>
        <w:t xml:space="preserve"> products, technologies or businesses. An acquisition, investment or business relationship may involve significant operating challenges, expenditures and risks. In particular, we may encounter difficulties integrating the businesses, data, technologies, pr</w:t>
      </w:r>
      <w:r>
        <w:rPr>
          <w:rFonts w:eastAsia="Times New Roman"/>
          <w:color w:val="000000"/>
          <w:sz w:val="20"/>
          <w:szCs w:val="20"/>
        </w:rPr>
        <w:t>oducts, personnel or operations of the acquired companies, particularly if the key personnel of the acquired company choose not to be employed by us, and we may have difficulty retaining the customers and partners of any acquired business due to changes in</w:t>
      </w:r>
      <w:r>
        <w:rPr>
          <w:rFonts w:eastAsia="Times New Roman"/>
          <w:color w:val="000000"/>
          <w:sz w:val="20"/>
          <w:szCs w:val="20"/>
        </w:rPr>
        <w:t xml:space="preserve"> management and ownership. Acquisitions may also disrupt our ongoing business, divert our resources and require significant management attention that would otherwise be available for ongoing development of our business. Moreover, we cannot guarantee that t</w:t>
      </w:r>
      <w:r>
        <w:rPr>
          <w:rFonts w:eastAsia="Times New Roman"/>
          <w:color w:val="000000"/>
          <w:sz w:val="20"/>
          <w:szCs w:val="20"/>
        </w:rPr>
        <w:t>he anticipated benefits of any acquisition, investment or business relationship would be realized timely, if at all, or that we would not be exposed to unknown liabilities. In connection with any such transaction, we may:</w:t>
      </w:r>
    </w:p>
    <w:p w:rsidR="00000000" w:rsidRDefault="00971A12">
      <w:pPr>
        <w:ind w:hanging="360"/>
        <w:divId w:val="675426233"/>
        <w:rPr>
          <w:rFonts w:eastAsia="Times New Roman"/>
        </w:rPr>
      </w:pPr>
      <w:r>
        <w:rPr>
          <w:rFonts w:eastAsia="Times New Roman"/>
          <w:color w:val="000000"/>
          <w:sz w:val="20"/>
          <w:szCs w:val="20"/>
        </w:rPr>
        <w:t xml:space="preserve">•encounter difficulties retaining </w:t>
      </w:r>
      <w:r>
        <w:rPr>
          <w:rFonts w:eastAsia="Times New Roman"/>
          <w:color w:val="000000"/>
          <w:sz w:val="20"/>
          <w:szCs w:val="20"/>
        </w:rPr>
        <w:t>key employees of the acquired company or integrating diverse business cultures, particularly in countries where we have not previously had employees;</w:t>
      </w:r>
    </w:p>
    <w:p w:rsidR="00000000" w:rsidRDefault="00971A12">
      <w:pPr>
        <w:ind w:hanging="360"/>
        <w:jc w:val="both"/>
        <w:divId w:val="1666784491"/>
        <w:rPr>
          <w:rFonts w:eastAsia="Times New Roman"/>
        </w:rPr>
      </w:pPr>
      <w:r>
        <w:rPr>
          <w:rFonts w:eastAsia="Times New Roman"/>
          <w:color w:val="000000"/>
          <w:sz w:val="20"/>
          <w:szCs w:val="20"/>
        </w:rPr>
        <w:t>•incur large charges or substantial liabilities, including without limitation, liabilities associated with</w:t>
      </w:r>
      <w:r>
        <w:rPr>
          <w:rFonts w:eastAsia="Times New Roman"/>
          <w:color w:val="000000"/>
          <w:sz w:val="20"/>
          <w:szCs w:val="20"/>
        </w:rPr>
        <w:t xml:space="preserve"> products or technologies accused or found to infringe on third-party intellectual property or contractual rights or violate existing or future privacy or security regulations;</w:t>
      </w:r>
    </w:p>
    <w:p w:rsidR="00000000" w:rsidRDefault="00971A12">
      <w:pPr>
        <w:ind w:hanging="360"/>
        <w:divId w:val="1860698481"/>
        <w:rPr>
          <w:rFonts w:eastAsia="Times New Roman"/>
        </w:rPr>
      </w:pPr>
      <w:r>
        <w:rPr>
          <w:rFonts w:eastAsia="Times New Roman"/>
          <w:color w:val="000000"/>
          <w:sz w:val="20"/>
          <w:szCs w:val="20"/>
        </w:rPr>
        <w:t>•issue shares of our capital stock as part of the consideration, which has been</w:t>
      </w:r>
      <w:r>
        <w:rPr>
          <w:rFonts w:eastAsia="Times New Roman"/>
          <w:color w:val="000000"/>
          <w:sz w:val="20"/>
          <w:szCs w:val="20"/>
        </w:rPr>
        <w:t xml:space="preserve"> and may be dilutive to existing stockholders;</w:t>
      </w:r>
    </w:p>
    <w:p w:rsidR="00000000" w:rsidRDefault="00971A12">
      <w:pPr>
        <w:ind w:hanging="360"/>
        <w:divId w:val="1508859462"/>
        <w:rPr>
          <w:rFonts w:eastAsia="Times New Roman"/>
        </w:rPr>
      </w:pPr>
      <w:r>
        <w:rPr>
          <w:rFonts w:eastAsia="Times New Roman"/>
          <w:color w:val="000000"/>
          <w:sz w:val="20"/>
          <w:szCs w:val="20"/>
        </w:rPr>
        <w:t>•become subject to adverse tax consequences, legal disputes, substantial depreciation or deferred compensation charges;</w:t>
      </w:r>
    </w:p>
    <w:p w:rsidR="00000000" w:rsidRDefault="00971A12">
      <w:pPr>
        <w:ind w:hanging="360"/>
        <w:divId w:val="1447430934"/>
        <w:rPr>
          <w:rFonts w:eastAsia="Times New Roman"/>
        </w:rPr>
      </w:pPr>
      <w:r>
        <w:rPr>
          <w:rFonts w:eastAsia="Times New Roman"/>
          <w:color w:val="000000"/>
          <w:sz w:val="20"/>
          <w:szCs w:val="20"/>
        </w:rPr>
        <w:t>•use cash that we may otherwise need for ongoing or future operation of our business or d</w:t>
      </w:r>
      <w:r>
        <w:rPr>
          <w:rFonts w:eastAsia="Times New Roman"/>
          <w:color w:val="000000"/>
          <w:sz w:val="20"/>
          <w:szCs w:val="20"/>
        </w:rPr>
        <w:t>ividends;</w:t>
      </w:r>
    </w:p>
    <w:p w:rsidR="00000000" w:rsidRDefault="00971A12">
      <w:pPr>
        <w:ind w:hanging="360"/>
        <w:jc w:val="both"/>
        <w:divId w:val="1604848433"/>
        <w:rPr>
          <w:rFonts w:eastAsia="Times New Roman"/>
        </w:rPr>
      </w:pPr>
      <w:r>
        <w:rPr>
          <w:rFonts w:eastAsia="Times New Roman"/>
          <w:color w:val="000000"/>
          <w:sz w:val="20"/>
          <w:szCs w:val="20"/>
        </w:rPr>
        <w:t>•enter new geographic markets that subject us to different laws and regulations that may have an adverse impact on our business;</w:t>
      </w:r>
    </w:p>
    <w:p w:rsidR="00000000" w:rsidRDefault="00971A12">
      <w:pPr>
        <w:ind w:hanging="360"/>
        <w:divId w:val="1334652275"/>
        <w:rPr>
          <w:rFonts w:eastAsia="Times New Roman"/>
        </w:rPr>
      </w:pPr>
      <w:r>
        <w:rPr>
          <w:rFonts w:eastAsia="Times New Roman"/>
          <w:color w:val="000000"/>
          <w:sz w:val="20"/>
          <w:szCs w:val="20"/>
        </w:rPr>
        <w:t>•experience difficulties effectively utilizing acquired assets or obtaining required third-party consents;</w:t>
      </w:r>
    </w:p>
    <w:p w:rsidR="00000000" w:rsidRDefault="00971A12">
      <w:pPr>
        <w:ind w:hanging="360"/>
        <w:jc w:val="both"/>
        <w:divId w:val="741558614"/>
        <w:rPr>
          <w:rFonts w:eastAsia="Times New Roman"/>
        </w:rPr>
      </w:pPr>
      <w:r>
        <w:rPr>
          <w:rFonts w:eastAsia="Times New Roman"/>
          <w:color w:val="000000"/>
          <w:sz w:val="20"/>
          <w:szCs w:val="20"/>
        </w:rPr>
        <w:t>•encounter</w:t>
      </w:r>
      <w:r>
        <w:rPr>
          <w:rFonts w:eastAsia="Times New Roman"/>
          <w:color w:val="000000"/>
          <w:sz w:val="20"/>
          <w:szCs w:val="20"/>
        </w:rPr>
        <w:t xml:space="preserve"> difficulties integrating the information and financial reporting systems of acquired businesses, particularly those that operated under accounting principles other than those generally accepted in the U.S. prior to the acquisition by us; and</w:t>
      </w:r>
    </w:p>
    <w:p w:rsidR="00000000" w:rsidRDefault="00971A12">
      <w:pPr>
        <w:ind w:hanging="360"/>
        <w:divId w:val="260191173"/>
        <w:rPr>
          <w:rFonts w:eastAsia="Times New Roman"/>
        </w:rPr>
      </w:pPr>
      <w:r>
        <w:rPr>
          <w:rFonts w:eastAsia="Times New Roman"/>
          <w:color w:val="000000"/>
          <w:sz w:val="20"/>
          <w:szCs w:val="20"/>
        </w:rPr>
        <w:t xml:space="preserve">•incur debt, </w:t>
      </w:r>
      <w:r>
        <w:rPr>
          <w:rFonts w:eastAsia="Times New Roman"/>
          <w:color w:val="000000"/>
          <w:sz w:val="20"/>
          <w:szCs w:val="20"/>
        </w:rPr>
        <w:t>which may be on terms unfavorable to us or that we are unable to repay.</w:t>
      </w:r>
    </w:p>
    <w:p w:rsidR="00000000" w:rsidRDefault="00971A12">
      <w:pPr>
        <w:jc w:val="both"/>
        <w:divId w:val="753937119"/>
        <w:rPr>
          <w:rFonts w:eastAsia="Times New Roman"/>
        </w:rPr>
      </w:pPr>
      <w:r>
        <w:rPr>
          <w:rFonts w:eastAsia="Times New Roman"/>
          <w:color w:val="000000"/>
          <w:sz w:val="20"/>
          <w:szCs w:val="20"/>
        </w:rPr>
        <w:t>We also have entered into relationships with certain third-party providers to expand our product offerings, and we may enter into similar arrangements in the future. These or other fut</w:t>
      </w:r>
      <w:r>
        <w:rPr>
          <w:rFonts w:eastAsia="Times New Roman"/>
          <w:color w:val="000000"/>
          <w:sz w:val="20"/>
          <w:szCs w:val="20"/>
        </w:rPr>
        <w:t xml:space="preserve">ure relationships or transactions may involve preferred or exclusive licenses, </w:t>
      </w:r>
    </w:p>
    <w:p w:rsidR="00000000" w:rsidRDefault="00971A12">
      <w:pPr>
        <w:jc w:val="center"/>
        <w:divId w:val="1140802934"/>
        <w:rPr>
          <w:rFonts w:eastAsia="Times New Roman"/>
        </w:rPr>
      </w:pPr>
      <w:r>
        <w:rPr>
          <w:rFonts w:eastAsia="Times New Roman"/>
          <w:color w:val="000000"/>
          <w:sz w:val="20"/>
          <w:szCs w:val="20"/>
        </w:rPr>
        <w:t>16</w:t>
      </w:r>
    </w:p>
    <w:p w:rsidR="00000000" w:rsidRDefault="00971A12">
      <w:pPr>
        <w:rPr>
          <w:rFonts w:eastAsia="Times New Roman"/>
        </w:rPr>
      </w:pPr>
      <w:r>
        <w:rPr>
          <w:rFonts w:eastAsia="Times New Roman"/>
        </w:rPr>
        <w:pict>
          <v:rect id="_x0000_i1043" style="width:0;height:1.5pt" o:hralign="center" o:hrstd="t" o:hr="t" fillcolor="#a0a0a0" stroked="f"/>
        </w:pict>
      </w:r>
    </w:p>
    <w:p w:rsidR="00000000" w:rsidRDefault="00971A12">
      <w:pPr>
        <w:divId w:val="42752035"/>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459954469"/>
        <w:rPr>
          <w:rFonts w:eastAsia="Times New Roman"/>
        </w:rPr>
      </w:pPr>
    </w:p>
    <w:p w:rsidR="00000000" w:rsidRDefault="00971A12">
      <w:pPr>
        <w:jc w:val="both"/>
        <w:divId w:val="290207240"/>
        <w:rPr>
          <w:rFonts w:eastAsia="Times New Roman"/>
        </w:rPr>
      </w:pPr>
      <w:r>
        <w:rPr>
          <w:rFonts w:eastAsia="Times New Roman"/>
          <w:color w:val="000000"/>
          <w:sz w:val="20"/>
          <w:szCs w:val="20"/>
        </w:rPr>
        <w:t>discount pricing, provision of our products and services without charge, or investments in other businesses to expand our sales capabilities. These transactions could be material to our financial condition and results of operations, and though these trans</w:t>
      </w:r>
      <w:r>
        <w:rPr>
          <w:rFonts w:eastAsia="Times New Roman"/>
          <w:color w:val="000000"/>
          <w:sz w:val="20"/>
          <w:szCs w:val="20"/>
        </w:rPr>
        <w:t>actions may provide additional benefits, they may not be profitable immediately or in the long term. Negotiating any such transactions could be time-consuming, difficult and expensive, and our ability to close these transactions may be subject to regulator</w:t>
      </w:r>
      <w:r>
        <w:rPr>
          <w:rFonts w:eastAsia="Times New Roman"/>
          <w:color w:val="000000"/>
          <w:sz w:val="20"/>
          <w:szCs w:val="20"/>
        </w:rPr>
        <w:t>y or other approvals and other conditions that are beyond our control. Consequently, we can make no assurances that any such transactions, investments or relationships, if undertaken and announced, would be completed or successful. The impact of any one or</w:t>
      </w:r>
      <w:r>
        <w:rPr>
          <w:rFonts w:eastAsia="Times New Roman"/>
          <w:color w:val="000000"/>
          <w:sz w:val="20"/>
          <w:szCs w:val="20"/>
        </w:rPr>
        <w:t xml:space="preserve"> more of these factors could materially and adversely affect our business, financial condition or results of operations.</w:t>
      </w:r>
    </w:p>
    <w:p w:rsidR="00000000" w:rsidRDefault="00971A12">
      <w:pPr>
        <w:jc w:val="both"/>
        <w:divId w:val="1594822500"/>
        <w:rPr>
          <w:rFonts w:eastAsia="Times New Roman"/>
        </w:rPr>
      </w:pPr>
      <w:r>
        <w:rPr>
          <w:rFonts w:eastAsia="Times New Roman"/>
          <w:b/>
          <w:bCs/>
          <w:i/>
          <w:iCs/>
          <w:color w:val="000000"/>
          <w:sz w:val="20"/>
          <w:szCs w:val="20"/>
        </w:rPr>
        <w:t>System failures, security breaches or delays in the operation of our computer and communications systems may harm our business.</w:t>
      </w:r>
    </w:p>
    <w:p w:rsidR="00000000" w:rsidRDefault="00971A12">
      <w:pPr>
        <w:jc w:val="both"/>
        <w:divId w:val="1906336506"/>
        <w:rPr>
          <w:rFonts w:eastAsia="Times New Roman"/>
        </w:rPr>
      </w:pPr>
      <w:r>
        <w:rPr>
          <w:rFonts w:eastAsia="Times New Roman"/>
          <w:color w:val="000000"/>
          <w:sz w:val="20"/>
          <w:szCs w:val="20"/>
        </w:rPr>
        <w:t>Our suc</w:t>
      </w:r>
      <w:r>
        <w:rPr>
          <w:rFonts w:eastAsia="Times New Roman"/>
          <w:color w:val="000000"/>
          <w:sz w:val="20"/>
          <w:szCs w:val="20"/>
        </w:rPr>
        <w:t>cess depends on the efficient and uninterrupted operation of our computer and communications systems and the third-party data centers, cloud providers and SAAS platforms we use. Our ability to collect and report accurate data may be interrupted by a number</w:t>
      </w:r>
      <w:r>
        <w:rPr>
          <w:rFonts w:eastAsia="Times New Roman"/>
          <w:color w:val="000000"/>
          <w:sz w:val="20"/>
          <w:szCs w:val="20"/>
        </w:rPr>
        <w:t xml:space="preserve"> of factors, including the failure of our network or software systems, computer viruses, security breaches, or variability in the information we ingest.</w:t>
      </w:r>
    </w:p>
    <w:p w:rsidR="00000000" w:rsidRDefault="00971A12">
      <w:pPr>
        <w:jc w:val="both"/>
        <w:divId w:val="626469039"/>
        <w:rPr>
          <w:rFonts w:eastAsia="Times New Roman"/>
        </w:rPr>
      </w:pPr>
      <w:r>
        <w:rPr>
          <w:rFonts w:eastAsia="Times New Roman"/>
          <w:color w:val="000000"/>
          <w:sz w:val="20"/>
          <w:szCs w:val="20"/>
        </w:rPr>
        <w:t>Our product, information technology and security teams regularly review our systems and security postur</w:t>
      </w:r>
      <w:r>
        <w:rPr>
          <w:rFonts w:eastAsia="Times New Roman"/>
          <w:color w:val="000000"/>
          <w:sz w:val="20"/>
          <w:szCs w:val="20"/>
        </w:rPr>
        <w:t>e and evaluate ways to enhance our processes and controls. In addition, our board of directors and audit committee receive quarterly updates on developments in information technology, security and data governance. We regularly train our employees on inform</w:t>
      </w:r>
      <w:r>
        <w:rPr>
          <w:rFonts w:eastAsia="Times New Roman"/>
          <w:color w:val="000000"/>
          <w:sz w:val="20"/>
          <w:szCs w:val="20"/>
        </w:rPr>
        <w:t>ation security and related risks, and we conduct third-party audits on our security program (ISO 27001). Nevertheless, we cannot guarantee that a security incident will not occur or that any such incident will be timely detected or remediated. Cyber breach</w:t>
      </w:r>
      <w:r>
        <w:rPr>
          <w:rFonts w:eastAsia="Times New Roman"/>
          <w:color w:val="000000"/>
          <w:sz w:val="20"/>
          <w:szCs w:val="20"/>
        </w:rPr>
        <w:t xml:space="preserve">es continue to evolve in sophistication and may be difficult to detect. A security incident or failure of our network or data gathering procedures, or those of our third-party data suppliers, could result in liability to the Company, impede the processing </w:t>
      </w:r>
      <w:r>
        <w:rPr>
          <w:rFonts w:eastAsia="Times New Roman"/>
          <w:color w:val="000000"/>
          <w:sz w:val="20"/>
          <w:szCs w:val="20"/>
        </w:rPr>
        <w:t>of data, cause the corruption or loss of data, prevent the timely delivery of our products, give rise to government inquiries or enforcement actions, or damage our brand and reputation.</w:t>
      </w:r>
    </w:p>
    <w:p w:rsidR="00000000" w:rsidRDefault="00971A12">
      <w:pPr>
        <w:jc w:val="both"/>
        <w:divId w:val="1310020316"/>
        <w:rPr>
          <w:rFonts w:eastAsia="Times New Roman"/>
        </w:rPr>
      </w:pPr>
      <w:r>
        <w:rPr>
          <w:rFonts w:eastAsia="Times New Roman"/>
          <w:color w:val="000000"/>
          <w:sz w:val="20"/>
          <w:szCs w:val="20"/>
        </w:rPr>
        <w:t>In the future, we may need to expand our network and systems at a more rapid pace than we have in the past. Our network or systems may not be capable of meeting the demand for increased capacity, or we may incur additional expenses to accommodate these cap</w:t>
      </w:r>
      <w:r>
        <w:rPr>
          <w:rFonts w:eastAsia="Times New Roman"/>
          <w:color w:val="000000"/>
          <w:sz w:val="20"/>
          <w:szCs w:val="20"/>
        </w:rPr>
        <w:t>acity demands. In addition, we may lose valuable data or be unable to obtain or provide data on a timely basis or our network may temporarily shut down if we fail to adequately expand or maintain our network capabilities to meet future requirements. Any la</w:t>
      </w:r>
      <w:r>
        <w:rPr>
          <w:rFonts w:eastAsia="Times New Roman"/>
          <w:color w:val="000000"/>
          <w:sz w:val="20"/>
          <w:szCs w:val="20"/>
        </w:rPr>
        <w:t>pse in our ability to collect or transmit data may decrease the value of our products and prevent us from providing the data requested by our customers and partners. Any disruption in our data processing or any loss, exposure or misuse of internet user dat</w:t>
      </w:r>
      <w:r>
        <w:rPr>
          <w:rFonts w:eastAsia="Times New Roman"/>
          <w:color w:val="000000"/>
          <w:sz w:val="20"/>
          <w:szCs w:val="20"/>
        </w:rPr>
        <w:t>a may damage our reputation and result in the loss of customers, partners and vendors and the imposition of penalties or other legal or regulatory action, and our business, financial condition and results of operations could be materially and adversely aff</w:t>
      </w:r>
      <w:r>
        <w:rPr>
          <w:rFonts w:eastAsia="Times New Roman"/>
          <w:color w:val="000000"/>
          <w:sz w:val="20"/>
          <w:szCs w:val="20"/>
        </w:rPr>
        <w:t>ected.</w:t>
      </w:r>
    </w:p>
    <w:p w:rsidR="00000000" w:rsidRDefault="00971A12">
      <w:pPr>
        <w:jc w:val="both"/>
        <w:divId w:val="1904636324"/>
        <w:rPr>
          <w:rFonts w:eastAsia="Times New Roman"/>
        </w:rPr>
      </w:pPr>
      <w:r>
        <w:rPr>
          <w:rFonts w:eastAsia="Times New Roman"/>
          <w:b/>
          <w:bCs/>
          <w:i/>
          <w:iCs/>
          <w:color w:val="000000"/>
          <w:sz w:val="20"/>
          <w:szCs w:val="20"/>
        </w:rPr>
        <w:t>We are subject to customer and partner security reviews, and failure to pass these reviews could have an adverse impact on our operations.</w:t>
      </w:r>
    </w:p>
    <w:p w:rsidR="00000000" w:rsidRDefault="00971A12">
      <w:pPr>
        <w:jc w:val="both"/>
        <w:divId w:val="1174800566"/>
        <w:rPr>
          <w:rFonts w:eastAsia="Times New Roman"/>
        </w:rPr>
      </w:pPr>
      <w:r>
        <w:rPr>
          <w:rFonts w:eastAsia="Times New Roman"/>
          <w:color w:val="000000"/>
          <w:sz w:val="20"/>
          <w:szCs w:val="20"/>
        </w:rPr>
        <w:t>Many of our customer and partner contracts require that we maintain certain physical and/or information securi</w:t>
      </w:r>
      <w:r>
        <w:rPr>
          <w:rFonts w:eastAsia="Times New Roman"/>
          <w:color w:val="000000"/>
          <w:sz w:val="20"/>
          <w:szCs w:val="20"/>
        </w:rPr>
        <w:t>ty standards. Any failure to meet such standards could have an adverse impact on our business. In certain cases, we permit a customer or partner to audit our compliance with contractual standards. Negative findings in an audit and/or the failure to adequat</w:t>
      </w:r>
      <w:r>
        <w:rPr>
          <w:rFonts w:eastAsia="Times New Roman"/>
          <w:color w:val="000000"/>
          <w:sz w:val="20"/>
          <w:szCs w:val="20"/>
        </w:rPr>
        <w:t>ely remediate in a timely fashion such negative findings could cause customers or partners to terminate their contracts or otherwise have an adverse effect on our reputation, results of operations and financial condition. Further, customers or partners fro</w:t>
      </w:r>
      <w:r>
        <w:rPr>
          <w:rFonts w:eastAsia="Times New Roman"/>
          <w:color w:val="000000"/>
          <w:sz w:val="20"/>
          <w:szCs w:val="20"/>
        </w:rPr>
        <w:t>m time to time may require new or stricter physical or information security than they negotiated in their contracts and may condition continued volumes and business on the satisfaction of such additional requirements. Some of these requirements may be expe</w:t>
      </w:r>
      <w:r>
        <w:rPr>
          <w:rFonts w:eastAsia="Times New Roman"/>
          <w:color w:val="000000"/>
          <w:sz w:val="20"/>
          <w:szCs w:val="20"/>
        </w:rPr>
        <w:t>nsive to implement or maintain and may not be factored into our contract pricing. Failure to meet these requirements could have an adverse effect on our business.</w:t>
      </w:r>
    </w:p>
    <w:p w:rsidR="00000000" w:rsidRDefault="00971A12">
      <w:pPr>
        <w:jc w:val="both"/>
        <w:divId w:val="965742689"/>
        <w:rPr>
          <w:rFonts w:eastAsia="Times New Roman"/>
        </w:rPr>
      </w:pPr>
      <w:r>
        <w:rPr>
          <w:rFonts w:eastAsia="Times New Roman"/>
          <w:b/>
          <w:bCs/>
          <w:i/>
          <w:iCs/>
          <w:color w:val="000000"/>
          <w:sz w:val="20"/>
          <w:szCs w:val="20"/>
        </w:rPr>
        <w:t xml:space="preserve">We rely on a small number of third-party service providers to host and deliver our products, </w:t>
      </w:r>
      <w:r>
        <w:rPr>
          <w:rFonts w:eastAsia="Times New Roman"/>
          <w:b/>
          <w:bCs/>
          <w:i/>
          <w:iCs/>
          <w:color w:val="000000"/>
          <w:sz w:val="20"/>
          <w:szCs w:val="20"/>
        </w:rPr>
        <w:t>and any interruptions or delays in services from these third parties could impair the delivery of our products and harm our business.</w:t>
      </w:r>
    </w:p>
    <w:p w:rsidR="00000000" w:rsidRDefault="00971A12">
      <w:pPr>
        <w:jc w:val="both"/>
        <w:divId w:val="2021002858"/>
        <w:rPr>
          <w:rFonts w:eastAsia="Times New Roman"/>
        </w:rPr>
      </w:pPr>
      <w:r>
        <w:rPr>
          <w:rFonts w:eastAsia="Times New Roman"/>
          <w:color w:val="000000"/>
          <w:sz w:val="20"/>
          <w:szCs w:val="20"/>
        </w:rPr>
        <w:t>We host some of our products and serve our customers from data center facilities located throughout the U.S. While we oper</w:t>
      </w:r>
      <w:r>
        <w:rPr>
          <w:rFonts w:eastAsia="Times New Roman"/>
          <w:color w:val="000000"/>
          <w:sz w:val="20"/>
          <w:szCs w:val="20"/>
        </w:rPr>
        <w:t>ate our equipment inside these facilities, we do not control the operation of these facilities, and, depending on service level requirements and costs, we may not continue to operate or maintain redundant data center facilities for all of our products or f</w:t>
      </w:r>
      <w:r>
        <w:rPr>
          <w:rFonts w:eastAsia="Times New Roman"/>
          <w:color w:val="000000"/>
          <w:sz w:val="20"/>
          <w:szCs w:val="20"/>
        </w:rPr>
        <w:t>or all of our data, which could increase our vulnerability. These facilities are vulnerable to damage or interruption from earthquakes, hurricanes, floods, fires, power loss, telecommunications failures and similar events. They are also subject to break-in</w:t>
      </w:r>
      <w:r>
        <w:rPr>
          <w:rFonts w:eastAsia="Times New Roman"/>
          <w:color w:val="000000"/>
          <w:sz w:val="20"/>
          <w:szCs w:val="20"/>
        </w:rPr>
        <w:t>s, computer viruses, security breaches, sabotage, intentional acts of vandalism and other misconduct. A natural disaster or an act of terrorism, a decision to close the facilities without adequate notice, or other unanticipated problems could result in len</w:t>
      </w:r>
      <w:r>
        <w:rPr>
          <w:rFonts w:eastAsia="Times New Roman"/>
          <w:color w:val="000000"/>
          <w:sz w:val="20"/>
          <w:szCs w:val="20"/>
        </w:rPr>
        <w:t>gthy interruptions in availability of our products. We may also encounter capacity limitations at our third-party data centers. Additionally, our data center facility agreements are of limited durations, and our data center facilities have no obligation to</w:t>
      </w:r>
      <w:r>
        <w:rPr>
          <w:rFonts w:eastAsia="Times New Roman"/>
          <w:color w:val="000000"/>
          <w:sz w:val="20"/>
          <w:szCs w:val="20"/>
        </w:rPr>
        <w:t xml:space="preserve"> renew their agreements with us on commercially reasonable terms, if at all. We select our third-party data center providers through a rigorous process based on redundant capability and compliance with industry standards and audits. We believe that we will</w:t>
      </w:r>
      <w:r>
        <w:rPr>
          <w:rFonts w:eastAsia="Times New Roman"/>
          <w:color w:val="000000"/>
          <w:sz w:val="20"/>
          <w:szCs w:val="20"/>
        </w:rPr>
        <w:t xml:space="preserve"> be able to renew, or find alternative data center facilities, on commercially reasonable terms, although there can be no guarantee of this. If we are unable to renew our agreements with the owners of the facilities on commercially reasonable terms, or if </w:t>
      </w:r>
      <w:r>
        <w:rPr>
          <w:rFonts w:eastAsia="Times New Roman"/>
          <w:color w:val="000000"/>
          <w:sz w:val="20"/>
          <w:szCs w:val="20"/>
        </w:rPr>
        <w:t>we migrate to a new data center, we may experience delays in delivering our products until an agreement with another data center facility can be arranged or the migration to a new facility is completed.</w:t>
      </w:r>
    </w:p>
    <w:p w:rsidR="00000000" w:rsidRDefault="00971A12">
      <w:pPr>
        <w:jc w:val="both"/>
        <w:divId w:val="1911188344"/>
        <w:rPr>
          <w:rFonts w:eastAsia="Times New Roman"/>
        </w:rPr>
      </w:pPr>
      <w:r>
        <w:rPr>
          <w:rFonts w:eastAsia="Times New Roman"/>
          <w:color w:val="000000"/>
          <w:sz w:val="20"/>
          <w:szCs w:val="20"/>
        </w:rPr>
        <w:t>If we or the third-party data centers that we use wer</w:t>
      </w:r>
      <w:r>
        <w:rPr>
          <w:rFonts w:eastAsia="Times New Roman"/>
          <w:color w:val="000000"/>
          <w:sz w:val="20"/>
          <w:szCs w:val="20"/>
        </w:rPr>
        <w:t xml:space="preserve">e to experience a major power outage, we would have to rely on back-up generators, which may not function properly, and their supply may be inadequate. Such a power outage could result in the disruption </w:t>
      </w:r>
    </w:p>
    <w:p w:rsidR="00000000" w:rsidRDefault="00971A12">
      <w:pPr>
        <w:jc w:val="center"/>
        <w:divId w:val="1872374251"/>
        <w:rPr>
          <w:rFonts w:eastAsia="Times New Roman"/>
        </w:rPr>
      </w:pPr>
      <w:r>
        <w:rPr>
          <w:rFonts w:eastAsia="Times New Roman"/>
          <w:color w:val="000000"/>
          <w:sz w:val="20"/>
          <w:szCs w:val="20"/>
        </w:rPr>
        <w:t>17</w:t>
      </w:r>
    </w:p>
    <w:p w:rsidR="00000000" w:rsidRDefault="00971A12">
      <w:pPr>
        <w:rPr>
          <w:rFonts w:eastAsia="Times New Roman"/>
        </w:rPr>
      </w:pPr>
      <w:r>
        <w:rPr>
          <w:rFonts w:eastAsia="Times New Roman"/>
        </w:rPr>
        <w:pict>
          <v:rect id="_x0000_i1044" style="width:0;height:1.5pt" o:hralign="center" o:hrstd="t" o:hr="t" fillcolor="#a0a0a0" stroked="f"/>
        </w:pict>
      </w:r>
    </w:p>
    <w:p w:rsidR="00000000" w:rsidRDefault="00971A12">
      <w:pPr>
        <w:divId w:val="777600503"/>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370378865"/>
        <w:rPr>
          <w:rFonts w:eastAsia="Times New Roman"/>
        </w:rPr>
      </w:pPr>
    </w:p>
    <w:p w:rsidR="00000000" w:rsidRDefault="00971A12">
      <w:pPr>
        <w:jc w:val="both"/>
        <w:divId w:val="1801536577"/>
        <w:rPr>
          <w:rFonts w:eastAsia="Times New Roman"/>
        </w:rPr>
      </w:pPr>
      <w:r>
        <w:rPr>
          <w:rFonts w:eastAsia="Times New Roman"/>
          <w:color w:val="000000"/>
          <w:sz w:val="20"/>
          <w:szCs w:val="20"/>
        </w:rPr>
        <w:t>of our business. Additionally, if our current facilities fail to have sufficient cooling capacity or availability of electrical powe</w:t>
      </w:r>
      <w:r>
        <w:rPr>
          <w:rFonts w:eastAsia="Times New Roman"/>
          <w:color w:val="000000"/>
          <w:sz w:val="20"/>
          <w:szCs w:val="20"/>
        </w:rPr>
        <w:t>r, we would need to find alternative facilities and could experience delays in delivering our products.</w:t>
      </w:r>
    </w:p>
    <w:p w:rsidR="00000000" w:rsidRDefault="00971A12">
      <w:pPr>
        <w:jc w:val="both"/>
        <w:divId w:val="392969303"/>
        <w:rPr>
          <w:rFonts w:eastAsia="Times New Roman"/>
        </w:rPr>
      </w:pPr>
      <w:r>
        <w:rPr>
          <w:rFonts w:eastAsia="Times New Roman"/>
          <w:color w:val="000000"/>
          <w:sz w:val="20"/>
          <w:szCs w:val="20"/>
        </w:rPr>
        <w:t>We have engaged in an initiative to transform certain data collection, processing and delivery systems from traditional data centers to cloud-based plat</w:t>
      </w:r>
      <w:r>
        <w:rPr>
          <w:rFonts w:eastAsia="Times New Roman"/>
          <w:color w:val="000000"/>
          <w:sz w:val="20"/>
          <w:szCs w:val="20"/>
        </w:rPr>
        <w:t>forms. The migration of these processes requires significant time and resources from our management, technology and operations personnel and introduces new requirements for security, financial and software development controls. This initiative may divert r</w:t>
      </w:r>
      <w:r>
        <w:rPr>
          <w:rFonts w:eastAsia="Times New Roman"/>
          <w:color w:val="000000"/>
          <w:sz w:val="20"/>
          <w:szCs w:val="20"/>
        </w:rPr>
        <w:t xml:space="preserve">esources from other priorities, which could have a negative impact on our revenue and growth opportunities. If the migration of these processes is not successful, or if the initiative takes longer or requires more resources than we anticipate, our results </w:t>
      </w:r>
      <w:r>
        <w:rPr>
          <w:rFonts w:eastAsia="Times New Roman"/>
          <w:color w:val="000000"/>
          <w:sz w:val="20"/>
          <w:szCs w:val="20"/>
        </w:rPr>
        <w:t>of operations and financial condition could be adversely affected.</w:t>
      </w:r>
    </w:p>
    <w:p w:rsidR="00000000" w:rsidRDefault="00971A12">
      <w:pPr>
        <w:jc w:val="both"/>
        <w:divId w:val="2008745471"/>
        <w:rPr>
          <w:rFonts w:eastAsia="Times New Roman"/>
        </w:rPr>
      </w:pPr>
      <w:r>
        <w:rPr>
          <w:rFonts w:eastAsia="Times New Roman"/>
          <w:color w:val="000000"/>
          <w:sz w:val="20"/>
          <w:szCs w:val="20"/>
        </w:rPr>
        <w:t>We depend on access to the internet through third-party bandwidth providers to operate our business. If we lose the services of one or more of our bandwidth providers for any reason, we cou</w:t>
      </w:r>
      <w:r>
        <w:rPr>
          <w:rFonts w:eastAsia="Times New Roman"/>
          <w:color w:val="000000"/>
          <w:sz w:val="20"/>
          <w:szCs w:val="20"/>
        </w:rPr>
        <w:t>ld experience disruption in the delivery of our products or be required to retain the services of a replacement bandwidth provider. It may be difficult for us to replace any lost bandwidth on a timely basis, on commercially reasonable terms, or at all, due</w:t>
      </w:r>
      <w:r>
        <w:rPr>
          <w:rFonts w:eastAsia="Times New Roman"/>
          <w:color w:val="000000"/>
          <w:sz w:val="20"/>
          <w:szCs w:val="20"/>
        </w:rPr>
        <w:t xml:space="preserve"> to the large amount of bandwidth our operations require.</w:t>
      </w:r>
    </w:p>
    <w:p w:rsidR="00000000" w:rsidRDefault="00971A12">
      <w:pPr>
        <w:jc w:val="both"/>
        <w:divId w:val="385835096"/>
        <w:rPr>
          <w:rFonts w:eastAsia="Times New Roman"/>
        </w:rPr>
      </w:pPr>
      <w:r>
        <w:rPr>
          <w:rFonts w:eastAsia="Times New Roman"/>
          <w:color w:val="000000"/>
          <w:sz w:val="20"/>
          <w:szCs w:val="20"/>
        </w:rPr>
        <w:t>Any errors, defects, breaches, disruptions or other performance problems related to our products or the delivery of our services caused by third parties could reduce our revenues, harm our reputatio</w:t>
      </w:r>
      <w:r>
        <w:rPr>
          <w:rFonts w:eastAsia="Times New Roman"/>
          <w:color w:val="000000"/>
          <w:sz w:val="20"/>
          <w:szCs w:val="20"/>
        </w:rPr>
        <w:t>n, result in the loss of customers, partners and vendors and the imposition of penalties or other legal or regulatory actions and otherwise damage our business. Interruptions in the availability of our products and the delivery of our services may reduce o</w:t>
      </w:r>
      <w:r>
        <w:rPr>
          <w:rFonts w:eastAsia="Times New Roman"/>
          <w:color w:val="000000"/>
          <w:sz w:val="20"/>
          <w:szCs w:val="20"/>
        </w:rPr>
        <w:t>ur revenues due to increased turnaround time to complete projects, cause us to issue credits or refunds to customers, cause customers to terminate their agreements or adversely affect our renewal rates. Our business, financial condition and results of oper</w:t>
      </w:r>
      <w:r>
        <w:rPr>
          <w:rFonts w:eastAsia="Times New Roman"/>
          <w:color w:val="000000"/>
          <w:sz w:val="20"/>
          <w:szCs w:val="20"/>
        </w:rPr>
        <w:t>ations would be materially and adversely affected if there were errors or delays in delivering our products or services, including for reasons beyond our control, and our reputation would be harmed if our customers or potential customers believe our produc</w:t>
      </w:r>
      <w:r>
        <w:rPr>
          <w:rFonts w:eastAsia="Times New Roman"/>
          <w:color w:val="000000"/>
          <w:sz w:val="20"/>
          <w:szCs w:val="20"/>
        </w:rPr>
        <w:t>ts and services are unreliable.</w:t>
      </w:r>
    </w:p>
    <w:p w:rsidR="00000000" w:rsidRDefault="00971A12">
      <w:pPr>
        <w:jc w:val="both"/>
        <w:divId w:val="893851674"/>
        <w:rPr>
          <w:rFonts w:eastAsia="Times New Roman"/>
        </w:rPr>
      </w:pPr>
      <w:r>
        <w:rPr>
          <w:rFonts w:eastAsia="Times New Roman"/>
          <w:b/>
          <w:bCs/>
          <w:i/>
          <w:iCs/>
          <w:color w:val="000000"/>
          <w:sz w:val="20"/>
          <w:szCs w:val="20"/>
        </w:rPr>
        <w:t>Our restructuring activities and cost reduction initiatives may not deliver the expected results and could disrupt our business operations.</w:t>
      </w:r>
    </w:p>
    <w:p w:rsidR="00000000" w:rsidRDefault="00971A12">
      <w:pPr>
        <w:jc w:val="both"/>
        <w:divId w:val="502428060"/>
        <w:rPr>
          <w:rFonts w:eastAsia="Times New Roman"/>
        </w:rPr>
      </w:pPr>
      <w:r>
        <w:rPr>
          <w:rFonts w:eastAsia="Times New Roman"/>
          <w:color w:val="000000"/>
          <w:sz w:val="20"/>
          <w:szCs w:val="20"/>
        </w:rPr>
        <w:t>Achieving our long-term revenue and profitability goals depends significantly on our</w:t>
      </w:r>
      <w:r>
        <w:rPr>
          <w:rFonts w:eastAsia="Times New Roman"/>
          <w:color w:val="000000"/>
          <w:sz w:val="20"/>
          <w:szCs w:val="20"/>
        </w:rPr>
        <w:t xml:space="preserve"> ability to allocate resources in line with our strategic objectives and control our operating costs. As described in </w:t>
      </w:r>
      <w:hyperlink w:anchor="i0047531bd13046b986557e31951e34f8_271" w:history="1">
        <w:r>
          <w:rPr>
            <w:rStyle w:val="a3"/>
            <w:rFonts w:eastAsia="Times New Roman"/>
            <w:sz w:val="20"/>
            <w:szCs w:val="20"/>
          </w:rPr>
          <w:t>Footnote 15</w:t>
        </w:r>
      </w:hyperlink>
      <w:r>
        <w:rPr>
          <w:rFonts w:eastAsia="Times New Roman"/>
          <w:color w:val="000000"/>
          <w:sz w:val="20"/>
          <w:szCs w:val="20"/>
        </w:rPr>
        <w:t xml:space="preserve">, </w:t>
      </w:r>
      <w:r>
        <w:rPr>
          <w:rFonts w:eastAsia="Times New Roman"/>
          <w:i/>
          <w:iCs/>
          <w:color w:val="000000"/>
          <w:sz w:val="20"/>
          <w:szCs w:val="20"/>
        </w:rPr>
        <w:t>Organizational Restructuring</w:t>
      </w:r>
      <w:r>
        <w:rPr>
          <w:rFonts w:eastAsia="Times New Roman"/>
          <w:color w:val="000000"/>
          <w:sz w:val="20"/>
          <w:szCs w:val="20"/>
        </w:rPr>
        <w:t xml:space="preserve"> </w:t>
      </w:r>
      <w:r>
        <w:rPr>
          <w:rFonts w:eastAsia="Times New Roman"/>
          <w:color w:val="000000"/>
          <w:sz w:val="20"/>
          <w:szCs w:val="20"/>
        </w:rPr>
        <w:t xml:space="preserve">of the Notes to the Consolidated Financial Statements included in Part II, Item 8 of this 10-K, we recently communicated a workforce reduction as part of our broader efforts to improve cost efficiency and better align our operating structure and resources </w:t>
      </w:r>
      <w:r>
        <w:rPr>
          <w:rFonts w:eastAsia="Times New Roman"/>
          <w:color w:val="000000"/>
          <w:sz w:val="20"/>
          <w:szCs w:val="20"/>
        </w:rPr>
        <w:t xml:space="preserve">with strategic priorities (collectively, the "Restructuring Plan"). In addition to employee terminations, the Restructuring Plan includes the reallocation of commercial and product development resources; reinvestment in and modernization of key technology </w:t>
      </w:r>
      <w:r>
        <w:rPr>
          <w:rFonts w:eastAsia="Times New Roman"/>
          <w:color w:val="000000"/>
          <w:sz w:val="20"/>
          <w:szCs w:val="20"/>
        </w:rPr>
        <w:t>platforms; consolidation of data storage and processing activities to reduce our data center footprint; and reduction of other operating expenses, including software and facility costs. We may also determine to exit certain activities in certain geographic</w:t>
      </w:r>
      <w:r>
        <w:rPr>
          <w:rFonts w:eastAsia="Times New Roman"/>
          <w:color w:val="000000"/>
          <w:sz w:val="20"/>
          <w:szCs w:val="20"/>
        </w:rPr>
        <w:t xml:space="preserve"> regions in order to more effectively align resources with business priorities.</w:t>
      </w:r>
    </w:p>
    <w:p w:rsidR="00000000" w:rsidRDefault="00971A12">
      <w:pPr>
        <w:jc w:val="both"/>
        <w:divId w:val="641270831"/>
        <w:rPr>
          <w:rFonts w:eastAsia="Times New Roman"/>
        </w:rPr>
      </w:pPr>
      <w:r>
        <w:rPr>
          <w:rFonts w:eastAsia="Times New Roman"/>
          <w:color w:val="000000"/>
          <w:sz w:val="20"/>
          <w:szCs w:val="20"/>
        </w:rPr>
        <w:t>If we are not able to implement the Restructuring Plan as currently contemplated, if the Restructuring Plan does not generate the expected cost savings, or if we incur higher t</w:t>
      </w:r>
      <w:r>
        <w:rPr>
          <w:rFonts w:eastAsia="Times New Roman"/>
          <w:color w:val="000000"/>
          <w:sz w:val="20"/>
          <w:szCs w:val="20"/>
        </w:rPr>
        <w:t>han expected costs to implement the Restructuring Plan, our business and financial results could be adversely affected. Moreover, some of the organizational and operational changes we are making in connection with the Restructuring Plan will require carefu</w:t>
      </w:r>
      <w:r>
        <w:rPr>
          <w:rFonts w:eastAsia="Times New Roman"/>
          <w:color w:val="000000"/>
          <w:sz w:val="20"/>
          <w:szCs w:val="20"/>
        </w:rPr>
        <w:t>l management to avoid disrupting customer, partner and employee relationships. If we do not successfully manage our restructuring activities, including the Restructuring Plan, the expected benefits may be delayed or not realized, and our operations and bus</w:t>
      </w:r>
      <w:r>
        <w:rPr>
          <w:rFonts w:eastAsia="Times New Roman"/>
          <w:color w:val="000000"/>
          <w:sz w:val="20"/>
          <w:szCs w:val="20"/>
        </w:rPr>
        <w:t>iness could be disrupted.</w:t>
      </w:r>
    </w:p>
    <w:p w:rsidR="00000000" w:rsidRDefault="00971A12">
      <w:pPr>
        <w:jc w:val="both"/>
        <w:divId w:val="378818292"/>
        <w:rPr>
          <w:rFonts w:eastAsia="Times New Roman"/>
        </w:rPr>
      </w:pPr>
      <w:r>
        <w:rPr>
          <w:rFonts w:eastAsia="Times New Roman"/>
          <w:b/>
          <w:bCs/>
          <w:i/>
          <w:iCs/>
          <w:color w:val="000000"/>
          <w:sz w:val="20"/>
          <w:szCs w:val="20"/>
        </w:rPr>
        <w:t>We rely heavily on our management team and other personnel to operate and grow our business. The loss of one or more key employees, the inability to attract and retain qualified personnel, or the failure to integrate new personnel</w:t>
      </w:r>
      <w:r>
        <w:rPr>
          <w:rFonts w:eastAsia="Times New Roman"/>
          <w:b/>
          <w:bCs/>
          <w:i/>
          <w:iCs/>
          <w:color w:val="000000"/>
          <w:sz w:val="20"/>
          <w:szCs w:val="20"/>
        </w:rPr>
        <w:t xml:space="preserve"> could harm our business.</w:t>
      </w:r>
    </w:p>
    <w:p w:rsidR="00000000" w:rsidRDefault="00971A12">
      <w:pPr>
        <w:jc w:val="both"/>
        <w:divId w:val="237833779"/>
        <w:rPr>
          <w:rFonts w:eastAsia="Times New Roman"/>
        </w:rPr>
      </w:pPr>
      <w:r>
        <w:rPr>
          <w:rFonts w:eastAsia="Times New Roman"/>
          <w:color w:val="000000"/>
          <w:sz w:val="20"/>
          <w:szCs w:val="20"/>
        </w:rPr>
        <w:t>Our success and future growth depend to a significant degree on the skills and continued services of our management team. Our future success also depends on our ability to retain, attract and motivate highly skilled technical, man</w:t>
      </w:r>
      <w:r>
        <w:rPr>
          <w:rFonts w:eastAsia="Times New Roman"/>
          <w:color w:val="000000"/>
          <w:sz w:val="20"/>
          <w:szCs w:val="20"/>
        </w:rPr>
        <w:t>agerial, sales and marketing personnel. The market for these personnel is extremely competitive, particularly for software engineers, data scientists and other technical staff, and like many companies in our industry, we have faced higher rates of attritio</w:t>
      </w:r>
      <w:r>
        <w:rPr>
          <w:rFonts w:eastAsia="Times New Roman"/>
          <w:color w:val="000000"/>
          <w:sz w:val="20"/>
          <w:szCs w:val="20"/>
        </w:rPr>
        <w:t>n in recent years. Our restructuring activities have put additional pressure on our ability to retain, attract and motivate key personnel. If we cannot retain highly skilled workers and key leaders, our ability to develop and deliver our products and incre</w:t>
      </w:r>
      <w:r>
        <w:rPr>
          <w:rFonts w:eastAsia="Times New Roman"/>
          <w:color w:val="000000"/>
          <w:sz w:val="20"/>
          <w:szCs w:val="20"/>
        </w:rPr>
        <w:t>ase our revenues may be materially and adversely affected. If we must increase employee compensation and benefits in order to remain competitive for these personnel, our operating costs and financial condition may be adversely affected. Recruiting and trai</w:t>
      </w:r>
      <w:r>
        <w:rPr>
          <w:rFonts w:eastAsia="Times New Roman"/>
          <w:color w:val="000000"/>
          <w:sz w:val="20"/>
          <w:szCs w:val="20"/>
        </w:rPr>
        <w:t>ning costs may also place significant demands on our resources. We may experience a loss of productivity due to the departure of key personnel and the associated loss of institutional knowledge, or while new personnel integrate into our business and transi</w:t>
      </w:r>
      <w:r>
        <w:rPr>
          <w:rFonts w:eastAsia="Times New Roman"/>
          <w:color w:val="000000"/>
          <w:sz w:val="20"/>
          <w:szCs w:val="20"/>
        </w:rPr>
        <w:t>tion into their respective roles. Failure to ensure effective transitions and knowledge transfers may adversely affect our operations and our ability to execute on our strategic plans and growth initiatives.</w:t>
      </w:r>
    </w:p>
    <w:p w:rsidR="00000000" w:rsidRDefault="00971A12">
      <w:pPr>
        <w:jc w:val="both"/>
        <w:divId w:val="1159729112"/>
        <w:rPr>
          <w:rFonts w:eastAsia="Times New Roman"/>
        </w:rPr>
      </w:pPr>
      <w:r>
        <w:rPr>
          <w:rFonts w:eastAsia="Times New Roman"/>
          <w:b/>
          <w:bCs/>
          <w:i/>
          <w:iCs/>
          <w:color w:val="000000"/>
          <w:sz w:val="20"/>
          <w:szCs w:val="20"/>
        </w:rPr>
        <w:t>The effectiveness of our equity awards as a mean</w:t>
      </w:r>
      <w:r>
        <w:rPr>
          <w:rFonts w:eastAsia="Times New Roman"/>
          <w:b/>
          <w:bCs/>
          <w:i/>
          <w:iCs/>
          <w:color w:val="000000"/>
          <w:sz w:val="20"/>
          <w:szCs w:val="20"/>
        </w:rPr>
        <w:t>s to recruit and retain key personnel has diminished, and we may need to grant equity awards outside of our existing plan.</w:t>
      </w:r>
    </w:p>
    <w:p w:rsidR="00000000" w:rsidRDefault="00971A12">
      <w:pPr>
        <w:jc w:val="both"/>
        <w:divId w:val="1687252065"/>
        <w:rPr>
          <w:rFonts w:eastAsia="Times New Roman"/>
        </w:rPr>
      </w:pPr>
      <w:r>
        <w:rPr>
          <w:rFonts w:eastAsia="Times New Roman"/>
          <w:color w:val="000000"/>
          <w:sz w:val="20"/>
          <w:szCs w:val="20"/>
        </w:rPr>
        <w:t>Historically, we have relied on equity awards as one means of recruiting and retaining key personnel, including our senior management</w:t>
      </w:r>
      <w:r>
        <w:rPr>
          <w:rFonts w:eastAsia="Times New Roman"/>
          <w:color w:val="000000"/>
          <w:sz w:val="20"/>
          <w:szCs w:val="20"/>
        </w:rPr>
        <w:t xml:space="preserve">. Due to declines in our stock price in recent years, the effectiveness of our outstanding equity awards as a means to retain key personnel has diminished. Moreover, the quantity of equity awards we are able to grant under our 2018 Equity and Incentive </w:t>
      </w:r>
    </w:p>
    <w:p w:rsidR="00000000" w:rsidRDefault="00971A12">
      <w:pPr>
        <w:jc w:val="center"/>
        <w:divId w:val="1528910632"/>
        <w:rPr>
          <w:rFonts w:eastAsia="Times New Roman"/>
        </w:rPr>
      </w:pPr>
      <w:r>
        <w:rPr>
          <w:rFonts w:eastAsia="Times New Roman"/>
          <w:color w:val="000000"/>
          <w:sz w:val="20"/>
          <w:szCs w:val="20"/>
        </w:rPr>
        <w:t>18</w:t>
      </w:r>
    </w:p>
    <w:p w:rsidR="00000000" w:rsidRDefault="00971A12">
      <w:pPr>
        <w:rPr>
          <w:rFonts w:eastAsia="Times New Roman"/>
        </w:rPr>
      </w:pPr>
      <w:r>
        <w:rPr>
          <w:rFonts w:eastAsia="Times New Roman"/>
        </w:rPr>
        <w:pict>
          <v:rect id="_x0000_i1045" style="width:0;height:1.5pt" o:hralign="center" o:hrstd="t" o:hr="t" fillcolor="#a0a0a0" stroked="f"/>
        </w:pict>
      </w:r>
    </w:p>
    <w:p w:rsidR="00000000" w:rsidRDefault="00971A12">
      <w:pPr>
        <w:divId w:val="353196511"/>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640569280"/>
        <w:rPr>
          <w:rFonts w:eastAsia="Times New Roman"/>
        </w:rPr>
      </w:pPr>
    </w:p>
    <w:p w:rsidR="00000000" w:rsidRDefault="00971A12">
      <w:pPr>
        <w:jc w:val="both"/>
        <w:divId w:val="1973898875"/>
        <w:rPr>
          <w:rFonts w:eastAsia="Times New Roman"/>
        </w:rPr>
      </w:pPr>
      <w:r>
        <w:rPr>
          <w:rFonts w:eastAsia="Times New Roman"/>
          <w:color w:val="000000"/>
          <w:sz w:val="20"/>
          <w:szCs w:val="20"/>
        </w:rPr>
        <w:t>Compensation Plan ("2018 Plan") is limited. These limits have impacted our ability</w:t>
      </w:r>
      <w:r>
        <w:rPr>
          <w:rFonts w:eastAsia="Times New Roman"/>
          <w:color w:val="000000"/>
          <w:sz w:val="20"/>
          <w:szCs w:val="20"/>
        </w:rPr>
        <w:t xml:space="preserve"> to offer new awards to current and prospective employees, which in turn has contributed to employee retention and hiring challenges. In order to address our compensation needs, we plan to seek an amendment to our 2018 Plan to increase the number of shares</w:t>
      </w:r>
      <w:r>
        <w:rPr>
          <w:rFonts w:eastAsia="Times New Roman"/>
          <w:color w:val="000000"/>
          <w:sz w:val="20"/>
          <w:szCs w:val="20"/>
        </w:rPr>
        <w:t xml:space="preserve"> available for future equity awards. We also may need to consider granting equity awards outside of our 2018 Plan, as we did with a 2021 executive hire. Either of these options would result in additional dilution to our existing stockholders. If the amendm</w:t>
      </w:r>
      <w:r>
        <w:rPr>
          <w:rFonts w:eastAsia="Times New Roman"/>
          <w:color w:val="000000"/>
          <w:sz w:val="20"/>
          <w:szCs w:val="20"/>
        </w:rPr>
        <w:t>ent to our 2018 Plan is not approved by our stockholders or if our stock price continues to decline, we may need to shift a larger portion of employee compensation to cash, which could adversely affect our liquidity and financial condition.</w:t>
      </w:r>
    </w:p>
    <w:p w:rsidR="00000000" w:rsidRDefault="00971A12">
      <w:pPr>
        <w:jc w:val="both"/>
        <w:divId w:val="1575166439"/>
        <w:rPr>
          <w:rFonts w:eastAsia="Times New Roman"/>
        </w:rPr>
      </w:pPr>
      <w:r>
        <w:rPr>
          <w:rFonts w:eastAsia="Times New Roman"/>
          <w:b/>
          <w:bCs/>
          <w:i/>
          <w:iCs/>
          <w:color w:val="000000"/>
          <w:sz w:val="20"/>
          <w:szCs w:val="20"/>
        </w:rPr>
        <w:t>The COVID-19 pa</w:t>
      </w:r>
      <w:r>
        <w:rPr>
          <w:rFonts w:eastAsia="Times New Roman"/>
          <w:b/>
          <w:bCs/>
          <w:i/>
          <w:iCs/>
          <w:color w:val="000000"/>
          <w:sz w:val="20"/>
          <w:szCs w:val="20"/>
        </w:rPr>
        <w:t>ndemic and related economic repercussions could continue to have adverse effects on our business, financial position, results of operations and cash flows.</w:t>
      </w:r>
    </w:p>
    <w:p w:rsidR="00000000" w:rsidRDefault="00971A12">
      <w:pPr>
        <w:jc w:val="both"/>
        <w:divId w:val="536548198"/>
        <w:rPr>
          <w:rFonts w:eastAsia="Times New Roman"/>
        </w:rPr>
      </w:pPr>
      <w:r>
        <w:rPr>
          <w:rFonts w:eastAsia="Times New Roman"/>
          <w:color w:val="000000"/>
          <w:sz w:val="20"/>
          <w:szCs w:val="20"/>
        </w:rPr>
        <w:t>The COVID-19 pandemic and related government mandates and restrictions have had a significant impact</w:t>
      </w:r>
      <w:r>
        <w:rPr>
          <w:rFonts w:eastAsia="Times New Roman"/>
          <w:color w:val="000000"/>
          <w:sz w:val="20"/>
          <w:szCs w:val="20"/>
        </w:rPr>
        <w:t xml:space="preserve"> on the media, advertising and entertainment industries in which we operate. To date, the COVID-19 pandemic has had some impact on our business, including with respect to the execution of new and renewal contracts, the impact of closed movie theaters on ou</w:t>
      </w:r>
      <w:r>
        <w:rPr>
          <w:rFonts w:eastAsia="Times New Roman"/>
          <w:color w:val="000000"/>
          <w:sz w:val="20"/>
          <w:szCs w:val="20"/>
        </w:rPr>
        <w:t xml:space="preserve">r customers, customer payment delays and requests to modify contractual payment terms. These conditions have negatively impacted our revenue and cash flows, particularly in our movies business, and could continue to have an impact in future periods. It is </w:t>
      </w:r>
      <w:r>
        <w:rPr>
          <w:rFonts w:eastAsia="Times New Roman"/>
          <w:color w:val="000000"/>
          <w:sz w:val="20"/>
          <w:szCs w:val="20"/>
        </w:rPr>
        <w:t>possible that long-term changes in consumer behavior will impact our customers' operations, and thus their demand for our services and ability to pay, even after the spread of COVID-19 has been contained and businesses resume normal operations. While we ha</w:t>
      </w:r>
      <w:r>
        <w:rPr>
          <w:rFonts w:eastAsia="Times New Roman"/>
          <w:color w:val="000000"/>
          <w:sz w:val="20"/>
          <w:szCs w:val="20"/>
        </w:rPr>
        <w:t>ve taken actions to mitigate the impact of the COVID-19 pandemic, these steps may not be successful or adequate if customer demand or cash collection efforts are further impacted by the COVID-19 pandemic or other factors.</w:t>
      </w:r>
    </w:p>
    <w:p w:rsidR="00000000" w:rsidRDefault="00971A12">
      <w:pPr>
        <w:jc w:val="both"/>
        <w:divId w:val="1197814981"/>
        <w:rPr>
          <w:rFonts w:eastAsia="Times New Roman"/>
        </w:rPr>
      </w:pPr>
      <w:r>
        <w:rPr>
          <w:rFonts w:eastAsia="Times New Roman"/>
          <w:b/>
          <w:bCs/>
          <w:i/>
          <w:iCs/>
          <w:color w:val="000000"/>
          <w:sz w:val="20"/>
          <w:szCs w:val="20"/>
        </w:rPr>
        <w:t>We face risks related to the Russian invasion of Ukraine, including from the resulting geopolitical effects.</w:t>
      </w:r>
    </w:p>
    <w:p w:rsidR="00000000" w:rsidRDefault="00971A12">
      <w:pPr>
        <w:jc w:val="both"/>
        <w:divId w:val="2113934475"/>
        <w:rPr>
          <w:rFonts w:eastAsia="Times New Roman"/>
        </w:rPr>
      </w:pPr>
      <w:r>
        <w:rPr>
          <w:rFonts w:eastAsia="Times New Roman"/>
          <w:color w:val="000000"/>
          <w:sz w:val="20"/>
          <w:szCs w:val="20"/>
        </w:rPr>
        <w:t>The Russian invasion of Ukraine has resulted in worldwide geopolitical and macroeconomic uncertainty. The U.S. and others have imposed financial an</w:t>
      </w:r>
      <w:r>
        <w:rPr>
          <w:rFonts w:eastAsia="Times New Roman"/>
          <w:color w:val="000000"/>
          <w:sz w:val="20"/>
          <w:szCs w:val="20"/>
        </w:rPr>
        <w:t>d economic sanctions on certain industry sectors and parties in and associated with Russia and Belarus, and additional sanctions could be adopted in the future. Compliance with the sanctions and export controls regime is complex and may lead to increased r</w:t>
      </w:r>
      <w:r>
        <w:rPr>
          <w:rFonts w:eastAsia="Times New Roman"/>
          <w:color w:val="000000"/>
          <w:sz w:val="20"/>
          <w:szCs w:val="20"/>
        </w:rPr>
        <w:t xml:space="preserve">egulatory scrutiny, particularly with respect to data collection and data transfer in affected regions. The conflict may also heighten risks relating to employee safety, cybersecurity incidents or disruptions to our information systems, operational costs, </w:t>
      </w:r>
      <w:r>
        <w:rPr>
          <w:rFonts w:eastAsia="Times New Roman"/>
          <w:color w:val="000000"/>
          <w:sz w:val="20"/>
          <w:szCs w:val="20"/>
        </w:rPr>
        <w:t xml:space="preserve">reputational damage and potential retaliatory action by the Russian government or other actors. As the situation develops and the regulatory environment continues to evolve, we may adjust our business practices as required or appropriate to respond to the </w:t>
      </w:r>
      <w:r>
        <w:rPr>
          <w:rFonts w:eastAsia="Times New Roman"/>
          <w:color w:val="000000"/>
          <w:sz w:val="20"/>
          <w:szCs w:val="20"/>
        </w:rPr>
        <w:t xml:space="preserve">changes. While we do not currently expect the conflict to have a direct material impact on our business, it is not possible to predict the broader consequences, which could include additional sanctions, embargoes, regional instability, geopolitical shifts </w:t>
      </w:r>
      <w:r>
        <w:rPr>
          <w:rFonts w:eastAsia="Times New Roman"/>
          <w:color w:val="000000"/>
          <w:sz w:val="20"/>
          <w:szCs w:val="20"/>
        </w:rPr>
        <w:t xml:space="preserve">and adverse effects on the global economy or on our business and operations, as well as those of our customers, partners and third-party service providers. </w:t>
      </w:r>
    </w:p>
    <w:p w:rsidR="00000000" w:rsidRDefault="00971A12">
      <w:pPr>
        <w:jc w:val="both"/>
        <w:divId w:val="467281869"/>
        <w:rPr>
          <w:rFonts w:eastAsia="Times New Roman"/>
        </w:rPr>
      </w:pPr>
      <w:r>
        <w:rPr>
          <w:rFonts w:eastAsia="Times New Roman"/>
          <w:b/>
          <w:bCs/>
          <w:color w:val="000000"/>
          <w:sz w:val="20"/>
          <w:szCs w:val="20"/>
        </w:rPr>
        <w:t>Risks Related to Our Results of Operations</w:t>
      </w:r>
    </w:p>
    <w:p w:rsidR="00000000" w:rsidRDefault="00971A12">
      <w:pPr>
        <w:jc w:val="both"/>
        <w:divId w:val="1907492867"/>
        <w:rPr>
          <w:rFonts w:eastAsia="Times New Roman"/>
        </w:rPr>
      </w:pPr>
      <w:r>
        <w:rPr>
          <w:rFonts w:eastAsia="Times New Roman"/>
          <w:b/>
          <w:bCs/>
          <w:i/>
          <w:iCs/>
          <w:color w:val="000000"/>
          <w:sz w:val="20"/>
          <w:szCs w:val="20"/>
        </w:rPr>
        <w:t>Our revenues and results of operations may fluctuate in the future. As a result, we may fail to meet or exceed the expectations of securities analysts or investors, which could cause our stock price to decline.</w:t>
      </w:r>
    </w:p>
    <w:p w:rsidR="00000000" w:rsidRDefault="00971A12">
      <w:pPr>
        <w:jc w:val="both"/>
        <w:divId w:val="1482387929"/>
        <w:rPr>
          <w:rFonts w:eastAsia="Times New Roman"/>
        </w:rPr>
      </w:pPr>
      <w:r>
        <w:rPr>
          <w:rFonts w:eastAsia="Times New Roman"/>
          <w:color w:val="000000"/>
          <w:sz w:val="20"/>
          <w:szCs w:val="20"/>
        </w:rPr>
        <w:t xml:space="preserve">Our results of operations may fluctuate as a </w:t>
      </w:r>
      <w:r>
        <w:rPr>
          <w:rFonts w:eastAsia="Times New Roman"/>
          <w:color w:val="000000"/>
          <w:sz w:val="20"/>
          <w:szCs w:val="20"/>
        </w:rPr>
        <w:t>result of a variety of factors, many of which are outside of our control. If our revenues or results of operations do not meet or exceed the expectations of securities analysts or investors, the price of our Common Stock could decline substantially. Factor</w:t>
      </w:r>
      <w:r>
        <w:rPr>
          <w:rFonts w:eastAsia="Times New Roman"/>
          <w:color w:val="000000"/>
          <w:sz w:val="20"/>
          <w:szCs w:val="20"/>
        </w:rPr>
        <w:t>s that may cause fluctuations in our revenues or results of operations include:</w:t>
      </w:r>
    </w:p>
    <w:p w:rsidR="00000000" w:rsidRDefault="00971A12">
      <w:pPr>
        <w:ind w:hanging="360"/>
        <w:divId w:val="842743072"/>
        <w:rPr>
          <w:rFonts w:eastAsia="Times New Roman"/>
        </w:rPr>
      </w:pPr>
      <w:r>
        <w:rPr>
          <w:rFonts w:eastAsia="Times New Roman"/>
          <w:color w:val="000000"/>
          <w:sz w:val="20"/>
          <w:szCs w:val="20"/>
        </w:rPr>
        <w:t>•our ability to increase sales to existing customers and attract new customers in the current economic environment;</w:t>
      </w:r>
    </w:p>
    <w:p w:rsidR="00000000" w:rsidRDefault="00971A12">
      <w:pPr>
        <w:ind w:hanging="360"/>
        <w:divId w:val="2093163729"/>
        <w:rPr>
          <w:rFonts w:eastAsia="Times New Roman"/>
        </w:rPr>
      </w:pPr>
      <w:r>
        <w:rPr>
          <w:rFonts w:eastAsia="Times New Roman"/>
          <w:color w:val="000000"/>
          <w:sz w:val="20"/>
          <w:szCs w:val="20"/>
        </w:rPr>
        <w:t>•our ability to respond to changes in our customers' busines</w:t>
      </w:r>
      <w:r>
        <w:rPr>
          <w:rFonts w:eastAsia="Times New Roman"/>
          <w:color w:val="000000"/>
          <w:sz w:val="20"/>
          <w:szCs w:val="20"/>
        </w:rPr>
        <w:t>ses and consumer behavior resulting from the COVID-19 pandemic and other factors;</w:t>
      </w:r>
    </w:p>
    <w:p w:rsidR="00000000" w:rsidRDefault="00971A12">
      <w:pPr>
        <w:ind w:hanging="360"/>
        <w:divId w:val="116876789"/>
        <w:rPr>
          <w:rFonts w:eastAsia="Times New Roman"/>
        </w:rPr>
      </w:pPr>
      <w:r>
        <w:rPr>
          <w:rFonts w:eastAsia="Times New Roman"/>
          <w:color w:val="000000"/>
          <w:sz w:val="20"/>
          <w:szCs w:val="20"/>
        </w:rPr>
        <w:t>•changes in our customers' subscription renewal behaviors and spending on projects, particularly custom projects and usage-based products;</w:t>
      </w:r>
    </w:p>
    <w:p w:rsidR="00000000" w:rsidRDefault="00971A12">
      <w:pPr>
        <w:ind w:hanging="360"/>
        <w:jc w:val="both"/>
        <w:divId w:val="391924323"/>
        <w:rPr>
          <w:rFonts w:eastAsia="Times New Roman"/>
        </w:rPr>
      </w:pPr>
      <w:r>
        <w:rPr>
          <w:rFonts w:eastAsia="Times New Roman"/>
          <w:color w:val="000000"/>
          <w:sz w:val="20"/>
          <w:szCs w:val="20"/>
        </w:rPr>
        <w:t>•the impact of our contract renewal</w:t>
      </w:r>
      <w:r>
        <w:rPr>
          <w:rFonts w:eastAsia="Times New Roman"/>
          <w:color w:val="000000"/>
          <w:sz w:val="20"/>
          <w:szCs w:val="20"/>
        </w:rPr>
        <w:t xml:space="preserve"> rates caused by our customers' budgetary constraints, competition, customer dissatisfaction or customer corporate restructuring;</w:t>
      </w:r>
    </w:p>
    <w:p w:rsidR="00000000" w:rsidRDefault="00971A12">
      <w:pPr>
        <w:ind w:hanging="360"/>
        <w:jc w:val="both"/>
        <w:divId w:val="1488089506"/>
        <w:rPr>
          <w:rFonts w:eastAsia="Times New Roman"/>
        </w:rPr>
      </w:pPr>
      <w:r>
        <w:rPr>
          <w:rFonts w:eastAsia="Times New Roman"/>
          <w:color w:val="000000"/>
          <w:sz w:val="20"/>
          <w:szCs w:val="20"/>
        </w:rPr>
        <w:t>•the timing of contract renewals, delivery of products and duration of contracts and the corresponding timing of revenue recog</w:t>
      </w:r>
      <w:r>
        <w:rPr>
          <w:rFonts w:eastAsia="Times New Roman"/>
          <w:color w:val="000000"/>
          <w:sz w:val="20"/>
          <w:szCs w:val="20"/>
        </w:rPr>
        <w:t>nition;</w:t>
      </w:r>
    </w:p>
    <w:p w:rsidR="00000000" w:rsidRDefault="00971A12">
      <w:pPr>
        <w:ind w:hanging="360"/>
        <w:divId w:val="2034189606"/>
        <w:rPr>
          <w:rFonts w:eastAsia="Times New Roman"/>
        </w:rPr>
      </w:pPr>
      <w:r>
        <w:rPr>
          <w:rFonts w:eastAsia="Times New Roman"/>
          <w:color w:val="000000"/>
          <w:sz w:val="20"/>
          <w:szCs w:val="20"/>
        </w:rPr>
        <w:t>•the effect of revenues generated from significant one-time projects or the loss of such projects;</w:t>
      </w:r>
    </w:p>
    <w:p w:rsidR="00000000" w:rsidRDefault="00971A12">
      <w:pPr>
        <w:ind w:hanging="360"/>
        <w:divId w:val="1805390072"/>
        <w:rPr>
          <w:rFonts w:eastAsia="Times New Roman"/>
        </w:rPr>
      </w:pPr>
      <w:r>
        <w:rPr>
          <w:rFonts w:eastAsia="Times New Roman"/>
          <w:color w:val="000000"/>
          <w:sz w:val="20"/>
          <w:szCs w:val="20"/>
        </w:rPr>
        <w:t>•the timing and success of new product introductions or changes in methodology by us or our competitors;</w:t>
      </w:r>
    </w:p>
    <w:p w:rsidR="00000000" w:rsidRDefault="00971A12">
      <w:pPr>
        <w:ind w:hanging="360"/>
        <w:divId w:val="1982727042"/>
        <w:rPr>
          <w:rFonts w:eastAsia="Times New Roman"/>
        </w:rPr>
      </w:pPr>
      <w:r>
        <w:rPr>
          <w:rFonts w:eastAsia="Times New Roman"/>
          <w:color w:val="000000"/>
          <w:sz w:val="20"/>
          <w:szCs w:val="20"/>
        </w:rPr>
        <w:t>•the impact of our Preferred Stock transacti</w:t>
      </w:r>
      <w:r>
        <w:rPr>
          <w:rFonts w:eastAsia="Times New Roman"/>
          <w:color w:val="000000"/>
          <w:sz w:val="20"/>
          <w:szCs w:val="20"/>
        </w:rPr>
        <w:t>ons, including our long-term data license with Charter;</w:t>
      </w:r>
    </w:p>
    <w:p w:rsidR="00000000" w:rsidRDefault="00971A12">
      <w:pPr>
        <w:ind w:hanging="360"/>
        <w:divId w:val="682055162"/>
        <w:rPr>
          <w:rFonts w:eastAsia="Times New Roman"/>
        </w:rPr>
      </w:pPr>
      <w:r>
        <w:rPr>
          <w:rFonts w:eastAsia="Times New Roman"/>
          <w:color w:val="000000"/>
          <w:sz w:val="20"/>
          <w:szCs w:val="20"/>
        </w:rPr>
        <w:t>•changes in our pricing and discounting policies or those of our competitors;</w:t>
      </w:r>
    </w:p>
    <w:p w:rsidR="00000000" w:rsidRDefault="00971A12">
      <w:pPr>
        <w:ind w:hanging="360"/>
        <w:divId w:val="1734162469"/>
        <w:rPr>
          <w:rFonts w:eastAsia="Times New Roman"/>
        </w:rPr>
      </w:pPr>
      <w:r>
        <w:rPr>
          <w:rFonts w:eastAsia="Times New Roman"/>
          <w:color w:val="000000"/>
          <w:sz w:val="20"/>
          <w:szCs w:val="20"/>
        </w:rPr>
        <w:t>•the impact of our decision to discontinue certain products or exit certain geographic regions;</w:t>
      </w:r>
    </w:p>
    <w:p w:rsidR="00000000" w:rsidRDefault="00971A12">
      <w:pPr>
        <w:ind w:hanging="360"/>
        <w:jc w:val="both"/>
        <w:divId w:val="1904484842"/>
        <w:rPr>
          <w:rFonts w:eastAsia="Times New Roman"/>
        </w:rPr>
      </w:pPr>
      <w:r>
        <w:rPr>
          <w:rFonts w:eastAsia="Times New Roman"/>
          <w:color w:val="000000"/>
          <w:sz w:val="20"/>
          <w:szCs w:val="20"/>
        </w:rPr>
        <w:t>•our failure to accurately</w:t>
      </w:r>
      <w:r>
        <w:rPr>
          <w:rFonts w:eastAsia="Times New Roman"/>
          <w:color w:val="000000"/>
          <w:sz w:val="20"/>
          <w:szCs w:val="20"/>
        </w:rPr>
        <w:t xml:space="preserve"> estimate or control costs, including those incurred as a result of business or product development initiatives, restructuring activities, legal proceedings, strategic or financing transactions, and the integration of acquired businesses;</w:t>
      </w:r>
    </w:p>
    <w:p w:rsidR="00000000" w:rsidRDefault="00971A12">
      <w:pPr>
        <w:jc w:val="center"/>
        <w:divId w:val="768506005"/>
        <w:rPr>
          <w:rFonts w:eastAsia="Times New Roman"/>
        </w:rPr>
      </w:pPr>
      <w:r>
        <w:rPr>
          <w:rFonts w:eastAsia="Times New Roman"/>
          <w:color w:val="000000"/>
          <w:sz w:val="20"/>
          <w:szCs w:val="20"/>
        </w:rPr>
        <w:t>19</w:t>
      </w:r>
    </w:p>
    <w:p w:rsidR="00000000" w:rsidRDefault="00971A12">
      <w:pPr>
        <w:rPr>
          <w:rFonts w:eastAsia="Times New Roman"/>
        </w:rPr>
      </w:pPr>
      <w:r>
        <w:rPr>
          <w:rFonts w:eastAsia="Times New Roman"/>
        </w:rPr>
        <w:pict>
          <v:rect id="_x0000_i1046" style="width:0;height:1.5pt" o:hralign="center" o:hrstd="t" o:hr="t" fillcolor="#a0a0a0" stroked="f"/>
        </w:pict>
      </w:r>
    </w:p>
    <w:p w:rsidR="00000000" w:rsidRDefault="00971A12">
      <w:pPr>
        <w:divId w:val="227422610"/>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379088670"/>
        <w:rPr>
          <w:rFonts w:eastAsia="Times New Roman"/>
        </w:rPr>
      </w:pPr>
    </w:p>
    <w:p w:rsidR="00000000" w:rsidRDefault="00971A12">
      <w:pPr>
        <w:ind w:hanging="360"/>
        <w:divId w:val="1616672496"/>
        <w:rPr>
          <w:rFonts w:eastAsia="Times New Roman"/>
        </w:rPr>
      </w:pPr>
      <w:r>
        <w:rPr>
          <w:rFonts w:eastAsia="Times New Roman"/>
          <w:color w:val="000000"/>
          <w:sz w:val="20"/>
          <w:szCs w:val="20"/>
        </w:rPr>
        <w:t>•the cost and availability of data from third-party sources and the cost to integrate such data in</w:t>
      </w:r>
      <w:r>
        <w:rPr>
          <w:rFonts w:eastAsia="Times New Roman"/>
          <w:color w:val="000000"/>
          <w:sz w:val="20"/>
          <w:szCs w:val="20"/>
        </w:rPr>
        <w:t>to our systems and products and implement new use cases;</w:t>
      </w:r>
    </w:p>
    <w:p w:rsidR="00000000" w:rsidRDefault="00971A12">
      <w:pPr>
        <w:ind w:hanging="360"/>
        <w:divId w:val="86848876"/>
        <w:rPr>
          <w:rFonts w:eastAsia="Times New Roman"/>
        </w:rPr>
      </w:pPr>
      <w:r>
        <w:rPr>
          <w:rFonts w:eastAsia="Times New Roman"/>
          <w:color w:val="000000"/>
          <w:sz w:val="20"/>
          <w:szCs w:val="20"/>
        </w:rPr>
        <w:t>•adverse judgments or settlements, or increased legal fees, in legal disputes or government proceedings;</w:t>
      </w:r>
    </w:p>
    <w:p w:rsidR="00000000" w:rsidRDefault="00971A12">
      <w:pPr>
        <w:ind w:hanging="360"/>
        <w:divId w:val="290333168"/>
        <w:rPr>
          <w:rFonts w:eastAsia="Times New Roman"/>
        </w:rPr>
      </w:pPr>
      <w:r>
        <w:rPr>
          <w:rFonts w:eastAsia="Times New Roman"/>
          <w:color w:val="000000"/>
          <w:sz w:val="20"/>
          <w:szCs w:val="20"/>
        </w:rPr>
        <w:t>•</w:t>
      </w:r>
      <w:r>
        <w:rPr>
          <w:rFonts w:eastAsia="Times New Roman"/>
          <w:color w:val="000000"/>
          <w:sz w:val="20"/>
          <w:szCs w:val="20"/>
        </w:rPr>
        <w:t>costs incurred in connection with corporate transactions, including financial advisory, legal, accounting, consulting and other advisory fees and expenses;</w:t>
      </w:r>
    </w:p>
    <w:p w:rsidR="00000000" w:rsidRDefault="00971A12">
      <w:pPr>
        <w:ind w:hanging="360"/>
        <w:divId w:val="326246782"/>
        <w:rPr>
          <w:rFonts w:eastAsia="Times New Roman"/>
        </w:rPr>
      </w:pPr>
      <w:r>
        <w:rPr>
          <w:rFonts w:eastAsia="Times New Roman"/>
          <w:color w:val="000000"/>
          <w:sz w:val="20"/>
          <w:szCs w:val="20"/>
        </w:rPr>
        <w:t>•service of our existing debt and incurrence of additional debt;</w:t>
      </w:r>
    </w:p>
    <w:p w:rsidR="00000000" w:rsidRDefault="00971A12">
      <w:pPr>
        <w:ind w:hanging="360"/>
        <w:jc w:val="both"/>
        <w:divId w:val="2133747092"/>
        <w:rPr>
          <w:rFonts w:eastAsia="Times New Roman"/>
        </w:rPr>
      </w:pPr>
      <w:r>
        <w:rPr>
          <w:rFonts w:eastAsia="Times New Roman"/>
          <w:color w:val="000000"/>
          <w:sz w:val="20"/>
          <w:szCs w:val="20"/>
        </w:rPr>
        <w:t>•the amount and timing of capital e</w:t>
      </w:r>
      <w:r>
        <w:rPr>
          <w:rFonts w:eastAsia="Times New Roman"/>
          <w:color w:val="000000"/>
          <w:sz w:val="20"/>
          <w:szCs w:val="20"/>
        </w:rPr>
        <w:t>xpenditures and operating costs related to the maintenance, migration and expansion of our operations and infrastructure;</w:t>
      </w:r>
    </w:p>
    <w:p w:rsidR="00000000" w:rsidRDefault="00971A12">
      <w:pPr>
        <w:ind w:hanging="360"/>
        <w:divId w:val="1974288021"/>
        <w:rPr>
          <w:rFonts w:eastAsia="Times New Roman"/>
        </w:rPr>
      </w:pPr>
      <w:r>
        <w:rPr>
          <w:rFonts w:eastAsia="Times New Roman"/>
          <w:color w:val="000000"/>
          <w:sz w:val="20"/>
          <w:szCs w:val="20"/>
        </w:rPr>
        <w:t>•service outages, other technical difficulties or security breaches;</w:t>
      </w:r>
    </w:p>
    <w:p w:rsidR="00000000" w:rsidRDefault="00971A12">
      <w:pPr>
        <w:ind w:hanging="360"/>
        <w:divId w:val="1967614766"/>
        <w:rPr>
          <w:rFonts w:eastAsia="Times New Roman"/>
        </w:rPr>
      </w:pPr>
      <w:r>
        <w:rPr>
          <w:rFonts w:eastAsia="Times New Roman"/>
          <w:color w:val="000000"/>
          <w:sz w:val="20"/>
          <w:szCs w:val="20"/>
        </w:rPr>
        <w:t>•</w:t>
      </w:r>
      <w:r>
        <w:rPr>
          <w:rFonts w:eastAsia="Times New Roman"/>
          <w:color w:val="000000"/>
          <w:sz w:val="20"/>
          <w:szCs w:val="20"/>
        </w:rPr>
        <w:t>limitations relating to the capacity of our networks, systems and processes;</w:t>
      </w:r>
    </w:p>
    <w:p w:rsidR="00000000" w:rsidRDefault="00971A12">
      <w:pPr>
        <w:ind w:hanging="360"/>
        <w:divId w:val="1920091902"/>
        <w:rPr>
          <w:rFonts w:eastAsia="Times New Roman"/>
        </w:rPr>
      </w:pPr>
      <w:r>
        <w:rPr>
          <w:rFonts w:eastAsia="Times New Roman"/>
          <w:color w:val="000000"/>
          <w:sz w:val="20"/>
          <w:szCs w:val="20"/>
        </w:rPr>
        <w:t>•maintaining appropriate staffing levels and capabilities, particularly during organizational restructuring;</w:t>
      </w:r>
    </w:p>
    <w:p w:rsidR="00000000" w:rsidRDefault="00971A12">
      <w:pPr>
        <w:ind w:hanging="360"/>
        <w:divId w:val="308705733"/>
        <w:rPr>
          <w:rFonts w:eastAsia="Times New Roman"/>
        </w:rPr>
      </w:pPr>
      <w:r>
        <w:rPr>
          <w:rFonts w:eastAsia="Times New Roman"/>
          <w:color w:val="000000"/>
          <w:sz w:val="20"/>
          <w:szCs w:val="20"/>
        </w:rPr>
        <w:t>•limitations on our ability to use equity awards to compensate current</w:t>
      </w:r>
      <w:r>
        <w:rPr>
          <w:rFonts w:eastAsia="Times New Roman"/>
          <w:color w:val="000000"/>
          <w:sz w:val="20"/>
          <w:szCs w:val="20"/>
        </w:rPr>
        <w:t xml:space="preserve"> and prospective employees;</w:t>
      </w:r>
    </w:p>
    <w:p w:rsidR="00000000" w:rsidRDefault="00971A12">
      <w:pPr>
        <w:ind w:hanging="360"/>
        <w:divId w:val="863204309"/>
        <w:rPr>
          <w:rFonts w:eastAsia="Times New Roman"/>
        </w:rPr>
      </w:pPr>
      <w:r>
        <w:rPr>
          <w:rFonts w:eastAsia="Times New Roman"/>
          <w:color w:val="000000"/>
          <w:sz w:val="20"/>
          <w:szCs w:val="20"/>
        </w:rPr>
        <w:t>•the cost and timing of organizational restructuring;</w:t>
      </w:r>
    </w:p>
    <w:p w:rsidR="00000000" w:rsidRDefault="00971A12">
      <w:pPr>
        <w:ind w:hanging="360"/>
        <w:divId w:val="1586645696"/>
        <w:rPr>
          <w:rFonts w:eastAsia="Times New Roman"/>
        </w:rPr>
      </w:pPr>
      <w:r>
        <w:rPr>
          <w:rFonts w:eastAsia="Times New Roman"/>
          <w:color w:val="000000"/>
          <w:sz w:val="20"/>
          <w:szCs w:val="20"/>
        </w:rPr>
        <w:t>•the timing of any changes to our deferred tax valuation allowance;</w:t>
      </w:r>
    </w:p>
    <w:p w:rsidR="00000000" w:rsidRDefault="00971A12">
      <w:pPr>
        <w:ind w:hanging="360"/>
        <w:divId w:val="1436710873"/>
        <w:rPr>
          <w:rFonts w:eastAsia="Times New Roman"/>
        </w:rPr>
      </w:pPr>
      <w:r>
        <w:rPr>
          <w:rFonts w:eastAsia="Times New Roman"/>
          <w:color w:val="000000"/>
          <w:sz w:val="20"/>
          <w:szCs w:val="20"/>
        </w:rPr>
        <w:t>•changes in the fair value of our financing derivatives or warrants; and</w:t>
      </w:r>
    </w:p>
    <w:p w:rsidR="00000000" w:rsidRDefault="00971A12">
      <w:pPr>
        <w:ind w:hanging="360"/>
        <w:jc w:val="both"/>
        <w:divId w:val="1738625691"/>
        <w:rPr>
          <w:rFonts w:eastAsia="Times New Roman"/>
        </w:rPr>
      </w:pPr>
      <w:r>
        <w:rPr>
          <w:rFonts w:eastAsia="Times New Roman"/>
          <w:color w:val="000000"/>
          <w:sz w:val="20"/>
          <w:szCs w:val="20"/>
        </w:rPr>
        <w:t>•general economic, political, reg</w:t>
      </w:r>
      <w:r>
        <w:rPr>
          <w:rFonts w:eastAsia="Times New Roman"/>
          <w:color w:val="000000"/>
          <w:sz w:val="20"/>
          <w:szCs w:val="20"/>
        </w:rPr>
        <w:t>ulatory, industry and market conditions and those conditions specific to media and advertising internet usage and online businesses.</w:t>
      </w:r>
    </w:p>
    <w:p w:rsidR="00000000" w:rsidRDefault="00971A12">
      <w:pPr>
        <w:jc w:val="both"/>
        <w:divId w:val="901017227"/>
        <w:rPr>
          <w:rFonts w:eastAsia="Times New Roman"/>
        </w:rPr>
      </w:pPr>
      <w:r>
        <w:rPr>
          <w:rFonts w:eastAsia="Times New Roman"/>
          <w:color w:val="000000"/>
          <w:sz w:val="20"/>
          <w:szCs w:val="20"/>
        </w:rPr>
        <w:t>We believe that our revenues and results of operations on a year-over-year and sequential quarter-over-quarter basis may va</w:t>
      </w:r>
      <w:r>
        <w:rPr>
          <w:rFonts w:eastAsia="Times New Roman"/>
          <w:color w:val="000000"/>
          <w:sz w:val="20"/>
          <w:szCs w:val="20"/>
        </w:rPr>
        <w:t>ry significantly in the future and that period-to-period comparisons of our operating results may not be meaningful. Investors are cautioned not to rely on the results of prior periods as an indication of future performance.</w:t>
      </w:r>
    </w:p>
    <w:p w:rsidR="00000000" w:rsidRDefault="00971A12">
      <w:pPr>
        <w:jc w:val="both"/>
        <w:divId w:val="1970893753"/>
        <w:rPr>
          <w:rFonts w:eastAsia="Times New Roman"/>
        </w:rPr>
      </w:pPr>
      <w:r>
        <w:rPr>
          <w:rFonts w:eastAsia="Times New Roman"/>
          <w:b/>
          <w:bCs/>
          <w:i/>
          <w:iCs/>
          <w:color w:val="000000"/>
          <w:sz w:val="20"/>
          <w:szCs w:val="20"/>
        </w:rPr>
        <w:t xml:space="preserve">We may not be able to generate </w:t>
      </w:r>
      <w:r>
        <w:rPr>
          <w:rFonts w:eastAsia="Times New Roman"/>
          <w:b/>
          <w:bCs/>
          <w:i/>
          <w:iCs/>
          <w:color w:val="000000"/>
          <w:sz w:val="20"/>
          <w:szCs w:val="20"/>
        </w:rPr>
        <w:t>or obtain sufficient cash to service our debt, dividend obligations, lease facilities and trade payables.</w:t>
      </w:r>
    </w:p>
    <w:p w:rsidR="00000000" w:rsidRDefault="00971A12">
      <w:pPr>
        <w:jc w:val="both"/>
        <w:divId w:val="900212322"/>
        <w:rPr>
          <w:rFonts w:eastAsia="Times New Roman"/>
        </w:rPr>
      </w:pPr>
      <w:r>
        <w:rPr>
          <w:rFonts w:eastAsia="Times New Roman"/>
          <w:color w:val="000000"/>
          <w:sz w:val="20"/>
          <w:szCs w:val="20"/>
        </w:rPr>
        <w:t>We currently have indebtedness and lease facilities, as well as trade payables, including expenses incurred in prior periods. In addition, we are requ</w:t>
      </w:r>
      <w:r>
        <w:rPr>
          <w:rFonts w:eastAsia="Times New Roman"/>
          <w:color w:val="000000"/>
          <w:sz w:val="20"/>
          <w:szCs w:val="20"/>
        </w:rPr>
        <w:t>ired to pay annual cash dividends on our Preferred Stock, and we may incur additional debt for operations or to fund a special dividend to the holders of our Preferred Stock. These obligations could require us to use a large portion of our cash flow from o</w:t>
      </w:r>
      <w:r>
        <w:rPr>
          <w:rFonts w:eastAsia="Times New Roman"/>
          <w:color w:val="000000"/>
          <w:sz w:val="20"/>
          <w:szCs w:val="20"/>
        </w:rPr>
        <w:t>perations to service our debt, dividend obligations and lease facilities and pay accrued expenses. They could also limit our flexibility to invest in our business and adjust to market conditions, which could impact our customer relationships and place us a</w:t>
      </w:r>
      <w:r>
        <w:rPr>
          <w:rFonts w:eastAsia="Times New Roman"/>
          <w:color w:val="000000"/>
          <w:sz w:val="20"/>
          <w:szCs w:val="20"/>
        </w:rPr>
        <w:t>t a competitive disadvantage.</w:t>
      </w:r>
    </w:p>
    <w:p w:rsidR="00000000" w:rsidRDefault="00971A12">
      <w:pPr>
        <w:jc w:val="both"/>
        <w:divId w:val="425537228"/>
        <w:rPr>
          <w:rFonts w:eastAsia="Times New Roman"/>
        </w:rPr>
      </w:pPr>
      <w:r>
        <w:rPr>
          <w:rFonts w:eastAsia="Times New Roman"/>
          <w:color w:val="000000"/>
          <w:sz w:val="20"/>
          <w:szCs w:val="20"/>
        </w:rPr>
        <w:t>We expect to obtain the funds to pay our expenses and meet our financial obligations from cash flow from our operations and, potentially, from other debt or equity offerings. Accordingly, our ability to meet our obligations de</w:t>
      </w:r>
      <w:r>
        <w:rPr>
          <w:rFonts w:eastAsia="Times New Roman"/>
          <w:color w:val="000000"/>
          <w:sz w:val="20"/>
          <w:szCs w:val="20"/>
        </w:rPr>
        <w:t>pends on our future performance and capital-raising activities, which will be affected by financial, business, contractual, economic and other factors, some of which are beyond our control. Failure to meet our payment obligations to vendors could disrupt o</w:t>
      </w:r>
      <w:r>
        <w:rPr>
          <w:rFonts w:eastAsia="Times New Roman"/>
          <w:color w:val="000000"/>
          <w:sz w:val="20"/>
          <w:szCs w:val="20"/>
        </w:rPr>
        <w:t>ur supply of goods and services and impact our reputation, creditworthiness and relations with customers and partners. It could also lead to costly litigation. Failure to meet our dividend payment obligations could result in an increase in the annual divid</w:t>
      </w:r>
      <w:r>
        <w:rPr>
          <w:rFonts w:eastAsia="Times New Roman"/>
          <w:color w:val="000000"/>
          <w:sz w:val="20"/>
          <w:szCs w:val="20"/>
        </w:rPr>
        <w:t>end rate, among other things.</w:t>
      </w:r>
    </w:p>
    <w:p w:rsidR="00000000" w:rsidRDefault="00971A12">
      <w:pPr>
        <w:jc w:val="both"/>
        <w:divId w:val="1620840965"/>
        <w:rPr>
          <w:rFonts w:eastAsia="Times New Roman"/>
        </w:rPr>
      </w:pPr>
      <w:r>
        <w:rPr>
          <w:rFonts w:eastAsia="Times New Roman"/>
          <w:color w:val="000000"/>
          <w:sz w:val="20"/>
          <w:szCs w:val="20"/>
        </w:rPr>
        <w:t>If our cash flow and capital resources prove inadequate to allow us to pay the interest and principal on our debt when due and meet our other financial obligations, we could face substantial liquidity challenges and might be r</w:t>
      </w:r>
      <w:r>
        <w:rPr>
          <w:rFonts w:eastAsia="Times New Roman"/>
          <w:color w:val="000000"/>
          <w:sz w:val="20"/>
          <w:szCs w:val="20"/>
        </w:rPr>
        <w:t>equired to dispose of material assets or operations, restructure or refinance our debt (which we may be unable to do on acceptable terms) or forego attractive business opportunities. In addition, the terms of our existing or future financing agreements and</w:t>
      </w:r>
      <w:r>
        <w:rPr>
          <w:rFonts w:eastAsia="Times New Roman"/>
          <w:color w:val="000000"/>
          <w:sz w:val="20"/>
          <w:szCs w:val="20"/>
        </w:rPr>
        <w:t xml:space="preserve"> Preferred Stock may restrict us from pursuing these alternatives. Failure to meet our financial obligations could have important consequences including, potentially, forcing us into bankruptcy or liquidation.</w:t>
      </w:r>
    </w:p>
    <w:p w:rsidR="00000000" w:rsidRDefault="00971A12">
      <w:pPr>
        <w:jc w:val="both"/>
        <w:divId w:val="1769422430"/>
        <w:rPr>
          <w:rFonts w:eastAsia="Times New Roman"/>
        </w:rPr>
      </w:pPr>
      <w:r>
        <w:rPr>
          <w:rFonts w:eastAsia="Times New Roman"/>
          <w:b/>
          <w:bCs/>
          <w:i/>
          <w:iCs/>
          <w:color w:val="000000"/>
          <w:sz w:val="20"/>
          <w:szCs w:val="20"/>
        </w:rPr>
        <w:t>Our financial condition and results of operati</w:t>
      </w:r>
      <w:r>
        <w:rPr>
          <w:rFonts w:eastAsia="Times New Roman"/>
          <w:b/>
          <w:bCs/>
          <w:i/>
          <w:iCs/>
          <w:color w:val="000000"/>
          <w:sz w:val="20"/>
          <w:szCs w:val="20"/>
        </w:rPr>
        <w:t>ons could suffer and be adversely affected if we incur another impairment of goodwill or other intangible assets.</w:t>
      </w:r>
    </w:p>
    <w:p w:rsidR="00000000" w:rsidRDefault="00971A12">
      <w:pPr>
        <w:jc w:val="both"/>
        <w:divId w:val="857155763"/>
        <w:rPr>
          <w:rFonts w:eastAsia="Times New Roman"/>
        </w:rPr>
      </w:pPr>
      <w:r>
        <w:rPr>
          <w:rFonts w:eastAsia="Times New Roman"/>
          <w:color w:val="000000"/>
          <w:sz w:val="20"/>
          <w:szCs w:val="20"/>
        </w:rPr>
        <w:t>We are required to test goodwill and intangible assets, annually and on an interim basis if an event occurs or there is a change in circumstan</w:t>
      </w:r>
      <w:r>
        <w:rPr>
          <w:rFonts w:eastAsia="Times New Roman"/>
          <w:color w:val="000000"/>
          <w:sz w:val="20"/>
          <w:szCs w:val="20"/>
        </w:rPr>
        <w:t>ce that would more likely than not reduce the fair value of our reporting unit below its carrying value or indicate that the carrying value of such intangibles is not recoverable. When the carrying value of a reporting unit exceeds its fair value, a charge</w:t>
      </w:r>
      <w:r>
        <w:rPr>
          <w:rFonts w:eastAsia="Times New Roman"/>
          <w:color w:val="000000"/>
          <w:sz w:val="20"/>
          <w:szCs w:val="20"/>
        </w:rPr>
        <w:t xml:space="preserve"> to operations, up to the total amount of goodwill, is recorded. If the carrying amount of an intangible asset is not recoverable, a charge to operations is recognized. Either event would result in incremental expense for that period, which would reduce an</w:t>
      </w:r>
      <w:r>
        <w:rPr>
          <w:rFonts w:eastAsia="Times New Roman"/>
          <w:color w:val="000000"/>
          <w:sz w:val="20"/>
          <w:szCs w:val="20"/>
        </w:rPr>
        <w:t xml:space="preserve">y earnings or increase any loss for the period in which the impairment was determined to have occurred. We recorded a $224.3 million impairment charge related to goodwill and a $17.3 million impairment charge for our strategic alliance intangible asset in </w:t>
      </w:r>
      <w:r>
        <w:rPr>
          <w:rFonts w:eastAsia="Times New Roman"/>
          <w:color w:val="000000"/>
          <w:sz w:val="20"/>
          <w:szCs w:val="20"/>
        </w:rPr>
        <w:t xml:space="preserve">2019. We recorded a $4.7 million impairment charge related to our right-of-use ("ROU") assets, and related leasehold improvements, during 2020. We recorded a $46.3 million impairment charge related to goodwill in the third quarter of 2022. </w:t>
      </w:r>
    </w:p>
    <w:p w:rsidR="00000000" w:rsidRDefault="00971A12">
      <w:pPr>
        <w:jc w:val="both"/>
        <w:divId w:val="1866399868"/>
        <w:rPr>
          <w:rFonts w:eastAsia="Times New Roman"/>
        </w:rPr>
      </w:pPr>
      <w:r>
        <w:rPr>
          <w:rFonts w:eastAsia="Times New Roman"/>
          <w:color w:val="000000"/>
          <w:sz w:val="20"/>
          <w:szCs w:val="20"/>
        </w:rPr>
        <w:t xml:space="preserve">Our impairment </w:t>
      </w:r>
      <w:r>
        <w:rPr>
          <w:rFonts w:eastAsia="Times New Roman"/>
          <w:color w:val="000000"/>
          <w:sz w:val="20"/>
          <w:szCs w:val="20"/>
        </w:rPr>
        <w:t xml:space="preserve">analysis is sensitive to changes in key assumptions used in our analysis, such as expected future cash flows, the degree of volatility in equity and debt markets and our stock price. Additionally, changes in our strategy or significant technical </w:t>
      </w:r>
    </w:p>
    <w:p w:rsidR="00000000" w:rsidRDefault="00971A12">
      <w:pPr>
        <w:jc w:val="center"/>
        <w:divId w:val="803278110"/>
        <w:rPr>
          <w:rFonts w:eastAsia="Times New Roman"/>
        </w:rPr>
      </w:pPr>
      <w:r>
        <w:rPr>
          <w:rFonts w:eastAsia="Times New Roman"/>
          <w:color w:val="000000"/>
          <w:sz w:val="20"/>
          <w:szCs w:val="20"/>
        </w:rPr>
        <w:t>20</w:t>
      </w:r>
    </w:p>
    <w:p w:rsidR="00000000" w:rsidRDefault="00971A12">
      <w:pPr>
        <w:rPr>
          <w:rFonts w:eastAsia="Times New Roman"/>
        </w:rPr>
      </w:pPr>
      <w:r>
        <w:rPr>
          <w:rFonts w:eastAsia="Times New Roman"/>
        </w:rPr>
        <w:pict>
          <v:rect id="_x0000_i1047" style="width:0;height:1.5pt" o:hralign="center" o:hrstd="t" o:hr="t" fillcolor="#a0a0a0" stroked="f"/>
        </w:pict>
      </w:r>
    </w:p>
    <w:p w:rsidR="00000000" w:rsidRDefault="00971A12">
      <w:pPr>
        <w:divId w:val="1418136570"/>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281958770"/>
        <w:rPr>
          <w:rFonts w:eastAsia="Times New Roman"/>
        </w:rPr>
      </w:pPr>
    </w:p>
    <w:p w:rsidR="00000000" w:rsidRDefault="00971A12">
      <w:pPr>
        <w:jc w:val="both"/>
        <w:divId w:val="381945449"/>
        <w:rPr>
          <w:rFonts w:eastAsia="Times New Roman"/>
        </w:rPr>
      </w:pPr>
      <w:r>
        <w:rPr>
          <w:rFonts w:eastAsia="Times New Roman"/>
          <w:color w:val="000000"/>
          <w:sz w:val="20"/>
          <w:szCs w:val="20"/>
        </w:rPr>
        <w:t xml:space="preserve">developments could significantly impact the recoverability of our intangible assets. If the assumptions used in our analysis are not realized, it is possible that an additional impairment charge may need to be recorded in the future. </w:t>
      </w:r>
    </w:p>
    <w:p w:rsidR="00000000" w:rsidRDefault="00971A12">
      <w:pPr>
        <w:jc w:val="both"/>
        <w:divId w:val="2146198139"/>
        <w:rPr>
          <w:rFonts w:eastAsia="Times New Roman"/>
        </w:rPr>
      </w:pPr>
      <w:r>
        <w:rPr>
          <w:rFonts w:eastAsia="Times New Roman"/>
          <w:b/>
          <w:bCs/>
          <w:i/>
          <w:iCs/>
          <w:color w:val="000000"/>
          <w:sz w:val="20"/>
          <w:szCs w:val="20"/>
        </w:rPr>
        <w:t>Changes in the fair v</w:t>
      </w:r>
      <w:r>
        <w:rPr>
          <w:rFonts w:eastAsia="Times New Roman"/>
          <w:b/>
          <w:bCs/>
          <w:i/>
          <w:iCs/>
          <w:color w:val="000000"/>
          <w:sz w:val="20"/>
          <w:szCs w:val="20"/>
        </w:rPr>
        <w:t>alue of our derivative financial instruments or warrants could adversely affect our financial condition and results of operations.</w:t>
      </w:r>
    </w:p>
    <w:p w:rsidR="00000000" w:rsidRDefault="00971A12">
      <w:pPr>
        <w:jc w:val="both"/>
        <w:divId w:val="696587839"/>
        <w:rPr>
          <w:rFonts w:eastAsia="Times New Roman"/>
        </w:rPr>
      </w:pPr>
      <w:r>
        <w:rPr>
          <w:rFonts w:eastAsia="Times New Roman"/>
          <w:color w:val="000000"/>
          <w:sz w:val="20"/>
          <w:szCs w:val="20"/>
        </w:rPr>
        <w:t>Our financing derivatives and warrants are classified as liabilities in our consolidated financial statements. We use various</w:t>
      </w:r>
      <w:r>
        <w:rPr>
          <w:rFonts w:eastAsia="Times New Roman"/>
          <w:color w:val="000000"/>
          <w:sz w:val="20"/>
          <w:szCs w:val="20"/>
        </w:rPr>
        <w:t xml:space="preserve"> models and assumptions to determine the fair value of these liabilities, including assumptions with respect to market rates, the price and volatility of our Common Stock, the probability of occurrence of certain events, and term. Any change in our assumpt</w:t>
      </w:r>
      <w:r>
        <w:rPr>
          <w:rFonts w:eastAsia="Times New Roman"/>
          <w:color w:val="000000"/>
          <w:sz w:val="20"/>
          <w:szCs w:val="20"/>
        </w:rPr>
        <w:t>ions could result in a change in the fair value of our derivative liabilities or warrants, which would be recorded to earnings and could significantly affect our financial condition and results of operations. Any adjustment to the terms of our warrants (wh</w:t>
      </w:r>
      <w:r>
        <w:rPr>
          <w:rFonts w:eastAsia="Times New Roman"/>
          <w:color w:val="000000"/>
          <w:sz w:val="20"/>
          <w:szCs w:val="20"/>
        </w:rPr>
        <w:t>ether due to the application of antidilution provisions, payment of a special dividend or otherwise) also could result in a change in the fair value of the warrants and affect our financial condition and results of operations.</w:t>
      </w:r>
    </w:p>
    <w:p w:rsidR="00000000" w:rsidRDefault="00971A12">
      <w:pPr>
        <w:jc w:val="both"/>
        <w:divId w:val="82773827"/>
        <w:rPr>
          <w:rFonts w:eastAsia="Times New Roman"/>
        </w:rPr>
      </w:pPr>
      <w:r>
        <w:rPr>
          <w:rFonts w:eastAsia="Times New Roman"/>
          <w:b/>
          <w:bCs/>
          <w:i/>
          <w:iCs/>
          <w:color w:val="000000"/>
          <w:sz w:val="20"/>
          <w:szCs w:val="20"/>
        </w:rPr>
        <w:t>We may encounter difficulties</w:t>
      </w:r>
      <w:r>
        <w:rPr>
          <w:rFonts w:eastAsia="Times New Roman"/>
          <w:b/>
          <w:bCs/>
          <w:i/>
          <w:iCs/>
          <w:color w:val="000000"/>
          <w:sz w:val="20"/>
          <w:szCs w:val="20"/>
        </w:rPr>
        <w:t xml:space="preserve"> managing our costs, which could adversely affect our results of operations.</w:t>
      </w:r>
    </w:p>
    <w:p w:rsidR="00000000" w:rsidRDefault="00971A12">
      <w:pPr>
        <w:jc w:val="both"/>
        <w:divId w:val="709384485"/>
        <w:rPr>
          <w:rFonts w:eastAsia="Times New Roman"/>
        </w:rPr>
      </w:pPr>
      <w:r>
        <w:rPr>
          <w:rFonts w:eastAsia="Times New Roman"/>
          <w:color w:val="000000"/>
          <w:sz w:val="20"/>
          <w:szCs w:val="20"/>
        </w:rPr>
        <w:t>We believe that we will need to continue to effectively manage our organization, operations and facilities in order to accommodate changes in our business and to successfully inte</w:t>
      </w:r>
      <w:r>
        <w:rPr>
          <w:rFonts w:eastAsia="Times New Roman"/>
          <w:color w:val="000000"/>
          <w:sz w:val="20"/>
          <w:szCs w:val="20"/>
        </w:rPr>
        <w:t>grate acquired data and businesses. If we continue to change or grow, either organically or through acquired businesses, our current systems and facilities may not be adequate and may need to be expanded or reduced. For example, we may be required to enter</w:t>
      </w:r>
      <w:r>
        <w:rPr>
          <w:rFonts w:eastAsia="Times New Roman"/>
          <w:color w:val="000000"/>
          <w:sz w:val="20"/>
          <w:szCs w:val="20"/>
        </w:rPr>
        <w:t xml:space="preserve"> into leases for additional facilities or commit to significant investments in the build out of current or new facilities, or we may need to renegotiate or terminate leases to reflect changes in our business and workforce. If we are unable to effectively f</w:t>
      </w:r>
      <w:r>
        <w:rPr>
          <w:rFonts w:eastAsia="Times New Roman"/>
          <w:color w:val="000000"/>
          <w:sz w:val="20"/>
          <w:szCs w:val="20"/>
        </w:rPr>
        <w:t>orecast our facilities needs or if we are unable to sublease or terminate leases for unused space, we may experience increased and unexpected costs. Moreover, our need to effectively manage our operations and cost structure requires that we continue to ass</w:t>
      </w:r>
      <w:r>
        <w:rPr>
          <w:rFonts w:eastAsia="Times New Roman"/>
          <w:color w:val="000000"/>
          <w:sz w:val="20"/>
          <w:szCs w:val="20"/>
        </w:rPr>
        <w:t>ess and improve our operational, financial and management controls, reporting systems and procedures.</w:t>
      </w:r>
    </w:p>
    <w:p w:rsidR="00000000" w:rsidRDefault="00971A12">
      <w:pPr>
        <w:jc w:val="both"/>
        <w:divId w:val="292952191"/>
        <w:rPr>
          <w:rFonts w:eastAsia="Times New Roman"/>
        </w:rPr>
      </w:pPr>
      <w:r>
        <w:rPr>
          <w:rFonts w:eastAsia="Times New Roman"/>
          <w:color w:val="000000"/>
          <w:sz w:val="20"/>
          <w:szCs w:val="20"/>
        </w:rPr>
        <w:t>From time to time, as a result of acquisition integration initiatives, or through efforts to improve or streamline our operations (including the Restructu</w:t>
      </w:r>
      <w:r>
        <w:rPr>
          <w:rFonts w:eastAsia="Times New Roman"/>
          <w:color w:val="000000"/>
          <w:sz w:val="20"/>
          <w:szCs w:val="20"/>
        </w:rPr>
        <w:t xml:space="preserve">ring Plan), we have reduced our workforce or reassigned personnel, and we may do so in the future. Such actions may expose us to disruption by dissatisfied employees or employee-related claims, including claims by terminated employees who believe they are </w:t>
      </w:r>
      <w:r>
        <w:rPr>
          <w:rFonts w:eastAsia="Times New Roman"/>
          <w:color w:val="000000"/>
          <w:sz w:val="20"/>
          <w:szCs w:val="20"/>
        </w:rPr>
        <w:t>owed more compensation than we believe these employees are due under our compensation and benefit plans, or claims maintained internationally in jurisdictions whose laws and procedures differ from those in the U.S.</w:t>
      </w:r>
    </w:p>
    <w:p w:rsidR="00000000" w:rsidRDefault="00971A12">
      <w:pPr>
        <w:jc w:val="both"/>
        <w:divId w:val="1275358678"/>
        <w:rPr>
          <w:rFonts w:eastAsia="Times New Roman"/>
        </w:rPr>
      </w:pPr>
      <w:r>
        <w:rPr>
          <w:rFonts w:eastAsia="Times New Roman"/>
          <w:color w:val="000000"/>
          <w:sz w:val="20"/>
          <w:szCs w:val="20"/>
        </w:rPr>
        <w:t>If we are not able to efficiently and eff</w:t>
      </w:r>
      <w:r>
        <w:rPr>
          <w:rFonts w:eastAsia="Times New Roman"/>
          <w:color w:val="000000"/>
          <w:sz w:val="20"/>
          <w:szCs w:val="20"/>
        </w:rPr>
        <w:t>ectively manage our cost structure and resolve employee-related claims, or if we are unable to manage our space to support our needs, our business may be impaired.</w:t>
      </w:r>
    </w:p>
    <w:p w:rsidR="00000000" w:rsidRDefault="00971A12">
      <w:pPr>
        <w:jc w:val="both"/>
        <w:divId w:val="1369723770"/>
        <w:rPr>
          <w:rFonts w:eastAsia="Times New Roman"/>
        </w:rPr>
      </w:pPr>
      <w:r>
        <w:rPr>
          <w:rFonts w:eastAsia="Times New Roman"/>
          <w:b/>
          <w:bCs/>
          <w:i/>
          <w:iCs/>
          <w:color w:val="000000"/>
          <w:sz w:val="20"/>
          <w:szCs w:val="20"/>
        </w:rPr>
        <w:t>We have a history of significant net losses, may incur significant net losses in the future and may not achieve profitability.</w:t>
      </w:r>
    </w:p>
    <w:p w:rsidR="00000000" w:rsidRDefault="00971A12">
      <w:pPr>
        <w:jc w:val="both"/>
        <w:divId w:val="274867629"/>
        <w:rPr>
          <w:rFonts w:eastAsia="Times New Roman"/>
        </w:rPr>
      </w:pPr>
      <w:r>
        <w:rPr>
          <w:rFonts w:eastAsia="Times New Roman"/>
          <w:color w:val="000000"/>
          <w:sz w:val="20"/>
          <w:szCs w:val="20"/>
        </w:rPr>
        <w:t>We incurred net losses of $66.6 million, $50.0 million and $47.9 million for the years ended December 31, 2022, 2021 and 2020, re</w:t>
      </w:r>
      <w:r>
        <w:rPr>
          <w:rFonts w:eastAsia="Times New Roman"/>
          <w:color w:val="000000"/>
          <w:sz w:val="20"/>
          <w:szCs w:val="20"/>
        </w:rPr>
        <w:t>spectively. We cannot make assurances that we will be able to achieve profitability in the future. As of December 31, 2022, we had an accumulated deficit of $1.3 billion. Because a large portion of our costs are fixed, we may not be able to adequately redu</w:t>
      </w:r>
      <w:r>
        <w:rPr>
          <w:rFonts w:eastAsia="Times New Roman"/>
          <w:color w:val="000000"/>
          <w:sz w:val="20"/>
          <w:szCs w:val="20"/>
        </w:rPr>
        <w:t xml:space="preserve">ce our expenses in response to any decrease in our revenues, which would materially and adversely affect our operating results. In addition, our operating expenses may increase as we implement certain growth initiatives and restructuring activities, which </w:t>
      </w:r>
      <w:r>
        <w:rPr>
          <w:rFonts w:eastAsia="Times New Roman"/>
          <w:color w:val="000000"/>
          <w:sz w:val="20"/>
          <w:szCs w:val="20"/>
        </w:rPr>
        <w:t>include, among other things, the development of new products, enhancement of our data assets and infrastructure, and payment of severance and other costs in connection with organizational restructuring. If our revenues do not increase to offset these incre</w:t>
      </w:r>
      <w:r>
        <w:rPr>
          <w:rFonts w:eastAsia="Times New Roman"/>
          <w:color w:val="000000"/>
          <w:sz w:val="20"/>
          <w:szCs w:val="20"/>
        </w:rPr>
        <w:t>ases in costs and operating expenses, our operating results would be materially and adversely affected.</w:t>
      </w:r>
    </w:p>
    <w:p w:rsidR="00000000" w:rsidRDefault="00971A12">
      <w:pPr>
        <w:jc w:val="both"/>
        <w:divId w:val="1986542972"/>
        <w:rPr>
          <w:rFonts w:eastAsia="Times New Roman"/>
        </w:rPr>
      </w:pPr>
      <w:r>
        <w:rPr>
          <w:rFonts w:eastAsia="Times New Roman"/>
          <w:b/>
          <w:bCs/>
          <w:i/>
          <w:iCs/>
          <w:color w:val="000000"/>
          <w:sz w:val="20"/>
          <w:szCs w:val="20"/>
        </w:rPr>
        <w:t>Our net operating loss carryforwards may expire unutilized or underutilized, which could prevent us from offsetting future taxable income.</w:t>
      </w:r>
    </w:p>
    <w:p w:rsidR="00000000" w:rsidRDefault="00971A12">
      <w:pPr>
        <w:jc w:val="both"/>
        <w:divId w:val="1220627796"/>
        <w:rPr>
          <w:rFonts w:eastAsia="Times New Roman"/>
        </w:rPr>
      </w:pPr>
      <w:r>
        <w:rPr>
          <w:rFonts w:eastAsia="Times New Roman"/>
          <w:color w:val="000000"/>
          <w:sz w:val="20"/>
          <w:szCs w:val="20"/>
        </w:rPr>
        <w:t>Under the pro</w:t>
      </w:r>
      <w:r>
        <w:rPr>
          <w:rFonts w:eastAsia="Times New Roman"/>
          <w:color w:val="000000"/>
          <w:sz w:val="20"/>
          <w:szCs w:val="20"/>
        </w:rPr>
        <w:t>visions of Internal Revenue Code Section 382, certain substantial changes in the Company's ownership may result in a limitation on the amount of U.S. net operating loss carryforwards that can be utilized annually to offset future taxable income and taxes p</w:t>
      </w:r>
      <w:r>
        <w:rPr>
          <w:rFonts w:eastAsia="Times New Roman"/>
          <w:color w:val="000000"/>
          <w:sz w:val="20"/>
          <w:szCs w:val="20"/>
        </w:rPr>
        <w:t>ayable. A significant portion of our net operating loss carryforwards are subject to an annual limitation under Section 382 of the Internal Revenue Code. We anticipate that our 2021 Preferred Stock transactions may have triggered further limitations, but w</w:t>
      </w:r>
      <w:r>
        <w:rPr>
          <w:rFonts w:eastAsia="Times New Roman"/>
          <w:color w:val="000000"/>
          <w:sz w:val="20"/>
          <w:szCs w:val="20"/>
        </w:rPr>
        <w:t>e have not yet reached a final conclusion as to whether an ownership change occurred and to what extent our carryforwards are further limited.</w:t>
      </w:r>
    </w:p>
    <w:p w:rsidR="00000000" w:rsidRDefault="00971A12">
      <w:pPr>
        <w:jc w:val="both"/>
        <w:divId w:val="920141768"/>
        <w:rPr>
          <w:rFonts w:eastAsia="Times New Roman"/>
        </w:rPr>
      </w:pPr>
      <w:r>
        <w:rPr>
          <w:rFonts w:eastAsia="Times New Roman"/>
          <w:color w:val="000000"/>
          <w:sz w:val="20"/>
          <w:szCs w:val="20"/>
        </w:rPr>
        <w:t>As of December 31, 2022, we estimate our U.S. federal and state net operating loss carryforwards for tax purposes</w:t>
      </w:r>
      <w:r>
        <w:rPr>
          <w:rFonts w:eastAsia="Times New Roman"/>
          <w:color w:val="000000"/>
          <w:sz w:val="20"/>
          <w:szCs w:val="20"/>
        </w:rPr>
        <w:t xml:space="preserve"> were $584.8 million and $1.4 billion, respectively, subject to limitation as described above. These net operating loss carryforwards will begin to expire in 2031 for federal income tax reporting purposes and in 2023 for state income tax reporting purposes</w:t>
      </w:r>
      <w:r>
        <w:rPr>
          <w:rFonts w:eastAsia="Times New Roman"/>
          <w:color w:val="000000"/>
          <w:sz w:val="20"/>
          <w:szCs w:val="20"/>
        </w:rPr>
        <w:t>. The federal and certain state net operating losses generated after December 31, 2017 have an indefinite carryforward period as a result of the enactment of the Tax Cuts and Jobs Act ("TCJA"). As of December 31, 2022, we estimate our aggregate net operati</w:t>
      </w:r>
      <w:r>
        <w:rPr>
          <w:rFonts w:eastAsia="Times New Roman"/>
          <w:color w:val="000000"/>
          <w:sz w:val="20"/>
          <w:szCs w:val="20"/>
        </w:rPr>
        <w:t>ng loss carryforwards for tax purposes related to our foreign subsidiaries were $9.8 million, which will begin to expire in 2024.</w:t>
      </w:r>
    </w:p>
    <w:p w:rsidR="00000000" w:rsidRDefault="00971A12">
      <w:pPr>
        <w:jc w:val="both"/>
        <w:divId w:val="3822793"/>
        <w:rPr>
          <w:rFonts w:eastAsia="Times New Roman"/>
        </w:rPr>
      </w:pPr>
      <w:r>
        <w:rPr>
          <w:rFonts w:eastAsia="Times New Roman"/>
          <w:color w:val="000000"/>
          <w:sz w:val="20"/>
          <w:szCs w:val="20"/>
        </w:rPr>
        <w:t>We apply a valuation allowance to our deferred tax assets when management does not believe that it is more-likely-than-not tha</w:t>
      </w:r>
      <w:r>
        <w:rPr>
          <w:rFonts w:eastAsia="Times New Roman"/>
          <w:color w:val="000000"/>
          <w:sz w:val="20"/>
          <w:szCs w:val="20"/>
        </w:rPr>
        <w:t>t they will be realized. In assessing the need for a valuation allowance, we consider all sources of taxable income, including potential opportunities for loss carrybacks, the reversal of existing temporary differences associated with our deferred tax asse</w:t>
      </w:r>
      <w:r>
        <w:rPr>
          <w:rFonts w:eastAsia="Times New Roman"/>
          <w:color w:val="000000"/>
          <w:sz w:val="20"/>
          <w:szCs w:val="20"/>
        </w:rPr>
        <w:t xml:space="preserve">ts and liabilities, tax planning strategies and future taxable income. We also consider other evidence such as historical pre-tax book income in making </w:t>
      </w:r>
    </w:p>
    <w:p w:rsidR="00000000" w:rsidRDefault="00971A12">
      <w:pPr>
        <w:jc w:val="center"/>
        <w:divId w:val="1023630993"/>
        <w:rPr>
          <w:rFonts w:eastAsia="Times New Roman"/>
        </w:rPr>
      </w:pPr>
      <w:r>
        <w:rPr>
          <w:rFonts w:eastAsia="Times New Roman"/>
          <w:color w:val="000000"/>
          <w:sz w:val="20"/>
          <w:szCs w:val="20"/>
        </w:rPr>
        <w:t>21</w:t>
      </w:r>
    </w:p>
    <w:p w:rsidR="00000000" w:rsidRDefault="00971A12">
      <w:pPr>
        <w:rPr>
          <w:rFonts w:eastAsia="Times New Roman"/>
        </w:rPr>
      </w:pPr>
      <w:r>
        <w:rPr>
          <w:rFonts w:eastAsia="Times New Roman"/>
        </w:rPr>
        <w:pict>
          <v:rect id="_x0000_i1048" style="width:0;height:1.5pt" o:hralign="center" o:hrstd="t" o:hr="t" fillcolor="#a0a0a0" stroked="f"/>
        </w:pict>
      </w:r>
    </w:p>
    <w:p w:rsidR="00000000" w:rsidRDefault="00971A12">
      <w:pPr>
        <w:divId w:val="1004430260"/>
        <w:rPr>
          <w:rFonts w:eastAsia="Times New Roman"/>
        </w:rPr>
      </w:pPr>
      <w:hyperlink w:anchor="i0047531bd13046b986557e31951e34f8_7" w:history="1">
        <w:r>
          <w:rPr>
            <w:rStyle w:val="a3"/>
            <w:rFonts w:eastAsia="Times New Roman"/>
            <w:sz w:val="20"/>
            <w:szCs w:val="20"/>
          </w:rPr>
          <w:t xml:space="preserve">Table </w:t>
        </w:r>
        <w:r>
          <w:rPr>
            <w:rStyle w:val="a3"/>
            <w:rFonts w:eastAsia="Times New Roman"/>
            <w:sz w:val="20"/>
            <w:szCs w:val="20"/>
          </w:rPr>
          <w:t>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322972400"/>
        <w:rPr>
          <w:rFonts w:eastAsia="Times New Roman"/>
        </w:rPr>
      </w:pPr>
    </w:p>
    <w:p w:rsidR="00000000" w:rsidRDefault="00971A12">
      <w:pPr>
        <w:jc w:val="both"/>
        <w:divId w:val="198513020"/>
        <w:rPr>
          <w:rFonts w:eastAsia="Times New Roman"/>
        </w:rPr>
      </w:pPr>
      <w:r>
        <w:rPr>
          <w:rFonts w:eastAsia="Times New Roman"/>
          <w:color w:val="000000"/>
          <w:sz w:val="20"/>
          <w:szCs w:val="20"/>
        </w:rPr>
        <w:t>the determination. As of December 31, 2022, we continue to have a valuation allowance recorded against the net deferred tax assets of our U.S. entities and certain foreign subsidiaries</w:t>
      </w:r>
      <w:r>
        <w:rPr>
          <w:rFonts w:eastAsia="Times New Roman"/>
          <w:color w:val="000000"/>
          <w:sz w:val="20"/>
          <w:szCs w:val="20"/>
        </w:rPr>
        <w:t>, including net operating loss carryforwards.</w:t>
      </w:r>
    </w:p>
    <w:p w:rsidR="00000000" w:rsidRDefault="00971A12">
      <w:pPr>
        <w:jc w:val="both"/>
        <w:divId w:val="1312635645"/>
        <w:rPr>
          <w:rFonts w:eastAsia="Times New Roman"/>
        </w:rPr>
      </w:pPr>
      <w:r>
        <w:rPr>
          <w:rFonts w:eastAsia="Times New Roman"/>
          <w:b/>
          <w:bCs/>
          <w:color w:val="000000"/>
          <w:sz w:val="20"/>
          <w:szCs w:val="20"/>
        </w:rPr>
        <w:t xml:space="preserve">Risks Related to Legal and Regulatory Compliance, Litigation and Tax Matters </w:t>
      </w:r>
    </w:p>
    <w:p w:rsidR="00000000" w:rsidRDefault="00971A12">
      <w:pPr>
        <w:jc w:val="both"/>
        <w:divId w:val="288320498"/>
        <w:rPr>
          <w:rFonts w:eastAsia="Times New Roman"/>
        </w:rPr>
      </w:pPr>
      <w:r>
        <w:rPr>
          <w:rFonts w:eastAsia="Times New Roman"/>
          <w:b/>
          <w:bCs/>
          <w:i/>
          <w:iCs/>
          <w:color w:val="000000"/>
          <w:sz w:val="20"/>
          <w:szCs w:val="20"/>
        </w:rPr>
        <w:t>Concern over privacy violations and data breaches could lead to public relations problems, regulatory scrutiny and lawsuits, which c</w:t>
      </w:r>
      <w:r>
        <w:rPr>
          <w:rFonts w:eastAsia="Times New Roman"/>
          <w:b/>
          <w:bCs/>
          <w:i/>
          <w:iCs/>
          <w:color w:val="000000"/>
          <w:sz w:val="20"/>
          <w:szCs w:val="20"/>
        </w:rPr>
        <w:t>ould harm our business.</w:t>
      </w:r>
    </w:p>
    <w:p w:rsidR="00000000" w:rsidRDefault="00971A12">
      <w:pPr>
        <w:jc w:val="both"/>
        <w:divId w:val="1196114859"/>
        <w:rPr>
          <w:rFonts w:eastAsia="Times New Roman"/>
        </w:rPr>
      </w:pPr>
      <w:r>
        <w:rPr>
          <w:rFonts w:eastAsia="Times New Roman"/>
          <w:color w:val="000000"/>
          <w:sz w:val="20"/>
          <w:szCs w:val="20"/>
        </w:rPr>
        <w:t>We are subject to data privacy and protection laws and regulations that apply to the collection, transmission, storage and use of personal information. The regulatory environment surrounding information security and data privacy varies from jurisdiction to</w:t>
      </w:r>
      <w:r>
        <w:rPr>
          <w:rFonts w:eastAsia="Times New Roman"/>
          <w:color w:val="000000"/>
          <w:sz w:val="20"/>
          <w:szCs w:val="20"/>
        </w:rPr>
        <w:t xml:space="preserve"> jurisdiction and is constantly evolving and increasingly demanding. The restrictions imposed by such laws continue to develop and may require us to incur substantial costs and fines or adopt additional compliance measures, such as notification requirement</w:t>
      </w:r>
      <w:r>
        <w:rPr>
          <w:rFonts w:eastAsia="Times New Roman"/>
          <w:color w:val="000000"/>
          <w:sz w:val="20"/>
          <w:szCs w:val="20"/>
        </w:rPr>
        <w:t>s and corrective actions.</w:t>
      </w:r>
    </w:p>
    <w:p w:rsidR="00000000" w:rsidRDefault="00971A12">
      <w:pPr>
        <w:jc w:val="both"/>
        <w:divId w:val="452797134"/>
        <w:rPr>
          <w:rFonts w:eastAsia="Times New Roman"/>
        </w:rPr>
      </w:pPr>
      <w:r>
        <w:rPr>
          <w:rFonts w:eastAsia="Times New Roman"/>
          <w:color w:val="000000"/>
          <w:sz w:val="20"/>
          <w:szCs w:val="20"/>
        </w:rPr>
        <w:t>Any perception of our practices, products or services as a violation of individual privacy rights may subject us to public criticism, loss of customers, partners or vendors, litigation (including class action lawsuits), reputation</w:t>
      </w:r>
      <w:r>
        <w:rPr>
          <w:rFonts w:eastAsia="Times New Roman"/>
          <w:color w:val="000000"/>
          <w:sz w:val="20"/>
          <w:szCs w:val="20"/>
        </w:rPr>
        <w:t>al harm, or investigations or claims by regulators, industry groups or other third parties, all of which could significantly disrupt our business and expose us to increased liability. Additionally, laws regulating privacy and third-party products purportin</w:t>
      </w:r>
      <w:r>
        <w:rPr>
          <w:rFonts w:eastAsia="Times New Roman"/>
          <w:color w:val="000000"/>
          <w:sz w:val="20"/>
          <w:szCs w:val="20"/>
        </w:rPr>
        <w:t>g to address privacy concerns could negatively affect the functionality of, and demand for, our products and services, thereby resulting in loss of customers, partners and vendors and harm to our business.</w:t>
      </w:r>
    </w:p>
    <w:p w:rsidR="00000000" w:rsidRDefault="00971A12">
      <w:pPr>
        <w:jc w:val="both"/>
        <w:divId w:val="1371224487"/>
        <w:rPr>
          <w:rFonts w:eastAsia="Times New Roman"/>
        </w:rPr>
      </w:pPr>
      <w:r>
        <w:rPr>
          <w:rFonts w:eastAsia="Times New Roman"/>
          <w:color w:val="000000"/>
          <w:sz w:val="20"/>
          <w:szCs w:val="20"/>
        </w:rPr>
        <w:t>We also rely on security questionnaires and contra</w:t>
      </w:r>
      <w:r>
        <w:rPr>
          <w:rFonts w:eastAsia="Times New Roman"/>
          <w:color w:val="000000"/>
          <w:sz w:val="20"/>
          <w:szCs w:val="20"/>
        </w:rPr>
        <w:t>ctual representations made to us by customers, partners, vendors and other third-party data providers that their own use of our services and the information they provide to us do not violate any applicable privacy laws, rules and regulations or their own p</w:t>
      </w:r>
      <w:r>
        <w:rPr>
          <w:rFonts w:eastAsia="Times New Roman"/>
          <w:color w:val="000000"/>
          <w:sz w:val="20"/>
          <w:szCs w:val="20"/>
        </w:rPr>
        <w:t>rivacy or security policies. As a component of our client contracts, we generally obligate customers to provide their consumers the opportunity to obtain the appropriate level of consent (including opt outs) for the information collection associated with o</w:t>
      </w:r>
      <w:r>
        <w:rPr>
          <w:rFonts w:eastAsia="Times New Roman"/>
          <w:color w:val="000000"/>
          <w:sz w:val="20"/>
          <w:szCs w:val="20"/>
        </w:rPr>
        <w:t>ur services, as applicable, or provide another appropriate legal basis for collection. If these questionnaires or representations are false, inaccurate or incomplete, or if our customers, partners, vendors and other third-party data providers do not otherw</w:t>
      </w:r>
      <w:r>
        <w:rPr>
          <w:rFonts w:eastAsia="Times New Roman"/>
          <w:color w:val="000000"/>
          <w:sz w:val="20"/>
          <w:szCs w:val="20"/>
        </w:rPr>
        <w:t>ise comply with applicable privacy laws or security practices, we could face adverse publicity and possible legal or regulatory action.</w:t>
      </w:r>
    </w:p>
    <w:p w:rsidR="00000000" w:rsidRDefault="00971A12">
      <w:pPr>
        <w:jc w:val="both"/>
        <w:divId w:val="1469399229"/>
        <w:rPr>
          <w:rFonts w:eastAsia="Times New Roman"/>
        </w:rPr>
      </w:pPr>
      <w:r>
        <w:rPr>
          <w:rFonts w:eastAsia="Times New Roman"/>
          <w:color w:val="000000"/>
          <w:sz w:val="20"/>
          <w:szCs w:val="20"/>
        </w:rPr>
        <w:t>Outside parties, including foreign actors, may attempt to fraudulently induce our employees or users of our solutions to</w:t>
      </w:r>
      <w:r>
        <w:rPr>
          <w:rFonts w:eastAsia="Times New Roman"/>
          <w:color w:val="000000"/>
          <w:sz w:val="20"/>
          <w:szCs w:val="20"/>
        </w:rPr>
        <w:t xml:space="preserve"> disclose sensitive information via illegal electronic spamming, phishing, threats or other tactics. Unauthorized parties may also attempt to gain physical access to our information systems. This risk may be heightened in U.S. election years, particularly </w:t>
      </w:r>
      <w:r>
        <w:rPr>
          <w:rFonts w:eastAsia="Times New Roman"/>
          <w:color w:val="000000"/>
          <w:sz w:val="20"/>
          <w:szCs w:val="20"/>
        </w:rPr>
        <w:t>from foreign governments and other foreign actors. Any breach of our security measures or the accidental loss, inadvertent disclosure or unauthorized dissemination of proprietary information or sensitive, personal or confidential data about us, our employe</w:t>
      </w:r>
      <w:r>
        <w:rPr>
          <w:rFonts w:eastAsia="Times New Roman"/>
          <w:color w:val="000000"/>
          <w:sz w:val="20"/>
          <w:szCs w:val="20"/>
        </w:rPr>
        <w:t xml:space="preserve">es or our customers, partners or vendors, including the potential loss or disclosure of such information or data as a result of hacking, fraud, trickery or other forms of deception, could expose us, our employees, our customers or the individuals affected </w:t>
      </w:r>
      <w:r>
        <w:rPr>
          <w:rFonts w:eastAsia="Times New Roman"/>
          <w:color w:val="000000"/>
          <w:sz w:val="20"/>
          <w:szCs w:val="20"/>
        </w:rPr>
        <w:t>to risks of loss or misuse of this information. Any actual or potential breach of our security measures may result in litigation and potential liability or fines, governmental inquiry or oversight or a loss of customer confidence, any of which could harm o</w:t>
      </w:r>
      <w:r>
        <w:rPr>
          <w:rFonts w:eastAsia="Times New Roman"/>
          <w:color w:val="000000"/>
          <w:sz w:val="20"/>
          <w:szCs w:val="20"/>
        </w:rPr>
        <w:t>ur business and damage our brand and reputation, possibly impeding our present and future success in retaining and attracting new customers and thereby requiring time and resources to repair our brand.</w:t>
      </w:r>
    </w:p>
    <w:p w:rsidR="00000000" w:rsidRDefault="00971A12">
      <w:pPr>
        <w:jc w:val="both"/>
        <w:divId w:val="823666309"/>
        <w:rPr>
          <w:rFonts w:eastAsia="Times New Roman"/>
        </w:rPr>
      </w:pPr>
      <w:r>
        <w:rPr>
          <w:rFonts w:eastAsia="Times New Roman"/>
          <w:b/>
          <w:bCs/>
          <w:i/>
          <w:iCs/>
          <w:color w:val="000000"/>
          <w:sz w:val="20"/>
          <w:szCs w:val="20"/>
        </w:rPr>
        <w:t>Domestic or foreign laws, regulations or enforcement a</w:t>
      </w:r>
      <w:r>
        <w:rPr>
          <w:rFonts w:eastAsia="Times New Roman"/>
          <w:b/>
          <w:bCs/>
          <w:i/>
          <w:iCs/>
          <w:color w:val="000000"/>
          <w:sz w:val="20"/>
          <w:szCs w:val="20"/>
        </w:rPr>
        <w:t>ctions may limit our ability to collect and incorporate media usage information in our products, which may decrease their value and cause an adverse impact on our business and financial results.</w:t>
      </w:r>
    </w:p>
    <w:p w:rsidR="00000000" w:rsidRDefault="00971A12">
      <w:pPr>
        <w:jc w:val="both"/>
        <w:divId w:val="1032997793"/>
        <w:rPr>
          <w:rFonts w:eastAsia="Times New Roman"/>
        </w:rPr>
      </w:pPr>
      <w:r>
        <w:rPr>
          <w:rFonts w:eastAsia="Times New Roman"/>
          <w:color w:val="000000"/>
          <w:sz w:val="20"/>
          <w:szCs w:val="20"/>
        </w:rPr>
        <w:t>Our business could be adversely impacted by existing or futur</w:t>
      </w:r>
      <w:r>
        <w:rPr>
          <w:rFonts w:eastAsia="Times New Roman"/>
          <w:color w:val="000000"/>
          <w:sz w:val="20"/>
          <w:szCs w:val="20"/>
        </w:rPr>
        <w:t>e laws, regulations or actions by domestic or foreign regulatory agencies, or by our customers' or partners' efforts to comply with these laws. For example, privacy, data protection and personal information, intellectual property, advertising, data securit</w:t>
      </w:r>
      <w:r>
        <w:rPr>
          <w:rFonts w:eastAsia="Times New Roman"/>
          <w:color w:val="000000"/>
          <w:sz w:val="20"/>
          <w:szCs w:val="20"/>
        </w:rPr>
        <w:t>y, data retention and deletion, protection of minors, consumer protection, economic or other trade prohibitions or sanctions concerns have and could continue to lead to legislative, judicial and regulatory limitations on our and our partners' ability to co</w:t>
      </w:r>
      <w:r>
        <w:rPr>
          <w:rFonts w:eastAsia="Times New Roman"/>
          <w:color w:val="000000"/>
          <w:sz w:val="20"/>
          <w:szCs w:val="20"/>
        </w:rPr>
        <w:t>llect, maintain and use information about consumers' behavior and media consumption in the U.S. and abroad, impacting the amount and quality of data in our products and increasing our costs.</w:t>
      </w:r>
    </w:p>
    <w:p w:rsidR="00000000" w:rsidRDefault="00971A12">
      <w:pPr>
        <w:jc w:val="both"/>
        <w:divId w:val="54474774"/>
        <w:rPr>
          <w:rFonts w:eastAsia="Times New Roman"/>
        </w:rPr>
      </w:pPr>
      <w:r>
        <w:rPr>
          <w:rFonts w:eastAsia="Times New Roman"/>
          <w:color w:val="000000"/>
          <w:sz w:val="20"/>
          <w:szCs w:val="20"/>
        </w:rPr>
        <w:t>State and federal laws within the U.S. and foreign laws and regul</w:t>
      </w:r>
      <w:r>
        <w:rPr>
          <w:rFonts w:eastAsia="Times New Roman"/>
          <w:color w:val="000000"/>
          <w:sz w:val="20"/>
          <w:szCs w:val="20"/>
        </w:rPr>
        <w:t>ations are varied, overlapping and at times conflicting, resulting in higher risk related to compliance. A number of laws have recently come into effect, and there are proposals pending before federal, state and foreign legislative and regulatory bodies th</w:t>
      </w:r>
      <w:r>
        <w:rPr>
          <w:rFonts w:eastAsia="Times New Roman"/>
          <w:color w:val="000000"/>
          <w:sz w:val="20"/>
          <w:szCs w:val="20"/>
        </w:rPr>
        <w:t>at have affected and are likely to continue to affect our business. For example, the European Union's ("EU") General Data Protection Regulation, or GDPR, became effective in 2018, imposing more stringent EU data protection requirements and providing for gr</w:t>
      </w:r>
      <w:r>
        <w:rPr>
          <w:rFonts w:eastAsia="Times New Roman"/>
          <w:color w:val="000000"/>
          <w:sz w:val="20"/>
          <w:szCs w:val="20"/>
        </w:rPr>
        <w:t>eater penalties for noncompliance. In addition, regulators in the EU, the U.S. and elsewhere are increasingly focused on transparency, consent, consumer choice and the collection of data using tracking technologies. In the EU, cross-border data transfers a</w:t>
      </w:r>
      <w:r>
        <w:rPr>
          <w:rFonts w:eastAsia="Times New Roman"/>
          <w:color w:val="000000"/>
          <w:sz w:val="20"/>
          <w:szCs w:val="20"/>
        </w:rPr>
        <w:t xml:space="preserve">re increasingly scrutinized to ensure compliance, and there have been expanded enforcement efforts in this area. Five U.S. states now have comprehensive privacy laws governing the collection and use of personal information. The California Consumer Privacy </w:t>
      </w:r>
      <w:r>
        <w:rPr>
          <w:rFonts w:eastAsia="Times New Roman"/>
          <w:color w:val="000000"/>
          <w:sz w:val="20"/>
          <w:szCs w:val="20"/>
        </w:rPr>
        <w:t xml:space="preserve">Act, which went into effect in 2020, was substantially expanded by the California Privacy Rights Act of 2020, which went into effect in January 2023. The Virginia Consumer Data Protection Act, the Colorado Privacy Act, the Connecticut Data Privacy Act and </w:t>
      </w:r>
      <w:r>
        <w:rPr>
          <w:rFonts w:eastAsia="Times New Roman"/>
          <w:color w:val="000000"/>
          <w:sz w:val="20"/>
          <w:szCs w:val="20"/>
        </w:rPr>
        <w:t xml:space="preserve">the Utah Consumer Privacy Act all came into effect or will come into effect in 2023. These U.S. </w:t>
      </w:r>
    </w:p>
    <w:p w:rsidR="00000000" w:rsidRDefault="00971A12">
      <w:pPr>
        <w:jc w:val="center"/>
        <w:divId w:val="1085223273"/>
        <w:rPr>
          <w:rFonts w:eastAsia="Times New Roman"/>
        </w:rPr>
      </w:pPr>
      <w:r>
        <w:rPr>
          <w:rFonts w:eastAsia="Times New Roman"/>
          <w:color w:val="000000"/>
          <w:sz w:val="20"/>
          <w:szCs w:val="20"/>
        </w:rPr>
        <w:t>22</w:t>
      </w:r>
    </w:p>
    <w:p w:rsidR="00000000" w:rsidRDefault="00971A12">
      <w:pPr>
        <w:rPr>
          <w:rFonts w:eastAsia="Times New Roman"/>
        </w:rPr>
      </w:pPr>
      <w:r>
        <w:rPr>
          <w:rFonts w:eastAsia="Times New Roman"/>
        </w:rPr>
        <w:pict>
          <v:rect id="_x0000_i1049" style="width:0;height:1.5pt" o:hralign="center" o:hrstd="t" o:hr="t" fillcolor="#a0a0a0" stroked="f"/>
        </w:pict>
      </w:r>
    </w:p>
    <w:p w:rsidR="00000000" w:rsidRDefault="00971A12">
      <w:pPr>
        <w:divId w:val="916937617"/>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2061633871"/>
        <w:rPr>
          <w:rFonts w:eastAsia="Times New Roman"/>
        </w:rPr>
      </w:pPr>
    </w:p>
    <w:p w:rsidR="00000000" w:rsidRDefault="00971A12">
      <w:pPr>
        <w:jc w:val="both"/>
        <w:divId w:val="1873616545"/>
        <w:rPr>
          <w:rFonts w:eastAsia="Times New Roman"/>
        </w:rPr>
      </w:pPr>
      <w:r>
        <w:rPr>
          <w:rFonts w:eastAsia="Times New Roman"/>
          <w:color w:val="000000"/>
          <w:sz w:val="20"/>
          <w:szCs w:val="20"/>
        </w:rPr>
        <w:t>federal and state and foreign laws and regulations, which in some cases can be enforced by private parties in addition to government entities, are constantly evolving and impose new and complex requirements on our business.</w:t>
      </w:r>
    </w:p>
    <w:p w:rsidR="00000000" w:rsidRDefault="00971A12">
      <w:pPr>
        <w:jc w:val="both"/>
        <w:divId w:val="212155230"/>
        <w:rPr>
          <w:rFonts w:eastAsia="Times New Roman"/>
        </w:rPr>
      </w:pPr>
      <w:r>
        <w:rPr>
          <w:rFonts w:eastAsia="Times New Roman"/>
          <w:color w:val="000000"/>
          <w:sz w:val="20"/>
          <w:szCs w:val="20"/>
        </w:rPr>
        <w:t>We have implemen</w:t>
      </w:r>
      <w:r>
        <w:rPr>
          <w:rFonts w:eastAsia="Times New Roman"/>
          <w:color w:val="000000"/>
          <w:sz w:val="20"/>
          <w:szCs w:val="20"/>
        </w:rPr>
        <w:t>ted policies and procedures to comply with the GDPR, state privacy laws, the Children's Online Privacy Protection Act and other laws and regulations, and we continue to evaluate and implement processes and enhancements and monitor changes in laws and regul</w:t>
      </w:r>
      <w:r>
        <w:rPr>
          <w:rFonts w:eastAsia="Times New Roman"/>
          <w:color w:val="000000"/>
          <w:sz w:val="20"/>
          <w:szCs w:val="20"/>
        </w:rPr>
        <w:t>ations. However, the application, interpretation, and enforcement of these laws and regulations are often uncertain, particularly in the rapidly evolving industries in which we operate, and may be interpreted and applied inconsistently from country to coun</w:t>
      </w:r>
      <w:r>
        <w:rPr>
          <w:rFonts w:eastAsia="Times New Roman"/>
          <w:color w:val="000000"/>
          <w:sz w:val="20"/>
          <w:szCs w:val="20"/>
        </w:rPr>
        <w:t>try, state to state, and customer to customer, and inconsistently with our current policies and practices. Additionally, the costs of compliance with, and the other burdens imposed by, these and other laws, regulatory actions and customer or partner polici</w:t>
      </w:r>
      <w:r>
        <w:rPr>
          <w:rFonts w:eastAsia="Times New Roman"/>
          <w:color w:val="000000"/>
          <w:sz w:val="20"/>
          <w:szCs w:val="20"/>
        </w:rPr>
        <w:t>es may prevent us from selling our products, may require us to alter our products in ways that make them less competitive or compelling to customers, may divert development resources from other priorities, may continue to increase the costs associated with</w:t>
      </w:r>
      <w:r>
        <w:rPr>
          <w:rFonts w:eastAsia="Times New Roman"/>
          <w:color w:val="000000"/>
          <w:sz w:val="20"/>
          <w:szCs w:val="20"/>
        </w:rPr>
        <w:t xml:space="preserve"> selling our products, and may affect our ability to invest in or jointly develop products in the U.S. and in foreign jurisdictions. In addition, failure to comply with these and other laws and regulations may result in, among other things, administrative </w:t>
      </w:r>
      <w:r>
        <w:rPr>
          <w:rFonts w:eastAsia="Times New Roman"/>
          <w:color w:val="000000"/>
          <w:sz w:val="20"/>
          <w:szCs w:val="20"/>
        </w:rPr>
        <w:t>enforcement actions and substantial fines, individual and class action lawsuits, contractual breaches, significant legal fees, and civil and criminal liability. Any regulatory or civil action that is brought against us, even if unsuccessful, may distract o</w:t>
      </w:r>
      <w:r>
        <w:rPr>
          <w:rFonts w:eastAsia="Times New Roman"/>
          <w:color w:val="000000"/>
          <w:sz w:val="20"/>
          <w:szCs w:val="20"/>
        </w:rPr>
        <w:t>ur management's attention, divert our resources, negatively affect our public image or reputation among our panelists, customers, partners and vendors, and harm our business.</w:t>
      </w:r>
    </w:p>
    <w:p w:rsidR="00000000" w:rsidRDefault="00971A12">
      <w:pPr>
        <w:jc w:val="both"/>
        <w:divId w:val="376126508"/>
        <w:rPr>
          <w:rFonts w:eastAsia="Times New Roman"/>
        </w:rPr>
      </w:pPr>
      <w:r>
        <w:rPr>
          <w:rFonts w:eastAsia="Times New Roman"/>
          <w:b/>
          <w:bCs/>
          <w:i/>
          <w:iCs/>
          <w:color w:val="000000"/>
          <w:sz w:val="20"/>
          <w:szCs w:val="20"/>
        </w:rPr>
        <w:t xml:space="preserve">An assertion from a third party that we are infringing its intellectual property </w:t>
      </w:r>
      <w:r>
        <w:rPr>
          <w:rFonts w:eastAsia="Times New Roman"/>
          <w:b/>
          <w:bCs/>
          <w:i/>
          <w:iCs/>
          <w:color w:val="000000"/>
          <w:sz w:val="20"/>
          <w:szCs w:val="20"/>
        </w:rPr>
        <w:t>rights, whether such assertion is valid or not, could subject us to costly and time-consuming litigation or expensive licenses.</w:t>
      </w:r>
    </w:p>
    <w:p w:rsidR="00000000" w:rsidRDefault="00971A12">
      <w:pPr>
        <w:jc w:val="both"/>
        <w:divId w:val="192353603"/>
        <w:rPr>
          <w:rFonts w:eastAsia="Times New Roman"/>
        </w:rPr>
      </w:pPr>
      <w:r>
        <w:rPr>
          <w:rFonts w:eastAsia="Times New Roman"/>
          <w:color w:val="000000"/>
          <w:sz w:val="20"/>
          <w:szCs w:val="20"/>
        </w:rPr>
        <w:t>The media measurement, software and technology industries are characterized by the existence of a large number of patents, copyr</w:t>
      </w:r>
      <w:r>
        <w:rPr>
          <w:rFonts w:eastAsia="Times New Roman"/>
          <w:color w:val="000000"/>
          <w:sz w:val="20"/>
          <w:szCs w:val="20"/>
        </w:rPr>
        <w:t>ights, trademarks and trade secrets and by frequent litigation based on allegations of infringement or other violations of intellectual property rights, domestically or internationally. As we grow, evolve our products and methodologies, and face increasing</w:t>
      </w:r>
      <w:r>
        <w:rPr>
          <w:rFonts w:eastAsia="Times New Roman"/>
          <w:color w:val="000000"/>
          <w:sz w:val="20"/>
          <w:szCs w:val="20"/>
        </w:rPr>
        <w:t xml:space="preserve"> competition, the probability that one or more third parties will make intellectual property rights claims against us increases. In such cases, our products, technologies or methodologies may be found to infringe on the intellectual property rights of othe</w:t>
      </w:r>
      <w:r>
        <w:rPr>
          <w:rFonts w:eastAsia="Times New Roman"/>
          <w:color w:val="000000"/>
          <w:sz w:val="20"/>
          <w:szCs w:val="20"/>
        </w:rPr>
        <w:t>rs. Additionally, many of our agreements may require us to indemnify our customers for third-party intellectual property infringement claims, which would increase our costs if we have to defend such claims and may require that we pay damages and provide al</w:t>
      </w:r>
      <w:r>
        <w:rPr>
          <w:rFonts w:eastAsia="Times New Roman"/>
          <w:color w:val="000000"/>
          <w:sz w:val="20"/>
          <w:szCs w:val="20"/>
        </w:rPr>
        <w:t>ternative services if there were an adverse ruling in any such claims. Intellectual property claims could harm our relationships with our customers, deter future customers from buying our products or expose us to litigation, which could be expensive and di</w:t>
      </w:r>
      <w:r>
        <w:rPr>
          <w:rFonts w:eastAsia="Times New Roman"/>
          <w:color w:val="000000"/>
          <w:sz w:val="20"/>
          <w:szCs w:val="20"/>
        </w:rPr>
        <w:t>vert considerable attention of our management team from the normal operation of our business. Even if we are not a party to any litigation between a customer and a third party, an adverse outcome in any such litigation could make it more difficult for us t</w:t>
      </w:r>
      <w:r>
        <w:rPr>
          <w:rFonts w:eastAsia="Times New Roman"/>
          <w:color w:val="000000"/>
          <w:sz w:val="20"/>
          <w:szCs w:val="20"/>
        </w:rPr>
        <w:t>o defend against intellectual property claims by the third party in any subsequent litigation in which we are a named party. Any of these results could adversely affect our brand, business and results of operations.</w:t>
      </w:r>
    </w:p>
    <w:p w:rsidR="00000000" w:rsidRDefault="00971A12">
      <w:pPr>
        <w:jc w:val="both"/>
        <w:divId w:val="882983779"/>
        <w:rPr>
          <w:rFonts w:eastAsia="Times New Roman"/>
        </w:rPr>
      </w:pPr>
      <w:r>
        <w:rPr>
          <w:rFonts w:eastAsia="Times New Roman"/>
          <w:color w:val="000000"/>
          <w:sz w:val="20"/>
          <w:szCs w:val="20"/>
        </w:rPr>
        <w:t>With respect to any intellectual property rights claim against us or our customers, we may have to pay damages or stop using technology or methodologies found to be in violation of a third party's rights. We may have to seek a license for the technology, w</w:t>
      </w:r>
      <w:r>
        <w:rPr>
          <w:rFonts w:eastAsia="Times New Roman"/>
          <w:color w:val="000000"/>
          <w:sz w:val="20"/>
          <w:szCs w:val="20"/>
        </w:rPr>
        <w:t>hich may not be available on reasonable terms or at all, may significantly increase our operating expenses or may significantly restrict our business activities in one or more respects. We may also be required to develop alternative non-infringing technolo</w:t>
      </w:r>
      <w:r>
        <w:rPr>
          <w:rFonts w:eastAsia="Times New Roman"/>
          <w:color w:val="000000"/>
          <w:sz w:val="20"/>
          <w:szCs w:val="20"/>
        </w:rPr>
        <w:t>gy or methodologies, which could require significant effort and expense. Any of these outcomes could adversely affect our business and results of operations. Even if we prove successful in defending ourselves against such claims, we may incur substantial e</w:t>
      </w:r>
      <w:r>
        <w:rPr>
          <w:rFonts w:eastAsia="Times New Roman"/>
          <w:color w:val="000000"/>
          <w:sz w:val="20"/>
          <w:szCs w:val="20"/>
        </w:rPr>
        <w:t>xpenses and the defense of such claims may divert considerable attention of our management team from the normal operation of our business.</w:t>
      </w:r>
    </w:p>
    <w:p w:rsidR="00000000" w:rsidRDefault="00971A12">
      <w:pPr>
        <w:jc w:val="both"/>
        <w:divId w:val="951282484"/>
        <w:rPr>
          <w:rFonts w:eastAsia="Times New Roman"/>
        </w:rPr>
      </w:pPr>
      <w:r>
        <w:rPr>
          <w:rFonts w:eastAsia="Times New Roman"/>
          <w:b/>
          <w:bCs/>
          <w:i/>
          <w:iCs/>
          <w:color w:val="000000"/>
          <w:sz w:val="20"/>
          <w:szCs w:val="20"/>
        </w:rPr>
        <w:t>The success of our business depends in large part on our ability to protect and enforce our intellectual property rig</w:t>
      </w:r>
      <w:r>
        <w:rPr>
          <w:rFonts w:eastAsia="Times New Roman"/>
          <w:b/>
          <w:bCs/>
          <w:i/>
          <w:iCs/>
          <w:color w:val="000000"/>
          <w:sz w:val="20"/>
          <w:szCs w:val="20"/>
        </w:rPr>
        <w:t>hts.</w:t>
      </w:r>
    </w:p>
    <w:p w:rsidR="00000000" w:rsidRDefault="00971A12">
      <w:pPr>
        <w:jc w:val="both"/>
        <w:divId w:val="1684432547"/>
        <w:rPr>
          <w:rFonts w:eastAsia="Times New Roman"/>
        </w:rPr>
      </w:pPr>
      <w:r>
        <w:rPr>
          <w:rFonts w:eastAsia="Times New Roman"/>
          <w:color w:val="000000"/>
          <w:sz w:val="20"/>
          <w:szCs w:val="20"/>
        </w:rPr>
        <w:t>We rely on a combination of patent, copyright, service mark, trademark and trade secret laws, as well as confidentiality procedures and contractual restrictions, to establish and protect our proprietary rights, all of which provide only limited protec</w:t>
      </w:r>
      <w:r>
        <w:rPr>
          <w:rFonts w:eastAsia="Times New Roman"/>
          <w:color w:val="000000"/>
          <w:sz w:val="20"/>
          <w:szCs w:val="20"/>
        </w:rPr>
        <w:t>tion. We endeavor to enter into agreements with our employees and contractors and with parties with whom we do business in order to limit access to and disclosure of our proprietary information. We cannot be certain that the steps we have taken will preven</w:t>
      </w:r>
      <w:r>
        <w:rPr>
          <w:rFonts w:eastAsia="Times New Roman"/>
          <w:color w:val="000000"/>
          <w:sz w:val="20"/>
          <w:szCs w:val="20"/>
        </w:rPr>
        <w:t>t unauthorized use of our technology or the reverse engineering of our technology. Moreover, we may not have adequate resources to devote to obtaining new intellectual property protection for our technology and products, defending our existing rights, or m</w:t>
      </w:r>
      <w:r>
        <w:rPr>
          <w:rFonts w:eastAsia="Times New Roman"/>
          <w:color w:val="000000"/>
          <w:sz w:val="20"/>
          <w:szCs w:val="20"/>
        </w:rPr>
        <w:t>aintaining the security of our know-how and data. We cannot make assurances that any additional patents will be issued with respect to any of our pending or future patent applications, nor can we assure that any patent issued to us will provide adequate pr</w:t>
      </w:r>
      <w:r>
        <w:rPr>
          <w:rFonts w:eastAsia="Times New Roman"/>
          <w:color w:val="000000"/>
          <w:sz w:val="20"/>
          <w:szCs w:val="20"/>
        </w:rPr>
        <w:t>otection, or that any patents issued to us will not be challenged, invalidated, circumvented, or held to be unenforceable in actions against alleged infringers. Also, we cannot make assurances that any future trademark or service mark registrations will be</w:t>
      </w:r>
      <w:r>
        <w:rPr>
          <w:rFonts w:eastAsia="Times New Roman"/>
          <w:color w:val="000000"/>
          <w:sz w:val="20"/>
          <w:szCs w:val="20"/>
        </w:rPr>
        <w:t xml:space="preserve"> issued with respect to pending or future applications or that any of our registered trademarks and service marks will be enforceable or provide adequate protection of our proprietary rights. If we are unable to protect our intellectual property rights, or</w:t>
      </w:r>
      <w:r>
        <w:rPr>
          <w:rFonts w:eastAsia="Times New Roman"/>
          <w:color w:val="000000"/>
          <w:sz w:val="20"/>
          <w:szCs w:val="20"/>
        </w:rPr>
        <w:t xml:space="preserve"> if we must engage in costly and time-consuming litigation to enforce our rights, our results of operations and financial condition could be adversely affected.</w:t>
      </w:r>
    </w:p>
    <w:p w:rsidR="00000000" w:rsidRDefault="00971A12">
      <w:pPr>
        <w:jc w:val="both"/>
        <w:divId w:val="424618504"/>
        <w:rPr>
          <w:rFonts w:eastAsia="Times New Roman"/>
        </w:rPr>
      </w:pPr>
      <w:r>
        <w:rPr>
          <w:rFonts w:eastAsia="Times New Roman"/>
          <w:b/>
          <w:bCs/>
          <w:i/>
          <w:iCs/>
          <w:color w:val="000000"/>
          <w:sz w:val="20"/>
          <w:szCs w:val="20"/>
        </w:rPr>
        <w:t xml:space="preserve">Our use of open source software could limit our ability to sell our products, subject our code </w:t>
      </w:r>
      <w:r>
        <w:rPr>
          <w:rFonts w:eastAsia="Times New Roman"/>
          <w:b/>
          <w:bCs/>
          <w:i/>
          <w:iCs/>
          <w:color w:val="000000"/>
          <w:sz w:val="20"/>
          <w:szCs w:val="20"/>
        </w:rPr>
        <w:t>to public disclosure or require us to reengineer our products.</w:t>
      </w:r>
    </w:p>
    <w:p w:rsidR="00000000" w:rsidRDefault="00971A12">
      <w:pPr>
        <w:jc w:val="both"/>
        <w:divId w:val="10452158"/>
        <w:rPr>
          <w:rFonts w:eastAsia="Times New Roman"/>
        </w:rPr>
      </w:pPr>
      <w:r>
        <w:rPr>
          <w:rFonts w:eastAsia="Times New Roman"/>
          <w:color w:val="000000"/>
          <w:sz w:val="20"/>
          <w:szCs w:val="20"/>
        </w:rPr>
        <w:t>We use open source software in certain of our products, and it is also contained in some third-party software that we license. There are many types of open source licenses, some of which have n</w:t>
      </w:r>
      <w:r>
        <w:rPr>
          <w:rFonts w:eastAsia="Times New Roman"/>
          <w:color w:val="000000"/>
          <w:sz w:val="20"/>
          <w:szCs w:val="20"/>
        </w:rPr>
        <w:t xml:space="preserve">ot been interpreted or adjudicated by U.S. or other courts. Our use of open </w:t>
      </w:r>
    </w:p>
    <w:p w:rsidR="00000000" w:rsidRDefault="00971A12">
      <w:pPr>
        <w:jc w:val="center"/>
        <w:divId w:val="614556429"/>
        <w:rPr>
          <w:rFonts w:eastAsia="Times New Roman"/>
        </w:rPr>
      </w:pPr>
      <w:r>
        <w:rPr>
          <w:rFonts w:eastAsia="Times New Roman"/>
          <w:color w:val="000000"/>
          <w:sz w:val="20"/>
          <w:szCs w:val="20"/>
        </w:rPr>
        <w:t>23</w:t>
      </w:r>
    </w:p>
    <w:p w:rsidR="00000000" w:rsidRDefault="00971A12">
      <w:pPr>
        <w:rPr>
          <w:rFonts w:eastAsia="Times New Roman"/>
        </w:rPr>
      </w:pPr>
      <w:r>
        <w:rPr>
          <w:rFonts w:eastAsia="Times New Roman"/>
        </w:rPr>
        <w:pict>
          <v:rect id="_x0000_i1050" style="width:0;height:1.5pt" o:hralign="center" o:hrstd="t" o:hr="t" fillcolor="#a0a0a0" stroked="f"/>
        </w:pict>
      </w:r>
    </w:p>
    <w:p w:rsidR="00000000" w:rsidRDefault="00971A12">
      <w:pPr>
        <w:divId w:val="1083839770"/>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624429629"/>
        <w:rPr>
          <w:rFonts w:eastAsia="Times New Roman"/>
        </w:rPr>
      </w:pPr>
    </w:p>
    <w:p w:rsidR="00000000" w:rsidRDefault="00971A12">
      <w:pPr>
        <w:jc w:val="both"/>
        <w:divId w:val="565145179"/>
        <w:rPr>
          <w:rFonts w:eastAsia="Times New Roman"/>
        </w:rPr>
      </w:pPr>
      <w:r>
        <w:rPr>
          <w:rFonts w:eastAsia="Times New Roman"/>
          <w:color w:val="000000"/>
          <w:sz w:val="20"/>
          <w:szCs w:val="20"/>
        </w:rPr>
        <w:t>source licenses could limit our ability to sell our products or subject our proprietary code to public disclosure if not properly managed. Remediation of such issues may involve licensing soft</w:t>
      </w:r>
      <w:r>
        <w:rPr>
          <w:rFonts w:eastAsia="Times New Roman"/>
          <w:color w:val="000000"/>
          <w:sz w:val="20"/>
          <w:szCs w:val="20"/>
        </w:rPr>
        <w:t>ware on costly or unfavorable terms or reengineering our products, either of which could have an adverse effect on our results of operations and financial condition.</w:t>
      </w:r>
    </w:p>
    <w:p w:rsidR="00000000" w:rsidRDefault="00971A12">
      <w:pPr>
        <w:jc w:val="both"/>
        <w:divId w:val="1327249392"/>
        <w:rPr>
          <w:rFonts w:eastAsia="Times New Roman"/>
        </w:rPr>
      </w:pPr>
      <w:r>
        <w:rPr>
          <w:rFonts w:eastAsia="Times New Roman"/>
          <w:b/>
          <w:bCs/>
          <w:i/>
          <w:iCs/>
          <w:color w:val="000000"/>
          <w:sz w:val="20"/>
          <w:szCs w:val="20"/>
        </w:rPr>
        <w:t>We are subject to taxation in multiple jurisdictions. Any adverse development in the tax l</w:t>
      </w:r>
      <w:r>
        <w:rPr>
          <w:rFonts w:eastAsia="Times New Roman"/>
          <w:b/>
          <w:bCs/>
          <w:i/>
          <w:iCs/>
          <w:color w:val="000000"/>
          <w:sz w:val="20"/>
          <w:szCs w:val="20"/>
        </w:rPr>
        <w:t>aws of any of these jurisdictions or any disagreement with our tax positions could have a material and adverse effect on our business, financial condition or results of operations.</w:t>
      </w:r>
    </w:p>
    <w:p w:rsidR="00000000" w:rsidRDefault="00971A12">
      <w:pPr>
        <w:jc w:val="both"/>
        <w:divId w:val="480538541"/>
        <w:rPr>
          <w:rFonts w:eastAsia="Times New Roman"/>
        </w:rPr>
      </w:pPr>
      <w:r>
        <w:rPr>
          <w:rFonts w:eastAsia="Times New Roman"/>
          <w:color w:val="000000"/>
          <w:sz w:val="20"/>
          <w:szCs w:val="20"/>
        </w:rPr>
        <w:t>We are subject to taxation in, and to the tax laws and regulations of, mult</w:t>
      </w:r>
      <w:r>
        <w:rPr>
          <w:rFonts w:eastAsia="Times New Roman"/>
          <w:color w:val="000000"/>
          <w:sz w:val="20"/>
          <w:szCs w:val="20"/>
        </w:rPr>
        <w:t xml:space="preserve">iple jurisdictions as a result of the international scope of our operations and our corporate entity structure. We are also subject to transfer pricing laws with respect to our intercompany transactions, including those relating to the flow of funds among </w:t>
      </w:r>
      <w:r>
        <w:rPr>
          <w:rFonts w:eastAsia="Times New Roman"/>
          <w:color w:val="000000"/>
          <w:sz w:val="20"/>
          <w:szCs w:val="20"/>
        </w:rPr>
        <w:t>our companies. Adverse developments in these laws or regulations, or any change in position regarding the application, administration or interpretation thereof, in any applicable jurisdiction, could have a material and adverse effect on our business, finan</w:t>
      </w:r>
      <w:r>
        <w:rPr>
          <w:rFonts w:eastAsia="Times New Roman"/>
          <w:color w:val="000000"/>
          <w:sz w:val="20"/>
          <w:szCs w:val="20"/>
        </w:rPr>
        <w:t>cial condition or results of operations. In addition, the tax authorities in any applicable jurisdiction, including the U.S., may disagree with the positions we have taken or intend to take regarding the tax treatment or characterization of any of our tran</w:t>
      </w:r>
      <w:r>
        <w:rPr>
          <w:rFonts w:eastAsia="Times New Roman"/>
          <w:color w:val="000000"/>
          <w:sz w:val="20"/>
          <w:szCs w:val="20"/>
        </w:rPr>
        <w:t>sactions. If any applicable tax authorities, including U.S. tax authorities, were to successfully challenge the tax treatment or characterization of any of our transactions, it could have a material and adverse effect on our business, financial condition o</w:t>
      </w:r>
      <w:r>
        <w:rPr>
          <w:rFonts w:eastAsia="Times New Roman"/>
          <w:color w:val="000000"/>
          <w:sz w:val="20"/>
          <w:szCs w:val="20"/>
        </w:rPr>
        <w:t>r results of operations.</w:t>
      </w:r>
    </w:p>
    <w:p w:rsidR="00000000" w:rsidRDefault="00971A12">
      <w:pPr>
        <w:jc w:val="both"/>
        <w:divId w:val="1648196243"/>
        <w:rPr>
          <w:rFonts w:eastAsia="Times New Roman"/>
        </w:rPr>
      </w:pPr>
      <w:r>
        <w:rPr>
          <w:rFonts w:eastAsia="Times New Roman"/>
          <w:color w:val="000000"/>
          <w:sz w:val="20"/>
          <w:szCs w:val="20"/>
        </w:rPr>
        <w:t>In August 2022, the Inflation Reduction Act ("IRA") was enacted in the U.S. Although we do not currently expect the IRA to have a material impact on our business, we are continuing to analyze its provisions. Moreover, the current U</w:t>
      </w:r>
      <w:r>
        <w:rPr>
          <w:rFonts w:eastAsia="Times New Roman"/>
          <w:color w:val="000000"/>
          <w:sz w:val="20"/>
          <w:szCs w:val="20"/>
        </w:rPr>
        <w:t>.S. presidential administration has made various other proposals that, if enacted, would cause significant changes to existing tax law, in particular, an increase in U.S. federal income taxes on corporations and the tax rate on foreign earnings.</w:t>
      </w:r>
    </w:p>
    <w:p w:rsidR="00000000" w:rsidRDefault="00971A12">
      <w:pPr>
        <w:jc w:val="both"/>
        <w:divId w:val="347872260"/>
        <w:rPr>
          <w:rFonts w:eastAsia="Times New Roman"/>
        </w:rPr>
      </w:pPr>
      <w:r>
        <w:rPr>
          <w:rFonts w:eastAsia="Times New Roman"/>
          <w:color w:val="000000"/>
          <w:sz w:val="20"/>
          <w:szCs w:val="20"/>
        </w:rPr>
        <w:t>In additio</w:t>
      </w:r>
      <w:r>
        <w:rPr>
          <w:rFonts w:eastAsia="Times New Roman"/>
          <w:color w:val="000000"/>
          <w:sz w:val="20"/>
          <w:szCs w:val="20"/>
        </w:rPr>
        <w:t>n to changes in U.S. law, longstanding international tax norms that determine each country's jurisdiction to tax cross-border international trade are subject to potential evolution. In October 2021, the Organization for Economic Cooperation and Development</w:t>
      </w:r>
      <w:r>
        <w:rPr>
          <w:rFonts w:eastAsia="Times New Roman"/>
          <w:color w:val="000000"/>
          <w:sz w:val="20"/>
          <w:szCs w:val="20"/>
        </w:rPr>
        <w:t xml:space="preserve"> ("OECD") announced the OECD/G20 Inclusive Framework on Base Erosion and Profit Shifting (the "Framework"), which included a two-pillar solution to address tax challenges arising from digitalization of the economy. In December 2021, the OECD released Pilla</w:t>
      </w:r>
      <w:r>
        <w:rPr>
          <w:rFonts w:eastAsia="Times New Roman"/>
          <w:color w:val="000000"/>
          <w:sz w:val="20"/>
          <w:szCs w:val="20"/>
        </w:rPr>
        <w:t>r Two Model Rules, defining global minimum tax rules that contemplate a minimum tax rate of 15% for multinational enterprises with annual global turnover exceeding €750 million. Although our current results are below the threshold for application of the gl</w:t>
      </w:r>
      <w:r>
        <w:rPr>
          <w:rFonts w:eastAsia="Times New Roman"/>
          <w:color w:val="000000"/>
          <w:sz w:val="20"/>
          <w:szCs w:val="20"/>
        </w:rPr>
        <w:t>obal minimum tax, future growth in our business or changes in the Framework or related laws and regulations could result in the application of a minimum tax to our business, which could adversely affect our financial condition and results.</w:t>
      </w:r>
    </w:p>
    <w:p w:rsidR="00000000" w:rsidRDefault="00971A12">
      <w:pPr>
        <w:jc w:val="both"/>
        <w:divId w:val="1530995261"/>
        <w:rPr>
          <w:rFonts w:eastAsia="Times New Roman"/>
        </w:rPr>
      </w:pPr>
      <w:r>
        <w:rPr>
          <w:rFonts w:eastAsia="Times New Roman"/>
          <w:color w:val="000000"/>
          <w:sz w:val="20"/>
          <w:szCs w:val="20"/>
        </w:rPr>
        <w:t xml:space="preserve">There can be no </w:t>
      </w:r>
      <w:r>
        <w:rPr>
          <w:rFonts w:eastAsia="Times New Roman"/>
          <w:color w:val="000000"/>
          <w:sz w:val="20"/>
          <w:szCs w:val="20"/>
        </w:rPr>
        <w:t>assurance that future changes to federal and state tax laws in the U.S. and foreign tax laws will not be proposed or enacted that could materially impact our business or financial results. If and when any of these changes are put into effect, they could re</w:t>
      </w:r>
      <w:r>
        <w:rPr>
          <w:rFonts w:eastAsia="Times New Roman"/>
          <w:color w:val="000000"/>
          <w:sz w:val="20"/>
          <w:szCs w:val="20"/>
        </w:rPr>
        <w:t>sult in tax increases where we do business both in and outside of the U.S. and could have a material and adverse effect on our results of operations.</w:t>
      </w:r>
    </w:p>
    <w:p w:rsidR="00000000" w:rsidRDefault="00971A12">
      <w:pPr>
        <w:jc w:val="both"/>
        <w:divId w:val="320161755"/>
        <w:rPr>
          <w:rFonts w:eastAsia="Times New Roman"/>
        </w:rPr>
      </w:pPr>
      <w:r>
        <w:rPr>
          <w:rFonts w:eastAsia="Times New Roman"/>
          <w:b/>
          <w:bCs/>
          <w:i/>
          <w:iCs/>
          <w:color w:val="000000"/>
          <w:sz w:val="20"/>
          <w:szCs w:val="20"/>
        </w:rPr>
        <w:t>Taxing authorities may successfully assert that we should have collected or in the future should collect s</w:t>
      </w:r>
      <w:r>
        <w:rPr>
          <w:rFonts w:eastAsia="Times New Roman"/>
          <w:b/>
          <w:bCs/>
          <w:i/>
          <w:iCs/>
          <w:color w:val="000000"/>
          <w:sz w:val="20"/>
          <w:szCs w:val="20"/>
        </w:rPr>
        <w:t>ales and use, value added or similar taxes, and we could be subject to liability with respect to past or future sales.</w:t>
      </w:r>
    </w:p>
    <w:p w:rsidR="00000000" w:rsidRDefault="00971A12">
      <w:pPr>
        <w:jc w:val="both"/>
        <w:divId w:val="1014578581"/>
        <w:rPr>
          <w:rFonts w:eastAsia="Times New Roman"/>
        </w:rPr>
      </w:pPr>
      <w:r>
        <w:rPr>
          <w:rFonts w:eastAsia="Times New Roman"/>
          <w:color w:val="000000"/>
          <w:sz w:val="20"/>
          <w:szCs w:val="20"/>
        </w:rPr>
        <w:t>In certain cases, we have concluded that we do not need to collect sales and use, value added and similar taxes in jurisdictions in which</w:t>
      </w:r>
      <w:r>
        <w:rPr>
          <w:rFonts w:eastAsia="Times New Roman"/>
          <w:color w:val="000000"/>
          <w:sz w:val="20"/>
          <w:szCs w:val="20"/>
        </w:rPr>
        <w:t xml:space="preserve"> we have sales or operations. Certain jurisdictions in which we do not collect such taxes may assert that such taxes are applicable, which could result in tax assessments, penalties and interest, and we may be required to collect such taxes in the future. </w:t>
      </w:r>
      <w:r>
        <w:rPr>
          <w:rFonts w:eastAsia="Times New Roman"/>
          <w:color w:val="000000"/>
          <w:sz w:val="20"/>
          <w:szCs w:val="20"/>
        </w:rPr>
        <w:t>Such tax assessments, penalties and interest or future requirements may adversely affect our financial condition and results of operations.</w:t>
      </w:r>
    </w:p>
    <w:p w:rsidR="00000000" w:rsidRDefault="00971A12">
      <w:pPr>
        <w:jc w:val="both"/>
        <w:divId w:val="410978397"/>
        <w:rPr>
          <w:rFonts w:eastAsia="Times New Roman"/>
        </w:rPr>
      </w:pPr>
      <w:r>
        <w:rPr>
          <w:rFonts w:eastAsia="Times New Roman"/>
          <w:b/>
          <w:bCs/>
          <w:color w:val="000000"/>
          <w:sz w:val="20"/>
          <w:szCs w:val="20"/>
        </w:rPr>
        <w:t>Risks Related to International Operations</w:t>
      </w:r>
    </w:p>
    <w:p w:rsidR="00000000" w:rsidRDefault="00971A12">
      <w:pPr>
        <w:jc w:val="both"/>
        <w:divId w:val="1379401934"/>
        <w:rPr>
          <w:rFonts w:eastAsia="Times New Roman"/>
        </w:rPr>
      </w:pPr>
      <w:r>
        <w:rPr>
          <w:rFonts w:eastAsia="Times New Roman"/>
          <w:b/>
          <w:bCs/>
          <w:i/>
          <w:iCs/>
          <w:color w:val="000000"/>
          <w:sz w:val="20"/>
          <w:szCs w:val="20"/>
        </w:rPr>
        <w:t>Our business could become increasingly susceptible to risks associated wit</w:t>
      </w:r>
      <w:r>
        <w:rPr>
          <w:rFonts w:eastAsia="Times New Roman"/>
          <w:b/>
          <w:bCs/>
          <w:i/>
          <w:iCs/>
          <w:color w:val="000000"/>
          <w:sz w:val="20"/>
          <w:szCs w:val="20"/>
        </w:rPr>
        <w:t>h international operations.</w:t>
      </w:r>
    </w:p>
    <w:p w:rsidR="00000000" w:rsidRDefault="00971A12">
      <w:pPr>
        <w:jc w:val="both"/>
        <w:divId w:val="1598169441"/>
        <w:rPr>
          <w:rFonts w:eastAsia="Times New Roman"/>
        </w:rPr>
      </w:pPr>
      <w:r>
        <w:rPr>
          <w:rFonts w:eastAsia="Times New Roman"/>
          <w:color w:val="000000"/>
          <w:sz w:val="20"/>
          <w:szCs w:val="20"/>
        </w:rPr>
        <w:t>Conducting international operations subjects us to risks that we generally do not face in the U.S. These risks include:</w:t>
      </w:r>
    </w:p>
    <w:p w:rsidR="00000000" w:rsidRDefault="00971A12">
      <w:pPr>
        <w:ind w:hanging="360"/>
        <w:divId w:val="679116388"/>
        <w:rPr>
          <w:rFonts w:eastAsia="Times New Roman"/>
        </w:rPr>
      </w:pPr>
      <w:r>
        <w:rPr>
          <w:rFonts w:eastAsia="Times New Roman"/>
          <w:color w:val="000000"/>
          <w:sz w:val="20"/>
          <w:szCs w:val="20"/>
        </w:rPr>
        <w:t>•recruitment and maintenance of a sufficiently large and representative panel both globally and in certain c</w:t>
      </w:r>
      <w:r>
        <w:rPr>
          <w:rFonts w:eastAsia="Times New Roman"/>
          <w:color w:val="000000"/>
          <w:sz w:val="20"/>
          <w:szCs w:val="20"/>
        </w:rPr>
        <w:t>ountries;</w:t>
      </w:r>
    </w:p>
    <w:p w:rsidR="00000000" w:rsidRDefault="00971A12">
      <w:pPr>
        <w:ind w:hanging="360"/>
        <w:jc w:val="both"/>
        <w:divId w:val="1840611130"/>
        <w:rPr>
          <w:rFonts w:eastAsia="Times New Roman"/>
        </w:rPr>
      </w:pPr>
      <w:r>
        <w:rPr>
          <w:rFonts w:eastAsia="Times New Roman"/>
          <w:color w:val="000000"/>
          <w:sz w:val="20"/>
          <w:szCs w:val="20"/>
        </w:rPr>
        <w:t>•difficulties and expenses associated with tailoring our products to local and international markets as may be required by local customers and joint industry committees or similar industry organizations;</w:t>
      </w:r>
    </w:p>
    <w:p w:rsidR="00000000" w:rsidRDefault="00971A12">
      <w:pPr>
        <w:ind w:hanging="360"/>
        <w:jc w:val="both"/>
        <w:divId w:val="2024553833"/>
        <w:rPr>
          <w:rFonts w:eastAsia="Times New Roman"/>
        </w:rPr>
      </w:pPr>
      <w:r>
        <w:rPr>
          <w:rFonts w:eastAsia="Times New Roman"/>
          <w:color w:val="000000"/>
          <w:sz w:val="20"/>
          <w:szCs w:val="20"/>
        </w:rPr>
        <w:t>•difficulties in expanding the adoption of</w:t>
      </w:r>
      <w:r>
        <w:rPr>
          <w:rFonts w:eastAsia="Times New Roman"/>
          <w:color w:val="000000"/>
          <w:sz w:val="20"/>
          <w:szCs w:val="20"/>
        </w:rPr>
        <w:t xml:space="preserve"> our server- or census-based web beacon data collection in certain countries or obtaining access to other necessary data sources;</w:t>
      </w:r>
    </w:p>
    <w:p w:rsidR="00000000" w:rsidRDefault="00971A12">
      <w:pPr>
        <w:ind w:hanging="360"/>
        <w:jc w:val="both"/>
        <w:divId w:val="1990330556"/>
        <w:rPr>
          <w:rFonts w:eastAsia="Times New Roman"/>
        </w:rPr>
      </w:pPr>
      <w:r>
        <w:rPr>
          <w:rFonts w:eastAsia="Times New Roman"/>
          <w:color w:val="000000"/>
          <w:sz w:val="20"/>
          <w:szCs w:val="20"/>
        </w:rPr>
        <w:t>•the complexities and expense of complying with a wide variety of foreign laws and regulations, including the GDPR, other priv</w:t>
      </w:r>
      <w:r>
        <w:rPr>
          <w:rFonts w:eastAsia="Times New Roman"/>
          <w:color w:val="000000"/>
          <w:sz w:val="20"/>
          <w:szCs w:val="20"/>
        </w:rPr>
        <w:t>acy and data protection laws and regulations, and foreign anti-corruption laws, as well as the U.S. Foreign Corrupt Practices Act;</w:t>
      </w:r>
    </w:p>
    <w:p w:rsidR="00000000" w:rsidRDefault="00971A12">
      <w:pPr>
        <w:ind w:hanging="360"/>
        <w:jc w:val="both"/>
        <w:divId w:val="680201984"/>
        <w:rPr>
          <w:rFonts w:eastAsia="Times New Roman"/>
        </w:rPr>
      </w:pPr>
      <w:r>
        <w:rPr>
          <w:rFonts w:eastAsia="Times New Roman"/>
          <w:color w:val="000000"/>
          <w:sz w:val="20"/>
          <w:szCs w:val="20"/>
        </w:rPr>
        <w:t>•difficulties in staffing and managing international operations, including complex and costly hiring, disciplinary, and termi</w:t>
      </w:r>
      <w:r>
        <w:rPr>
          <w:rFonts w:eastAsia="Times New Roman"/>
          <w:color w:val="000000"/>
          <w:sz w:val="20"/>
          <w:szCs w:val="20"/>
        </w:rPr>
        <w:t>nation requirements as well as third-party contracting arrangements;</w:t>
      </w:r>
    </w:p>
    <w:p w:rsidR="00000000" w:rsidRDefault="00971A12">
      <w:pPr>
        <w:ind w:hanging="360"/>
        <w:jc w:val="both"/>
        <w:divId w:val="1895046091"/>
        <w:rPr>
          <w:rFonts w:eastAsia="Times New Roman"/>
        </w:rPr>
      </w:pPr>
      <w:r>
        <w:rPr>
          <w:rFonts w:eastAsia="Times New Roman"/>
          <w:color w:val="000000"/>
          <w:sz w:val="20"/>
          <w:szCs w:val="20"/>
        </w:rPr>
        <w:t>•the complexities of foreign value-added taxes and the repatriation of earnings, particularly following the enactment of the TCJA;</w:t>
      </w:r>
    </w:p>
    <w:p w:rsidR="00000000" w:rsidRDefault="00971A12">
      <w:pPr>
        <w:jc w:val="center"/>
        <w:divId w:val="1064841140"/>
        <w:rPr>
          <w:rFonts w:eastAsia="Times New Roman"/>
        </w:rPr>
      </w:pPr>
      <w:r>
        <w:rPr>
          <w:rFonts w:eastAsia="Times New Roman"/>
          <w:color w:val="000000"/>
          <w:sz w:val="20"/>
          <w:szCs w:val="20"/>
        </w:rPr>
        <w:t>24</w:t>
      </w:r>
    </w:p>
    <w:p w:rsidR="00000000" w:rsidRDefault="00971A12">
      <w:pPr>
        <w:rPr>
          <w:rFonts w:eastAsia="Times New Roman"/>
        </w:rPr>
      </w:pPr>
      <w:r>
        <w:rPr>
          <w:rFonts w:eastAsia="Times New Roman"/>
        </w:rPr>
        <w:pict>
          <v:rect id="_x0000_i1051" style="width:0;height:1.5pt" o:hralign="center" o:hrstd="t" o:hr="t" fillcolor="#a0a0a0" stroked="f"/>
        </w:pict>
      </w:r>
    </w:p>
    <w:p w:rsidR="00000000" w:rsidRDefault="00971A12">
      <w:pPr>
        <w:divId w:val="138502796"/>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067149374"/>
        <w:rPr>
          <w:rFonts w:eastAsia="Times New Roman"/>
        </w:rPr>
      </w:pPr>
    </w:p>
    <w:p w:rsidR="00000000" w:rsidRDefault="00971A12">
      <w:pPr>
        <w:ind w:hanging="360"/>
        <w:divId w:val="435826477"/>
        <w:rPr>
          <w:rFonts w:eastAsia="Times New Roman"/>
        </w:rPr>
      </w:pPr>
      <w:r>
        <w:rPr>
          <w:rFonts w:eastAsia="Times New Roman"/>
          <w:color w:val="000000"/>
          <w:sz w:val="20"/>
          <w:szCs w:val="20"/>
        </w:rPr>
        <w:t>•reduced or varied protection for intellectual property rights in some countries;</w:t>
      </w:r>
    </w:p>
    <w:p w:rsidR="00000000" w:rsidRDefault="00971A12">
      <w:pPr>
        <w:ind w:hanging="360"/>
        <w:divId w:val="1798834080"/>
        <w:rPr>
          <w:rFonts w:eastAsia="Times New Roman"/>
        </w:rPr>
      </w:pPr>
      <w:r>
        <w:rPr>
          <w:rFonts w:eastAsia="Times New Roman"/>
          <w:color w:val="000000"/>
          <w:sz w:val="20"/>
          <w:szCs w:val="20"/>
        </w:rPr>
        <w:t>•p</w:t>
      </w:r>
      <w:r>
        <w:rPr>
          <w:rFonts w:eastAsia="Times New Roman"/>
          <w:color w:val="000000"/>
          <w:sz w:val="20"/>
          <w:szCs w:val="20"/>
        </w:rPr>
        <w:t>olitical, social and economic instability abroad, terrorist attacks and security concerns;</w:t>
      </w:r>
    </w:p>
    <w:p w:rsidR="00000000" w:rsidRDefault="00971A12">
      <w:pPr>
        <w:ind w:hanging="360"/>
        <w:divId w:val="545289912"/>
        <w:rPr>
          <w:rFonts w:eastAsia="Times New Roman"/>
        </w:rPr>
      </w:pPr>
      <w:r>
        <w:rPr>
          <w:rFonts w:eastAsia="Times New Roman"/>
          <w:color w:val="000000"/>
          <w:sz w:val="20"/>
          <w:szCs w:val="20"/>
        </w:rPr>
        <w:t>•fluctuations in currency exchange rates; and</w:t>
      </w:r>
    </w:p>
    <w:p w:rsidR="00000000" w:rsidRDefault="00971A12">
      <w:pPr>
        <w:ind w:hanging="360"/>
        <w:divId w:val="368652572"/>
        <w:rPr>
          <w:rFonts w:eastAsia="Times New Roman"/>
        </w:rPr>
      </w:pPr>
      <w:r>
        <w:rPr>
          <w:rFonts w:eastAsia="Times New Roman"/>
          <w:color w:val="000000"/>
          <w:sz w:val="20"/>
          <w:szCs w:val="20"/>
        </w:rPr>
        <w:t>•increased accounting and reporting burdens and complexities.</w:t>
      </w:r>
    </w:p>
    <w:p w:rsidR="00000000" w:rsidRDefault="00971A12">
      <w:pPr>
        <w:jc w:val="both"/>
        <w:divId w:val="535505350"/>
        <w:rPr>
          <w:rFonts w:eastAsia="Times New Roman"/>
        </w:rPr>
      </w:pPr>
      <w:r>
        <w:rPr>
          <w:rFonts w:eastAsia="Times New Roman"/>
          <w:color w:val="000000"/>
          <w:sz w:val="20"/>
          <w:szCs w:val="20"/>
        </w:rPr>
        <w:t>Additionally, operating in international markets requires</w:t>
      </w:r>
      <w:r>
        <w:rPr>
          <w:rFonts w:eastAsia="Times New Roman"/>
          <w:color w:val="000000"/>
          <w:sz w:val="20"/>
          <w:szCs w:val="20"/>
        </w:rPr>
        <w:t xml:space="preserve"> significant additional management attention and financial resources. We cannot be certain that the investments and additional resources required to establish and maintain operations in other countries will hold their value or produce desired levels of rev</w:t>
      </w:r>
      <w:r>
        <w:rPr>
          <w:rFonts w:eastAsia="Times New Roman"/>
          <w:color w:val="000000"/>
          <w:sz w:val="20"/>
          <w:szCs w:val="20"/>
        </w:rPr>
        <w:t>enues or profitability. We cannot be certain that we will be able to comply with laws, rules, regulations or local guidelines to maintain or increase the size of the user panels that we currently have in various countries, that we will be able to recruit a</w:t>
      </w:r>
      <w:r>
        <w:rPr>
          <w:rFonts w:eastAsia="Times New Roman"/>
          <w:color w:val="000000"/>
          <w:sz w:val="20"/>
          <w:szCs w:val="20"/>
        </w:rPr>
        <w:t xml:space="preserve"> representative sample for our audience measurement products or that we will be able to enter into arrangements with a sufficient number of website and mobile app content providers and/or television operators to allow us to collect information for inclusio</w:t>
      </w:r>
      <w:r>
        <w:rPr>
          <w:rFonts w:eastAsia="Times New Roman"/>
          <w:color w:val="000000"/>
          <w:sz w:val="20"/>
          <w:szCs w:val="20"/>
        </w:rPr>
        <w:t>n in our products. In addition, governmental authorities in various countries have different views regarding regulatory oversight of the internet, data protection and consumer privacy. The impact of these risks could negatively affect our international bus</w:t>
      </w:r>
      <w:r>
        <w:rPr>
          <w:rFonts w:eastAsia="Times New Roman"/>
          <w:color w:val="000000"/>
          <w:sz w:val="20"/>
          <w:szCs w:val="20"/>
        </w:rPr>
        <w:t>iness and, consequently, our financial condition and results of operations.</w:t>
      </w:r>
    </w:p>
    <w:p w:rsidR="00000000" w:rsidRDefault="00971A12">
      <w:pPr>
        <w:jc w:val="both"/>
        <w:divId w:val="461845788"/>
        <w:rPr>
          <w:rFonts w:eastAsia="Times New Roman"/>
        </w:rPr>
      </w:pPr>
      <w:r>
        <w:rPr>
          <w:rFonts w:eastAsia="Times New Roman"/>
          <w:b/>
          <w:bCs/>
          <w:i/>
          <w:iCs/>
          <w:color w:val="000000"/>
          <w:sz w:val="20"/>
          <w:szCs w:val="20"/>
        </w:rPr>
        <w:t>Export controls and economic and trade sanctions laws could impair our ability to compete in international markets and subject us to liability if we are not in full compliance with</w:t>
      </w:r>
      <w:r>
        <w:rPr>
          <w:rFonts w:eastAsia="Times New Roman"/>
          <w:b/>
          <w:bCs/>
          <w:i/>
          <w:iCs/>
          <w:color w:val="000000"/>
          <w:sz w:val="20"/>
          <w:szCs w:val="20"/>
        </w:rPr>
        <w:t xml:space="preserve"> applicable laws.</w:t>
      </w:r>
    </w:p>
    <w:p w:rsidR="00000000" w:rsidRDefault="00971A12">
      <w:pPr>
        <w:jc w:val="both"/>
        <w:divId w:val="180435448"/>
        <w:rPr>
          <w:rFonts w:eastAsia="Times New Roman"/>
        </w:rPr>
      </w:pPr>
      <w:r>
        <w:rPr>
          <w:rFonts w:eastAsia="Times New Roman"/>
          <w:color w:val="000000"/>
          <w:sz w:val="20"/>
          <w:szCs w:val="20"/>
        </w:rPr>
        <w:t>Our business activities include the collection of data from panelists around the world, and such activities may be subject to various restrictions under U.S. export controls and economic and trade sanctions laws. If we fail to comply with</w:t>
      </w:r>
      <w:r>
        <w:rPr>
          <w:rFonts w:eastAsia="Times New Roman"/>
          <w:color w:val="000000"/>
          <w:sz w:val="20"/>
          <w:szCs w:val="20"/>
        </w:rPr>
        <w:t xml:space="preserve"> these laws and regulations, we could be subject to civil or criminal penalties and reputational harm.</w:t>
      </w:r>
    </w:p>
    <w:p w:rsidR="00000000" w:rsidRDefault="00971A12">
      <w:pPr>
        <w:jc w:val="both"/>
        <w:divId w:val="169222786"/>
        <w:rPr>
          <w:rFonts w:eastAsia="Times New Roman"/>
        </w:rPr>
      </w:pPr>
      <w:r>
        <w:rPr>
          <w:rFonts w:eastAsia="Times New Roman"/>
          <w:color w:val="000000"/>
          <w:sz w:val="20"/>
          <w:szCs w:val="20"/>
        </w:rPr>
        <w:t xml:space="preserve">Although we take precautions to prevent the collection of data from panelists in embargoed countries that may be subject to export controls and economic </w:t>
      </w:r>
      <w:r>
        <w:rPr>
          <w:rFonts w:eastAsia="Times New Roman"/>
          <w:color w:val="000000"/>
          <w:sz w:val="20"/>
          <w:szCs w:val="20"/>
        </w:rPr>
        <w:t>and trade sanctions under these laws and regulations, we have collected such data in the past, and there is a risk that we could collect such data in the future despite our precautions. We have implemented a number of additional screening and other measure</w:t>
      </w:r>
      <w:r>
        <w:rPr>
          <w:rFonts w:eastAsia="Times New Roman"/>
          <w:color w:val="000000"/>
          <w:sz w:val="20"/>
          <w:szCs w:val="20"/>
        </w:rPr>
        <w:t>s designed to prevent such transactions with embargoed countries and other U.S. sanctions targets. Changes in the list of embargoed countries and regions or prohibited persons may require us to modify these procedures in order to comply with governmental r</w:t>
      </w:r>
      <w:r>
        <w:rPr>
          <w:rFonts w:eastAsia="Times New Roman"/>
          <w:color w:val="000000"/>
          <w:sz w:val="20"/>
          <w:szCs w:val="20"/>
        </w:rPr>
        <w:t>egulations. Our failure to screen potential panelists properly could result in negative consequences to us, including government investigations, penalties and reputational harm, any of which could materially and adversely affect our business, financial con</w:t>
      </w:r>
      <w:r>
        <w:rPr>
          <w:rFonts w:eastAsia="Times New Roman"/>
          <w:color w:val="000000"/>
          <w:sz w:val="20"/>
          <w:szCs w:val="20"/>
        </w:rPr>
        <w:t>dition or results of operations.</w:t>
      </w:r>
    </w:p>
    <w:p w:rsidR="00000000" w:rsidRDefault="00971A12">
      <w:pPr>
        <w:jc w:val="both"/>
        <w:divId w:val="1436629801"/>
        <w:rPr>
          <w:rFonts w:eastAsia="Times New Roman"/>
        </w:rPr>
      </w:pPr>
      <w:r>
        <w:rPr>
          <w:rFonts w:eastAsia="Times New Roman"/>
          <w:b/>
          <w:bCs/>
          <w:i/>
          <w:iCs/>
          <w:color w:val="000000"/>
          <w:sz w:val="20"/>
          <w:szCs w:val="20"/>
        </w:rPr>
        <w:t>Changes in foreign currencies could have a significant effect on our operating results.</w:t>
      </w:r>
    </w:p>
    <w:p w:rsidR="00000000" w:rsidRDefault="00971A12">
      <w:pPr>
        <w:jc w:val="both"/>
        <w:divId w:val="1012924629"/>
        <w:rPr>
          <w:rFonts w:eastAsia="Times New Roman"/>
        </w:rPr>
      </w:pPr>
      <w:r>
        <w:rPr>
          <w:rFonts w:eastAsia="Times New Roman"/>
          <w:color w:val="000000"/>
          <w:sz w:val="20"/>
          <w:szCs w:val="20"/>
        </w:rPr>
        <w:t xml:space="preserve">We operate in numerous countries in Latin America, Europe and Asia. A portion of our revenues and expenses from business operations in </w:t>
      </w:r>
      <w:r>
        <w:rPr>
          <w:rFonts w:eastAsia="Times New Roman"/>
          <w:color w:val="000000"/>
          <w:sz w:val="20"/>
          <w:szCs w:val="20"/>
        </w:rPr>
        <w:t>foreign countries are derived from transactions denominated in currencies other than the functional currency of our operations in those countries. As such, we have exposure to changes in exchange rates associated with revenues and operating expenses of our</w:t>
      </w:r>
      <w:r>
        <w:rPr>
          <w:rFonts w:eastAsia="Times New Roman"/>
          <w:color w:val="000000"/>
          <w:sz w:val="20"/>
          <w:szCs w:val="20"/>
        </w:rPr>
        <w:t xml:space="preserve"> foreign operations, and these changes have impacted our results in prior periods. We do not currently enter into any hedging instruments that hedge foreign currency exchange rate risk. If we grow our international operations, if we acquire companies with </w:t>
      </w:r>
      <w:r>
        <w:rPr>
          <w:rFonts w:eastAsia="Times New Roman"/>
          <w:color w:val="000000"/>
          <w:sz w:val="20"/>
          <w:szCs w:val="20"/>
        </w:rPr>
        <w:t>established business in international regions, or if exchange rates become more variable, our exposure to foreign currency risk could become more significant.</w:t>
      </w:r>
    </w:p>
    <w:p w:rsidR="00000000" w:rsidRDefault="00971A12">
      <w:pPr>
        <w:jc w:val="both"/>
        <w:divId w:val="1802071880"/>
        <w:rPr>
          <w:rFonts w:eastAsia="Times New Roman"/>
        </w:rPr>
      </w:pPr>
      <w:r>
        <w:rPr>
          <w:rFonts w:eastAsia="Times New Roman"/>
          <w:b/>
          <w:bCs/>
          <w:color w:val="000000"/>
          <w:sz w:val="20"/>
          <w:szCs w:val="20"/>
        </w:rPr>
        <w:t>Risks Related to Our Capital Structure and Financings</w:t>
      </w:r>
    </w:p>
    <w:p w:rsidR="00000000" w:rsidRDefault="00971A12">
      <w:pPr>
        <w:jc w:val="both"/>
        <w:divId w:val="1347825648"/>
        <w:rPr>
          <w:rFonts w:eastAsia="Times New Roman"/>
        </w:rPr>
      </w:pPr>
      <w:r>
        <w:rPr>
          <w:rFonts w:eastAsia="Times New Roman"/>
          <w:b/>
          <w:bCs/>
          <w:i/>
          <w:iCs/>
          <w:color w:val="000000"/>
          <w:sz w:val="20"/>
          <w:szCs w:val="20"/>
        </w:rPr>
        <w:t>The holders of our Preferred Stock have sig</w:t>
      </w:r>
      <w:r>
        <w:rPr>
          <w:rFonts w:eastAsia="Times New Roman"/>
          <w:b/>
          <w:bCs/>
          <w:i/>
          <w:iCs/>
          <w:color w:val="000000"/>
          <w:sz w:val="20"/>
          <w:szCs w:val="20"/>
        </w:rPr>
        <w:t>nificance influence over the Company, may prevent other stockholders from influencing significant corporate decisions, and may have interests that conflict with those of our other stockholders.</w:t>
      </w:r>
    </w:p>
    <w:p w:rsidR="00000000" w:rsidRDefault="00971A12">
      <w:pPr>
        <w:jc w:val="both"/>
        <w:divId w:val="545216865"/>
        <w:rPr>
          <w:rFonts w:eastAsia="Times New Roman"/>
        </w:rPr>
      </w:pPr>
      <w:r>
        <w:rPr>
          <w:rFonts w:eastAsia="Times New Roman"/>
          <w:color w:val="000000"/>
          <w:sz w:val="20"/>
          <w:szCs w:val="20"/>
        </w:rPr>
        <w:t>On January 7, 2021, we entered into separate Series B Converti</w:t>
      </w:r>
      <w:r>
        <w:rPr>
          <w:rFonts w:eastAsia="Times New Roman"/>
          <w:color w:val="000000"/>
          <w:sz w:val="20"/>
          <w:szCs w:val="20"/>
        </w:rPr>
        <w:t>ble Preferred Stock Purchase Agreements (collectively, the "Securities Purchase Agreements") with each of Charter Communications Holding Company, LLC ("Charter"), Qurate Retail, Inc. ("Qurate") and Pine Investor, LLC ("Pine") (collectively, the "Investors"</w:t>
      </w:r>
      <w:r>
        <w:rPr>
          <w:rFonts w:eastAsia="Times New Roman"/>
          <w:color w:val="000000"/>
          <w:sz w:val="20"/>
          <w:szCs w:val="20"/>
        </w:rPr>
        <w:t>). The issuance of securities pursuant to the Securities Purchase Agreements (the "Transactions") and related matters were approved by our stockholders on March 9, 2021 and completed on March 10, 2021. In connection with the Transactions, we also entered i</w:t>
      </w:r>
      <w:r>
        <w:rPr>
          <w:rFonts w:eastAsia="Times New Roman"/>
          <w:color w:val="000000"/>
          <w:sz w:val="20"/>
          <w:szCs w:val="20"/>
        </w:rPr>
        <w:t>nto a long-term data license with Charter, which was intended to enhance our ability to execute on our strategic plans and growth initiatives.</w:t>
      </w:r>
    </w:p>
    <w:p w:rsidR="00000000" w:rsidRDefault="00971A12">
      <w:pPr>
        <w:jc w:val="both"/>
        <w:divId w:val="111242919"/>
        <w:rPr>
          <w:rFonts w:eastAsia="Times New Roman"/>
        </w:rPr>
      </w:pPr>
      <w:r>
        <w:rPr>
          <w:rFonts w:eastAsia="Times New Roman"/>
          <w:color w:val="000000"/>
          <w:sz w:val="20"/>
          <w:szCs w:val="20"/>
        </w:rPr>
        <w:t>At the closing of the Transactions, the Preferred Stock was initially convertible into an aggregate of 82,527,609</w:t>
      </w:r>
      <w:r>
        <w:rPr>
          <w:rFonts w:eastAsia="Times New Roman"/>
          <w:color w:val="000000"/>
          <w:sz w:val="20"/>
          <w:szCs w:val="20"/>
        </w:rPr>
        <w:t xml:space="preserve"> shares of our Common Stock (subject to adjustment). On an as-converted basis, this collectively represented approximately 50.6% of our issued and outstanding Common Stock immediately following the closing (equating to approximately 16.9% per Investor), an</w:t>
      </w:r>
      <w:r>
        <w:rPr>
          <w:rFonts w:eastAsia="Times New Roman"/>
          <w:color w:val="000000"/>
          <w:sz w:val="20"/>
          <w:szCs w:val="20"/>
        </w:rPr>
        <w:t>d the Investors became the largest stockholders of the Company. The Investors remained the largest stockholders of the Company as of December 31, 2022, with each Investor's Preferred Stock representing approximately 16.1% of our issued and outstanding Comm</w:t>
      </w:r>
      <w:r>
        <w:rPr>
          <w:rFonts w:eastAsia="Times New Roman"/>
          <w:color w:val="000000"/>
          <w:sz w:val="20"/>
          <w:szCs w:val="20"/>
        </w:rPr>
        <w:t>on Stock on an as-converted basis and certain Investors holding (or reporting beneficial ownership of) additional shares of Common Stock beyond their Preferred Stock holdings. This concentration of ownership, together with the voting rights, director desig</w:t>
      </w:r>
      <w:r>
        <w:rPr>
          <w:rFonts w:eastAsia="Times New Roman"/>
          <w:color w:val="000000"/>
          <w:sz w:val="20"/>
          <w:szCs w:val="20"/>
        </w:rPr>
        <w:t>nation rights, consent rights and dividend rights described below, has been criticized by certain stockholders, may be perceived negatively by other investors and, as a result, may adversely affect the market price of our Common Stock.</w:t>
      </w:r>
    </w:p>
    <w:p w:rsidR="00000000" w:rsidRDefault="00971A12">
      <w:pPr>
        <w:jc w:val="both"/>
        <w:divId w:val="548347913"/>
        <w:rPr>
          <w:rFonts w:eastAsia="Times New Roman"/>
        </w:rPr>
      </w:pPr>
      <w:r>
        <w:rPr>
          <w:rFonts w:eastAsia="Times New Roman"/>
          <w:color w:val="000000"/>
          <w:sz w:val="20"/>
          <w:szCs w:val="20"/>
        </w:rPr>
        <w:t>As of December 31, 2</w:t>
      </w:r>
      <w:r>
        <w:rPr>
          <w:rFonts w:eastAsia="Times New Roman"/>
          <w:color w:val="000000"/>
          <w:sz w:val="20"/>
          <w:szCs w:val="20"/>
        </w:rPr>
        <w:t xml:space="preserve">022, each Investor's Preferred Stock represented approximately 15.6% of the outstanding voting power of the Company on an as-converted basis. In addition, under the Stockholders Agreement that we entered into in connection with the </w:t>
      </w:r>
    </w:p>
    <w:p w:rsidR="00000000" w:rsidRDefault="00971A12">
      <w:pPr>
        <w:jc w:val="center"/>
        <w:divId w:val="2086492218"/>
        <w:rPr>
          <w:rFonts w:eastAsia="Times New Roman"/>
        </w:rPr>
      </w:pPr>
      <w:r>
        <w:rPr>
          <w:rFonts w:eastAsia="Times New Roman"/>
          <w:color w:val="000000"/>
          <w:sz w:val="20"/>
          <w:szCs w:val="20"/>
        </w:rPr>
        <w:t>25</w:t>
      </w:r>
    </w:p>
    <w:p w:rsidR="00000000" w:rsidRDefault="00971A12">
      <w:pPr>
        <w:rPr>
          <w:rFonts w:eastAsia="Times New Roman"/>
        </w:rPr>
      </w:pPr>
      <w:r>
        <w:rPr>
          <w:rFonts w:eastAsia="Times New Roman"/>
        </w:rPr>
        <w:pict>
          <v:rect id="_x0000_i1052" style="width:0;height:1.5pt" o:hralign="center" o:hrstd="t" o:hr="t" fillcolor="#a0a0a0" stroked="f"/>
        </w:pict>
      </w:r>
    </w:p>
    <w:p w:rsidR="00000000" w:rsidRDefault="00971A12">
      <w:pPr>
        <w:divId w:val="43605444"/>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549416281"/>
        <w:rPr>
          <w:rFonts w:eastAsia="Times New Roman"/>
        </w:rPr>
      </w:pPr>
    </w:p>
    <w:p w:rsidR="00000000" w:rsidRDefault="00971A12">
      <w:pPr>
        <w:jc w:val="both"/>
        <w:divId w:val="988293032"/>
        <w:rPr>
          <w:rFonts w:eastAsia="Times New Roman"/>
        </w:rPr>
      </w:pPr>
      <w:r>
        <w:rPr>
          <w:rFonts w:eastAsia="Times New Roman"/>
          <w:color w:val="000000"/>
          <w:sz w:val="20"/>
          <w:szCs w:val="20"/>
        </w:rPr>
        <w:t>Transactions, each Investor has the right to designate two directors to serve on our board of directors until the earlier of such time as the Investor (a) beneficially owns less than 50% of the shares of Preferred Stock held by such Investor as of the date</w:t>
      </w:r>
      <w:r>
        <w:rPr>
          <w:rFonts w:eastAsia="Times New Roman"/>
          <w:color w:val="000000"/>
          <w:sz w:val="20"/>
          <w:szCs w:val="20"/>
        </w:rPr>
        <w:t xml:space="preserve"> of the closing (the "Initial Preferred Stock Ownership") as a result of the Investor's transfer of such shares to any of the other Investors or (b) beneficially owns voting stock representing less than 10% of the outstanding shares of Common Stock (on an </w:t>
      </w:r>
      <w:r>
        <w:rPr>
          <w:rFonts w:eastAsia="Times New Roman"/>
          <w:color w:val="000000"/>
          <w:sz w:val="20"/>
          <w:szCs w:val="20"/>
        </w:rPr>
        <w:t>as-converted basis), after which the Investor's designation rights will be reduced to one designee until such time as the Investor beneficially owns Voting Stock representing less than 5% of the outstanding shares of Common Stock (on an as-converted basis)</w:t>
      </w:r>
      <w:r>
        <w:rPr>
          <w:rFonts w:eastAsia="Times New Roman"/>
          <w:color w:val="000000"/>
          <w:sz w:val="20"/>
          <w:szCs w:val="20"/>
        </w:rPr>
        <w:t>. Additionally, under certain circumstances, an Investor may gain additional board designation rights and in some instances, we may even be obligated to increase the size of our board to enable an Investor to designate one additional director nominee. As o</w:t>
      </w:r>
      <w:r>
        <w:rPr>
          <w:rFonts w:eastAsia="Times New Roman"/>
          <w:color w:val="000000"/>
          <w:sz w:val="20"/>
          <w:szCs w:val="20"/>
        </w:rPr>
        <w:t>f the date of this 10-K, each Investor has designated two directors on our board of directors.</w:t>
      </w:r>
    </w:p>
    <w:p w:rsidR="00000000" w:rsidRDefault="00971A12">
      <w:pPr>
        <w:jc w:val="both"/>
        <w:divId w:val="1706444200"/>
        <w:rPr>
          <w:rFonts w:eastAsia="Times New Roman"/>
        </w:rPr>
      </w:pPr>
      <w:r>
        <w:rPr>
          <w:rFonts w:eastAsia="Times New Roman"/>
          <w:color w:val="000000"/>
          <w:sz w:val="20"/>
          <w:szCs w:val="20"/>
        </w:rPr>
        <w:t>Pursuant to the Stockholders Agreement, each Investor has consent rights over certain significant matters of our business. These include, but are not limited to,</w:t>
      </w:r>
      <w:r>
        <w:rPr>
          <w:rFonts w:eastAsia="Times New Roman"/>
          <w:color w:val="000000"/>
          <w:sz w:val="20"/>
          <w:szCs w:val="20"/>
        </w:rPr>
        <w:t xml:space="preserve"> decisions: (a) to amend our organizational documents; (b) to create, increase, reclassify, issue or sell any additional Preferred Stock; (c) to consummate a change of control transaction; (d) to create or issue indebtedness that would cause us to exceed a</w:t>
      </w:r>
      <w:r>
        <w:rPr>
          <w:rFonts w:eastAsia="Times New Roman"/>
          <w:color w:val="000000"/>
          <w:sz w:val="20"/>
          <w:szCs w:val="20"/>
        </w:rPr>
        <w:t xml:space="preserve"> specified leverage ratio; (e) to increase or decrease the number of directors on our board of directors or certain committees thereof; (f) to change the nature of our business in any material respect; (g) to make certain changes to our management; (h) to </w:t>
      </w:r>
      <w:r>
        <w:rPr>
          <w:rFonts w:eastAsia="Times New Roman"/>
          <w:color w:val="000000"/>
          <w:sz w:val="20"/>
          <w:szCs w:val="20"/>
        </w:rPr>
        <w:t xml:space="preserve">declare cash dividends or distributions; (i) to enter into certain related-party transactions; and (j) to adopt certain shareholder rights plans. As a result, each Investor is able to influence fundamental corporate matters and transactions. </w:t>
      </w:r>
    </w:p>
    <w:p w:rsidR="00000000" w:rsidRDefault="00971A12">
      <w:pPr>
        <w:jc w:val="both"/>
        <w:divId w:val="1737971329"/>
        <w:rPr>
          <w:rFonts w:eastAsia="Times New Roman"/>
        </w:rPr>
      </w:pPr>
      <w:r>
        <w:rPr>
          <w:rFonts w:eastAsia="Times New Roman"/>
          <w:color w:val="000000"/>
          <w:sz w:val="20"/>
          <w:szCs w:val="20"/>
        </w:rPr>
        <w:t>As holders of</w:t>
      </w:r>
      <w:r>
        <w:rPr>
          <w:rFonts w:eastAsia="Times New Roman"/>
          <w:color w:val="000000"/>
          <w:sz w:val="20"/>
          <w:szCs w:val="20"/>
        </w:rPr>
        <w:t xml:space="preserve"> our Preferred Stock, the Investors are entitled to a cumulative dividend at the rate of 7.5% per annum, payable annually in arrears and subject to increase under certain circumstances. In addition, each Investor is entitled to request, and we are obligate</w:t>
      </w:r>
      <w:r>
        <w:rPr>
          <w:rFonts w:eastAsia="Times New Roman"/>
          <w:color w:val="000000"/>
          <w:sz w:val="20"/>
          <w:szCs w:val="20"/>
        </w:rPr>
        <w:t>d to take all actions reasonably necessary to pay, a one-time special dividend equal to the highest amount that our board of directors determines can be paid at the applicable time, subject to additional conditions and limitations set forth in the Stockhol</w:t>
      </w:r>
      <w:r>
        <w:rPr>
          <w:rFonts w:eastAsia="Times New Roman"/>
          <w:color w:val="000000"/>
          <w:sz w:val="20"/>
          <w:szCs w:val="20"/>
        </w:rPr>
        <w:t>ders Agreement. As described in the Stockholders Agreement, we may be obligated to obtain debt financing in order to effectuate the special dividend.</w:t>
      </w:r>
    </w:p>
    <w:p w:rsidR="00000000" w:rsidRDefault="00971A12">
      <w:pPr>
        <w:jc w:val="both"/>
        <w:divId w:val="689723060"/>
        <w:rPr>
          <w:rFonts w:eastAsia="Times New Roman"/>
        </w:rPr>
      </w:pPr>
      <w:r>
        <w:rPr>
          <w:rFonts w:eastAsia="Times New Roman"/>
          <w:color w:val="000000"/>
          <w:sz w:val="20"/>
          <w:szCs w:val="20"/>
        </w:rPr>
        <w:t>The interests of the Investors may not always coincide with our interests or the interests of our other stockholders, and the rights described above may delay, deter or prevent acts that would be favored by our other stockholders. Also, the Investors may s</w:t>
      </w:r>
      <w:r>
        <w:rPr>
          <w:rFonts w:eastAsia="Times New Roman"/>
          <w:color w:val="000000"/>
          <w:sz w:val="20"/>
          <w:szCs w:val="20"/>
        </w:rPr>
        <w:t>eek to cause us to take courses of action that, in their judgment, could enhance their investment in us, but which might involve risks to our other stockholders or adversely affect us or our other stockholders.</w:t>
      </w:r>
    </w:p>
    <w:p w:rsidR="00000000" w:rsidRDefault="00971A12">
      <w:pPr>
        <w:jc w:val="both"/>
        <w:divId w:val="1670013604"/>
        <w:rPr>
          <w:rFonts w:eastAsia="Times New Roman"/>
        </w:rPr>
      </w:pPr>
      <w:r>
        <w:rPr>
          <w:rFonts w:eastAsia="Times New Roman"/>
          <w:b/>
          <w:bCs/>
          <w:i/>
          <w:iCs/>
          <w:color w:val="000000"/>
          <w:sz w:val="20"/>
          <w:szCs w:val="20"/>
        </w:rPr>
        <w:t>We may not be able to realize the anticipated</w:t>
      </w:r>
      <w:r>
        <w:rPr>
          <w:rFonts w:eastAsia="Times New Roman"/>
          <w:b/>
          <w:bCs/>
          <w:i/>
          <w:iCs/>
          <w:color w:val="000000"/>
          <w:sz w:val="20"/>
          <w:szCs w:val="20"/>
        </w:rPr>
        <w:t xml:space="preserve"> benefits of the Transactions.</w:t>
      </w:r>
    </w:p>
    <w:p w:rsidR="00000000" w:rsidRDefault="00971A12">
      <w:pPr>
        <w:jc w:val="both"/>
        <w:divId w:val="1624579049"/>
        <w:rPr>
          <w:rFonts w:eastAsia="Times New Roman"/>
        </w:rPr>
      </w:pPr>
      <w:r>
        <w:rPr>
          <w:rFonts w:eastAsia="Times New Roman"/>
          <w:color w:val="000000"/>
          <w:sz w:val="20"/>
          <w:szCs w:val="20"/>
        </w:rPr>
        <w:t>The anticipated benefits of the Transactions, including expected commercial benefits from the data license with Charter and other relationships and expertise from the Investors, may not be realized fully or may take longer to</w:t>
      </w:r>
      <w:r>
        <w:rPr>
          <w:rFonts w:eastAsia="Times New Roman"/>
          <w:color w:val="000000"/>
          <w:sz w:val="20"/>
          <w:szCs w:val="20"/>
        </w:rPr>
        <w:t xml:space="preserve"> realize than we expect. Actual operating, strategic and revenue opportunities may be less significant than we expect or may take longer to achieve than we anticipate. If we are not able to achieve these objectives and realize the anticipated benefits from</w:t>
      </w:r>
      <w:r>
        <w:rPr>
          <w:rFonts w:eastAsia="Times New Roman"/>
          <w:color w:val="000000"/>
          <w:sz w:val="20"/>
          <w:szCs w:val="20"/>
        </w:rPr>
        <w:t xml:space="preserve"> the Transactions, our business, financial condition and operating results may be adversely affected.</w:t>
      </w:r>
    </w:p>
    <w:p w:rsidR="00000000" w:rsidRDefault="00971A12">
      <w:pPr>
        <w:jc w:val="both"/>
        <w:divId w:val="1382166794"/>
        <w:rPr>
          <w:rFonts w:eastAsia="Times New Roman"/>
        </w:rPr>
      </w:pPr>
      <w:r>
        <w:rPr>
          <w:rFonts w:eastAsia="Times New Roman"/>
          <w:b/>
          <w:bCs/>
          <w:i/>
          <w:iCs/>
          <w:color w:val="000000"/>
          <w:sz w:val="20"/>
          <w:szCs w:val="20"/>
        </w:rPr>
        <w:t>The market value of our Common Stock could decline if the Investors sell their Preferred Stock or Common Stock after certain transfer restrictions expire.</w:t>
      </w:r>
    </w:p>
    <w:p w:rsidR="00000000" w:rsidRDefault="00971A12">
      <w:pPr>
        <w:jc w:val="both"/>
        <w:divId w:val="1658996914"/>
        <w:rPr>
          <w:rFonts w:eastAsia="Times New Roman"/>
        </w:rPr>
      </w:pPr>
      <w:r>
        <w:rPr>
          <w:rFonts w:eastAsia="Times New Roman"/>
          <w:color w:val="000000"/>
          <w:sz w:val="20"/>
          <w:szCs w:val="20"/>
        </w:rPr>
        <w:t xml:space="preserve">Pursuant to the Stockholders Agreement, until the second anniversary of the Transactions closing (March 10, 2023), and subject to certain exceptions, each Investor has agreed not to sell more than 50% of such Investor's Initial Preferred Stock Ownership, </w:t>
      </w:r>
      <w:r>
        <w:rPr>
          <w:rFonts w:eastAsia="Times New Roman"/>
          <w:color w:val="000000"/>
          <w:sz w:val="20"/>
          <w:szCs w:val="20"/>
        </w:rPr>
        <w:t>including any shares of Common Stock issued or issuable upon conversion of such Preferred Stock. Pursuant to the Registration Rights Agreement that we entered into in connection with the Transactions, we registered the resale of the shares of Preferred Sto</w:t>
      </w:r>
      <w:r>
        <w:rPr>
          <w:rFonts w:eastAsia="Times New Roman"/>
          <w:color w:val="000000"/>
          <w:sz w:val="20"/>
          <w:szCs w:val="20"/>
        </w:rPr>
        <w:t>ck and the shares of Common Stock underlying the Preferred Stock with the SEC, which means that such shares may be eligible for resale in the public markets following the expiration of applicable transfer restrictions. Any sale of such shares, or the antic</w:t>
      </w:r>
      <w:r>
        <w:rPr>
          <w:rFonts w:eastAsia="Times New Roman"/>
          <w:color w:val="000000"/>
          <w:sz w:val="20"/>
          <w:szCs w:val="20"/>
        </w:rPr>
        <w:t>ipation of the possibility of such sales, could create downward pressure on the market price of our Common Stock.</w:t>
      </w:r>
    </w:p>
    <w:p w:rsidR="00000000" w:rsidRDefault="00971A12">
      <w:pPr>
        <w:jc w:val="both"/>
        <w:divId w:val="1843397353"/>
        <w:rPr>
          <w:rFonts w:eastAsia="Times New Roman"/>
        </w:rPr>
      </w:pPr>
      <w:r>
        <w:rPr>
          <w:rFonts w:eastAsia="Times New Roman"/>
          <w:b/>
          <w:bCs/>
          <w:i/>
          <w:iCs/>
          <w:color w:val="000000"/>
          <w:sz w:val="20"/>
          <w:szCs w:val="20"/>
        </w:rPr>
        <w:t xml:space="preserve">Our credit facility may impact our ability to operate our business and secure additional financing in the future, and any failure to meet our </w:t>
      </w:r>
      <w:r>
        <w:rPr>
          <w:rFonts w:eastAsia="Times New Roman"/>
          <w:b/>
          <w:bCs/>
          <w:i/>
          <w:iCs/>
          <w:color w:val="000000"/>
          <w:sz w:val="20"/>
          <w:szCs w:val="20"/>
        </w:rPr>
        <w:t>debt obligations could adversely affect our business and financial condition.</w:t>
      </w:r>
    </w:p>
    <w:p w:rsidR="00000000" w:rsidRDefault="00971A12">
      <w:pPr>
        <w:jc w:val="both"/>
        <w:divId w:val="451098372"/>
        <w:rPr>
          <w:rFonts w:eastAsia="Times New Roman"/>
        </w:rPr>
      </w:pPr>
      <w:r>
        <w:rPr>
          <w:rFonts w:eastAsia="Times New Roman"/>
          <w:color w:val="000000"/>
          <w:sz w:val="20"/>
          <w:szCs w:val="20"/>
        </w:rPr>
        <w:t xml:space="preserve">We have a senior secured revolving credit agreement (the "Revolving Credit Agreement") with a borrowing capacity of $40.0 million. As of the date of this 10-K, we had borrowings </w:t>
      </w:r>
      <w:r>
        <w:rPr>
          <w:rFonts w:eastAsia="Times New Roman"/>
          <w:color w:val="000000"/>
          <w:sz w:val="20"/>
          <w:szCs w:val="20"/>
        </w:rPr>
        <w:t xml:space="preserve">and letters of credit outstanding under the Revolving Credit Agreement totaling $19.4 million. Amounts outstanding under the Revolving Credit Agreement currently bear interest at a rate per annum equal to the Daily SOFR (as defined in the Revolving Credit </w:t>
      </w:r>
      <w:r>
        <w:rPr>
          <w:rFonts w:eastAsia="Times New Roman"/>
          <w:color w:val="000000"/>
          <w:sz w:val="20"/>
          <w:szCs w:val="20"/>
        </w:rPr>
        <w:t>Agreement) plus 3.50%. In addition, the Revolving Credit Agreement provides for an unused commitment fee equal to 0.25% of the unused commitments. The Revolving Credit Agreement matures on May 5, 2024.</w:t>
      </w:r>
    </w:p>
    <w:p w:rsidR="00000000" w:rsidRDefault="00971A12">
      <w:pPr>
        <w:jc w:val="both"/>
        <w:divId w:val="783811300"/>
        <w:rPr>
          <w:rFonts w:eastAsia="Times New Roman"/>
        </w:rPr>
      </w:pPr>
      <w:r>
        <w:rPr>
          <w:rFonts w:eastAsia="Times New Roman"/>
          <w:color w:val="000000"/>
          <w:sz w:val="20"/>
          <w:szCs w:val="20"/>
        </w:rPr>
        <w:t xml:space="preserve">Servicing our indebtedness under the Revolving Credit </w:t>
      </w:r>
      <w:r>
        <w:rPr>
          <w:rFonts w:eastAsia="Times New Roman"/>
          <w:color w:val="000000"/>
          <w:sz w:val="20"/>
          <w:szCs w:val="20"/>
        </w:rPr>
        <w:t xml:space="preserve">Agreement could divert resources from other priorities, including investment in our products and operations and satisfaction of our outstanding trade payables. If our cash flow from operations is inadequate to allow us to pay the interest and principal on </w:t>
      </w:r>
      <w:r>
        <w:rPr>
          <w:rFonts w:eastAsia="Times New Roman"/>
          <w:color w:val="000000"/>
          <w:sz w:val="20"/>
          <w:szCs w:val="20"/>
        </w:rPr>
        <w:t>our debt when due and meet our other financial obligations, we could face substantial liquidity challenges.</w:t>
      </w:r>
    </w:p>
    <w:p w:rsidR="00000000" w:rsidRDefault="00971A12">
      <w:pPr>
        <w:jc w:val="both"/>
        <w:divId w:val="1835487334"/>
        <w:rPr>
          <w:rFonts w:eastAsia="Times New Roman"/>
        </w:rPr>
      </w:pPr>
      <w:r>
        <w:rPr>
          <w:rFonts w:eastAsia="Times New Roman"/>
          <w:color w:val="000000"/>
          <w:sz w:val="20"/>
          <w:szCs w:val="20"/>
        </w:rPr>
        <w:t>Under the Revolving Credit Agreement, we are subject to restrictive covenants limiting our ability to, among other things, incur additional indebted</w:t>
      </w:r>
      <w:r>
        <w:rPr>
          <w:rFonts w:eastAsia="Times New Roman"/>
          <w:color w:val="000000"/>
          <w:sz w:val="20"/>
          <w:szCs w:val="20"/>
        </w:rPr>
        <w:t>ness, permit additional liens, make investments and loans, enter into mergers and acquisitions, make or declare dividends and other payments, enter into certain contracts, sell assets, and engage in transactions with affiliates. These covenants could limit</w:t>
      </w:r>
      <w:r>
        <w:rPr>
          <w:rFonts w:eastAsia="Times New Roman"/>
          <w:color w:val="000000"/>
          <w:sz w:val="20"/>
          <w:szCs w:val="20"/>
        </w:rPr>
        <w:t xml:space="preserve"> our operating flexibility and cause us to forego attractive business opportunities, which could hurt our customer relationships and </w:t>
      </w:r>
    </w:p>
    <w:p w:rsidR="00000000" w:rsidRDefault="00971A12">
      <w:pPr>
        <w:jc w:val="center"/>
        <w:divId w:val="1738281360"/>
        <w:rPr>
          <w:rFonts w:eastAsia="Times New Roman"/>
        </w:rPr>
      </w:pPr>
      <w:r>
        <w:rPr>
          <w:rFonts w:eastAsia="Times New Roman"/>
          <w:color w:val="000000"/>
          <w:sz w:val="20"/>
          <w:szCs w:val="20"/>
        </w:rPr>
        <w:t>26</w:t>
      </w:r>
    </w:p>
    <w:p w:rsidR="00000000" w:rsidRDefault="00971A12">
      <w:pPr>
        <w:rPr>
          <w:rFonts w:eastAsia="Times New Roman"/>
        </w:rPr>
      </w:pPr>
      <w:r>
        <w:rPr>
          <w:rFonts w:eastAsia="Times New Roman"/>
        </w:rPr>
        <w:pict>
          <v:rect id="_x0000_i1053" style="width:0;height:1.5pt" o:hralign="center" o:hrstd="t" o:hr="t" fillcolor="#a0a0a0" stroked="f"/>
        </w:pict>
      </w:r>
    </w:p>
    <w:p w:rsidR="00000000" w:rsidRDefault="00971A12">
      <w:pPr>
        <w:divId w:val="1678069347"/>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562402100"/>
        <w:rPr>
          <w:rFonts w:eastAsia="Times New Roman"/>
        </w:rPr>
      </w:pPr>
    </w:p>
    <w:p w:rsidR="00000000" w:rsidRDefault="00971A12">
      <w:pPr>
        <w:jc w:val="both"/>
        <w:divId w:val="310258724"/>
        <w:rPr>
          <w:rFonts w:eastAsia="Times New Roman"/>
        </w:rPr>
      </w:pPr>
      <w:r>
        <w:rPr>
          <w:rFonts w:eastAsia="Times New Roman"/>
          <w:color w:val="000000"/>
          <w:sz w:val="20"/>
          <w:szCs w:val="20"/>
        </w:rPr>
        <w:t>put us at a competitive disadvantage. The covenants also could prevent us from securing additional financing in the future, including to fund our operations, satisfy liabilities, or pay dividends to the holders of our Preferred Stock.</w:t>
      </w:r>
    </w:p>
    <w:p w:rsidR="00000000" w:rsidRDefault="00971A12">
      <w:pPr>
        <w:jc w:val="both"/>
        <w:divId w:val="42875392"/>
        <w:rPr>
          <w:rFonts w:eastAsia="Times New Roman"/>
        </w:rPr>
      </w:pPr>
      <w:r>
        <w:rPr>
          <w:rFonts w:eastAsia="Times New Roman"/>
          <w:color w:val="000000"/>
          <w:sz w:val="20"/>
          <w:szCs w:val="20"/>
        </w:rPr>
        <w:t>In addition, we are s</w:t>
      </w:r>
      <w:r>
        <w:rPr>
          <w:rFonts w:eastAsia="Times New Roman"/>
          <w:color w:val="000000"/>
          <w:sz w:val="20"/>
          <w:szCs w:val="20"/>
        </w:rPr>
        <w:t>ubject to financial covenants under the Revolving Credit Agreement, including a requirement to maintain a minimum Consolidated Asset Coverage Ratio and minimum Liquidity through maturity, minimum Consolidated EBITDA for periods through December 31, 2023, a</w:t>
      </w:r>
      <w:r>
        <w:rPr>
          <w:rFonts w:eastAsia="Times New Roman"/>
          <w:color w:val="000000"/>
          <w:sz w:val="20"/>
          <w:szCs w:val="20"/>
        </w:rPr>
        <w:t>nd a minimum Consolidated Fixed Charge Coverage Ratio for periods after December 31, 2023 (each term as defined in the Revolving Credit Agreement). While we are currently in compliance with these covenants, there is no guarantee that we will be able to ach</w:t>
      </w:r>
      <w:r>
        <w:rPr>
          <w:rFonts w:eastAsia="Times New Roman"/>
          <w:color w:val="000000"/>
          <w:sz w:val="20"/>
          <w:szCs w:val="20"/>
        </w:rPr>
        <w:t>ieve our plans and remain in compliance in future periods. Moreover, our ability to comply with the covenants could be affected by economic, financial, competitive, regulatory and other factors beyond our control.</w:t>
      </w:r>
    </w:p>
    <w:p w:rsidR="00000000" w:rsidRDefault="00971A12">
      <w:pPr>
        <w:jc w:val="both"/>
        <w:divId w:val="774788999"/>
        <w:rPr>
          <w:rFonts w:eastAsia="Times New Roman"/>
        </w:rPr>
      </w:pPr>
      <w:r>
        <w:rPr>
          <w:rFonts w:eastAsia="Times New Roman"/>
          <w:color w:val="000000"/>
          <w:sz w:val="20"/>
          <w:szCs w:val="20"/>
        </w:rPr>
        <w:t>If we fail to meet our financial covenants</w:t>
      </w:r>
      <w:r>
        <w:rPr>
          <w:rFonts w:eastAsia="Times New Roman"/>
          <w:color w:val="000000"/>
          <w:sz w:val="20"/>
          <w:szCs w:val="20"/>
        </w:rPr>
        <w:t xml:space="preserve"> or other obligations under the Revolving Credit Agreement, the lender(s) may accelerate any amounts outstanding under the Revolving Credit Agreement and may terminate their commitments to extend further credit. This could have important consequences for o</w:t>
      </w:r>
      <w:r>
        <w:rPr>
          <w:rFonts w:eastAsia="Times New Roman"/>
          <w:color w:val="000000"/>
          <w:sz w:val="20"/>
          <w:szCs w:val="20"/>
        </w:rPr>
        <w:t>ur company, including requiring us to restructure or refinance our debt (which we may be unable to do on acceptable terms or at all), dispose of assets or, potentially, enter into liquidation or bankruptcy.</w:t>
      </w:r>
    </w:p>
    <w:p w:rsidR="00000000" w:rsidRDefault="00971A12">
      <w:pPr>
        <w:jc w:val="both"/>
        <w:divId w:val="1975141513"/>
        <w:rPr>
          <w:rFonts w:eastAsia="Times New Roman"/>
        </w:rPr>
      </w:pPr>
      <w:r>
        <w:rPr>
          <w:rFonts w:eastAsia="Times New Roman"/>
          <w:b/>
          <w:bCs/>
          <w:i/>
          <w:iCs/>
          <w:color w:val="000000"/>
          <w:sz w:val="20"/>
          <w:szCs w:val="20"/>
        </w:rPr>
        <w:t xml:space="preserve">We may require additional capital to support our </w:t>
      </w:r>
      <w:r>
        <w:rPr>
          <w:rFonts w:eastAsia="Times New Roman"/>
          <w:b/>
          <w:bCs/>
          <w:i/>
          <w:iCs/>
          <w:color w:val="000000"/>
          <w:sz w:val="20"/>
          <w:szCs w:val="20"/>
        </w:rPr>
        <w:t>business, and this capital may not be available on acceptable terms or at all.</w:t>
      </w:r>
    </w:p>
    <w:p w:rsidR="00000000" w:rsidRDefault="00971A12">
      <w:pPr>
        <w:jc w:val="both"/>
        <w:divId w:val="1409573169"/>
        <w:rPr>
          <w:rFonts w:eastAsia="Times New Roman"/>
        </w:rPr>
      </w:pPr>
      <w:r>
        <w:rPr>
          <w:rFonts w:eastAsia="Times New Roman"/>
          <w:color w:val="000000"/>
          <w:sz w:val="20"/>
          <w:szCs w:val="20"/>
        </w:rPr>
        <w:t>We intend to continue to make investments to support our business growth and may require additional funds to respond to business challenges, including the need to develop new pr</w:t>
      </w:r>
      <w:r>
        <w:rPr>
          <w:rFonts w:eastAsia="Times New Roman"/>
          <w:color w:val="000000"/>
          <w:sz w:val="20"/>
          <w:szCs w:val="20"/>
        </w:rPr>
        <w:t>oducts or enhance our existing products, enhance our operating infrastructure, retain and hire key personnel, and acquire complementary businesses and technologies. In addition, as described above, the holders of our Preferred Stock have certain dividend r</w:t>
      </w:r>
      <w:r>
        <w:rPr>
          <w:rFonts w:eastAsia="Times New Roman"/>
          <w:color w:val="000000"/>
          <w:sz w:val="20"/>
          <w:szCs w:val="20"/>
        </w:rPr>
        <w:t>ights, including the right to request a special dividend. Accordingly, we may need to engage in equity or debt financings to secure additional funds. If we raise additional funds through further issuances of equity or convertible debt securities, our exist</w:t>
      </w:r>
      <w:r>
        <w:rPr>
          <w:rFonts w:eastAsia="Times New Roman"/>
          <w:color w:val="000000"/>
          <w:sz w:val="20"/>
          <w:szCs w:val="20"/>
        </w:rPr>
        <w:t>ing stockholders could suffer significant dilution, and any new securities we issue could have rights, preferences and privileges superior to those of holders of our Common Stock. Any financing secured by us in the future could include restrictive covenant</w:t>
      </w:r>
      <w:r>
        <w:rPr>
          <w:rFonts w:eastAsia="Times New Roman"/>
          <w:color w:val="000000"/>
          <w:sz w:val="20"/>
          <w:szCs w:val="20"/>
        </w:rPr>
        <w:t>s relating to our capital raising activities and other financial and operational matters, which may make it more difficult for us to obtain additional capital and to pursue business opportunities, including potential acquisitions. Servicing future debt obl</w:t>
      </w:r>
      <w:r>
        <w:rPr>
          <w:rFonts w:eastAsia="Times New Roman"/>
          <w:color w:val="000000"/>
          <w:sz w:val="20"/>
          <w:szCs w:val="20"/>
        </w:rPr>
        <w:t>igations could also limit our flexibility to invest in the business and adjust to market conditions, which could impact our customer relationships and place us at a competitive disadvantage.</w:t>
      </w:r>
    </w:p>
    <w:p w:rsidR="00000000" w:rsidRDefault="00971A12">
      <w:pPr>
        <w:jc w:val="both"/>
        <w:divId w:val="993875171"/>
        <w:rPr>
          <w:rFonts w:eastAsia="Times New Roman"/>
        </w:rPr>
      </w:pPr>
      <w:r>
        <w:rPr>
          <w:rFonts w:eastAsia="Times New Roman"/>
          <w:color w:val="000000"/>
          <w:sz w:val="20"/>
          <w:szCs w:val="20"/>
        </w:rPr>
        <w:t xml:space="preserve">As a result of our settlement with the SEC relating to financial </w:t>
      </w:r>
      <w:r>
        <w:rPr>
          <w:rFonts w:eastAsia="Times New Roman"/>
          <w:color w:val="000000"/>
          <w:sz w:val="20"/>
          <w:szCs w:val="20"/>
        </w:rPr>
        <w:t>accounting and disclosure practices between February 2014 and February 2016, we are currently subject to a "bad actor" disqualification and are unable to rely on certain exemptions from registration under the federal securities laws, including Regulation D</w:t>
      </w:r>
      <w:r>
        <w:rPr>
          <w:rFonts w:eastAsia="Times New Roman"/>
          <w:color w:val="000000"/>
          <w:sz w:val="20"/>
          <w:szCs w:val="20"/>
        </w:rPr>
        <w:t>. This could make it more difficult for us to raise necessary financing in the future.</w:t>
      </w:r>
    </w:p>
    <w:p w:rsidR="00000000" w:rsidRDefault="00971A12">
      <w:pPr>
        <w:jc w:val="both"/>
        <w:divId w:val="979653808"/>
        <w:rPr>
          <w:rFonts w:eastAsia="Times New Roman"/>
        </w:rPr>
      </w:pPr>
      <w:r>
        <w:rPr>
          <w:rFonts w:eastAsia="Times New Roman"/>
          <w:color w:val="000000"/>
          <w:sz w:val="20"/>
          <w:szCs w:val="20"/>
        </w:rPr>
        <w:t xml:space="preserve">Capital and credit market conditions, adverse events affecting our business or industry, the tightening of lending standards, rising interest rates, negative actions by </w:t>
      </w:r>
      <w:r>
        <w:rPr>
          <w:rFonts w:eastAsia="Times New Roman"/>
          <w:color w:val="000000"/>
          <w:sz w:val="20"/>
          <w:szCs w:val="20"/>
        </w:rPr>
        <w:t>regulatory authorities or rating agencies, or other factors also could negatively impact our ability to obtain future financing on terms acceptable to us or at all. If we are unable to obtain adequate financing or financing on terms satisfactory to us when</w:t>
      </w:r>
      <w:r>
        <w:rPr>
          <w:rFonts w:eastAsia="Times New Roman"/>
          <w:color w:val="000000"/>
          <w:sz w:val="20"/>
          <w:szCs w:val="20"/>
        </w:rPr>
        <w:t xml:space="preserve"> we require it, our ability to support our business growth, meet our dividend payment obligations, and respond to business challenges could be significantly limited. In addition, the terms of any additional equity or debt issuances may adversely affect the</w:t>
      </w:r>
      <w:r>
        <w:rPr>
          <w:rFonts w:eastAsia="Times New Roman"/>
          <w:color w:val="000000"/>
          <w:sz w:val="20"/>
          <w:szCs w:val="20"/>
        </w:rPr>
        <w:t xml:space="preserve"> value and price of our Common Stock, our results of operations, financial condition and cash flows.</w:t>
      </w:r>
    </w:p>
    <w:p w:rsidR="00000000" w:rsidRDefault="00971A12">
      <w:pPr>
        <w:jc w:val="both"/>
        <w:divId w:val="2121298615"/>
        <w:rPr>
          <w:rFonts w:eastAsia="Times New Roman"/>
        </w:rPr>
      </w:pPr>
      <w:r>
        <w:rPr>
          <w:rFonts w:eastAsia="Times New Roman"/>
          <w:b/>
          <w:bCs/>
          <w:color w:val="000000"/>
          <w:sz w:val="20"/>
          <w:szCs w:val="20"/>
        </w:rPr>
        <w:t>General Risks Related to Ownership of Our Common Stock</w:t>
      </w:r>
    </w:p>
    <w:p w:rsidR="00000000" w:rsidRDefault="00971A12">
      <w:pPr>
        <w:jc w:val="both"/>
        <w:divId w:val="2030135934"/>
        <w:rPr>
          <w:rFonts w:eastAsia="Times New Roman"/>
        </w:rPr>
      </w:pPr>
      <w:r>
        <w:rPr>
          <w:rFonts w:eastAsia="Times New Roman"/>
          <w:b/>
          <w:bCs/>
          <w:i/>
          <w:iCs/>
          <w:color w:val="000000"/>
          <w:sz w:val="20"/>
          <w:szCs w:val="20"/>
        </w:rPr>
        <w:t xml:space="preserve">The Company's outstanding securities, the stock or securities that we may become obligated to issue </w:t>
      </w:r>
      <w:r>
        <w:rPr>
          <w:rFonts w:eastAsia="Times New Roman"/>
          <w:b/>
          <w:bCs/>
          <w:i/>
          <w:iCs/>
          <w:color w:val="000000"/>
          <w:sz w:val="20"/>
          <w:szCs w:val="20"/>
        </w:rPr>
        <w:t>under existing or future agreements, and certain provisions of those securities, may cause immediate and substantial dilution to our existing stockholders.</w:t>
      </w:r>
    </w:p>
    <w:p w:rsidR="00000000" w:rsidRDefault="00971A12">
      <w:pPr>
        <w:jc w:val="both"/>
        <w:divId w:val="264115647"/>
        <w:rPr>
          <w:rFonts w:eastAsia="Times New Roman"/>
        </w:rPr>
      </w:pPr>
      <w:r>
        <w:rPr>
          <w:rFonts w:eastAsia="Times New Roman"/>
          <w:color w:val="000000"/>
          <w:sz w:val="20"/>
          <w:szCs w:val="20"/>
        </w:rPr>
        <w:t>Our existing stockholders have and may continue to experience substantial dilution as a result of ou</w:t>
      </w:r>
      <w:r>
        <w:rPr>
          <w:rFonts w:eastAsia="Times New Roman"/>
          <w:color w:val="000000"/>
          <w:sz w:val="20"/>
          <w:szCs w:val="20"/>
        </w:rPr>
        <w:t>r obligations to issue shares of Common Stock. As of December 31, 2022, our Preferred Stock was convertible into an aggregate of 85,708,361 shares of Common Stock at the election of the holders. Furthermore, we have reserved 5,457,026 shares of Common Stoc</w:t>
      </w:r>
      <w:r>
        <w:rPr>
          <w:rFonts w:eastAsia="Times New Roman"/>
          <w:color w:val="000000"/>
          <w:sz w:val="20"/>
          <w:szCs w:val="20"/>
        </w:rPr>
        <w:t>k for issuance pursuant to our Series A Warrants. We have also issued 8,066,876 shares of Common Stock for distribution to the selling stockholders of Shareablee (which we acquired in December 2021), and we may elect to pay any deferred consideration due t</w:t>
      </w:r>
      <w:r>
        <w:rPr>
          <w:rFonts w:eastAsia="Times New Roman"/>
          <w:color w:val="000000"/>
          <w:sz w:val="20"/>
          <w:szCs w:val="20"/>
        </w:rPr>
        <w:t>o the Shareablee sellers in 2023 and 2024 in shares of Common Stock.</w:t>
      </w:r>
    </w:p>
    <w:p w:rsidR="00000000" w:rsidRDefault="00971A12">
      <w:pPr>
        <w:jc w:val="both"/>
        <w:divId w:val="1319768109"/>
        <w:rPr>
          <w:rFonts w:eastAsia="Times New Roman"/>
        </w:rPr>
      </w:pPr>
      <w:r>
        <w:rPr>
          <w:rFonts w:eastAsia="Times New Roman"/>
          <w:color w:val="000000"/>
          <w:sz w:val="20"/>
          <w:szCs w:val="20"/>
        </w:rPr>
        <w:t xml:space="preserve">As of December 31, 2022, 2,283,987 shares of Common Stock were reserved for issuance pursuant to outstanding stock options under our equity incentive plans (including stock option awards </w:t>
      </w:r>
      <w:r>
        <w:rPr>
          <w:rFonts w:eastAsia="Times New Roman"/>
          <w:color w:val="000000"/>
          <w:sz w:val="20"/>
          <w:szCs w:val="20"/>
        </w:rPr>
        <w:t>we assumed in the Shareablee acquisition), 4,644,619 shares of Common Stock were reserved for issuance pursuant to outstanding restricted stock unit awards under our equity incentive plans and arrangements (including assumed Shareablee awards and an employ</w:t>
      </w:r>
      <w:r>
        <w:rPr>
          <w:rFonts w:eastAsia="Times New Roman"/>
          <w:color w:val="000000"/>
          <w:sz w:val="20"/>
          <w:szCs w:val="20"/>
        </w:rPr>
        <w:t xml:space="preserve">ment inducement award we granted in 2021), 5,693,104 shares of Common Stock were available for future equity awards under our 2018 Equity and Incentive Compensation Plan, and 176,435 shares of Common Stock were available for future equity awards under our </w:t>
      </w:r>
      <w:r>
        <w:rPr>
          <w:rFonts w:eastAsia="Times New Roman"/>
          <w:color w:val="000000"/>
          <w:sz w:val="20"/>
          <w:szCs w:val="20"/>
        </w:rPr>
        <w:t xml:space="preserve">acquired Shareablee plan. </w:t>
      </w:r>
    </w:p>
    <w:p w:rsidR="00000000" w:rsidRDefault="00971A12">
      <w:pPr>
        <w:jc w:val="both"/>
        <w:divId w:val="492721008"/>
        <w:rPr>
          <w:rFonts w:eastAsia="Times New Roman"/>
        </w:rPr>
      </w:pPr>
      <w:r>
        <w:rPr>
          <w:rFonts w:eastAsia="Times New Roman"/>
          <w:color w:val="000000"/>
          <w:sz w:val="20"/>
          <w:szCs w:val="20"/>
        </w:rPr>
        <w:t xml:space="preserve">The issuance of shares of Common Stock (i) upon the conversion of our Preferred Stock, (ii) upon the exercise of warrants, (iii) as deferred consideration to the Shareablee sellers, (iv) pursuant to outstanding and future equity </w:t>
      </w:r>
      <w:r>
        <w:rPr>
          <w:rFonts w:eastAsia="Times New Roman"/>
          <w:color w:val="000000"/>
          <w:sz w:val="20"/>
          <w:szCs w:val="20"/>
        </w:rPr>
        <w:t>awards, or (v) upon the conversion of other existing or future convertible securities, may result in substantial dilution to each of our stockholders by reducing that stockholder's percentage ownership of our outstanding Common Stock.</w:t>
      </w:r>
    </w:p>
    <w:p w:rsidR="00000000" w:rsidRDefault="00971A12">
      <w:pPr>
        <w:jc w:val="center"/>
        <w:divId w:val="207768914"/>
        <w:rPr>
          <w:rFonts w:eastAsia="Times New Roman"/>
        </w:rPr>
      </w:pPr>
      <w:r>
        <w:rPr>
          <w:rFonts w:eastAsia="Times New Roman"/>
          <w:color w:val="000000"/>
          <w:sz w:val="20"/>
          <w:szCs w:val="20"/>
        </w:rPr>
        <w:t>27</w:t>
      </w:r>
    </w:p>
    <w:p w:rsidR="00000000" w:rsidRDefault="00971A12">
      <w:pPr>
        <w:rPr>
          <w:rFonts w:eastAsia="Times New Roman"/>
        </w:rPr>
      </w:pPr>
      <w:r>
        <w:rPr>
          <w:rFonts w:eastAsia="Times New Roman"/>
        </w:rPr>
        <w:pict>
          <v:rect id="_x0000_i1054" style="width:0;height:1.5pt" o:hralign="center" o:hrstd="t" o:hr="t" fillcolor="#a0a0a0" stroked="f"/>
        </w:pict>
      </w:r>
    </w:p>
    <w:p w:rsidR="00000000" w:rsidRDefault="00971A12">
      <w:pPr>
        <w:divId w:val="1848865016"/>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2021393347"/>
        <w:rPr>
          <w:rFonts w:eastAsia="Times New Roman"/>
        </w:rPr>
      </w:pPr>
    </w:p>
    <w:p w:rsidR="00000000" w:rsidRDefault="00971A12">
      <w:pPr>
        <w:jc w:val="both"/>
        <w:divId w:val="1660425900"/>
        <w:rPr>
          <w:rFonts w:eastAsia="Times New Roman"/>
        </w:rPr>
      </w:pPr>
      <w:r>
        <w:rPr>
          <w:rFonts w:eastAsia="Times New Roman"/>
          <w:b/>
          <w:bCs/>
          <w:i/>
          <w:iCs/>
          <w:color w:val="000000"/>
          <w:sz w:val="20"/>
          <w:szCs w:val="20"/>
        </w:rPr>
        <w:t>Provisions in our certificate of incorporation, bylaws and under Delaware law might discourage, delay or prevent a change of control of our company or changes in our management and, therefore, depress the trading price of our Common Stock.</w:t>
      </w:r>
    </w:p>
    <w:p w:rsidR="00000000" w:rsidRDefault="00971A12">
      <w:pPr>
        <w:jc w:val="both"/>
        <w:divId w:val="1550337850"/>
        <w:rPr>
          <w:rFonts w:eastAsia="Times New Roman"/>
        </w:rPr>
      </w:pPr>
      <w:r>
        <w:rPr>
          <w:rFonts w:eastAsia="Times New Roman"/>
          <w:color w:val="000000"/>
          <w:sz w:val="20"/>
          <w:szCs w:val="20"/>
        </w:rPr>
        <w:t xml:space="preserve">Our certificate </w:t>
      </w:r>
      <w:r>
        <w:rPr>
          <w:rFonts w:eastAsia="Times New Roman"/>
          <w:color w:val="000000"/>
          <w:sz w:val="20"/>
          <w:szCs w:val="20"/>
        </w:rPr>
        <w:t xml:space="preserve">of incorporation and bylaws contain provisions that could depress the trading price of our Common Stock by acting to discourage, delay or prevent a change of control of our company or changes in our management that the stockholders of our company may deem </w:t>
      </w:r>
      <w:r>
        <w:rPr>
          <w:rFonts w:eastAsia="Times New Roman"/>
          <w:color w:val="000000"/>
          <w:sz w:val="20"/>
          <w:szCs w:val="20"/>
        </w:rPr>
        <w:t>advantageous. These provisions:</w:t>
      </w:r>
    </w:p>
    <w:p w:rsidR="00000000" w:rsidRDefault="00971A12">
      <w:pPr>
        <w:ind w:hanging="360"/>
        <w:divId w:val="212666756"/>
        <w:rPr>
          <w:rFonts w:eastAsia="Times New Roman"/>
        </w:rPr>
      </w:pPr>
      <w:r>
        <w:rPr>
          <w:rFonts w:eastAsia="Times New Roman"/>
          <w:color w:val="000000"/>
          <w:sz w:val="20"/>
          <w:szCs w:val="20"/>
        </w:rPr>
        <w:t>•provide for a classified board of directors so that not all members of our board are elected at one time;</w:t>
      </w:r>
    </w:p>
    <w:p w:rsidR="00000000" w:rsidRDefault="00971A12">
      <w:pPr>
        <w:ind w:hanging="360"/>
        <w:jc w:val="both"/>
        <w:divId w:val="337738036"/>
        <w:rPr>
          <w:rFonts w:eastAsia="Times New Roman"/>
        </w:rPr>
      </w:pPr>
      <w:r>
        <w:rPr>
          <w:rFonts w:eastAsia="Times New Roman"/>
          <w:color w:val="000000"/>
          <w:sz w:val="20"/>
          <w:szCs w:val="20"/>
        </w:rPr>
        <w:t>•</w:t>
      </w:r>
      <w:r>
        <w:rPr>
          <w:rFonts w:eastAsia="Times New Roman"/>
          <w:color w:val="000000"/>
          <w:sz w:val="20"/>
          <w:szCs w:val="20"/>
        </w:rPr>
        <w:t>authorize "blank check" preferred stock that our board could issue to increase the number of outstanding shares to discourage a takeover attempt;</w:t>
      </w:r>
    </w:p>
    <w:p w:rsidR="00000000" w:rsidRDefault="00971A12">
      <w:pPr>
        <w:ind w:hanging="360"/>
        <w:jc w:val="both"/>
        <w:divId w:val="1956864483"/>
        <w:rPr>
          <w:rFonts w:eastAsia="Times New Roman"/>
        </w:rPr>
      </w:pPr>
      <w:r>
        <w:rPr>
          <w:rFonts w:eastAsia="Times New Roman"/>
          <w:color w:val="000000"/>
          <w:sz w:val="20"/>
          <w:szCs w:val="20"/>
        </w:rPr>
        <w:t>•prohibit stockholder action by written consent, which means that all stockholder actions must be taken at a m</w:t>
      </w:r>
      <w:r>
        <w:rPr>
          <w:rFonts w:eastAsia="Times New Roman"/>
          <w:color w:val="000000"/>
          <w:sz w:val="20"/>
          <w:szCs w:val="20"/>
        </w:rPr>
        <w:t>eeting of our stockholders;</w:t>
      </w:r>
    </w:p>
    <w:p w:rsidR="00000000" w:rsidRDefault="00971A12">
      <w:pPr>
        <w:ind w:hanging="360"/>
        <w:divId w:val="1779567034"/>
        <w:rPr>
          <w:rFonts w:eastAsia="Times New Roman"/>
        </w:rPr>
      </w:pPr>
      <w:r>
        <w:rPr>
          <w:rFonts w:eastAsia="Times New Roman"/>
          <w:color w:val="000000"/>
          <w:sz w:val="20"/>
          <w:szCs w:val="20"/>
        </w:rPr>
        <w:t>•prohibit stockholders from calling a special meeting of our stockholders;</w:t>
      </w:r>
    </w:p>
    <w:p w:rsidR="00000000" w:rsidRDefault="00971A12">
      <w:pPr>
        <w:ind w:hanging="360"/>
        <w:divId w:val="773595502"/>
        <w:rPr>
          <w:rFonts w:eastAsia="Times New Roman"/>
        </w:rPr>
      </w:pPr>
      <w:r>
        <w:rPr>
          <w:rFonts w:eastAsia="Times New Roman"/>
          <w:color w:val="000000"/>
          <w:sz w:val="20"/>
          <w:szCs w:val="20"/>
        </w:rPr>
        <w:t>•provide that our board is expressly authorized to make, alter or repeal our bylaws; and</w:t>
      </w:r>
    </w:p>
    <w:p w:rsidR="00000000" w:rsidRDefault="00971A12">
      <w:pPr>
        <w:ind w:hanging="360"/>
        <w:jc w:val="both"/>
        <w:divId w:val="2091154071"/>
        <w:rPr>
          <w:rFonts w:eastAsia="Times New Roman"/>
        </w:rPr>
      </w:pPr>
      <w:r>
        <w:rPr>
          <w:rFonts w:eastAsia="Times New Roman"/>
          <w:color w:val="000000"/>
          <w:sz w:val="20"/>
          <w:szCs w:val="20"/>
        </w:rPr>
        <w:t>•provide for advance notice requirements for nominations for ele</w:t>
      </w:r>
      <w:r>
        <w:rPr>
          <w:rFonts w:eastAsia="Times New Roman"/>
          <w:color w:val="000000"/>
          <w:sz w:val="20"/>
          <w:szCs w:val="20"/>
        </w:rPr>
        <w:t>ctions to our board or for proposing matters that can be acted upon by stockholders at stockholder meetings.</w:t>
      </w:r>
    </w:p>
    <w:p w:rsidR="00000000" w:rsidRDefault="00971A12">
      <w:pPr>
        <w:jc w:val="both"/>
        <w:divId w:val="629170203"/>
        <w:rPr>
          <w:rFonts w:eastAsia="Times New Roman"/>
        </w:rPr>
      </w:pPr>
      <w:r>
        <w:rPr>
          <w:rFonts w:eastAsia="Times New Roman"/>
          <w:color w:val="000000"/>
          <w:sz w:val="20"/>
          <w:szCs w:val="20"/>
        </w:rPr>
        <w:t xml:space="preserve">In addition, we are subject to Section 203 of the Delaware General Corporation Law, which prohibits a Delaware corporation from engaging in any of </w:t>
      </w:r>
      <w:r>
        <w:rPr>
          <w:rFonts w:eastAsia="Times New Roman"/>
          <w:color w:val="000000"/>
          <w:sz w:val="20"/>
          <w:szCs w:val="20"/>
        </w:rPr>
        <w:t>a broad range of business combinations with any "interested" stockholder for a period of three years following the date on which the stockholder became an "interested" stockholder and which may discourage, delay or prevent a change of control of our compan</w:t>
      </w:r>
      <w:r>
        <w:rPr>
          <w:rFonts w:eastAsia="Times New Roman"/>
          <w:color w:val="000000"/>
          <w:sz w:val="20"/>
          <w:szCs w:val="20"/>
        </w:rPr>
        <w:t>y.</w:t>
      </w:r>
    </w:p>
    <w:tbl>
      <w:tblPr>
        <w:tblW w:w="5000" w:type="pct"/>
        <w:tblCellMar>
          <w:top w:w="15" w:type="dxa"/>
          <w:left w:w="15" w:type="dxa"/>
          <w:bottom w:w="15" w:type="dxa"/>
          <w:right w:w="15" w:type="dxa"/>
        </w:tblCellMar>
        <w:tblLook w:val="04A0" w:firstRow="1" w:lastRow="0" w:firstColumn="1" w:lastColumn="0" w:noHBand="0" w:noVBand="1"/>
      </w:tblPr>
      <w:tblGrid>
        <w:gridCol w:w="69"/>
        <w:gridCol w:w="758"/>
        <w:gridCol w:w="36"/>
        <w:gridCol w:w="69"/>
        <w:gridCol w:w="7338"/>
        <w:gridCol w:w="36"/>
      </w:tblGrid>
      <w:tr w:rsidR="00000000">
        <w:trPr>
          <w:divId w:val="1950817455"/>
        </w:trPr>
        <w:tc>
          <w:tcPr>
            <w:tcW w:w="50" w:type="pct"/>
            <w:vAlign w:val="center"/>
            <w:hideMark/>
          </w:tcPr>
          <w:p w:rsidR="00000000" w:rsidRDefault="00971A12">
            <w:pPr>
              <w:jc w:val="both"/>
              <w:rPr>
                <w:rFonts w:eastAsia="Times New Roman"/>
              </w:rPr>
            </w:pPr>
          </w:p>
        </w:tc>
        <w:tc>
          <w:tcPr>
            <w:tcW w:w="46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42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950817455"/>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20"/>
                <w:szCs w:val="20"/>
              </w:rPr>
              <w:t>ITEM 1B.</w:t>
            </w: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i/>
                <w:iCs/>
                <w:color w:val="000000"/>
                <w:sz w:val="20"/>
                <w:szCs w:val="20"/>
              </w:rPr>
              <w:t>UNRESOLVED STAFF COMMENTS</w:t>
            </w:r>
          </w:p>
        </w:tc>
      </w:tr>
    </w:tbl>
    <w:p w:rsidR="00000000" w:rsidRDefault="00971A12">
      <w:pPr>
        <w:divId w:val="1790974179"/>
        <w:rPr>
          <w:rFonts w:eastAsia="Times New Roman"/>
        </w:rPr>
      </w:pPr>
      <w:r>
        <w:rPr>
          <w:rFonts w:eastAsia="Times New Roman"/>
          <w:color w:val="000000"/>
          <w:sz w:val="20"/>
          <w:szCs w:val="20"/>
        </w:rPr>
        <w:t>None.</w:t>
      </w:r>
    </w:p>
    <w:tbl>
      <w:tblPr>
        <w:tblW w:w="5000" w:type="pct"/>
        <w:tblCellMar>
          <w:top w:w="15" w:type="dxa"/>
          <w:left w:w="15" w:type="dxa"/>
          <w:bottom w:w="15" w:type="dxa"/>
          <w:right w:w="15" w:type="dxa"/>
        </w:tblCellMar>
        <w:tblLook w:val="04A0" w:firstRow="1" w:lastRow="0" w:firstColumn="1" w:lastColumn="0" w:noHBand="0" w:noVBand="1"/>
      </w:tblPr>
      <w:tblGrid>
        <w:gridCol w:w="69"/>
        <w:gridCol w:w="758"/>
        <w:gridCol w:w="36"/>
        <w:gridCol w:w="69"/>
        <w:gridCol w:w="7338"/>
        <w:gridCol w:w="36"/>
      </w:tblGrid>
      <w:tr w:rsidR="00000000">
        <w:trPr>
          <w:divId w:val="1700619133"/>
        </w:trPr>
        <w:tc>
          <w:tcPr>
            <w:tcW w:w="50" w:type="pct"/>
            <w:vAlign w:val="center"/>
            <w:hideMark/>
          </w:tcPr>
          <w:p w:rsidR="00000000" w:rsidRDefault="00971A12">
            <w:pPr>
              <w:rPr>
                <w:rFonts w:eastAsia="Times New Roman"/>
              </w:rPr>
            </w:pPr>
          </w:p>
        </w:tc>
        <w:tc>
          <w:tcPr>
            <w:tcW w:w="46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42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700619133"/>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20"/>
                <w:szCs w:val="20"/>
              </w:rPr>
              <w:t>ITEM 2.</w:t>
            </w: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i/>
                <w:iCs/>
                <w:color w:val="000000"/>
                <w:sz w:val="20"/>
                <w:szCs w:val="20"/>
              </w:rPr>
              <w:t>PROPERTIES</w:t>
            </w:r>
          </w:p>
        </w:tc>
      </w:tr>
    </w:tbl>
    <w:p w:rsidR="00000000" w:rsidRDefault="00971A12">
      <w:pPr>
        <w:jc w:val="both"/>
        <w:divId w:val="1539271588"/>
        <w:rPr>
          <w:rFonts w:eastAsia="Times New Roman"/>
        </w:rPr>
      </w:pPr>
      <w:r>
        <w:rPr>
          <w:rFonts w:eastAsia="Times New Roman"/>
          <w:color w:val="000000"/>
          <w:sz w:val="20"/>
          <w:szCs w:val="20"/>
        </w:rPr>
        <w:t>Our corporate headquarters are located in Reston, Virginia, where we occupy approximately 84,000 square feet of office space. We also lease space in various locations throughout North America, South America, Europe, and Asia Pacific for sales and other per</w:t>
      </w:r>
      <w:r>
        <w:rPr>
          <w:rFonts w:eastAsia="Times New Roman"/>
          <w:color w:val="000000"/>
          <w:sz w:val="20"/>
          <w:szCs w:val="20"/>
        </w:rPr>
        <w:t xml:space="preserve">sonnel. If we require additional space, we believe that we would be able to obtain such space on commercially reasonable terms. </w:t>
      </w:r>
    </w:p>
    <w:p w:rsidR="00000000" w:rsidRDefault="00971A12">
      <w:pPr>
        <w:jc w:val="both"/>
        <w:divId w:val="379327084"/>
        <w:rPr>
          <w:rFonts w:eastAsia="Times New Roman"/>
        </w:rPr>
      </w:pPr>
      <w:r>
        <w:rPr>
          <w:rFonts w:eastAsia="Times New Roman"/>
          <w:color w:val="000000"/>
          <w:sz w:val="20"/>
          <w:szCs w:val="20"/>
        </w:rPr>
        <w:t>Our other material locations, all of which are leased under operating leases, include the following:</w:t>
      </w:r>
    </w:p>
    <w:p w:rsidR="00000000" w:rsidRDefault="00971A12">
      <w:pPr>
        <w:jc w:val="both"/>
        <w:divId w:val="972179190"/>
        <w:rPr>
          <w:rFonts w:eastAsia="Times New Roman"/>
        </w:rPr>
      </w:pPr>
      <w:r>
        <w:rPr>
          <w:rFonts w:eastAsia="Times New Roman"/>
          <w:color w:val="000000"/>
          <w:sz w:val="20"/>
          <w:szCs w:val="20"/>
        </w:rPr>
        <w:t>•New York, New York</w:t>
      </w:r>
    </w:p>
    <w:p w:rsidR="00000000" w:rsidRDefault="00971A12">
      <w:pPr>
        <w:jc w:val="both"/>
        <w:divId w:val="1930573840"/>
        <w:rPr>
          <w:rFonts w:eastAsia="Times New Roman"/>
        </w:rPr>
      </w:pPr>
      <w:r>
        <w:rPr>
          <w:rFonts w:eastAsia="Times New Roman"/>
          <w:color w:val="000000"/>
          <w:sz w:val="20"/>
          <w:szCs w:val="20"/>
        </w:rPr>
        <w:t>•Portl</w:t>
      </w:r>
      <w:r>
        <w:rPr>
          <w:rFonts w:eastAsia="Times New Roman"/>
          <w:color w:val="000000"/>
          <w:sz w:val="20"/>
          <w:szCs w:val="20"/>
        </w:rPr>
        <w:t>and, Oregon</w:t>
      </w:r>
    </w:p>
    <w:p w:rsidR="00000000" w:rsidRDefault="00971A12">
      <w:pPr>
        <w:jc w:val="both"/>
        <w:divId w:val="1422027874"/>
        <w:rPr>
          <w:rFonts w:eastAsia="Times New Roman"/>
        </w:rPr>
      </w:pPr>
      <w:r>
        <w:rPr>
          <w:rFonts w:eastAsia="Times New Roman"/>
          <w:color w:val="000000"/>
          <w:sz w:val="20"/>
          <w:szCs w:val="20"/>
        </w:rPr>
        <w:t>As of December 31, 2022, we leased facilities in 26 locations worldwide, including approximately 48,000 square feet of subleased space in six properties. Currently, however, most of our employees are operating under remote or hybrid working arr</w:t>
      </w:r>
      <w:r>
        <w:rPr>
          <w:rFonts w:eastAsia="Times New Roman"/>
          <w:color w:val="000000"/>
          <w:sz w:val="20"/>
          <w:szCs w:val="20"/>
        </w:rPr>
        <w:t>angements.</w:t>
      </w:r>
    </w:p>
    <w:p w:rsidR="00000000" w:rsidRDefault="00971A12">
      <w:pPr>
        <w:jc w:val="both"/>
        <w:divId w:val="102579220"/>
        <w:rPr>
          <w:rFonts w:eastAsia="Times New Roman"/>
        </w:rPr>
      </w:pPr>
      <w:r>
        <w:rPr>
          <w:rFonts w:eastAsia="Times New Roman"/>
          <w:color w:val="000000"/>
          <w:sz w:val="20"/>
          <w:szCs w:val="20"/>
        </w:rPr>
        <w:t xml:space="preserve">For additional information regarding our obligations under operating and finance leases, refer to </w:t>
      </w:r>
      <w:hyperlink w:anchor="i0047531bd13046b986557e31951e34f8_136" w:history="1">
        <w:r>
          <w:rPr>
            <w:rStyle w:val="a3"/>
            <w:rFonts w:eastAsia="Times New Roman"/>
            <w:sz w:val="20"/>
            <w:szCs w:val="20"/>
          </w:rPr>
          <w:t>Footnote 9</w:t>
        </w:r>
      </w:hyperlink>
      <w:r>
        <w:rPr>
          <w:rFonts w:eastAsia="Times New Roman"/>
          <w:color w:val="000000"/>
          <w:sz w:val="20"/>
          <w:szCs w:val="20"/>
        </w:rPr>
        <w:t xml:space="preserve">, </w:t>
      </w:r>
      <w:r>
        <w:rPr>
          <w:rFonts w:eastAsia="Times New Roman"/>
          <w:i/>
          <w:iCs/>
          <w:color w:val="000000"/>
          <w:sz w:val="20"/>
          <w:szCs w:val="20"/>
        </w:rPr>
        <w:t>Leases</w:t>
      </w:r>
      <w:r>
        <w:rPr>
          <w:rFonts w:eastAsia="Times New Roman"/>
          <w:color w:val="000000"/>
          <w:sz w:val="20"/>
          <w:szCs w:val="20"/>
        </w:rPr>
        <w:t xml:space="preserve"> of the Notes to Consolidated Financial Statements.</w:t>
      </w:r>
    </w:p>
    <w:p w:rsidR="00000000" w:rsidRDefault="00971A12">
      <w:pPr>
        <w:divId w:val="1947272820"/>
        <w:rPr>
          <w:rFonts w:eastAsia="Times New Roman"/>
        </w:rPr>
      </w:pPr>
    </w:p>
    <w:tbl>
      <w:tblPr>
        <w:tblW w:w="4743" w:type="pct"/>
        <w:tblCellMar>
          <w:top w:w="15" w:type="dxa"/>
          <w:left w:w="15" w:type="dxa"/>
          <w:bottom w:w="15" w:type="dxa"/>
          <w:right w:w="15" w:type="dxa"/>
        </w:tblCellMar>
        <w:tblLook w:val="04A0" w:firstRow="1" w:lastRow="0" w:firstColumn="1" w:lastColumn="0" w:noHBand="0" w:noVBand="1"/>
      </w:tblPr>
      <w:tblGrid>
        <w:gridCol w:w="65"/>
        <w:gridCol w:w="764"/>
        <w:gridCol w:w="36"/>
        <w:gridCol w:w="65"/>
        <w:gridCol w:w="6913"/>
        <w:gridCol w:w="36"/>
      </w:tblGrid>
      <w:tr w:rsidR="00000000">
        <w:tc>
          <w:tcPr>
            <w:tcW w:w="50" w:type="pct"/>
            <w:vAlign w:val="center"/>
            <w:hideMark/>
          </w:tcPr>
          <w:p w:rsidR="00000000" w:rsidRDefault="00971A12">
            <w:pPr>
              <w:rPr>
                <w:rFonts w:eastAsia="Times New Roman"/>
              </w:rPr>
            </w:pPr>
          </w:p>
        </w:tc>
        <w:tc>
          <w:tcPr>
            <w:tcW w:w="4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9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20"/>
                <w:szCs w:val="20"/>
              </w:rPr>
              <w:t>ITEM 3.</w:t>
            </w: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i/>
                <w:iCs/>
                <w:color w:val="000000"/>
                <w:sz w:val="20"/>
                <w:szCs w:val="20"/>
              </w:rPr>
              <w:t>LEGAL PROCEEDINGS</w:t>
            </w:r>
          </w:p>
        </w:tc>
      </w:tr>
    </w:tbl>
    <w:p w:rsidR="00000000" w:rsidRDefault="00971A12">
      <w:pPr>
        <w:jc w:val="both"/>
        <w:divId w:val="182936829"/>
        <w:rPr>
          <w:rFonts w:eastAsia="Times New Roman"/>
        </w:rPr>
      </w:pPr>
      <w:r>
        <w:rPr>
          <w:rFonts w:eastAsia="Times New Roman"/>
          <w:color w:val="000000"/>
          <w:sz w:val="20"/>
          <w:szCs w:val="20"/>
        </w:rPr>
        <w:t xml:space="preserve">For a discussion of material legal proceedings, please refer to </w:t>
      </w:r>
      <w:hyperlink w:anchor="i0047531bd13046b986557e31951e34f8_148" w:history="1">
        <w:r>
          <w:rPr>
            <w:rStyle w:val="a3"/>
            <w:rFonts w:eastAsia="Times New Roman"/>
            <w:sz w:val="20"/>
            <w:szCs w:val="20"/>
          </w:rPr>
          <w:t>Footnote 12</w:t>
        </w:r>
      </w:hyperlink>
      <w:r>
        <w:rPr>
          <w:rFonts w:eastAsia="Times New Roman"/>
          <w:color w:val="000000"/>
          <w:sz w:val="20"/>
          <w:szCs w:val="20"/>
        </w:rPr>
        <w:t xml:space="preserve">, </w:t>
      </w:r>
      <w:r>
        <w:rPr>
          <w:rFonts w:eastAsia="Times New Roman"/>
          <w:i/>
          <w:iCs/>
          <w:color w:val="000000"/>
          <w:sz w:val="20"/>
          <w:szCs w:val="20"/>
        </w:rPr>
        <w:t>Commitments and Contingencies</w:t>
      </w:r>
      <w:r>
        <w:rPr>
          <w:rFonts w:eastAsia="Times New Roman"/>
          <w:color w:val="000000"/>
          <w:sz w:val="20"/>
          <w:szCs w:val="20"/>
        </w:rPr>
        <w:t xml:space="preserve"> </w:t>
      </w:r>
      <w:r>
        <w:rPr>
          <w:rFonts w:eastAsia="Times New Roman"/>
          <w:color w:val="000000"/>
          <w:sz w:val="20"/>
          <w:szCs w:val="20"/>
        </w:rPr>
        <w:t xml:space="preserve">of the Notes to Consolidated Financial Statements included in Part II, </w:t>
      </w:r>
      <w:hyperlink w:anchor="i0047531bd13046b986557e31951e34f8_73" w:history="1">
        <w:r>
          <w:rPr>
            <w:rStyle w:val="a3"/>
            <w:rFonts w:eastAsia="Times New Roman"/>
            <w:sz w:val="20"/>
            <w:szCs w:val="20"/>
          </w:rPr>
          <w:t>Item 8</w:t>
        </w:r>
      </w:hyperlink>
      <w:r>
        <w:rPr>
          <w:rFonts w:eastAsia="Times New Roman"/>
          <w:color w:val="000000"/>
          <w:sz w:val="20"/>
          <w:szCs w:val="20"/>
        </w:rPr>
        <w:t xml:space="preserve"> of this 10-K, which is incorporated herein by reference.</w:t>
      </w:r>
    </w:p>
    <w:tbl>
      <w:tblPr>
        <w:tblW w:w="4743" w:type="pct"/>
        <w:tblCellMar>
          <w:top w:w="15" w:type="dxa"/>
          <w:left w:w="15" w:type="dxa"/>
          <w:bottom w:w="15" w:type="dxa"/>
          <w:right w:w="15" w:type="dxa"/>
        </w:tblCellMar>
        <w:tblLook w:val="04A0" w:firstRow="1" w:lastRow="0" w:firstColumn="1" w:lastColumn="0" w:noHBand="0" w:noVBand="1"/>
      </w:tblPr>
      <w:tblGrid>
        <w:gridCol w:w="65"/>
        <w:gridCol w:w="764"/>
        <w:gridCol w:w="36"/>
        <w:gridCol w:w="65"/>
        <w:gridCol w:w="6913"/>
        <w:gridCol w:w="36"/>
      </w:tblGrid>
      <w:tr w:rsidR="00000000">
        <w:trPr>
          <w:divId w:val="186067002"/>
        </w:trPr>
        <w:tc>
          <w:tcPr>
            <w:tcW w:w="50" w:type="pct"/>
            <w:vAlign w:val="center"/>
            <w:hideMark/>
          </w:tcPr>
          <w:p w:rsidR="00000000" w:rsidRDefault="00971A12">
            <w:pPr>
              <w:jc w:val="both"/>
              <w:rPr>
                <w:rFonts w:eastAsia="Times New Roman"/>
              </w:rPr>
            </w:pPr>
          </w:p>
        </w:tc>
        <w:tc>
          <w:tcPr>
            <w:tcW w:w="4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9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86067002"/>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20"/>
                <w:szCs w:val="20"/>
              </w:rPr>
              <w:t>ITEM 4.</w:t>
            </w: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i/>
                <w:iCs/>
                <w:color w:val="000000"/>
                <w:sz w:val="20"/>
                <w:szCs w:val="20"/>
              </w:rPr>
              <w:t>MINE SAFETY DISCLOSURES</w:t>
            </w:r>
          </w:p>
        </w:tc>
      </w:tr>
    </w:tbl>
    <w:p w:rsidR="00000000" w:rsidRDefault="00971A12">
      <w:pPr>
        <w:divId w:val="1038628432"/>
        <w:rPr>
          <w:rFonts w:eastAsia="Times New Roman"/>
        </w:rPr>
      </w:pPr>
      <w:r>
        <w:rPr>
          <w:rFonts w:eastAsia="Times New Roman"/>
          <w:color w:val="000000"/>
          <w:sz w:val="20"/>
          <w:szCs w:val="20"/>
        </w:rPr>
        <w:t>Not applicable.</w:t>
      </w:r>
    </w:p>
    <w:p w:rsidR="00000000" w:rsidRDefault="00971A12">
      <w:pPr>
        <w:jc w:val="center"/>
        <w:divId w:val="605115030"/>
        <w:rPr>
          <w:rFonts w:eastAsia="Times New Roman"/>
        </w:rPr>
      </w:pPr>
      <w:r>
        <w:rPr>
          <w:rFonts w:eastAsia="Times New Roman"/>
          <w:color w:val="000000"/>
          <w:sz w:val="20"/>
          <w:szCs w:val="20"/>
        </w:rPr>
        <w:t>28</w:t>
      </w:r>
    </w:p>
    <w:p w:rsidR="00000000" w:rsidRDefault="00971A12">
      <w:pPr>
        <w:rPr>
          <w:rFonts w:eastAsia="Times New Roman"/>
        </w:rPr>
      </w:pPr>
      <w:r>
        <w:rPr>
          <w:rFonts w:eastAsia="Times New Roman"/>
        </w:rPr>
        <w:pict>
          <v:rect id="_x0000_i1055" style="width:0;height:1.5pt" o:hralign="center" o:hrstd="t" o:hr="t" fillcolor="#a0a0a0" stroked="f"/>
        </w:pict>
      </w:r>
    </w:p>
    <w:p w:rsidR="00000000" w:rsidRDefault="00971A12">
      <w:pPr>
        <w:divId w:val="145123069"/>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95124418"/>
        <w:rPr>
          <w:rFonts w:eastAsia="Times New Roman"/>
        </w:rPr>
      </w:pPr>
    </w:p>
    <w:p w:rsidR="00000000" w:rsidRDefault="00971A12">
      <w:pPr>
        <w:jc w:val="center"/>
        <w:rPr>
          <w:rFonts w:eastAsia="Times New Roman"/>
        </w:rPr>
      </w:pPr>
    </w:p>
    <w:p w:rsidR="00000000" w:rsidRDefault="00971A12">
      <w:pPr>
        <w:jc w:val="center"/>
        <w:rPr>
          <w:rFonts w:eastAsia="Times New Roman"/>
        </w:rPr>
      </w:pPr>
      <w:r>
        <w:rPr>
          <w:rFonts w:eastAsia="Times New Roman"/>
          <w:b/>
          <w:bCs/>
          <w:color w:val="000000"/>
          <w:sz w:val="20"/>
          <w:szCs w:val="20"/>
        </w:rPr>
        <w:t>PART II</w:t>
      </w:r>
    </w:p>
    <w:p w:rsidR="00000000" w:rsidRDefault="00971A12">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758"/>
        <w:gridCol w:w="36"/>
        <w:gridCol w:w="69"/>
        <w:gridCol w:w="7338"/>
        <w:gridCol w:w="36"/>
      </w:tblGrid>
      <w:tr w:rsidR="00000000">
        <w:trPr>
          <w:divId w:val="337199668"/>
        </w:trPr>
        <w:tc>
          <w:tcPr>
            <w:tcW w:w="50" w:type="pct"/>
            <w:vAlign w:val="center"/>
            <w:hideMark/>
          </w:tcPr>
          <w:p w:rsidR="00000000" w:rsidRDefault="00971A12">
            <w:pPr>
              <w:jc w:val="center"/>
              <w:rPr>
                <w:rFonts w:eastAsia="Times New Roman"/>
              </w:rPr>
            </w:pPr>
          </w:p>
        </w:tc>
        <w:tc>
          <w:tcPr>
            <w:tcW w:w="46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42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337199668"/>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20"/>
                <w:szCs w:val="20"/>
              </w:rPr>
              <w:t>ITEM 5.</w:t>
            </w: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i/>
                <w:iCs/>
                <w:color w:val="000000"/>
                <w:sz w:val="20"/>
                <w:szCs w:val="20"/>
              </w:rPr>
              <w:t>MARKET FOR REGISTRANT'S COMMON EQUITY, RELATED STOCKHOLDER MATTERS AND ISSUER PURCHASES OF EQUITY SECURITIES</w:t>
            </w:r>
          </w:p>
        </w:tc>
      </w:tr>
    </w:tbl>
    <w:p w:rsidR="00000000" w:rsidRDefault="00971A12">
      <w:pPr>
        <w:jc w:val="both"/>
        <w:divId w:val="1463577990"/>
        <w:rPr>
          <w:rFonts w:eastAsia="Times New Roman"/>
        </w:rPr>
      </w:pPr>
      <w:r>
        <w:rPr>
          <w:rFonts w:eastAsia="Times New Roman"/>
          <w:b/>
          <w:bCs/>
          <w:color w:val="000000"/>
          <w:sz w:val="20"/>
          <w:szCs w:val="20"/>
        </w:rPr>
        <w:t>MARKET INFORMATION</w:t>
      </w:r>
    </w:p>
    <w:p w:rsidR="00000000" w:rsidRDefault="00971A12">
      <w:pPr>
        <w:divId w:val="1710255499"/>
        <w:rPr>
          <w:rFonts w:eastAsia="Times New Roman"/>
        </w:rPr>
      </w:pPr>
      <w:r>
        <w:rPr>
          <w:rFonts w:eastAsia="Times New Roman"/>
          <w:color w:val="000000"/>
          <w:sz w:val="20"/>
          <w:szCs w:val="20"/>
        </w:rPr>
        <w:t>Our Common Stock trades on The Nasdaq Global Select Market under the symbol "SCOR".</w:t>
      </w:r>
    </w:p>
    <w:p w:rsidR="00000000" w:rsidRDefault="00971A12">
      <w:pPr>
        <w:jc w:val="both"/>
        <w:divId w:val="589238217"/>
        <w:rPr>
          <w:rFonts w:eastAsia="Times New Roman"/>
        </w:rPr>
      </w:pPr>
      <w:r>
        <w:rPr>
          <w:rFonts w:eastAsia="Times New Roman"/>
          <w:b/>
          <w:bCs/>
          <w:color w:val="000000"/>
          <w:sz w:val="20"/>
          <w:szCs w:val="20"/>
        </w:rPr>
        <w:t xml:space="preserve">HOLDERS </w:t>
      </w:r>
    </w:p>
    <w:p w:rsidR="00000000" w:rsidRDefault="00971A12">
      <w:pPr>
        <w:jc w:val="both"/>
        <w:divId w:val="717973908"/>
        <w:rPr>
          <w:rFonts w:eastAsia="Times New Roman"/>
        </w:rPr>
      </w:pPr>
      <w:r>
        <w:rPr>
          <w:rFonts w:eastAsia="Times New Roman"/>
          <w:color w:val="000000"/>
          <w:sz w:val="20"/>
          <w:szCs w:val="20"/>
        </w:rPr>
        <w:t xml:space="preserve">As of February 24, 2023, there were 132 stockholders of record of our Common Stock, although we believe that there are a significantly larger number of beneficial </w:t>
      </w:r>
      <w:r>
        <w:rPr>
          <w:rFonts w:eastAsia="Times New Roman"/>
          <w:color w:val="000000"/>
          <w:sz w:val="20"/>
          <w:szCs w:val="20"/>
        </w:rPr>
        <w:t>owners of our Common Stock. We derived the number of stockholders by reviewing the listing of outstanding Common Stock recorded by our transfer agent as of February 24, 2023.</w:t>
      </w:r>
      <w:r>
        <w:rPr>
          <w:rFonts w:eastAsia="Times New Roman"/>
          <w:b/>
          <w:bCs/>
          <w:color w:val="000000"/>
          <w:sz w:val="20"/>
          <w:szCs w:val="20"/>
        </w:rPr>
        <w:t> </w:t>
      </w:r>
    </w:p>
    <w:p w:rsidR="00000000" w:rsidRDefault="00971A12">
      <w:pPr>
        <w:jc w:val="both"/>
        <w:divId w:val="28456106"/>
        <w:rPr>
          <w:rFonts w:eastAsia="Times New Roman"/>
        </w:rPr>
      </w:pPr>
      <w:r>
        <w:rPr>
          <w:rFonts w:eastAsia="Times New Roman"/>
          <w:b/>
          <w:bCs/>
          <w:color w:val="000000"/>
          <w:sz w:val="20"/>
          <w:szCs w:val="20"/>
        </w:rPr>
        <w:t>STOCK PERFORMANCE GRAPH</w:t>
      </w:r>
    </w:p>
    <w:p w:rsidR="00000000" w:rsidRDefault="00971A12">
      <w:pPr>
        <w:jc w:val="both"/>
        <w:divId w:val="2142720849"/>
        <w:rPr>
          <w:rFonts w:eastAsia="Times New Roman"/>
        </w:rPr>
      </w:pPr>
      <w:r>
        <w:rPr>
          <w:rFonts w:eastAsia="Times New Roman"/>
          <w:color w:val="000000"/>
          <w:sz w:val="20"/>
          <w:szCs w:val="20"/>
        </w:rPr>
        <w:t>The following graph compares the cumulative total stockh</w:t>
      </w:r>
      <w:r>
        <w:rPr>
          <w:rFonts w:eastAsia="Times New Roman"/>
          <w:color w:val="000000"/>
          <w:sz w:val="20"/>
          <w:szCs w:val="20"/>
        </w:rPr>
        <w:t>older return on our Common Stock between December 31, 2017 and December 31, 2022 to the cumulative total returns of the Nasdaq Composite Index, the S&amp;P MidCap 400 Index and the Nasdaq Computer Index over the same period. This graph assumes the investment o</w:t>
      </w:r>
      <w:r>
        <w:rPr>
          <w:rFonts w:eastAsia="Times New Roman"/>
          <w:color w:val="000000"/>
          <w:sz w:val="20"/>
          <w:szCs w:val="20"/>
        </w:rPr>
        <w:t>f $100 at the closing price of the markets on December 31, 2017 in our Common Stock, the Nasdaq Composite Index, the S&amp;P MidCap 400 Index and the Nasdaq Computer Index, and assumes the reinvestment of dividends, if any. The comparisons shown in the followi</w:t>
      </w:r>
      <w:r>
        <w:rPr>
          <w:rFonts w:eastAsia="Times New Roman"/>
          <w:color w:val="000000"/>
          <w:sz w:val="20"/>
          <w:szCs w:val="20"/>
        </w:rPr>
        <w:t>ng graph are based upon historical data. We caution that the stock price performance shown in the graph below is not necessarily indicative of, nor is it intended to forecast, the potential future performance of our Common Stock.</w:t>
      </w:r>
    </w:p>
    <w:p w:rsidR="00000000" w:rsidRDefault="00971A12">
      <w:pPr>
        <w:jc w:val="center"/>
        <w:divId w:val="1659379499"/>
        <w:rPr>
          <w:rFonts w:eastAsia="Times New Roman"/>
        </w:rPr>
      </w:pPr>
      <w:r>
        <w:rPr>
          <w:rFonts w:eastAsia="Times New Roman"/>
          <w:b/>
          <w:bCs/>
          <w:color w:val="000000"/>
          <w:sz w:val="20"/>
          <w:szCs w:val="20"/>
        </w:rPr>
        <w:t>COMPARISON OF CUMULATIVE T</w:t>
      </w:r>
      <w:r>
        <w:rPr>
          <w:rFonts w:eastAsia="Times New Roman"/>
          <w:b/>
          <w:bCs/>
          <w:color w:val="000000"/>
          <w:sz w:val="20"/>
          <w:szCs w:val="20"/>
        </w:rPr>
        <w:t>OTAL RETURN*</w:t>
      </w:r>
    </w:p>
    <w:p w:rsidR="00000000" w:rsidRDefault="00971A12">
      <w:pPr>
        <w:jc w:val="center"/>
        <w:rPr>
          <w:rFonts w:eastAsia="Times New Roman"/>
        </w:rPr>
      </w:pPr>
      <w:r>
        <w:rPr>
          <w:rFonts w:eastAsia="Times New Roman"/>
          <w:b/>
          <w:bCs/>
          <w:color w:val="000000"/>
          <w:sz w:val="20"/>
          <w:szCs w:val="20"/>
        </w:rPr>
        <w:t xml:space="preserve">among comScore, Inc., </w:t>
      </w:r>
    </w:p>
    <w:p w:rsidR="00000000" w:rsidRDefault="00971A12">
      <w:pPr>
        <w:jc w:val="center"/>
        <w:rPr>
          <w:rFonts w:eastAsia="Times New Roman"/>
        </w:rPr>
      </w:pPr>
      <w:r>
        <w:rPr>
          <w:rFonts w:eastAsia="Times New Roman"/>
          <w:b/>
          <w:bCs/>
          <w:color w:val="000000"/>
          <w:sz w:val="20"/>
          <w:szCs w:val="20"/>
        </w:rPr>
        <w:t>The Nasdaq Composite Index, The Nasdaq Computer Index and The S&amp;P MidCap 400 Index</w:t>
      </w:r>
    </w:p>
    <w:p w:rsidR="00000000" w:rsidRDefault="00971A12">
      <w:pPr>
        <w:jc w:val="center"/>
        <w:rPr>
          <w:rFonts w:eastAsia="Times New Roman"/>
        </w:rPr>
      </w:pPr>
      <w:r>
        <w:rPr>
          <w:rFonts w:eastAsia="Times New Roman"/>
          <w:noProof/>
        </w:rPr>
        <w:drawing>
          <wp:inline distT="0" distB="0" distL="0" distR="0">
            <wp:extent cx="304800" cy="304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971A12">
      <w:pPr>
        <w:jc w:val="center"/>
        <w:rPr>
          <w:rFonts w:eastAsia="Times New Roman"/>
        </w:rPr>
      </w:pPr>
      <w:r>
        <w:rPr>
          <w:rFonts w:eastAsia="Times New Roman"/>
          <w:color w:val="000000"/>
          <w:sz w:val="20"/>
          <w:szCs w:val="20"/>
        </w:rPr>
        <w:t>_________________</w:t>
      </w:r>
    </w:p>
    <w:tbl>
      <w:tblPr>
        <w:tblW w:w="5000" w:type="pct"/>
        <w:tblCellMar>
          <w:top w:w="15" w:type="dxa"/>
          <w:left w:w="15" w:type="dxa"/>
          <w:bottom w:w="15" w:type="dxa"/>
          <w:right w:w="15" w:type="dxa"/>
        </w:tblCellMar>
        <w:tblLook w:val="04A0" w:firstRow="1" w:lastRow="0" w:firstColumn="1" w:lastColumn="0" w:noHBand="0" w:noVBand="1"/>
      </w:tblPr>
      <w:tblGrid>
        <w:gridCol w:w="69"/>
        <w:gridCol w:w="355"/>
        <w:gridCol w:w="36"/>
        <w:gridCol w:w="69"/>
        <w:gridCol w:w="7741"/>
        <w:gridCol w:w="36"/>
      </w:tblGrid>
      <w:tr w:rsidR="00000000">
        <w:trPr>
          <w:divId w:val="2035497407"/>
        </w:trPr>
        <w:tc>
          <w:tcPr>
            <w:tcW w:w="50" w:type="pct"/>
            <w:vAlign w:val="center"/>
            <w:hideMark/>
          </w:tcPr>
          <w:p w:rsidR="00000000" w:rsidRDefault="00971A12">
            <w:pPr>
              <w:jc w:val="center"/>
              <w:rPr>
                <w:rFonts w:eastAsia="Times New Roman"/>
              </w:rPr>
            </w:pPr>
          </w:p>
        </w:tc>
        <w:tc>
          <w:tcPr>
            <w:tcW w:w="222"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667"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2035497407"/>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w:t>
            </w:r>
          </w:p>
        </w:tc>
        <w:tc>
          <w:tcPr>
            <w:tcW w:w="0" w:type="auto"/>
            <w:gridSpan w:val="3"/>
            <w:tcMar>
              <w:top w:w="30" w:type="dxa"/>
              <w:left w:w="20" w:type="dxa"/>
              <w:bottom w:w="30" w:type="dxa"/>
              <w:right w:w="20" w:type="dxa"/>
            </w:tcMar>
            <w:hideMark/>
          </w:tcPr>
          <w:p w:rsidR="00000000" w:rsidRDefault="00971A12">
            <w:pPr>
              <w:spacing w:after="100"/>
              <w:divId w:val="1410931076"/>
              <w:rPr>
                <w:rFonts w:eastAsia="Times New Roman"/>
              </w:rPr>
            </w:pPr>
            <w:r>
              <w:rPr>
                <w:rFonts w:eastAsia="Times New Roman"/>
                <w:color w:val="000000"/>
                <w:sz w:val="18"/>
                <w:szCs w:val="18"/>
              </w:rPr>
              <w:t>$100 invested upon market close of The Nasdaq Global Select Market on December 31, 2017, including reinvestment of dividends.</w:t>
            </w:r>
          </w:p>
        </w:tc>
      </w:tr>
    </w:tbl>
    <w:p w:rsidR="00000000" w:rsidRDefault="00971A12">
      <w:pPr>
        <w:jc w:val="both"/>
        <w:divId w:val="2146846182"/>
        <w:rPr>
          <w:rFonts w:eastAsia="Times New Roman"/>
        </w:rPr>
      </w:pPr>
      <w:r>
        <w:rPr>
          <w:rFonts w:eastAsia="Times New Roman"/>
          <w:color w:val="000000"/>
          <w:sz w:val="20"/>
          <w:szCs w:val="20"/>
        </w:rPr>
        <w:t>The preceding Stock Performance Graph is not deemed filed with the SEC and shall not be incorporated by reference in any of ou</w:t>
      </w:r>
      <w:r>
        <w:rPr>
          <w:rFonts w:eastAsia="Times New Roman"/>
          <w:color w:val="000000"/>
          <w:sz w:val="20"/>
          <w:szCs w:val="20"/>
        </w:rPr>
        <w:t>r filings under the Securities Act of 1933, as amended, or the Exchange Act, as amended, whether made before or after the date hereof and irrespective of any general incorporation language in any such securities filing, except to the extent that we specifi</w:t>
      </w:r>
      <w:r>
        <w:rPr>
          <w:rFonts w:eastAsia="Times New Roman"/>
          <w:color w:val="000000"/>
          <w:sz w:val="20"/>
          <w:szCs w:val="20"/>
        </w:rPr>
        <w:t>cally incorporate it by reference.</w:t>
      </w:r>
    </w:p>
    <w:p w:rsidR="00000000" w:rsidRDefault="00971A12">
      <w:pPr>
        <w:jc w:val="center"/>
        <w:divId w:val="430973598"/>
        <w:rPr>
          <w:rFonts w:eastAsia="Times New Roman"/>
        </w:rPr>
      </w:pPr>
      <w:r>
        <w:rPr>
          <w:rFonts w:eastAsia="Times New Roman"/>
          <w:color w:val="000000"/>
          <w:sz w:val="20"/>
          <w:szCs w:val="20"/>
        </w:rPr>
        <w:t>29</w:t>
      </w:r>
    </w:p>
    <w:p w:rsidR="00000000" w:rsidRDefault="00971A12">
      <w:pPr>
        <w:rPr>
          <w:rFonts w:eastAsia="Times New Roman"/>
        </w:rPr>
      </w:pPr>
      <w:r>
        <w:rPr>
          <w:rFonts w:eastAsia="Times New Roman"/>
        </w:rPr>
        <w:pict>
          <v:rect id="_x0000_i1057" style="width:0;height:1.5pt" o:hralign="center" o:hrstd="t" o:hr="t" fillcolor="#a0a0a0" stroked="f"/>
        </w:pict>
      </w:r>
    </w:p>
    <w:p w:rsidR="00000000" w:rsidRDefault="00971A12">
      <w:pPr>
        <w:divId w:val="382993357"/>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307515632"/>
        <w:rPr>
          <w:rFonts w:eastAsia="Times New Roman"/>
        </w:rPr>
      </w:pPr>
    </w:p>
    <w:p w:rsidR="00000000" w:rsidRDefault="00971A12">
      <w:pPr>
        <w:jc w:val="both"/>
        <w:divId w:val="563375346"/>
        <w:rPr>
          <w:rFonts w:eastAsia="Times New Roman"/>
        </w:rPr>
      </w:pPr>
      <w:r>
        <w:rPr>
          <w:rFonts w:eastAsia="Times New Roman"/>
          <w:b/>
          <w:bCs/>
          <w:color w:val="000000"/>
          <w:sz w:val="20"/>
          <w:szCs w:val="20"/>
        </w:rPr>
        <w:t>SECURITIES AUTHORIZED FOR ISSUANCE UNDER EQUITY COMPENSATION PLANS</w:t>
      </w:r>
    </w:p>
    <w:p w:rsidR="00000000" w:rsidRDefault="00971A12">
      <w:pPr>
        <w:jc w:val="both"/>
        <w:divId w:val="373972010"/>
        <w:rPr>
          <w:rFonts w:eastAsia="Times New Roman"/>
        </w:rPr>
      </w:pPr>
      <w:r>
        <w:rPr>
          <w:rFonts w:eastAsia="Times New Roman"/>
          <w:color w:val="000000"/>
          <w:sz w:val="20"/>
          <w:szCs w:val="20"/>
        </w:rPr>
        <w:t xml:space="preserve">The information relating to our equity compensation plans required by Item 5 is incorporated by reference to such information as set forth in Part III, </w:t>
      </w:r>
      <w:hyperlink w:anchor="i0047531bd13046b986557e31951e34f8_196" w:history="1">
        <w:r>
          <w:rPr>
            <w:rStyle w:val="a3"/>
            <w:rFonts w:eastAsia="Times New Roman"/>
            <w:sz w:val="20"/>
            <w:szCs w:val="20"/>
          </w:rPr>
          <w:t>Item 12</w:t>
        </w:r>
      </w:hyperlink>
      <w:r>
        <w:rPr>
          <w:rFonts w:eastAsia="Times New Roman"/>
          <w:color w:val="000000"/>
          <w:sz w:val="20"/>
          <w:szCs w:val="20"/>
        </w:rPr>
        <w:t>, "Security Ownership of Certain Beneficial Owners and Management and Related Stockholder Matters."</w:t>
      </w:r>
    </w:p>
    <w:p w:rsidR="00000000" w:rsidRDefault="00971A12">
      <w:pPr>
        <w:jc w:val="both"/>
        <w:divId w:val="1631521768"/>
        <w:rPr>
          <w:rFonts w:eastAsia="Times New Roman"/>
        </w:rPr>
      </w:pPr>
      <w:r>
        <w:rPr>
          <w:rFonts w:eastAsia="Times New Roman"/>
          <w:b/>
          <w:bCs/>
          <w:color w:val="000000"/>
          <w:sz w:val="20"/>
          <w:szCs w:val="20"/>
        </w:rPr>
        <w:t>UNREGISTERED SALES OF EQUITY SECURITIES AND USE OF PROCEEDS</w:t>
      </w:r>
    </w:p>
    <w:p w:rsidR="00000000" w:rsidRDefault="00971A12">
      <w:pPr>
        <w:jc w:val="both"/>
        <w:divId w:val="1112020311"/>
        <w:rPr>
          <w:rFonts w:eastAsia="Times New Roman"/>
        </w:rPr>
      </w:pPr>
      <w:r>
        <w:rPr>
          <w:rFonts w:eastAsia="Times New Roman"/>
          <w:color w:val="000000"/>
          <w:sz w:val="20"/>
          <w:szCs w:val="20"/>
        </w:rPr>
        <w:t xml:space="preserve">Information required by Item 701 of Regulation S-K was previously </w:t>
      </w:r>
      <w:r>
        <w:rPr>
          <w:rFonts w:eastAsia="Times New Roman"/>
          <w:color w:val="000000"/>
          <w:sz w:val="20"/>
          <w:szCs w:val="20"/>
        </w:rPr>
        <w:t>included in our Quarterly Report on Form 10-Q filed on August 9, 2022.</w:t>
      </w:r>
    </w:p>
    <w:p w:rsidR="00000000" w:rsidRDefault="00971A12">
      <w:pPr>
        <w:jc w:val="both"/>
        <w:divId w:val="637537603"/>
        <w:rPr>
          <w:rFonts w:eastAsia="Times New Roman"/>
        </w:rPr>
      </w:pPr>
      <w:r>
        <w:rPr>
          <w:rFonts w:eastAsia="Times New Roman"/>
          <w:b/>
          <w:bCs/>
          <w:color w:val="000000"/>
          <w:sz w:val="20"/>
          <w:szCs w:val="20"/>
        </w:rPr>
        <w:t xml:space="preserve">PURCHASES OF EQUITY SECURITIES BY THE ISSUER AND AFFILIATED PURCHASERS </w:t>
      </w:r>
    </w:p>
    <w:p w:rsidR="00000000" w:rsidRDefault="00971A12">
      <w:pPr>
        <w:jc w:val="both"/>
        <w:divId w:val="1470785280"/>
        <w:rPr>
          <w:rFonts w:eastAsia="Times New Roman"/>
        </w:rPr>
      </w:pPr>
      <w:r>
        <w:rPr>
          <w:rFonts w:eastAsia="Times New Roman"/>
          <w:color w:val="000000"/>
          <w:sz w:val="20"/>
          <w:szCs w:val="20"/>
        </w:rPr>
        <w:t>None.</w:t>
      </w:r>
    </w:p>
    <w:tbl>
      <w:tblPr>
        <w:tblW w:w="4743" w:type="pct"/>
        <w:tblCellMar>
          <w:top w:w="15" w:type="dxa"/>
          <w:left w:w="15" w:type="dxa"/>
          <w:bottom w:w="15" w:type="dxa"/>
          <w:right w:w="15" w:type="dxa"/>
        </w:tblCellMar>
        <w:tblLook w:val="04A0" w:firstRow="1" w:lastRow="0" w:firstColumn="1" w:lastColumn="0" w:noHBand="0" w:noVBand="1"/>
      </w:tblPr>
      <w:tblGrid>
        <w:gridCol w:w="65"/>
        <w:gridCol w:w="764"/>
        <w:gridCol w:w="36"/>
        <w:gridCol w:w="65"/>
        <w:gridCol w:w="6913"/>
        <w:gridCol w:w="36"/>
      </w:tblGrid>
      <w:tr w:rsidR="00000000">
        <w:trPr>
          <w:divId w:val="1374769184"/>
        </w:trPr>
        <w:tc>
          <w:tcPr>
            <w:tcW w:w="50" w:type="pct"/>
            <w:vAlign w:val="center"/>
            <w:hideMark/>
          </w:tcPr>
          <w:p w:rsidR="00000000" w:rsidRDefault="00971A12">
            <w:pPr>
              <w:jc w:val="both"/>
              <w:rPr>
                <w:rFonts w:eastAsia="Times New Roman"/>
              </w:rPr>
            </w:pPr>
          </w:p>
        </w:tc>
        <w:tc>
          <w:tcPr>
            <w:tcW w:w="4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9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374769184"/>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20"/>
                <w:szCs w:val="20"/>
              </w:rPr>
              <w:t>ITEM 6.</w:t>
            </w: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i/>
                <w:iCs/>
                <w:color w:val="000000"/>
                <w:sz w:val="20"/>
                <w:szCs w:val="20"/>
              </w:rPr>
              <w:t>[RESERVED]</w:t>
            </w:r>
          </w:p>
        </w:tc>
      </w:tr>
    </w:tbl>
    <w:p w:rsidR="00000000" w:rsidRDefault="00971A12">
      <w:pPr>
        <w:jc w:val="center"/>
        <w:divId w:val="1853911015"/>
        <w:rPr>
          <w:rFonts w:eastAsia="Times New Roman"/>
        </w:rPr>
      </w:pPr>
      <w:r>
        <w:rPr>
          <w:rFonts w:eastAsia="Times New Roman"/>
          <w:color w:val="000000"/>
          <w:sz w:val="20"/>
          <w:szCs w:val="20"/>
        </w:rPr>
        <w:t>30</w:t>
      </w:r>
    </w:p>
    <w:p w:rsidR="00000000" w:rsidRDefault="00971A12">
      <w:pPr>
        <w:rPr>
          <w:rFonts w:eastAsia="Times New Roman"/>
        </w:rPr>
      </w:pPr>
      <w:r>
        <w:rPr>
          <w:rFonts w:eastAsia="Times New Roman"/>
        </w:rPr>
        <w:pict>
          <v:rect id="_x0000_i1058" style="width:0;height:1.5pt" o:hralign="center" o:hrstd="t" o:hr="t" fillcolor="#a0a0a0" stroked="f"/>
        </w:pict>
      </w:r>
    </w:p>
    <w:p w:rsidR="00000000" w:rsidRDefault="00971A12">
      <w:pPr>
        <w:divId w:val="251938490"/>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731810718"/>
        <w:rPr>
          <w:rFonts w:eastAsia="Times New Roman"/>
        </w:rPr>
      </w:pPr>
    </w:p>
    <w:p w:rsidR="00000000" w:rsidRDefault="00971A12">
      <w:pPr>
        <w:jc w:val="both"/>
        <w:divId w:val="1831365113"/>
        <w:rPr>
          <w:rFonts w:eastAsia="Times New Roman"/>
        </w:rPr>
      </w:pPr>
      <w:r>
        <w:rPr>
          <w:rFonts w:eastAsia="Times New Roman"/>
          <w:b/>
          <w:bCs/>
          <w:color w:val="000000"/>
          <w:sz w:val="20"/>
          <w:szCs w:val="20"/>
        </w:rPr>
        <w:t>ITEM 7.</w:t>
      </w:r>
      <w:r>
        <w:rPr>
          <w:rFonts w:eastAsia="Times New Roman"/>
          <w:b/>
          <w:bCs/>
          <w:i/>
          <w:iCs/>
          <w:color w:val="000000"/>
          <w:sz w:val="20"/>
          <w:szCs w:val="20"/>
        </w:rPr>
        <w:t> </w:t>
      </w:r>
      <w:r>
        <w:rPr>
          <w:rFonts w:eastAsia="Times New Roman"/>
          <w:b/>
          <w:bCs/>
          <w:i/>
          <w:iCs/>
          <w:color w:val="000000"/>
          <w:sz w:val="20"/>
          <w:szCs w:val="20"/>
        </w:rPr>
        <w:t>MANAGEMENT'S DISCUSSION AND ANALYSIS OF FINANCIAL CONDITION AND RESULTS OF OPERATIONS</w:t>
      </w:r>
    </w:p>
    <w:p w:rsidR="00000000" w:rsidRDefault="00971A12">
      <w:pPr>
        <w:jc w:val="both"/>
        <w:divId w:val="269356670"/>
        <w:rPr>
          <w:rFonts w:eastAsia="Times New Roman"/>
        </w:rPr>
      </w:pPr>
      <w:r>
        <w:rPr>
          <w:rFonts w:eastAsia="Times New Roman"/>
          <w:i/>
          <w:iCs/>
          <w:color w:val="000000"/>
          <w:sz w:val="20"/>
          <w:szCs w:val="20"/>
        </w:rPr>
        <w:t>The following discussion and analysis of our financial condition and results of operations should be read in conjunction with our Consolidated Financial Statements and th</w:t>
      </w:r>
      <w:r>
        <w:rPr>
          <w:rFonts w:eastAsia="Times New Roman"/>
          <w:i/>
          <w:iCs/>
          <w:color w:val="000000"/>
          <w:sz w:val="20"/>
          <w:szCs w:val="20"/>
        </w:rPr>
        <w:t xml:space="preserve">e related Notes to Consolidated Financial Statements included in Part II, </w:t>
      </w:r>
      <w:hyperlink w:anchor="i0047531bd13046b986557e31951e34f8_73" w:history="1">
        <w:r>
          <w:rPr>
            <w:rStyle w:val="a3"/>
            <w:rFonts w:eastAsia="Times New Roman"/>
            <w:i/>
            <w:iCs/>
            <w:sz w:val="20"/>
            <w:szCs w:val="20"/>
          </w:rPr>
          <w:t>Item 8</w:t>
        </w:r>
      </w:hyperlink>
      <w:r>
        <w:rPr>
          <w:rFonts w:eastAsia="Times New Roman"/>
          <w:i/>
          <w:iCs/>
          <w:color w:val="000000"/>
          <w:sz w:val="20"/>
          <w:szCs w:val="20"/>
        </w:rPr>
        <w:t xml:space="preserve"> of this Annual Report on Form 10-K, or 10-K. In addition to historical financial information, the following discussi</w:t>
      </w:r>
      <w:r>
        <w:rPr>
          <w:rFonts w:eastAsia="Times New Roman"/>
          <w:i/>
          <w:iCs/>
          <w:color w:val="000000"/>
          <w:sz w:val="20"/>
          <w:szCs w:val="20"/>
        </w:rPr>
        <w:t>on and analysis contains forward-looking statements that involve risks, uncertainties and assumptions. Our actual results and timing of selected events in future periods may differ materially from those anticipated or implied in these forward-looking state</w:t>
      </w:r>
      <w:r>
        <w:rPr>
          <w:rFonts w:eastAsia="Times New Roman"/>
          <w:i/>
          <w:iCs/>
          <w:color w:val="000000"/>
          <w:sz w:val="20"/>
          <w:szCs w:val="20"/>
        </w:rPr>
        <w:t xml:space="preserve">ments as a result of many factors, including those discussed under </w:t>
      </w:r>
      <w:hyperlink w:anchor="i0047531bd13046b986557e31951e34f8_22" w:history="1">
        <w:r>
          <w:rPr>
            <w:rStyle w:val="a3"/>
            <w:rFonts w:eastAsia="Times New Roman"/>
            <w:i/>
            <w:iCs/>
            <w:sz w:val="20"/>
            <w:szCs w:val="20"/>
          </w:rPr>
          <w:t>Item 1A</w:t>
        </w:r>
      </w:hyperlink>
      <w:r>
        <w:rPr>
          <w:rFonts w:eastAsia="Times New Roman"/>
          <w:i/>
          <w:iCs/>
          <w:color w:val="000000"/>
          <w:sz w:val="20"/>
          <w:szCs w:val="20"/>
        </w:rPr>
        <w:t>, "Risk Factors," and elsewhere in this 10-K. See also "</w:t>
      </w:r>
      <w:hyperlink w:anchor="i0047531bd13046b986557e31951e34f8_10" w:history="1">
        <w:r>
          <w:rPr>
            <w:rStyle w:val="a3"/>
            <w:rFonts w:eastAsia="Times New Roman"/>
            <w:i/>
            <w:iCs/>
            <w:sz w:val="20"/>
            <w:szCs w:val="20"/>
          </w:rPr>
          <w:t>Cautionary Note Regarding Forward-Looking Statements</w:t>
        </w:r>
      </w:hyperlink>
      <w:r>
        <w:rPr>
          <w:rFonts w:eastAsia="Times New Roman"/>
          <w:i/>
          <w:iCs/>
          <w:color w:val="000000"/>
          <w:sz w:val="20"/>
          <w:szCs w:val="20"/>
        </w:rPr>
        <w:t>" at the beginning of this 10-K.</w:t>
      </w:r>
    </w:p>
    <w:p w:rsidR="00000000" w:rsidRDefault="00971A12">
      <w:pPr>
        <w:jc w:val="both"/>
        <w:divId w:val="388119470"/>
        <w:rPr>
          <w:rFonts w:eastAsia="Times New Roman"/>
        </w:rPr>
      </w:pPr>
      <w:r>
        <w:rPr>
          <w:rFonts w:eastAsia="Times New Roman"/>
          <w:b/>
          <w:bCs/>
          <w:color w:val="000000"/>
          <w:sz w:val="20"/>
          <w:szCs w:val="20"/>
        </w:rPr>
        <w:t xml:space="preserve">Overview </w:t>
      </w:r>
    </w:p>
    <w:p w:rsidR="00000000" w:rsidRDefault="00971A12">
      <w:pPr>
        <w:jc w:val="both"/>
        <w:divId w:val="685836532"/>
        <w:rPr>
          <w:rFonts w:eastAsia="Times New Roman"/>
        </w:rPr>
      </w:pPr>
      <w:r>
        <w:rPr>
          <w:rFonts w:eastAsia="Times New Roman"/>
          <w:color w:val="000000"/>
          <w:sz w:val="20"/>
          <w:szCs w:val="20"/>
        </w:rPr>
        <w:t>We are a global information and analytics company that measures advertising, content, and the consumer audiences of each, across media platforms. We create our p</w:t>
      </w:r>
      <w:r>
        <w:rPr>
          <w:rFonts w:eastAsia="Times New Roman"/>
          <w:color w:val="000000"/>
          <w:sz w:val="20"/>
          <w:szCs w:val="20"/>
        </w:rPr>
        <w:t>roducts using a global data platform that combines information on digital platforms (connected (Smart) televisions, mobile devices, tablets and computers), TV, direct to consumer applications and movie screens with demographics and other descriptive inform</w:t>
      </w:r>
      <w:r>
        <w:rPr>
          <w:rFonts w:eastAsia="Times New Roman"/>
          <w:color w:val="000000"/>
          <w:sz w:val="20"/>
          <w:szCs w:val="20"/>
        </w:rPr>
        <w:t>ation. We have developed proprietary data science that enables measurement of person-level and household-level audiences, removing duplicated viewing across devices and over time. This combination of data and methods enables a common standard for buyers an</w:t>
      </w:r>
      <w:r>
        <w:rPr>
          <w:rFonts w:eastAsia="Times New Roman"/>
          <w:color w:val="000000"/>
          <w:sz w:val="20"/>
          <w:szCs w:val="20"/>
        </w:rPr>
        <w:t>d sellers to transact on advertising. This helps companies across the media ecosystem better understand and monetize their audiences and develop marketing plans and products to more efficiently and effectively reach those audiences. Our ability to unify be</w:t>
      </w:r>
      <w:r>
        <w:rPr>
          <w:rFonts w:eastAsia="Times New Roman"/>
          <w:color w:val="000000"/>
          <w:sz w:val="20"/>
          <w:szCs w:val="20"/>
        </w:rPr>
        <w:t>havioral and other descriptive data enables us to provide audience ratings, advertising verification, and granular consumer segments that describe hundreds of millions of consumers. Our customers include digital publishers, television networks, movie studi</w:t>
      </w:r>
      <w:r>
        <w:rPr>
          <w:rFonts w:eastAsia="Times New Roman"/>
          <w:color w:val="000000"/>
          <w:sz w:val="20"/>
          <w:szCs w:val="20"/>
        </w:rPr>
        <w:t>os, content owners, brand advertisers, agencies and technology providers.</w:t>
      </w:r>
    </w:p>
    <w:p w:rsidR="00000000" w:rsidRDefault="00971A12">
      <w:pPr>
        <w:jc w:val="both"/>
        <w:divId w:val="121770759"/>
        <w:rPr>
          <w:rFonts w:eastAsia="Times New Roman"/>
        </w:rPr>
      </w:pPr>
      <w:r>
        <w:rPr>
          <w:rFonts w:eastAsia="Times New Roman"/>
          <w:color w:val="000000"/>
          <w:sz w:val="20"/>
          <w:szCs w:val="20"/>
        </w:rPr>
        <w:t>The platforms we measure include televisions, mobile devices, computers, tablets, CTV devices and movie theaters. The information we analyze crosses geographies, types of content and</w:t>
      </w:r>
      <w:r>
        <w:rPr>
          <w:rFonts w:eastAsia="Times New Roman"/>
          <w:color w:val="000000"/>
          <w:sz w:val="20"/>
          <w:szCs w:val="20"/>
        </w:rPr>
        <w:t xml:space="preserve"> activities, including websites, mobile and OTT apps, video games, television and movie programming, e-commerce, and advertising.</w:t>
      </w:r>
    </w:p>
    <w:p w:rsidR="00000000" w:rsidRDefault="00971A12">
      <w:pPr>
        <w:divId w:val="277683658"/>
        <w:rPr>
          <w:rFonts w:eastAsia="Times New Roman"/>
        </w:rPr>
      </w:pPr>
      <w:r>
        <w:rPr>
          <w:rFonts w:eastAsia="Times New Roman"/>
          <w:b/>
          <w:bCs/>
          <w:color w:val="000000"/>
          <w:sz w:val="20"/>
          <w:szCs w:val="20"/>
        </w:rPr>
        <w:t>Results of Operations</w:t>
      </w:r>
    </w:p>
    <w:p w:rsidR="00000000" w:rsidRDefault="00971A12">
      <w:pPr>
        <w:jc w:val="both"/>
        <w:divId w:val="1673096469"/>
        <w:rPr>
          <w:rFonts w:eastAsia="Times New Roman"/>
        </w:rPr>
      </w:pPr>
      <w:r>
        <w:rPr>
          <w:rFonts w:eastAsia="Times New Roman"/>
          <w:color w:val="000000"/>
          <w:sz w:val="20"/>
          <w:szCs w:val="20"/>
        </w:rPr>
        <w:t>The following table sets forth selected Consolidated Statements of Operations and Comprehensive Loss dat</w:t>
      </w:r>
      <w:r>
        <w:rPr>
          <w:rFonts w:eastAsia="Times New Roman"/>
          <w:color w:val="000000"/>
          <w:sz w:val="20"/>
          <w:szCs w:val="20"/>
        </w:rPr>
        <w:t>a as a percentage of revenues for each of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878"/>
        <w:gridCol w:w="39"/>
        <w:gridCol w:w="36"/>
        <w:gridCol w:w="36"/>
        <w:gridCol w:w="36"/>
        <w:gridCol w:w="110"/>
        <w:gridCol w:w="630"/>
        <w:gridCol w:w="36"/>
        <w:gridCol w:w="36"/>
        <w:gridCol w:w="36"/>
        <w:gridCol w:w="36"/>
        <w:gridCol w:w="65"/>
        <w:gridCol w:w="556"/>
        <w:gridCol w:w="170"/>
        <w:gridCol w:w="36"/>
        <w:gridCol w:w="36"/>
        <w:gridCol w:w="36"/>
        <w:gridCol w:w="110"/>
        <w:gridCol w:w="630"/>
        <w:gridCol w:w="36"/>
        <w:gridCol w:w="36"/>
        <w:gridCol w:w="36"/>
        <w:gridCol w:w="36"/>
        <w:gridCol w:w="65"/>
        <w:gridCol w:w="556"/>
        <w:gridCol w:w="170"/>
        <w:gridCol w:w="36"/>
        <w:gridCol w:w="36"/>
        <w:gridCol w:w="36"/>
        <w:gridCol w:w="110"/>
        <w:gridCol w:w="630"/>
        <w:gridCol w:w="36"/>
        <w:gridCol w:w="36"/>
        <w:gridCol w:w="36"/>
        <w:gridCol w:w="36"/>
        <w:gridCol w:w="65"/>
        <w:gridCol w:w="556"/>
        <w:gridCol w:w="170"/>
      </w:tblGrid>
      <w:tr w:rsidR="00000000">
        <w:trPr>
          <w:divId w:val="1967811768"/>
          <w:jc w:val="center"/>
        </w:trPr>
        <w:tc>
          <w:tcPr>
            <w:tcW w:w="50" w:type="pct"/>
            <w:vAlign w:val="center"/>
            <w:hideMark/>
          </w:tcPr>
          <w:p w:rsidR="00000000" w:rsidRDefault="00971A12">
            <w:pPr>
              <w:jc w:val="both"/>
              <w:rPr>
                <w:rFonts w:eastAsia="Times New Roman"/>
              </w:rPr>
            </w:pPr>
          </w:p>
        </w:tc>
        <w:tc>
          <w:tcPr>
            <w:tcW w:w="185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967811768"/>
          <w:jc w:val="center"/>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Years Ended December 31,</w:t>
            </w:r>
          </w:p>
        </w:tc>
      </w:tr>
      <w:tr w:rsidR="00000000">
        <w:trPr>
          <w:divId w:val="1967811768"/>
          <w:jc w:val="center"/>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r>
      <w:tr w:rsidR="00000000">
        <w:trPr>
          <w:divId w:val="1967811768"/>
          <w:jc w:val="center"/>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of Revenue</w:t>
            </w:r>
          </w:p>
        </w:tc>
      </w:tr>
      <w:tr w:rsidR="00000000">
        <w:trPr>
          <w:divId w:val="1967811768"/>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376,423 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367,013 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356,036 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967811768"/>
          <w:jc w:val="center"/>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Cost of revenues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205,294 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203,044 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180,712 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967811768"/>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Selling and marketing</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68,453 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66,937 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70,220 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19.7 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967811768"/>
          <w:jc w:val="center"/>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Research and development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36,987 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39,123 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38,706 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967811768"/>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General and administrative</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61,200 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61,736 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55,783 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967811768"/>
          <w:jc w:val="center"/>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Amortization of intangible assets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27,096 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25,038 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27,219 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967811768"/>
          <w:jc w:val="center"/>
        </w:trPr>
        <w:tc>
          <w:tcPr>
            <w:tcW w:w="0" w:type="auto"/>
            <w:gridSpan w:val="3"/>
            <w:vAlign w:val="center"/>
            <w:hideMark/>
          </w:tcPr>
          <w:p w:rsidR="00000000" w:rsidRDefault="00971A12">
            <w:pPr>
              <w:spacing w:after="100"/>
              <w:jc w:val="right"/>
              <w:rPr>
                <w:rFonts w:eastAsia="Times New Roman"/>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967811768"/>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Impairment of goodwill</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46,300 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967811768"/>
          <w:jc w:val="center"/>
        </w:trPr>
        <w:tc>
          <w:tcPr>
            <w:tcW w:w="0" w:type="auto"/>
            <w:gridSpan w:val="3"/>
            <w:vAlign w:val="center"/>
            <w:hideMark/>
          </w:tcPr>
          <w:p w:rsidR="00000000" w:rsidRDefault="00971A12">
            <w:pPr>
              <w:spacing w:after="100"/>
              <w:jc w:val="right"/>
              <w:rPr>
                <w:rFonts w:eastAsia="Times New Roman"/>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967811768"/>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967811768"/>
          <w:jc w:val="center"/>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Restructuring</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5,810 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967811768"/>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Impairment of right-of-use and long-lived assets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4,671 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967811768"/>
          <w:jc w:val="center"/>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Total expenses from operations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451,296 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395,878 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377,311 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967811768"/>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Loss from operations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(74,873)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(19.9)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(28,865)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(21,275)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967811768"/>
          <w:jc w:val="center"/>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Loss on extinguishment of debt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(9,629)</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(2.6)</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967811768"/>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(915)</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(0.2)</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(7,801)</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(35,805)</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(10.1)</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967811768"/>
          <w:jc w:val="center"/>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Other income (expense), net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9,785 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(5,778)</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14,554 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967811768"/>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Gain (loss) from foreign currency transactions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1,166 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2,895 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(4,490)</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967811768"/>
          <w:jc w:val="center"/>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(64,837)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(49,178)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(47,016)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967811768"/>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Income tax provision</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(1,724)</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(0.5)</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(859)</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(0.2)</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(902)</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(0.3)</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967811768"/>
          <w:jc w:val="center"/>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(66,561)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(50,037)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(47,918)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bl>
    <w:p w:rsidR="00000000" w:rsidRDefault="00971A12">
      <w:pPr>
        <w:jc w:val="both"/>
        <w:divId w:val="1851291217"/>
        <w:rPr>
          <w:rFonts w:eastAsia="Times New Roman"/>
        </w:rPr>
      </w:pPr>
      <w:r>
        <w:rPr>
          <w:rFonts w:eastAsia="Times New Roman"/>
          <w:b/>
          <w:bCs/>
          <w:i/>
          <w:iCs/>
          <w:color w:val="000000"/>
          <w:sz w:val="20"/>
          <w:szCs w:val="20"/>
        </w:rPr>
        <w:t>Revenues</w:t>
      </w:r>
    </w:p>
    <w:p w:rsidR="00000000" w:rsidRDefault="00971A12">
      <w:pPr>
        <w:jc w:val="both"/>
        <w:divId w:val="996804861"/>
        <w:rPr>
          <w:rFonts w:eastAsia="Times New Roman"/>
        </w:rPr>
      </w:pPr>
      <w:r>
        <w:rPr>
          <w:rFonts w:eastAsia="Times New Roman"/>
          <w:color w:val="000000"/>
          <w:sz w:val="20"/>
          <w:szCs w:val="20"/>
        </w:rPr>
        <w:t xml:space="preserve">Our products and services are organized around solution groups that address customer needs. Accordingly, we evaluate revenues around two solution groups: </w:t>
      </w:r>
    </w:p>
    <w:p w:rsidR="00000000" w:rsidRDefault="00971A12">
      <w:pPr>
        <w:ind w:hanging="360"/>
        <w:jc w:val="both"/>
        <w:divId w:val="1796630705"/>
        <w:rPr>
          <w:rFonts w:eastAsia="Times New Roman"/>
        </w:rPr>
      </w:pPr>
      <w:r>
        <w:rPr>
          <w:rFonts w:eastAsia="Times New Roman"/>
          <w:color w:val="000000"/>
          <w:sz w:val="20"/>
          <w:szCs w:val="20"/>
        </w:rPr>
        <w:t>•Digital Ad Solutions provide measurement of the behavior and characteri</w:t>
      </w:r>
      <w:r>
        <w:rPr>
          <w:rFonts w:eastAsia="Times New Roman"/>
          <w:color w:val="000000"/>
          <w:sz w:val="20"/>
          <w:szCs w:val="20"/>
        </w:rPr>
        <w:t>stics of audiences across digital platforms, including computers, tablets, mobile and other connected devices. This solution group also includes custom offerings that provide end-to-end solutions for planning, optimization and evaluation of advertising cam</w:t>
      </w:r>
      <w:r>
        <w:rPr>
          <w:rFonts w:eastAsia="Times New Roman"/>
          <w:color w:val="000000"/>
          <w:sz w:val="20"/>
          <w:szCs w:val="20"/>
        </w:rPr>
        <w:t>paigns and brand protection across digital platforms, including transactional outcome-based measurement driven by our Activation and CCR products.</w:t>
      </w:r>
    </w:p>
    <w:p w:rsidR="00000000" w:rsidRDefault="00971A12">
      <w:pPr>
        <w:jc w:val="center"/>
        <w:divId w:val="1868329359"/>
        <w:rPr>
          <w:rFonts w:eastAsia="Times New Roman"/>
        </w:rPr>
      </w:pPr>
      <w:r>
        <w:rPr>
          <w:rFonts w:eastAsia="Times New Roman"/>
          <w:color w:val="000000"/>
          <w:sz w:val="20"/>
          <w:szCs w:val="20"/>
        </w:rPr>
        <w:t>31</w:t>
      </w:r>
    </w:p>
    <w:p w:rsidR="00000000" w:rsidRDefault="00971A12">
      <w:pPr>
        <w:rPr>
          <w:rFonts w:eastAsia="Times New Roman"/>
        </w:rPr>
      </w:pPr>
      <w:r>
        <w:rPr>
          <w:rFonts w:eastAsia="Times New Roman"/>
        </w:rPr>
        <w:pict>
          <v:rect id="_x0000_i1059" style="width:0;height:1.5pt" o:hralign="center" o:hrstd="t" o:hr="t" fillcolor="#a0a0a0" stroked="f"/>
        </w:pict>
      </w:r>
    </w:p>
    <w:p w:rsidR="00000000" w:rsidRDefault="00971A12">
      <w:pPr>
        <w:divId w:val="1637493644"/>
        <w:rPr>
          <w:rFonts w:eastAsia="Times New Roman"/>
        </w:rPr>
      </w:pPr>
      <w:hyperlink w:anchor="i0047531bd13046b986557e31951e34f8_7" w:history="1">
        <w:r>
          <w:rPr>
            <w:rStyle w:val="a3"/>
            <w:rFonts w:eastAsia="Times New Roman"/>
            <w:sz w:val="20"/>
            <w:szCs w:val="20"/>
          </w:rPr>
          <w:t>Table of Con</w:t>
        </w:r>
        <w:r>
          <w:rPr>
            <w:rStyle w:val="a3"/>
            <w:rFonts w:eastAsia="Times New Roman"/>
            <w:sz w:val="20"/>
            <w:szCs w:val="20"/>
          </w:rPr>
          <w:t>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506674984"/>
        <w:rPr>
          <w:rFonts w:eastAsia="Times New Roman"/>
        </w:rPr>
      </w:pPr>
    </w:p>
    <w:p w:rsidR="00000000" w:rsidRDefault="00971A12">
      <w:pPr>
        <w:ind w:hanging="360"/>
        <w:jc w:val="both"/>
        <w:divId w:val="1868790248"/>
        <w:rPr>
          <w:rFonts w:eastAsia="Times New Roman"/>
        </w:rPr>
      </w:pPr>
      <w:r>
        <w:rPr>
          <w:rFonts w:eastAsia="Times New Roman"/>
          <w:color w:val="000000"/>
          <w:sz w:val="20"/>
          <w:szCs w:val="20"/>
        </w:rPr>
        <w:t>•Cross Platform Solutions provide measurement of content and advertising audiences across local, national and addressable television, including consumption through connected (Smart) televisi</w:t>
      </w:r>
      <w:r>
        <w:rPr>
          <w:rFonts w:eastAsia="Times New Roman"/>
          <w:color w:val="000000"/>
          <w:sz w:val="20"/>
          <w:szCs w:val="20"/>
        </w:rPr>
        <w:t>ons, and are designed to help customers find the most relevant viewing audience whether that viewing is linear, non-linear, online or on-demand. This solution group also includes custom offerings that provide end-to-end solutions for planning, optimization</w:t>
      </w:r>
      <w:r>
        <w:rPr>
          <w:rFonts w:eastAsia="Times New Roman"/>
          <w:color w:val="000000"/>
          <w:sz w:val="20"/>
          <w:szCs w:val="20"/>
        </w:rPr>
        <w:t xml:space="preserve"> and evaluation of advertising campaigns across platforms. In addition, this solution group includes products that measure movie viewership and box office results by capturing movie ticket sales in real time or near real time and includes box office analyt</w:t>
      </w:r>
      <w:r>
        <w:rPr>
          <w:rFonts w:eastAsia="Times New Roman"/>
          <w:color w:val="000000"/>
          <w:sz w:val="20"/>
          <w:szCs w:val="20"/>
        </w:rPr>
        <w:t>ics, trend analysis and insights for movie studios and movie theater operators worldwide.</w:t>
      </w:r>
    </w:p>
    <w:p w:rsidR="00000000" w:rsidRDefault="00971A12">
      <w:pPr>
        <w:jc w:val="both"/>
        <w:divId w:val="1724524059"/>
        <w:rPr>
          <w:rFonts w:eastAsia="Times New Roman"/>
        </w:rPr>
      </w:pPr>
      <w:r>
        <w:rPr>
          <w:rFonts w:eastAsia="Times New Roman"/>
          <w:color w:val="000000"/>
          <w:sz w:val="20"/>
          <w:szCs w:val="20"/>
        </w:rPr>
        <w:t>We categorize our revenue along these solution groups; however, our cost structure is tracked at the corporate level and not by our solution groups. These costs inclu</w:t>
      </w:r>
      <w:r>
        <w:rPr>
          <w:rFonts w:eastAsia="Times New Roman"/>
          <w:color w:val="000000"/>
          <w:sz w:val="20"/>
          <w:szCs w:val="20"/>
        </w:rPr>
        <w:t>de, but are not limited to, employee costs, purchased data, operational overhead, data storage and technology that supports multiple solution groups.</w:t>
      </w:r>
    </w:p>
    <w:p w:rsidR="00000000" w:rsidRDefault="00971A12">
      <w:pPr>
        <w:jc w:val="both"/>
        <w:divId w:val="1819303260"/>
        <w:rPr>
          <w:rFonts w:eastAsia="Times New Roman"/>
        </w:rPr>
      </w:pPr>
      <w:r>
        <w:rPr>
          <w:rFonts w:eastAsia="Times New Roman"/>
          <w:color w:val="000000"/>
          <w:sz w:val="20"/>
          <w:szCs w:val="20"/>
        </w:rPr>
        <w:t>Revenues for the years ended December 31, 2022 and 2021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2891"/>
        <w:gridCol w:w="36"/>
        <w:gridCol w:w="110"/>
        <w:gridCol w:w="630"/>
        <w:gridCol w:w="36"/>
        <w:gridCol w:w="36"/>
        <w:gridCol w:w="36"/>
        <w:gridCol w:w="36"/>
        <w:gridCol w:w="65"/>
        <w:gridCol w:w="556"/>
        <w:gridCol w:w="170"/>
        <w:gridCol w:w="36"/>
        <w:gridCol w:w="36"/>
        <w:gridCol w:w="36"/>
        <w:gridCol w:w="110"/>
        <w:gridCol w:w="630"/>
        <w:gridCol w:w="36"/>
        <w:gridCol w:w="36"/>
        <w:gridCol w:w="36"/>
        <w:gridCol w:w="36"/>
        <w:gridCol w:w="65"/>
        <w:gridCol w:w="556"/>
        <w:gridCol w:w="170"/>
        <w:gridCol w:w="36"/>
        <w:gridCol w:w="36"/>
        <w:gridCol w:w="36"/>
        <w:gridCol w:w="111"/>
        <w:gridCol w:w="694"/>
        <w:gridCol w:w="36"/>
        <w:gridCol w:w="36"/>
        <w:gridCol w:w="36"/>
        <w:gridCol w:w="36"/>
        <w:gridCol w:w="68"/>
        <w:gridCol w:w="589"/>
        <w:gridCol w:w="170"/>
      </w:tblGrid>
      <w:tr w:rsidR="00000000">
        <w:trPr>
          <w:divId w:val="1837649145"/>
        </w:trPr>
        <w:tc>
          <w:tcPr>
            <w:tcW w:w="50" w:type="pct"/>
            <w:vAlign w:val="center"/>
            <w:hideMark/>
          </w:tcPr>
          <w:p w:rsidR="00000000" w:rsidRDefault="00971A12">
            <w:pPr>
              <w:jc w:val="both"/>
              <w:rPr>
                <w:rFonts w:eastAsia="Times New Roman"/>
              </w:rPr>
            </w:pPr>
          </w:p>
        </w:tc>
        <w:tc>
          <w:tcPr>
            <w:tcW w:w="188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837649145"/>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837649145"/>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Variance</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Variance</w:t>
            </w:r>
          </w:p>
        </w:tc>
      </w:tr>
      <w:tr w:rsidR="00000000">
        <w:trPr>
          <w:divId w:val="1837649145"/>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Digital Ad Solutions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212,510 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221,979 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(9,469)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837649145"/>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Cross Platform Solutions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163,913 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43.5 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145,034 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39.5 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18,879 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837649145"/>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376,423 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367,013 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9,410 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bl>
    <w:p w:rsidR="00000000" w:rsidRDefault="00971A12">
      <w:pPr>
        <w:jc w:val="both"/>
        <w:divId w:val="98531157"/>
        <w:rPr>
          <w:rFonts w:eastAsia="Times New Roman"/>
        </w:rPr>
      </w:pPr>
      <w:r>
        <w:rPr>
          <w:rFonts w:eastAsia="Times New Roman"/>
          <w:color w:val="000000"/>
          <w:sz w:val="20"/>
          <w:szCs w:val="20"/>
        </w:rPr>
        <w:t>Total revenues increased by $9.4 million, or 2.6%, for the year ended December 31, 2022 as compared to 2021.</w:t>
      </w:r>
    </w:p>
    <w:p w:rsidR="00000000" w:rsidRDefault="00971A12">
      <w:pPr>
        <w:jc w:val="both"/>
        <w:divId w:val="866525633"/>
        <w:rPr>
          <w:rFonts w:eastAsia="Times New Roman"/>
        </w:rPr>
      </w:pPr>
      <w:r>
        <w:rPr>
          <w:rFonts w:eastAsia="Times New Roman"/>
          <w:color w:val="000000"/>
          <w:sz w:val="20"/>
          <w:szCs w:val="20"/>
        </w:rPr>
        <w:t>Digital Ad Solutions revenue decreased primarily due to lower usage of our Activation product as well as a decline in our syndicated digital produc</w:t>
      </w:r>
      <w:r>
        <w:rPr>
          <w:rFonts w:eastAsia="Times New Roman"/>
          <w:color w:val="000000"/>
          <w:sz w:val="20"/>
          <w:szCs w:val="20"/>
        </w:rPr>
        <w:t xml:space="preserve">ts and custom digital deliveries. Additionally, we recognized $2.4 million in license revenue under a multi-year contract in 2021 (related to delivery of our digital measurement products in Europe) that did not recur in 2022. We believe that macroeconomic </w:t>
      </w:r>
      <w:r>
        <w:rPr>
          <w:rFonts w:eastAsia="Times New Roman"/>
          <w:color w:val="000000"/>
          <w:sz w:val="20"/>
          <w:szCs w:val="20"/>
        </w:rPr>
        <w:t>factors (including inflation, rising interest rates and supply chain disruptions) caused a reduction or delay in advertising expenditures in 2022, impacting demand for certain digital products. We expect this trend to continue into 2023.</w:t>
      </w:r>
    </w:p>
    <w:p w:rsidR="00000000" w:rsidRDefault="00971A12">
      <w:pPr>
        <w:jc w:val="both"/>
        <w:divId w:val="1904370339"/>
        <w:rPr>
          <w:rFonts w:eastAsia="Times New Roman"/>
        </w:rPr>
      </w:pPr>
      <w:r>
        <w:rPr>
          <w:rFonts w:eastAsia="Times New Roman"/>
          <w:color w:val="000000"/>
          <w:sz w:val="20"/>
          <w:szCs w:val="20"/>
        </w:rPr>
        <w:t>Cross Platform Sol</w:t>
      </w:r>
      <w:r>
        <w:rPr>
          <w:rFonts w:eastAsia="Times New Roman"/>
          <w:color w:val="000000"/>
          <w:sz w:val="20"/>
          <w:szCs w:val="20"/>
        </w:rPr>
        <w:t>utions revenue increased primarily due to higher TV revenues from new partnerships, higher contract values from renewals and increased agency adoption. In addition, we recognized $4.1 million more revenue related to cost reimbursements of cloud computing a</w:t>
      </w:r>
      <w:r>
        <w:rPr>
          <w:rFonts w:eastAsia="Times New Roman"/>
          <w:color w:val="000000"/>
          <w:sz w:val="20"/>
          <w:szCs w:val="20"/>
        </w:rPr>
        <w:t xml:space="preserve">nd processing costs attributable to certain custom TV data set deliveries during 2022 compared to 2021. Our movies revenue increased due to the continued return of consumers to theaters in markets worldwide. </w:t>
      </w:r>
    </w:p>
    <w:p w:rsidR="00000000" w:rsidRDefault="00971A12">
      <w:pPr>
        <w:jc w:val="both"/>
        <w:divId w:val="890768546"/>
        <w:rPr>
          <w:rFonts w:eastAsia="Times New Roman"/>
        </w:rPr>
      </w:pPr>
      <w:r>
        <w:rPr>
          <w:rFonts w:eastAsia="Times New Roman"/>
          <w:color w:val="000000"/>
          <w:sz w:val="20"/>
          <w:szCs w:val="20"/>
        </w:rPr>
        <w:t xml:space="preserve">Revenues for the years ended December 31, 2021 </w:t>
      </w:r>
      <w:r>
        <w:rPr>
          <w:rFonts w:eastAsia="Times New Roman"/>
          <w:color w:val="000000"/>
          <w:sz w:val="20"/>
          <w:szCs w:val="20"/>
        </w:rPr>
        <w:t>and 2020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2891"/>
        <w:gridCol w:w="36"/>
        <w:gridCol w:w="110"/>
        <w:gridCol w:w="630"/>
        <w:gridCol w:w="36"/>
        <w:gridCol w:w="36"/>
        <w:gridCol w:w="36"/>
        <w:gridCol w:w="36"/>
        <w:gridCol w:w="65"/>
        <w:gridCol w:w="556"/>
        <w:gridCol w:w="170"/>
        <w:gridCol w:w="36"/>
        <w:gridCol w:w="36"/>
        <w:gridCol w:w="36"/>
        <w:gridCol w:w="110"/>
        <w:gridCol w:w="630"/>
        <w:gridCol w:w="36"/>
        <w:gridCol w:w="36"/>
        <w:gridCol w:w="36"/>
        <w:gridCol w:w="36"/>
        <w:gridCol w:w="65"/>
        <w:gridCol w:w="556"/>
        <w:gridCol w:w="170"/>
        <w:gridCol w:w="36"/>
        <w:gridCol w:w="36"/>
        <w:gridCol w:w="36"/>
        <w:gridCol w:w="111"/>
        <w:gridCol w:w="694"/>
        <w:gridCol w:w="36"/>
        <w:gridCol w:w="36"/>
        <w:gridCol w:w="36"/>
        <w:gridCol w:w="36"/>
        <w:gridCol w:w="68"/>
        <w:gridCol w:w="589"/>
        <w:gridCol w:w="170"/>
      </w:tblGrid>
      <w:tr w:rsidR="00000000">
        <w:trPr>
          <w:divId w:val="1097991256"/>
        </w:trPr>
        <w:tc>
          <w:tcPr>
            <w:tcW w:w="50" w:type="pct"/>
            <w:vAlign w:val="center"/>
            <w:hideMark/>
          </w:tcPr>
          <w:p w:rsidR="00000000" w:rsidRDefault="00971A12">
            <w:pPr>
              <w:jc w:val="both"/>
              <w:rPr>
                <w:rFonts w:eastAsia="Times New Roman"/>
              </w:rPr>
            </w:pPr>
          </w:p>
        </w:tc>
        <w:tc>
          <w:tcPr>
            <w:tcW w:w="188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097991256"/>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097991256"/>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Variance</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Variance</w:t>
            </w:r>
          </w:p>
        </w:tc>
      </w:tr>
      <w:tr w:rsidR="00000000">
        <w:trPr>
          <w:divId w:val="1097991256"/>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Digital Ad Solutions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221,979 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213,504 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8,475 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097991256"/>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Cross Platform Solutions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145,034 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39.5 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142,532 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40.0 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2,502 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097991256"/>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367,013 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356,036 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10,977 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bl>
    <w:p w:rsidR="00000000" w:rsidRDefault="00971A12">
      <w:pPr>
        <w:jc w:val="both"/>
        <w:divId w:val="1034504437"/>
        <w:rPr>
          <w:rFonts w:eastAsia="Times New Roman"/>
        </w:rPr>
      </w:pPr>
      <w:r>
        <w:rPr>
          <w:rFonts w:eastAsia="Times New Roman"/>
          <w:color w:val="000000"/>
          <w:sz w:val="20"/>
          <w:szCs w:val="20"/>
        </w:rPr>
        <w:t xml:space="preserve">Total revenues increased by $11.0 million, or 3.1%, for the year ended December 31, 2021 as compared to 2020. </w:t>
      </w:r>
    </w:p>
    <w:p w:rsidR="00000000" w:rsidRDefault="00971A12">
      <w:pPr>
        <w:jc w:val="both"/>
        <w:divId w:val="81463143"/>
        <w:rPr>
          <w:rFonts w:eastAsia="Times New Roman"/>
        </w:rPr>
      </w:pPr>
      <w:r>
        <w:rPr>
          <w:rFonts w:eastAsia="Times New Roman"/>
          <w:color w:val="000000"/>
          <w:sz w:val="20"/>
          <w:szCs w:val="20"/>
        </w:rPr>
        <w:t>Digital Ad Solutions revenue increased primarily due to double-digit year-over-year growth related to Activation as we continued to bring new sol</w:t>
      </w:r>
      <w:r>
        <w:rPr>
          <w:rFonts w:eastAsia="Times New Roman"/>
          <w:color w:val="000000"/>
          <w:sz w:val="20"/>
          <w:szCs w:val="20"/>
        </w:rPr>
        <w:t xml:space="preserve">utions to market. Additionally, revenue in 2021 included $2.4 million in license revenue recognized under the multi-year contract described above. This increase was partially offset by lower revenue from our syndicated digital products. Syndicated digital </w:t>
      </w:r>
      <w:r>
        <w:rPr>
          <w:rFonts w:eastAsia="Times New Roman"/>
          <w:color w:val="000000"/>
          <w:sz w:val="20"/>
          <w:szCs w:val="20"/>
        </w:rPr>
        <w:t xml:space="preserve">revenue was lower primarily due to our smaller customers who continued to be impacted by ongoing industry changes in ad buying and consolidations. </w:t>
      </w:r>
    </w:p>
    <w:p w:rsidR="00000000" w:rsidRDefault="00971A12">
      <w:pPr>
        <w:jc w:val="both"/>
        <w:divId w:val="32310793"/>
        <w:rPr>
          <w:rFonts w:eastAsia="Times New Roman"/>
        </w:rPr>
      </w:pPr>
      <w:r>
        <w:rPr>
          <w:rFonts w:eastAsia="Times New Roman"/>
          <w:color w:val="000000"/>
          <w:sz w:val="20"/>
          <w:szCs w:val="20"/>
        </w:rPr>
        <w:t xml:space="preserve">Cross Platform Solutions revenue increased primarily due to higher revenue from our TV products. TV revenue </w:t>
      </w:r>
      <w:r>
        <w:rPr>
          <w:rFonts w:eastAsia="Times New Roman"/>
          <w:color w:val="000000"/>
          <w:sz w:val="20"/>
          <w:szCs w:val="20"/>
        </w:rPr>
        <w:t>was higher primarily due to new partnerships, increased agency adoption and higher deliveries of custom TV data. This increase was partially offset by a decrease in our movies business primarily driven by lower revenues during the first quarter of 2021, wh</w:t>
      </w:r>
      <w:r>
        <w:rPr>
          <w:rFonts w:eastAsia="Times New Roman"/>
          <w:color w:val="000000"/>
          <w:sz w:val="20"/>
          <w:szCs w:val="20"/>
        </w:rPr>
        <w:t xml:space="preserve">ich reflected the full impact of the COVID-19 pandemic and its effect on theater closures, movie releases and consumer behavior worldwide. </w:t>
      </w:r>
    </w:p>
    <w:p w:rsidR="00000000" w:rsidRDefault="00971A12">
      <w:pPr>
        <w:jc w:val="both"/>
        <w:divId w:val="2126457449"/>
        <w:rPr>
          <w:rFonts w:eastAsia="Times New Roman"/>
        </w:rPr>
      </w:pPr>
      <w:r>
        <w:rPr>
          <w:rFonts w:eastAsia="Times New Roman"/>
          <w:color w:val="000000"/>
          <w:sz w:val="20"/>
          <w:szCs w:val="20"/>
          <w:u w:val="single"/>
        </w:rPr>
        <w:t>Revenues by Geographic Location</w:t>
      </w:r>
    </w:p>
    <w:p w:rsidR="00000000" w:rsidRDefault="00971A12">
      <w:pPr>
        <w:jc w:val="both"/>
        <w:divId w:val="392890637"/>
        <w:rPr>
          <w:rFonts w:eastAsia="Times New Roman"/>
        </w:rPr>
      </w:pPr>
      <w:r>
        <w:rPr>
          <w:rFonts w:eastAsia="Times New Roman"/>
          <w:color w:val="000000"/>
          <w:sz w:val="20"/>
          <w:szCs w:val="20"/>
        </w:rPr>
        <w:t>Revenue from outside of the United States was $38.6 million, $45.1 million and $45.3</w:t>
      </w:r>
      <w:r>
        <w:rPr>
          <w:rFonts w:eastAsia="Times New Roman"/>
          <w:color w:val="000000"/>
          <w:sz w:val="20"/>
          <w:szCs w:val="20"/>
        </w:rPr>
        <w:t xml:space="preserve"> million for the years ended December 31, 2022, 2021, and 2020, respectively. Non-U.S. revenue declined in 2022 primarily due to the $2.4 million in license fee revenue recognized in Europe under a multi-year contract in 2021 that did not recur in 2022, as</w:t>
      </w:r>
      <w:r>
        <w:rPr>
          <w:rFonts w:eastAsia="Times New Roman"/>
          <w:color w:val="000000"/>
          <w:sz w:val="20"/>
          <w:szCs w:val="20"/>
        </w:rPr>
        <w:t xml:space="preserve"> well as a decline in revenue from our syndicated digital products.</w:t>
      </w:r>
    </w:p>
    <w:p w:rsidR="00000000" w:rsidRDefault="00971A12">
      <w:pPr>
        <w:jc w:val="both"/>
        <w:divId w:val="896431816"/>
        <w:rPr>
          <w:rFonts w:eastAsia="Times New Roman"/>
        </w:rPr>
      </w:pPr>
      <w:r>
        <w:rPr>
          <w:rFonts w:eastAsia="Times New Roman"/>
          <w:color w:val="000000"/>
          <w:sz w:val="20"/>
          <w:szCs w:val="20"/>
        </w:rPr>
        <w:t xml:space="preserve">We generate the majority of our revenues from the sale and delivery of our products within the United States. For information with respect to sales by geographic markets, refer to </w:t>
      </w:r>
      <w:hyperlink w:anchor="i0047531bd13046b986557e31951e34f8_106"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Revenue Recognition</w:t>
      </w:r>
      <w:r>
        <w:rPr>
          <w:rFonts w:eastAsia="Times New Roman"/>
          <w:color w:val="000000"/>
          <w:sz w:val="20"/>
          <w:szCs w:val="20"/>
        </w:rPr>
        <w:t>, of the Notes to Consolidated Financial Statements. Our chief operating decision maker (our CEO) does not evaluate the profit or loss from any separate geography.</w:t>
      </w:r>
    </w:p>
    <w:p w:rsidR="00000000" w:rsidRDefault="00971A12">
      <w:pPr>
        <w:jc w:val="both"/>
        <w:divId w:val="21054460"/>
        <w:rPr>
          <w:rFonts w:eastAsia="Times New Roman"/>
        </w:rPr>
      </w:pPr>
      <w:r>
        <w:rPr>
          <w:rFonts w:eastAsia="Times New Roman"/>
          <w:color w:val="000000"/>
          <w:sz w:val="20"/>
          <w:szCs w:val="20"/>
        </w:rPr>
        <w:t>We antici</w:t>
      </w:r>
      <w:r>
        <w:rPr>
          <w:rFonts w:eastAsia="Times New Roman"/>
          <w:color w:val="000000"/>
          <w:sz w:val="20"/>
          <w:szCs w:val="20"/>
        </w:rPr>
        <w:t xml:space="preserve">pate that revenues from our U.S. sales will continue to constitute a substantial and increasing portion of our revenues in future periods. We expect our non-U.S. revenues to continue to decline as a percentage of our total revenues as a result of relative </w:t>
      </w:r>
      <w:r>
        <w:rPr>
          <w:rFonts w:eastAsia="Times New Roman"/>
          <w:color w:val="000000"/>
          <w:sz w:val="20"/>
          <w:szCs w:val="20"/>
        </w:rPr>
        <w:t>growth in our domestic product offerings.</w:t>
      </w:r>
    </w:p>
    <w:p w:rsidR="00000000" w:rsidRDefault="00971A12">
      <w:pPr>
        <w:jc w:val="center"/>
        <w:divId w:val="743114112"/>
        <w:rPr>
          <w:rFonts w:eastAsia="Times New Roman"/>
        </w:rPr>
      </w:pPr>
      <w:r>
        <w:rPr>
          <w:rFonts w:eastAsia="Times New Roman"/>
          <w:color w:val="000000"/>
          <w:sz w:val="20"/>
          <w:szCs w:val="20"/>
        </w:rPr>
        <w:t>32</w:t>
      </w:r>
    </w:p>
    <w:p w:rsidR="00000000" w:rsidRDefault="00971A12">
      <w:pPr>
        <w:rPr>
          <w:rFonts w:eastAsia="Times New Roman"/>
        </w:rPr>
      </w:pPr>
      <w:r>
        <w:rPr>
          <w:rFonts w:eastAsia="Times New Roman"/>
        </w:rPr>
        <w:pict>
          <v:rect id="_x0000_i1060" style="width:0;height:1.5pt" o:hralign="center" o:hrstd="t" o:hr="t" fillcolor="#a0a0a0" stroked="f"/>
        </w:pict>
      </w:r>
    </w:p>
    <w:p w:rsidR="00000000" w:rsidRDefault="00971A12">
      <w:pPr>
        <w:divId w:val="1864855989"/>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755275824"/>
        <w:rPr>
          <w:rFonts w:eastAsia="Times New Roman"/>
        </w:rPr>
      </w:pPr>
    </w:p>
    <w:p w:rsidR="00000000" w:rsidRDefault="00971A12">
      <w:pPr>
        <w:jc w:val="both"/>
        <w:divId w:val="728498680"/>
        <w:rPr>
          <w:rFonts w:eastAsia="Times New Roman"/>
        </w:rPr>
      </w:pPr>
      <w:r>
        <w:rPr>
          <w:rFonts w:eastAsia="Times New Roman"/>
          <w:color w:val="000000"/>
          <w:sz w:val="20"/>
          <w:szCs w:val="20"/>
          <w:u w:val="single"/>
        </w:rPr>
        <w:t>WPP Related Party Revenue</w:t>
      </w:r>
    </w:p>
    <w:p w:rsidR="00000000" w:rsidRDefault="00971A12">
      <w:pPr>
        <w:jc w:val="both"/>
        <w:divId w:val="313225247"/>
        <w:rPr>
          <w:rFonts w:eastAsia="Times New Roman"/>
        </w:rPr>
      </w:pPr>
      <w:r>
        <w:rPr>
          <w:rFonts w:eastAsia="Times New Roman"/>
          <w:color w:val="000000"/>
          <w:sz w:val="20"/>
          <w:szCs w:val="20"/>
        </w:rPr>
        <w:t xml:space="preserve">We provide WPP plc ("WPP") and its affiliates, in the normal course of business, services relating to our different product lines and receive various services from WPP and its affiliates in supporting our data collection efforts. </w:t>
      </w:r>
      <w:r>
        <w:rPr>
          <w:rFonts w:eastAsia="Times New Roman"/>
          <w:color w:val="000000"/>
          <w:sz w:val="20"/>
          <w:szCs w:val="20"/>
        </w:rPr>
        <w:t>For the years ended December 31, 2022, 2021, and 2020, related party revenues with WPP and its affiliates were $11.7 million, $13.6 million and $13.3 million, respectively.</w:t>
      </w:r>
    </w:p>
    <w:p w:rsidR="00000000" w:rsidRDefault="00971A12">
      <w:pPr>
        <w:jc w:val="both"/>
        <w:divId w:val="106197878"/>
        <w:rPr>
          <w:rFonts w:eastAsia="Times New Roman"/>
        </w:rPr>
      </w:pPr>
      <w:r>
        <w:rPr>
          <w:rFonts w:eastAsia="Times New Roman"/>
          <w:b/>
          <w:bCs/>
          <w:i/>
          <w:iCs/>
          <w:color w:val="000000"/>
          <w:sz w:val="20"/>
          <w:szCs w:val="20"/>
        </w:rPr>
        <w:t>Cost of Revenues</w:t>
      </w:r>
    </w:p>
    <w:p w:rsidR="00000000" w:rsidRDefault="00971A12">
      <w:pPr>
        <w:jc w:val="both"/>
        <w:divId w:val="852182939"/>
        <w:rPr>
          <w:rFonts w:eastAsia="Times New Roman"/>
        </w:rPr>
      </w:pPr>
      <w:r>
        <w:rPr>
          <w:rFonts w:eastAsia="Times New Roman"/>
          <w:color w:val="000000"/>
          <w:sz w:val="20"/>
          <w:szCs w:val="20"/>
        </w:rPr>
        <w:t>Cost of revenues consists primarily of expenses related to produci</w:t>
      </w:r>
      <w:r>
        <w:rPr>
          <w:rFonts w:eastAsia="Times New Roman"/>
          <w:color w:val="000000"/>
          <w:sz w:val="20"/>
          <w:szCs w:val="20"/>
        </w:rPr>
        <w:t>ng our products, operating our network infrastructure, the recruitment, maintenance and support of our consumer panels and amortization of capitalized fulfillment costs. These expenses include employee costs for salaries, benefits, stock-based compensation</w:t>
      </w:r>
      <w:r>
        <w:rPr>
          <w:rFonts w:eastAsia="Times New Roman"/>
          <w:color w:val="000000"/>
          <w:sz w:val="20"/>
          <w:szCs w:val="20"/>
        </w:rPr>
        <w:t xml:space="preserve"> and other related personnel costs of network operations, survey operations, custom analytics and technical support, all of which are expensed as they are incurred. Cost of revenues also includes costs to obtain multichannel video programming distributor (</w:t>
      </w:r>
      <w:r>
        <w:rPr>
          <w:rFonts w:eastAsia="Times New Roman"/>
          <w:color w:val="000000"/>
          <w:sz w:val="20"/>
          <w:szCs w:val="20"/>
        </w:rPr>
        <w:t>"MVPD") data sets and panel, census-based and other data sets used in our products as well as operational costs associated with our data centers, including depreciation expense associated with computer equipment and internally developed software that suppo</w:t>
      </w:r>
      <w:r>
        <w:rPr>
          <w:rFonts w:eastAsia="Times New Roman"/>
          <w:color w:val="000000"/>
          <w:sz w:val="20"/>
          <w:szCs w:val="20"/>
        </w:rPr>
        <w:t>rts our panels and systems. Additionally, cost of revenues includes allocated overhead, lease expense and other facilities-related costs.</w:t>
      </w:r>
    </w:p>
    <w:p w:rsidR="00000000" w:rsidRDefault="00971A12">
      <w:pPr>
        <w:jc w:val="both"/>
        <w:divId w:val="788007244"/>
        <w:rPr>
          <w:rFonts w:eastAsia="Times New Roman"/>
        </w:rPr>
      </w:pPr>
      <w:r>
        <w:rPr>
          <w:rFonts w:eastAsia="Times New Roman"/>
          <w:color w:val="000000"/>
          <w:sz w:val="20"/>
          <w:szCs w:val="20"/>
        </w:rPr>
        <w:t>Cost of revenues for the years ended December 31, 2022 and 2021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887"/>
        <w:gridCol w:w="38"/>
        <w:gridCol w:w="110"/>
        <w:gridCol w:w="630"/>
        <w:gridCol w:w="36"/>
        <w:gridCol w:w="36"/>
        <w:gridCol w:w="36"/>
        <w:gridCol w:w="36"/>
        <w:gridCol w:w="65"/>
        <w:gridCol w:w="556"/>
        <w:gridCol w:w="170"/>
        <w:gridCol w:w="36"/>
        <w:gridCol w:w="36"/>
        <w:gridCol w:w="36"/>
        <w:gridCol w:w="110"/>
        <w:gridCol w:w="630"/>
        <w:gridCol w:w="36"/>
        <w:gridCol w:w="36"/>
        <w:gridCol w:w="36"/>
        <w:gridCol w:w="36"/>
        <w:gridCol w:w="65"/>
        <w:gridCol w:w="556"/>
        <w:gridCol w:w="170"/>
        <w:gridCol w:w="36"/>
        <w:gridCol w:w="36"/>
        <w:gridCol w:w="36"/>
        <w:gridCol w:w="111"/>
        <w:gridCol w:w="694"/>
        <w:gridCol w:w="36"/>
        <w:gridCol w:w="36"/>
        <w:gridCol w:w="36"/>
        <w:gridCol w:w="36"/>
        <w:gridCol w:w="68"/>
        <w:gridCol w:w="589"/>
        <w:gridCol w:w="170"/>
      </w:tblGrid>
      <w:tr w:rsidR="00000000">
        <w:trPr>
          <w:divId w:val="2130278071"/>
        </w:trPr>
        <w:tc>
          <w:tcPr>
            <w:tcW w:w="50" w:type="pct"/>
            <w:vAlign w:val="center"/>
            <w:hideMark/>
          </w:tcPr>
          <w:p w:rsidR="00000000" w:rsidRDefault="00971A12">
            <w:pPr>
              <w:jc w:val="both"/>
              <w:rPr>
                <w:rFonts w:eastAsia="Times New Roman"/>
              </w:rPr>
            </w:pPr>
          </w:p>
        </w:tc>
        <w:tc>
          <w:tcPr>
            <w:tcW w:w="188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2130278071"/>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2130278071"/>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9"/>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2130278071"/>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r>
              <w:rPr>
                <w:rFonts w:eastAsia="Times New Roman"/>
                <w:b/>
                <w:bCs/>
                <w:color w:val="000000"/>
                <w:sz w:val="10"/>
                <w:szCs w:val="1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Variance</w:t>
            </w:r>
          </w:p>
        </w:tc>
      </w:tr>
      <w:tr w:rsidR="00000000">
        <w:trPr>
          <w:divId w:val="2130278071"/>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Data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70,707 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74,196 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(3,489)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130278071"/>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Employee costs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41,003 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41,386 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(383)</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(0.9)</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130278071"/>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Systems and bandwidth costs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34,526 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27,565 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6,961 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130278071"/>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21,016 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18,946 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2,070 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130278071"/>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Panel costs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15,747 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15,198 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549 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130278071"/>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Sample and survey costs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7,013 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7,008 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130278071"/>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Professional fees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5,954 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5,109 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845 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130278071"/>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4,701 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5,689 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(988)</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(17.4)</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130278071"/>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Royalties and resellers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3,534 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4,039 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(505)</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(12.5)</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130278071"/>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1,093 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3,908 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(2,815)</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(72.0)</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130278071"/>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cost of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205,294 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203,044 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bl>
    <w:p w:rsidR="00000000" w:rsidRDefault="00971A12">
      <w:pPr>
        <w:jc w:val="both"/>
        <w:divId w:val="2039818082"/>
        <w:rPr>
          <w:rFonts w:eastAsia="Times New Roman"/>
        </w:rPr>
      </w:pPr>
      <w:r>
        <w:rPr>
          <w:rFonts w:eastAsia="Times New Roman"/>
          <w:color w:val="000000"/>
          <w:sz w:val="20"/>
          <w:szCs w:val="20"/>
        </w:rPr>
        <w:t xml:space="preserve">Cost of revenues increased by $2.3 million, or </w:t>
      </w:r>
      <w:r>
        <w:rPr>
          <w:rFonts w:eastAsia="Times New Roman"/>
          <w:color w:val="000000"/>
          <w:sz w:val="20"/>
          <w:szCs w:val="20"/>
        </w:rPr>
        <w:t>1.1%, for the year ended December 31, 2022 as compared to 2021. Systems and bandwidth costs increased primarily due to cloud computing and processing costs attributable to certain custom TV data set deliveries, including $4.1 million that was recognized as</w:t>
      </w:r>
      <w:r>
        <w:rPr>
          <w:rFonts w:eastAsia="Times New Roman"/>
          <w:color w:val="000000"/>
          <w:sz w:val="20"/>
          <w:szCs w:val="20"/>
        </w:rPr>
        <w:t xml:space="preserve"> revenue in 2022 as described above. Lease expense and depreciation increased due to higher depreciation primarily driven by the addition of capitalized internal-use software costs as a result of our acquisition of Shareablee in 2021. These increases were </w:t>
      </w:r>
      <w:r>
        <w:rPr>
          <w:rFonts w:eastAsia="Times New Roman"/>
          <w:color w:val="000000"/>
          <w:sz w:val="20"/>
          <w:szCs w:val="20"/>
        </w:rPr>
        <w:t>offset by a decrease in data costs primarily due to an amended data licensing agreement with Charter Communications, which resulted in a credit of $4.5 million recognized in 2022. Additionally, other expenses decreased primarily due to higher contract fulf</w:t>
      </w:r>
      <w:r>
        <w:rPr>
          <w:rFonts w:eastAsia="Times New Roman"/>
          <w:color w:val="000000"/>
          <w:sz w:val="20"/>
          <w:szCs w:val="20"/>
        </w:rPr>
        <w:t xml:space="preserve">illment costs associated with the delivery of our cross-platform products in Europe in 2021. </w:t>
      </w:r>
    </w:p>
    <w:p w:rsidR="00000000" w:rsidRDefault="00971A12">
      <w:pPr>
        <w:jc w:val="both"/>
        <w:divId w:val="2009668401"/>
        <w:rPr>
          <w:rFonts w:eastAsia="Times New Roman"/>
        </w:rPr>
      </w:pPr>
      <w:r>
        <w:rPr>
          <w:rFonts w:eastAsia="Times New Roman"/>
          <w:color w:val="000000"/>
          <w:sz w:val="20"/>
          <w:szCs w:val="20"/>
        </w:rPr>
        <w:t>Cost of revenues for the years ended December 31, 2021 and 2020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887"/>
        <w:gridCol w:w="38"/>
        <w:gridCol w:w="110"/>
        <w:gridCol w:w="630"/>
        <w:gridCol w:w="36"/>
        <w:gridCol w:w="36"/>
        <w:gridCol w:w="36"/>
        <w:gridCol w:w="36"/>
        <w:gridCol w:w="65"/>
        <w:gridCol w:w="556"/>
        <w:gridCol w:w="170"/>
        <w:gridCol w:w="36"/>
        <w:gridCol w:w="36"/>
        <w:gridCol w:w="36"/>
        <w:gridCol w:w="110"/>
        <w:gridCol w:w="630"/>
        <w:gridCol w:w="36"/>
        <w:gridCol w:w="36"/>
        <w:gridCol w:w="36"/>
        <w:gridCol w:w="36"/>
        <w:gridCol w:w="65"/>
        <w:gridCol w:w="556"/>
        <w:gridCol w:w="170"/>
        <w:gridCol w:w="36"/>
        <w:gridCol w:w="36"/>
        <w:gridCol w:w="36"/>
        <w:gridCol w:w="111"/>
        <w:gridCol w:w="694"/>
        <w:gridCol w:w="36"/>
        <w:gridCol w:w="36"/>
        <w:gridCol w:w="36"/>
        <w:gridCol w:w="36"/>
        <w:gridCol w:w="68"/>
        <w:gridCol w:w="589"/>
        <w:gridCol w:w="170"/>
      </w:tblGrid>
      <w:tr w:rsidR="00000000">
        <w:trPr>
          <w:divId w:val="641663241"/>
        </w:trPr>
        <w:tc>
          <w:tcPr>
            <w:tcW w:w="50" w:type="pct"/>
            <w:vAlign w:val="center"/>
            <w:hideMark/>
          </w:tcPr>
          <w:p w:rsidR="00000000" w:rsidRDefault="00971A12">
            <w:pPr>
              <w:jc w:val="both"/>
              <w:rPr>
                <w:rFonts w:eastAsia="Times New Roman"/>
              </w:rPr>
            </w:pPr>
          </w:p>
        </w:tc>
        <w:tc>
          <w:tcPr>
            <w:tcW w:w="188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641663241"/>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641663241"/>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9"/>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641663241"/>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r>
              <w:rPr>
                <w:rFonts w:eastAsia="Times New Roman"/>
                <w:b/>
                <w:bCs/>
                <w:color w:val="000000"/>
                <w:sz w:val="10"/>
                <w:szCs w:val="1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Variance</w:t>
            </w:r>
          </w:p>
        </w:tc>
      </w:tr>
      <w:tr w:rsidR="00000000">
        <w:trPr>
          <w:divId w:val="641663241"/>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Data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74,196 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63,598 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10,598 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641663241"/>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Employee costs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41,386 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38,920 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2,466 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641663241"/>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Systems and bandwidth costs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27,565 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24,349 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3,216 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641663241"/>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18,946 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16,970 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1,976 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641663241"/>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Panel costs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15,198 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19,075 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(3,877)</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(20.3)</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641663241"/>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Sample and survey costs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7,008 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5,133 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1,875 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641663241"/>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5,689 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5,710 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(0.4)</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641663241"/>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5,109 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4,272 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837 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19.6 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641663241"/>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Royalties and resellers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4,039 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(33)</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4,072 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NM</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r>
      <w:tr w:rsidR="00000000">
        <w:trPr>
          <w:divId w:val="641663241"/>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3,908 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2,718 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1,190 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43.8 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641663241"/>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cost of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203,044 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180,712 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22,332 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bl>
    <w:p w:rsidR="00000000" w:rsidRDefault="00971A12">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Calculation is not meaningful.</w:t>
      </w:r>
    </w:p>
    <w:p w:rsidR="00000000" w:rsidRDefault="00971A12">
      <w:pPr>
        <w:jc w:val="both"/>
        <w:divId w:val="1071342640"/>
        <w:rPr>
          <w:rFonts w:eastAsia="Times New Roman"/>
        </w:rPr>
      </w:pPr>
      <w:r>
        <w:rPr>
          <w:rFonts w:eastAsia="Times New Roman"/>
          <w:color w:val="000000"/>
          <w:sz w:val="20"/>
          <w:szCs w:val="20"/>
        </w:rPr>
        <w:t xml:space="preserve">Cost of revenues increased by $22.3 million, or 12.4%, for the year ended December 31, 2021 as compared to 2020. Data costs increased primarily due to higher TV data licensing costs to expand our data footprint and data rights, including our expanded data </w:t>
      </w:r>
      <w:r>
        <w:rPr>
          <w:rFonts w:eastAsia="Times New Roman"/>
          <w:color w:val="000000"/>
          <w:sz w:val="20"/>
          <w:szCs w:val="20"/>
        </w:rPr>
        <w:t xml:space="preserve">license with Charter Communications. Royalties and resellers expenses increased primarily due to a $2.0 million one-time, non-cash benefit related to certain revenue share arrangements recorded in the fourth quarter of 2020, lower costs during 2020 due to </w:t>
      </w:r>
      <w:r>
        <w:rPr>
          <w:rFonts w:eastAsia="Times New Roman"/>
          <w:color w:val="000000"/>
          <w:sz w:val="20"/>
          <w:szCs w:val="20"/>
        </w:rPr>
        <w:t xml:space="preserve">less revenue associated with revenue sharing arrangements, and a reclassification of costs historically captured in data costs to better reflect the nature of the services provided. Systems and </w:t>
      </w:r>
    </w:p>
    <w:p w:rsidR="00000000" w:rsidRDefault="00971A12">
      <w:pPr>
        <w:jc w:val="center"/>
        <w:divId w:val="778065174"/>
        <w:rPr>
          <w:rFonts w:eastAsia="Times New Roman"/>
        </w:rPr>
      </w:pPr>
      <w:r>
        <w:rPr>
          <w:rFonts w:eastAsia="Times New Roman"/>
          <w:color w:val="000000"/>
          <w:sz w:val="20"/>
          <w:szCs w:val="20"/>
        </w:rPr>
        <w:t>33</w:t>
      </w:r>
    </w:p>
    <w:p w:rsidR="00000000" w:rsidRDefault="00971A12">
      <w:pPr>
        <w:rPr>
          <w:rFonts w:eastAsia="Times New Roman"/>
        </w:rPr>
      </w:pPr>
      <w:r>
        <w:rPr>
          <w:rFonts w:eastAsia="Times New Roman"/>
        </w:rPr>
        <w:pict>
          <v:rect id="_x0000_i1061" style="width:0;height:1.5pt" o:hralign="center" o:hrstd="t" o:hr="t" fillcolor="#a0a0a0" stroked="f"/>
        </w:pict>
      </w:r>
    </w:p>
    <w:p w:rsidR="00000000" w:rsidRDefault="00971A12">
      <w:pPr>
        <w:divId w:val="1406995158"/>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828834278"/>
        <w:rPr>
          <w:rFonts w:eastAsia="Times New Roman"/>
        </w:rPr>
      </w:pPr>
    </w:p>
    <w:p w:rsidR="00000000" w:rsidRDefault="00971A12">
      <w:pPr>
        <w:jc w:val="both"/>
        <w:divId w:val="1181430922"/>
        <w:rPr>
          <w:rFonts w:eastAsia="Times New Roman"/>
        </w:rPr>
      </w:pPr>
      <w:r>
        <w:rPr>
          <w:rFonts w:eastAsia="Times New Roman"/>
          <w:color w:val="000000"/>
          <w:sz w:val="20"/>
          <w:szCs w:val="20"/>
        </w:rPr>
        <w:t>bandwidth costs increased primarily due to increases in cloud-based data storage and bandwidth capacity. Employee costs increased as we alloca</w:t>
      </w:r>
      <w:r>
        <w:rPr>
          <w:rFonts w:eastAsia="Times New Roman"/>
          <w:color w:val="000000"/>
          <w:sz w:val="20"/>
          <w:szCs w:val="20"/>
        </w:rPr>
        <w:t>ted more employee resources towards support of our products and operating infrastructure and modified certain employee incentive compensation. Lease expense and depreciation increased primarily due to higher depreciation driven by previously capitalized in</w:t>
      </w:r>
      <w:r>
        <w:rPr>
          <w:rFonts w:eastAsia="Times New Roman"/>
          <w:color w:val="000000"/>
          <w:sz w:val="20"/>
          <w:szCs w:val="20"/>
        </w:rPr>
        <w:t>ternal-use software costs. Sample and survey costs increased primarily due to higher sales and deliveries of digital marketing solutions. Other expenses increased primarily due to higher contract fulfillment costs associated with the delivery of our cross-</w:t>
      </w:r>
      <w:r>
        <w:rPr>
          <w:rFonts w:eastAsia="Times New Roman"/>
          <w:color w:val="000000"/>
          <w:sz w:val="20"/>
          <w:szCs w:val="20"/>
        </w:rPr>
        <w:t>platform products in Europe. Offsetting these increases was a decrease in panel costs primarily due to lower recruitment and support costs for our mobile panels.</w:t>
      </w:r>
    </w:p>
    <w:p w:rsidR="00000000" w:rsidRDefault="00971A12">
      <w:pPr>
        <w:jc w:val="both"/>
        <w:divId w:val="895046397"/>
        <w:rPr>
          <w:rFonts w:eastAsia="Times New Roman"/>
        </w:rPr>
      </w:pPr>
      <w:r>
        <w:rPr>
          <w:rFonts w:eastAsia="Times New Roman"/>
          <w:b/>
          <w:bCs/>
          <w:i/>
          <w:iCs/>
          <w:color w:val="000000"/>
          <w:sz w:val="20"/>
          <w:szCs w:val="20"/>
        </w:rPr>
        <w:t>Selling and Marketing</w:t>
      </w:r>
    </w:p>
    <w:p w:rsidR="00000000" w:rsidRDefault="00971A12">
      <w:pPr>
        <w:jc w:val="both"/>
        <w:divId w:val="1527867516"/>
        <w:rPr>
          <w:rFonts w:eastAsia="Times New Roman"/>
        </w:rPr>
      </w:pPr>
      <w:r>
        <w:rPr>
          <w:rFonts w:eastAsia="Times New Roman"/>
          <w:color w:val="000000"/>
          <w:sz w:val="20"/>
          <w:szCs w:val="20"/>
        </w:rPr>
        <w:t>Selling and marketing expenses consist primarily of employee costs, incl</w:t>
      </w:r>
      <w:r>
        <w:rPr>
          <w:rFonts w:eastAsia="Times New Roman"/>
          <w:color w:val="000000"/>
          <w:sz w:val="20"/>
          <w:szCs w:val="20"/>
        </w:rPr>
        <w:t>uding salaries, benefits, commissions, stock-based compensation and other related costs for personnel associated with sales and marketing activities, as well as costs related to online and offline advertising, industry conferences, promotional materials, p</w:t>
      </w:r>
      <w:r>
        <w:rPr>
          <w:rFonts w:eastAsia="Times New Roman"/>
          <w:color w:val="000000"/>
          <w:sz w:val="20"/>
          <w:szCs w:val="20"/>
        </w:rPr>
        <w:t xml:space="preserve">ublic relations, other sales and marketing programs and allocated overhead, which is comprised of lease expense and other facilities-related costs, and depreciation expense generated by general purpose equipment and software. </w:t>
      </w:r>
    </w:p>
    <w:p w:rsidR="00000000" w:rsidRDefault="00971A12">
      <w:pPr>
        <w:jc w:val="both"/>
        <w:divId w:val="345059040"/>
        <w:rPr>
          <w:rFonts w:eastAsia="Times New Roman"/>
        </w:rPr>
      </w:pPr>
      <w:r>
        <w:rPr>
          <w:rFonts w:eastAsia="Times New Roman"/>
          <w:color w:val="000000"/>
          <w:sz w:val="20"/>
          <w:szCs w:val="20"/>
        </w:rPr>
        <w:t>Selling and marketing expense</w:t>
      </w:r>
      <w:r>
        <w:rPr>
          <w:rFonts w:eastAsia="Times New Roman"/>
          <w:color w:val="000000"/>
          <w:sz w:val="20"/>
          <w:szCs w:val="20"/>
        </w:rPr>
        <w:t>s for the years ended December 31, 2022 and 2021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742"/>
        <w:gridCol w:w="37"/>
        <w:gridCol w:w="110"/>
        <w:gridCol w:w="540"/>
        <w:gridCol w:w="36"/>
        <w:gridCol w:w="36"/>
        <w:gridCol w:w="36"/>
        <w:gridCol w:w="36"/>
        <w:gridCol w:w="65"/>
        <w:gridCol w:w="556"/>
        <w:gridCol w:w="170"/>
        <w:gridCol w:w="36"/>
        <w:gridCol w:w="36"/>
        <w:gridCol w:w="36"/>
        <w:gridCol w:w="110"/>
        <w:gridCol w:w="540"/>
        <w:gridCol w:w="36"/>
        <w:gridCol w:w="36"/>
        <w:gridCol w:w="36"/>
        <w:gridCol w:w="36"/>
        <w:gridCol w:w="65"/>
        <w:gridCol w:w="556"/>
        <w:gridCol w:w="170"/>
        <w:gridCol w:w="53"/>
        <w:gridCol w:w="166"/>
        <w:gridCol w:w="52"/>
        <w:gridCol w:w="111"/>
        <w:gridCol w:w="694"/>
        <w:gridCol w:w="36"/>
        <w:gridCol w:w="53"/>
        <w:gridCol w:w="166"/>
        <w:gridCol w:w="52"/>
        <w:gridCol w:w="68"/>
        <w:gridCol w:w="589"/>
        <w:gridCol w:w="170"/>
      </w:tblGrid>
      <w:tr w:rsidR="00000000">
        <w:trPr>
          <w:divId w:val="2107070172"/>
          <w:jc w:val="center"/>
        </w:trPr>
        <w:tc>
          <w:tcPr>
            <w:tcW w:w="50" w:type="pct"/>
            <w:vAlign w:val="center"/>
            <w:hideMark/>
          </w:tcPr>
          <w:p w:rsidR="00000000" w:rsidRDefault="00971A12">
            <w:pPr>
              <w:jc w:val="both"/>
              <w:rPr>
                <w:rFonts w:eastAsia="Times New Roman"/>
              </w:rPr>
            </w:pPr>
          </w:p>
        </w:tc>
        <w:tc>
          <w:tcPr>
            <w:tcW w:w="188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2107070172"/>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2107070172"/>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2107070172"/>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xml:space="preserve">% of Revenue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xml:space="preserve">% of Revenue </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Variance</w:t>
            </w:r>
          </w:p>
        </w:tc>
      </w:tr>
      <w:tr w:rsidR="00000000">
        <w:trPr>
          <w:divId w:val="2107070172"/>
          <w:jc w:val="center"/>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55,416 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55,966 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107070172"/>
          <w:jc w:val="center"/>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3,849 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4,217 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(368)</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(8.7)</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107070172"/>
          <w:jc w:val="center"/>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3,360 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2,621 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739 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28.2 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107070172"/>
          <w:jc w:val="center"/>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2,464 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2,024 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440 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107070172"/>
          <w:jc w:val="center"/>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Marketing and advertising</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1,751 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953 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45"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798 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45"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83.7 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107070172"/>
          <w:jc w:val="center"/>
        </w:trPr>
        <w:tc>
          <w:tcPr>
            <w:tcW w:w="0" w:type="auto"/>
            <w:gridSpan w:val="3"/>
            <w:vAlign w:val="center"/>
            <w:hideMark/>
          </w:tcPr>
          <w:p w:rsidR="00000000" w:rsidRDefault="00971A12">
            <w:pPr>
              <w:spacing w:after="100"/>
              <w:jc w:val="right"/>
              <w:rPr>
                <w:rFonts w:eastAsia="Times New Roman"/>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2107070172"/>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2107070172"/>
          <w:jc w:val="center"/>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1,613 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1,156 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457 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39.5 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107070172"/>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selling and marketing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68,453 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66,937 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bl>
    <w:p w:rsidR="00000000" w:rsidRDefault="00971A12">
      <w:pPr>
        <w:jc w:val="both"/>
        <w:divId w:val="1609845973"/>
        <w:rPr>
          <w:rFonts w:eastAsia="Times New Roman"/>
        </w:rPr>
      </w:pPr>
      <w:r>
        <w:rPr>
          <w:rFonts w:eastAsia="Times New Roman"/>
          <w:color w:val="000000"/>
          <w:sz w:val="20"/>
          <w:szCs w:val="20"/>
        </w:rPr>
        <w:t>Selling and marketing expenses increased by $1.5 million, or 2.3%, for the year ended Decemb</w:t>
      </w:r>
      <w:r>
        <w:rPr>
          <w:rFonts w:eastAsia="Times New Roman"/>
          <w:color w:val="000000"/>
          <w:sz w:val="20"/>
          <w:szCs w:val="20"/>
        </w:rPr>
        <w:t xml:space="preserve">er 31, 2022 as compared to 2021. Marketing and advertising expense increased primarily due to increased participation in marketing events during 2022. </w:t>
      </w:r>
    </w:p>
    <w:p w:rsidR="00000000" w:rsidRDefault="00971A12">
      <w:pPr>
        <w:jc w:val="both"/>
        <w:divId w:val="619334999"/>
        <w:rPr>
          <w:rFonts w:eastAsia="Times New Roman"/>
        </w:rPr>
      </w:pPr>
      <w:r>
        <w:rPr>
          <w:rFonts w:eastAsia="Times New Roman"/>
          <w:color w:val="000000"/>
          <w:sz w:val="20"/>
          <w:szCs w:val="20"/>
        </w:rPr>
        <w:t>Selling and marketing expenses for the years ended December 31, 2021 and 2020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742"/>
        <w:gridCol w:w="37"/>
        <w:gridCol w:w="110"/>
        <w:gridCol w:w="540"/>
        <w:gridCol w:w="36"/>
        <w:gridCol w:w="36"/>
        <w:gridCol w:w="36"/>
        <w:gridCol w:w="36"/>
        <w:gridCol w:w="65"/>
        <w:gridCol w:w="556"/>
        <w:gridCol w:w="170"/>
        <w:gridCol w:w="36"/>
        <w:gridCol w:w="36"/>
        <w:gridCol w:w="36"/>
        <w:gridCol w:w="110"/>
        <w:gridCol w:w="540"/>
        <w:gridCol w:w="36"/>
        <w:gridCol w:w="36"/>
        <w:gridCol w:w="36"/>
        <w:gridCol w:w="36"/>
        <w:gridCol w:w="65"/>
        <w:gridCol w:w="556"/>
        <w:gridCol w:w="170"/>
        <w:gridCol w:w="53"/>
        <w:gridCol w:w="166"/>
        <w:gridCol w:w="52"/>
        <w:gridCol w:w="111"/>
        <w:gridCol w:w="694"/>
        <w:gridCol w:w="36"/>
        <w:gridCol w:w="53"/>
        <w:gridCol w:w="166"/>
        <w:gridCol w:w="52"/>
        <w:gridCol w:w="68"/>
        <w:gridCol w:w="589"/>
        <w:gridCol w:w="170"/>
      </w:tblGrid>
      <w:tr w:rsidR="00000000">
        <w:trPr>
          <w:divId w:val="523592415"/>
        </w:trPr>
        <w:tc>
          <w:tcPr>
            <w:tcW w:w="50" w:type="pct"/>
            <w:vAlign w:val="center"/>
            <w:hideMark/>
          </w:tcPr>
          <w:p w:rsidR="00000000" w:rsidRDefault="00971A12">
            <w:pPr>
              <w:jc w:val="both"/>
              <w:rPr>
                <w:rFonts w:eastAsia="Times New Roman"/>
              </w:rPr>
            </w:pPr>
          </w:p>
        </w:tc>
        <w:tc>
          <w:tcPr>
            <w:tcW w:w="188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523592415"/>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523592415"/>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523592415"/>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xml:space="preserve">% of Revenue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xml:space="preserve">% of Revenue </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Variance</w:t>
            </w:r>
          </w:p>
        </w:tc>
      </w:tr>
      <w:tr w:rsidR="00000000">
        <w:trPr>
          <w:divId w:val="523592415"/>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55,966 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57,629 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523592415"/>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4,217 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4,980 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(763)</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(15.3)</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523592415"/>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2,621 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2,579 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523592415"/>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2,024 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2,651 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(627)</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(23.7)</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523592415"/>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Marketing and advertising</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953 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817 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45"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45"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523592415"/>
        </w:trPr>
        <w:tc>
          <w:tcPr>
            <w:tcW w:w="0" w:type="auto"/>
            <w:gridSpan w:val="3"/>
            <w:vAlign w:val="center"/>
            <w:hideMark/>
          </w:tcPr>
          <w:p w:rsidR="00000000" w:rsidRDefault="00971A12">
            <w:pPr>
              <w:spacing w:after="100"/>
              <w:jc w:val="right"/>
              <w:rPr>
                <w:rFonts w:eastAsia="Times New Roman"/>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523592415"/>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523592415"/>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1,156 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1,564 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(408)</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(26.1)</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523592415"/>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selling and marketing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66,937 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70,220 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(3,283)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(4.7)</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bl>
    <w:p w:rsidR="00000000" w:rsidRDefault="00971A12">
      <w:pPr>
        <w:jc w:val="both"/>
        <w:divId w:val="967666413"/>
        <w:rPr>
          <w:rFonts w:eastAsia="Times New Roman"/>
        </w:rPr>
      </w:pPr>
      <w:r>
        <w:rPr>
          <w:rFonts w:eastAsia="Times New Roman"/>
          <w:color w:val="000000"/>
          <w:sz w:val="20"/>
          <w:szCs w:val="20"/>
        </w:rPr>
        <w:t>Selling and marketing expenses decreased by $3.3 million, or 4.7%, for the year ended December 31,</w:t>
      </w:r>
      <w:r>
        <w:rPr>
          <w:rFonts w:eastAsia="Times New Roman"/>
          <w:color w:val="000000"/>
          <w:sz w:val="20"/>
          <w:szCs w:val="20"/>
        </w:rPr>
        <w:t xml:space="preserve"> 2021 as compared to 2020. Employee costs decreased primarily due to lower commission expense and a decrease in employee headcount. Lease and depreciation expense decreased primarily due to lower rent as we reduced our office footprint and sublet two locat</w:t>
      </w:r>
      <w:r>
        <w:rPr>
          <w:rFonts w:eastAsia="Times New Roman"/>
          <w:color w:val="000000"/>
          <w:sz w:val="20"/>
          <w:szCs w:val="20"/>
        </w:rPr>
        <w:t>ions during 2020.</w:t>
      </w:r>
    </w:p>
    <w:p w:rsidR="00000000" w:rsidRDefault="00971A12">
      <w:pPr>
        <w:jc w:val="both"/>
        <w:divId w:val="598416445"/>
        <w:rPr>
          <w:rFonts w:eastAsia="Times New Roman"/>
        </w:rPr>
      </w:pPr>
      <w:r>
        <w:rPr>
          <w:rFonts w:eastAsia="Times New Roman"/>
          <w:b/>
          <w:bCs/>
          <w:i/>
          <w:iCs/>
          <w:color w:val="000000"/>
          <w:sz w:val="20"/>
          <w:szCs w:val="20"/>
        </w:rPr>
        <w:t>Research and Development</w:t>
      </w:r>
    </w:p>
    <w:p w:rsidR="00000000" w:rsidRDefault="00971A12">
      <w:pPr>
        <w:jc w:val="both"/>
        <w:divId w:val="1849371386"/>
        <w:rPr>
          <w:rFonts w:eastAsia="Times New Roman"/>
        </w:rPr>
      </w:pPr>
      <w:r>
        <w:rPr>
          <w:rFonts w:eastAsia="Times New Roman"/>
          <w:color w:val="000000"/>
          <w:sz w:val="20"/>
          <w:szCs w:val="20"/>
        </w:rPr>
        <w:t>Research and development expenses include product development costs, consisting primarily of employee costs including salaries, benefits, stock-based compensation and other related costs for personnel associated w</w:t>
      </w:r>
      <w:r>
        <w:rPr>
          <w:rFonts w:eastAsia="Times New Roman"/>
          <w:color w:val="000000"/>
          <w:sz w:val="20"/>
          <w:szCs w:val="20"/>
        </w:rPr>
        <w:t>ith research and development activities, third-party expenses to develop new products and third-party data costs and allocated overhead, which is comprised of lease expense and other facilities-related costs, and depreciation expense related to general pur</w:t>
      </w:r>
      <w:r>
        <w:rPr>
          <w:rFonts w:eastAsia="Times New Roman"/>
          <w:color w:val="000000"/>
          <w:sz w:val="20"/>
          <w:szCs w:val="20"/>
        </w:rPr>
        <w:t>pose equipment and software.</w:t>
      </w:r>
    </w:p>
    <w:p w:rsidR="00000000" w:rsidRDefault="00971A12">
      <w:pPr>
        <w:jc w:val="both"/>
        <w:divId w:val="1118792491"/>
        <w:rPr>
          <w:rFonts w:eastAsia="Times New Roman"/>
        </w:rPr>
      </w:pPr>
      <w:r>
        <w:rPr>
          <w:rFonts w:eastAsia="Times New Roman"/>
          <w:color w:val="000000"/>
          <w:sz w:val="20"/>
          <w:szCs w:val="20"/>
        </w:rPr>
        <w:t>Research and development expenses for the years ended December 31, 2022 and 2021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961"/>
        <w:gridCol w:w="37"/>
        <w:gridCol w:w="110"/>
        <w:gridCol w:w="594"/>
        <w:gridCol w:w="36"/>
        <w:gridCol w:w="36"/>
        <w:gridCol w:w="36"/>
        <w:gridCol w:w="36"/>
        <w:gridCol w:w="65"/>
        <w:gridCol w:w="556"/>
        <w:gridCol w:w="170"/>
        <w:gridCol w:w="36"/>
        <w:gridCol w:w="36"/>
        <w:gridCol w:w="36"/>
        <w:gridCol w:w="110"/>
        <w:gridCol w:w="593"/>
        <w:gridCol w:w="36"/>
        <w:gridCol w:w="36"/>
        <w:gridCol w:w="36"/>
        <w:gridCol w:w="36"/>
        <w:gridCol w:w="65"/>
        <w:gridCol w:w="556"/>
        <w:gridCol w:w="170"/>
        <w:gridCol w:w="36"/>
        <w:gridCol w:w="36"/>
        <w:gridCol w:w="36"/>
        <w:gridCol w:w="111"/>
        <w:gridCol w:w="694"/>
        <w:gridCol w:w="36"/>
        <w:gridCol w:w="36"/>
        <w:gridCol w:w="36"/>
        <w:gridCol w:w="36"/>
        <w:gridCol w:w="68"/>
        <w:gridCol w:w="589"/>
        <w:gridCol w:w="170"/>
      </w:tblGrid>
      <w:tr w:rsidR="00000000">
        <w:trPr>
          <w:divId w:val="2063366162"/>
          <w:jc w:val="center"/>
        </w:trPr>
        <w:tc>
          <w:tcPr>
            <w:tcW w:w="50" w:type="pct"/>
            <w:vAlign w:val="center"/>
            <w:hideMark/>
          </w:tcPr>
          <w:p w:rsidR="00000000" w:rsidRDefault="00971A12">
            <w:pPr>
              <w:jc w:val="both"/>
              <w:rPr>
                <w:rFonts w:eastAsia="Times New Roman"/>
              </w:rPr>
            </w:pPr>
          </w:p>
        </w:tc>
        <w:tc>
          <w:tcPr>
            <w:tcW w:w="188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2063366162"/>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2063366162"/>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2063366162"/>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Variance</w:t>
            </w:r>
          </w:p>
        </w:tc>
      </w:tr>
      <w:tr w:rsidR="00000000">
        <w:trPr>
          <w:divId w:val="2063366162"/>
          <w:jc w:val="center"/>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28,955 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29,116 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063366162"/>
          <w:jc w:val="center"/>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3,685 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4,264 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(579)</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(13.6)</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063366162"/>
          <w:jc w:val="center"/>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2,783 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3,555 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(772)</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(21.7)</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063366162"/>
          <w:jc w:val="center"/>
        </w:trPr>
        <w:tc>
          <w:tcPr>
            <w:tcW w:w="0" w:type="auto"/>
            <w:gridSpan w:val="3"/>
            <w:vAlign w:val="center"/>
            <w:hideMark/>
          </w:tcPr>
          <w:p w:rsidR="00000000" w:rsidRDefault="00971A12">
            <w:pPr>
              <w:spacing w:after="100"/>
              <w:jc w:val="right"/>
              <w:rPr>
                <w:rFonts w:eastAsia="Times New Roman"/>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2063366162"/>
          <w:jc w:val="center"/>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1,002 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1,664 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(662)</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(39.8)</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063366162"/>
          <w:jc w:val="center"/>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562 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524 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063366162"/>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research and development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36,987 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39,123 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(2,136)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(5.5)</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bl>
    <w:p w:rsidR="00000000" w:rsidRDefault="00971A12">
      <w:pPr>
        <w:jc w:val="center"/>
        <w:divId w:val="1811902589"/>
        <w:rPr>
          <w:rFonts w:eastAsia="Times New Roman"/>
        </w:rPr>
      </w:pPr>
      <w:r>
        <w:rPr>
          <w:rFonts w:eastAsia="Times New Roman"/>
          <w:color w:val="000000"/>
          <w:sz w:val="20"/>
          <w:szCs w:val="20"/>
        </w:rPr>
        <w:t>34</w:t>
      </w:r>
    </w:p>
    <w:p w:rsidR="00000000" w:rsidRDefault="00971A12">
      <w:pPr>
        <w:rPr>
          <w:rFonts w:eastAsia="Times New Roman"/>
        </w:rPr>
      </w:pPr>
      <w:r>
        <w:rPr>
          <w:rFonts w:eastAsia="Times New Roman"/>
        </w:rPr>
        <w:pict>
          <v:rect id="_x0000_i1062" style="width:0;height:1.5pt" o:hralign="center" o:hrstd="t" o:hr="t" fillcolor="#a0a0a0" stroked="f"/>
        </w:pict>
      </w:r>
    </w:p>
    <w:p w:rsidR="00000000" w:rsidRDefault="00971A12">
      <w:pPr>
        <w:divId w:val="287664570"/>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776407912"/>
        <w:rPr>
          <w:rFonts w:eastAsia="Times New Roman"/>
        </w:rPr>
      </w:pPr>
    </w:p>
    <w:p w:rsidR="00000000" w:rsidRDefault="00971A12">
      <w:pPr>
        <w:jc w:val="both"/>
        <w:divId w:val="1344891825"/>
        <w:rPr>
          <w:rFonts w:eastAsia="Times New Roman"/>
        </w:rPr>
      </w:pPr>
      <w:r>
        <w:rPr>
          <w:rFonts w:eastAsia="Times New Roman"/>
          <w:color w:val="000000"/>
          <w:sz w:val="20"/>
          <w:szCs w:val="20"/>
        </w:rPr>
        <w:t>Research and development expenses decreased by $2.1 million, or 5.5%, for the year ended December 31, 2022 as compared to 2021. Lease and depreciation expense decreased primarily due to lower rent as we reduced our office footprint. Professional fees decre</w:t>
      </w:r>
      <w:r>
        <w:rPr>
          <w:rFonts w:eastAsia="Times New Roman"/>
          <w:color w:val="000000"/>
          <w:sz w:val="20"/>
          <w:szCs w:val="20"/>
        </w:rPr>
        <w:t xml:space="preserve">ased primarily due to a decrease in consulting services. Technology expenses decreased due to decreases in various license and maintenance agreements compared to 2021. </w:t>
      </w:r>
    </w:p>
    <w:p w:rsidR="00000000" w:rsidRDefault="00971A12">
      <w:pPr>
        <w:jc w:val="both"/>
        <w:divId w:val="374044694"/>
        <w:rPr>
          <w:rFonts w:eastAsia="Times New Roman"/>
        </w:rPr>
      </w:pPr>
      <w:r>
        <w:rPr>
          <w:rFonts w:eastAsia="Times New Roman"/>
          <w:color w:val="000000"/>
          <w:sz w:val="20"/>
          <w:szCs w:val="20"/>
        </w:rPr>
        <w:t>Research and development expenses for the years ended December 31, 2021 and 2020 are as</w:t>
      </w:r>
      <w:r>
        <w:rPr>
          <w:rFonts w:eastAsia="Times New Roman"/>
          <w:color w:val="000000"/>
          <w:sz w:val="20"/>
          <w:szCs w:val="20"/>
        </w:rPr>
        <w:t xml:space="preserve">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961"/>
        <w:gridCol w:w="37"/>
        <w:gridCol w:w="110"/>
        <w:gridCol w:w="594"/>
        <w:gridCol w:w="36"/>
        <w:gridCol w:w="36"/>
        <w:gridCol w:w="36"/>
        <w:gridCol w:w="36"/>
        <w:gridCol w:w="65"/>
        <w:gridCol w:w="556"/>
        <w:gridCol w:w="170"/>
        <w:gridCol w:w="36"/>
        <w:gridCol w:w="36"/>
        <w:gridCol w:w="36"/>
        <w:gridCol w:w="110"/>
        <w:gridCol w:w="593"/>
        <w:gridCol w:w="36"/>
        <w:gridCol w:w="36"/>
        <w:gridCol w:w="36"/>
        <w:gridCol w:w="36"/>
        <w:gridCol w:w="65"/>
        <w:gridCol w:w="556"/>
        <w:gridCol w:w="170"/>
        <w:gridCol w:w="36"/>
        <w:gridCol w:w="36"/>
        <w:gridCol w:w="36"/>
        <w:gridCol w:w="111"/>
        <w:gridCol w:w="694"/>
        <w:gridCol w:w="36"/>
        <w:gridCol w:w="36"/>
        <w:gridCol w:w="36"/>
        <w:gridCol w:w="36"/>
        <w:gridCol w:w="68"/>
        <w:gridCol w:w="589"/>
        <w:gridCol w:w="170"/>
      </w:tblGrid>
      <w:tr w:rsidR="00000000">
        <w:trPr>
          <w:divId w:val="929310960"/>
          <w:jc w:val="center"/>
        </w:trPr>
        <w:tc>
          <w:tcPr>
            <w:tcW w:w="50" w:type="pct"/>
            <w:vAlign w:val="center"/>
            <w:hideMark/>
          </w:tcPr>
          <w:p w:rsidR="00000000" w:rsidRDefault="00971A12">
            <w:pPr>
              <w:jc w:val="both"/>
              <w:rPr>
                <w:rFonts w:eastAsia="Times New Roman"/>
              </w:rPr>
            </w:pPr>
          </w:p>
        </w:tc>
        <w:tc>
          <w:tcPr>
            <w:tcW w:w="188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929310960"/>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929310960"/>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929310960"/>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Variance</w:t>
            </w:r>
          </w:p>
        </w:tc>
      </w:tr>
      <w:tr w:rsidR="00000000">
        <w:trPr>
          <w:divId w:val="929310960"/>
          <w:jc w:val="center"/>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29,116 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28,512 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929310960"/>
          <w:jc w:val="center"/>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4,264 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4,322 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(58)</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929310960"/>
          <w:jc w:val="center"/>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3,555 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3,999 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(444)</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(11.1)</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929310960"/>
          <w:jc w:val="center"/>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1,664 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1,258 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406 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32.3 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929310960"/>
          <w:jc w:val="center"/>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524 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615 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(91)</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(14.8)</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929310960"/>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research and development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39,123 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38,706 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bl>
    <w:p w:rsidR="00000000" w:rsidRDefault="00971A12">
      <w:pPr>
        <w:jc w:val="both"/>
        <w:divId w:val="87435154"/>
        <w:rPr>
          <w:rFonts w:eastAsia="Times New Roman"/>
        </w:rPr>
      </w:pPr>
      <w:r>
        <w:rPr>
          <w:rFonts w:eastAsia="Times New Roman"/>
          <w:color w:val="000000"/>
          <w:sz w:val="20"/>
          <w:szCs w:val="20"/>
        </w:rPr>
        <w:t>Research and development expenses increased by $0.4 million, or 1.1%, for the year ended December 31, 2021 as compared to 2020. Employee costs increased primarily due to higher stock-based compensation expens</w:t>
      </w:r>
      <w:r>
        <w:rPr>
          <w:rFonts w:eastAsia="Times New Roman"/>
          <w:color w:val="000000"/>
          <w:sz w:val="20"/>
          <w:szCs w:val="20"/>
        </w:rPr>
        <w:t xml:space="preserve">e and the modification of certain employee incentive compensation. </w:t>
      </w:r>
    </w:p>
    <w:p w:rsidR="00000000" w:rsidRDefault="00971A12">
      <w:pPr>
        <w:jc w:val="both"/>
        <w:divId w:val="434055142"/>
        <w:rPr>
          <w:rFonts w:eastAsia="Times New Roman"/>
        </w:rPr>
      </w:pPr>
      <w:r>
        <w:rPr>
          <w:rFonts w:eastAsia="Times New Roman"/>
          <w:b/>
          <w:bCs/>
          <w:i/>
          <w:iCs/>
          <w:color w:val="000000"/>
          <w:sz w:val="20"/>
          <w:szCs w:val="20"/>
        </w:rPr>
        <w:t>General and Administrative</w:t>
      </w:r>
    </w:p>
    <w:p w:rsidR="00000000" w:rsidRDefault="00971A12">
      <w:pPr>
        <w:jc w:val="both"/>
        <w:divId w:val="1148401730"/>
        <w:rPr>
          <w:rFonts w:eastAsia="Times New Roman"/>
        </w:rPr>
      </w:pPr>
      <w:r>
        <w:rPr>
          <w:rFonts w:eastAsia="Times New Roman"/>
          <w:color w:val="000000"/>
          <w:sz w:val="20"/>
          <w:szCs w:val="20"/>
        </w:rPr>
        <w:t>General and administrative expenses consist primarily of employee costs including salaries, benefits, stock-based compensation and other related costs, and relat</w:t>
      </w:r>
      <w:r>
        <w:rPr>
          <w:rFonts w:eastAsia="Times New Roman"/>
          <w:color w:val="000000"/>
          <w:sz w:val="20"/>
          <w:szCs w:val="20"/>
        </w:rPr>
        <w:t>ed expenses for executive management, finance, human capital, legal and other administrative functions, as well as professional fees, overhead, including allocated overhead, which is comprised of lease expense and other facilities-related costs, depreciati</w:t>
      </w:r>
      <w:r>
        <w:rPr>
          <w:rFonts w:eastAsia="Times New Roman"/>
          <w:color w:val="000000"/>
          <w:sz w:val="20"/>
          <w:szCs w:val="20"/>
        </w:rPr>
        <w:t>on expense related to general purpose equipment and software, and expenses incurred for other general corporate purposes.</w:t>
      </w:r>
    </w:p>
    <w:p w:rsidR="00000000" w:rsidRDefault="00971A12">
      <w:pPr>
        <w:jc w:val="both"/>
        <w:divId w:val="1299261506"/>
        <w:rPr>
          <w:rFonts w:eastAsia="Times New Roman"/>
        </w:rPr>
      </w:pPr>
      <w:r>
        <w:rPr>
          <w:rFonts w:eastAsia="Times New Roman"/>
          <w:color w:val="000000"/>
          <w:sz w:val="20"/>
          <w:szCs w:val="20"/>
        </w:rPr>
        <w:t>General and administrative expenses for the years ended December 31, 2022 and 2021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961"/>
        <w:gridCol w:w="37"/>
        <w:gridCol w:w="110"/>
        <w:gridCol w:w="594"/>
        <w:gridCol w:w="36"/>
        <w:gridCol w:w="36"/>
        <w:gridCol w:w="36"/>
        <w:gridCol w:w="36"/>
        <w:gridCol w:w="65"/>
        <w:gridCol w:w="556"/>
        <w:gridCol w:w="170"/>
        <w:gridCol w:w="36"/>
        <w:gridCol w:w="36"/>
        <w:gridCol w:w="36"/>
        <w:gridCol w:w="110"/>
        <w:gridCol w:w="593"/>
        <w:gridCol w:w="36"/>
        <w:gridCol w:w="36"/>
        <w:gridCol w:w="36"/>
        <w:gridCol w:w="36"/>
        <w:gridCol w:w="65"/>
        <w:gridCol w:w="556"/>
        <w:gridCol w:w="170"/>
        <w:gridCol w:w="36"/>
        <w:gridCol w:w="36"/>
        <w:gridCol w:w="36"/>
        <w:gridCol w:w="111"/>
        <w:gridCol w:w="694"/>
        <w:gridCol w:w="36"/>
        <w:gridCol w:w="36"/>
        <w:gridCol w:w="36"/>
        <w:gridCol w:w="36"/>
        <w:gridCol w:w="68"/>
        <w:gridCol w:w="589"/>
        <w:gridCol w:w="170"/>
      </w:tblGrid>
      <w:tr w:rsidR="00000000">
        <w:trPr>
          <w:divId w:val="956915817"/>
          <w:jc w:val="center"/>
        </w:trPr>
        <w:tc>
          <w:tcPr>
            <w:tcW w:w="50" w:type="pct"/>
            <w:vAlign w:val="center"/>
            <w:hideMark/>
          </w:tcPr>
          <w:p w:rsidR="00000000" w:rsidRDefault="00971A12">
            <w:pPr>
              <w:jc w:val="both"/>
              <w:rPr>
                <w:rFonts w:eastAsia="Times New Roman"/>
              </w:rPr>
            </w:pPr>
          </w:p>
        </w:tc>
        <w:tc>
          <w:tcPr>
            <w:tcW w:w="188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956915817"/>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956915817"/>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956915817"/>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Variance</w:t>
            </w:r>
          </w:p>
        </w:tc>
      </w:tr>
      <w:tr w:rsidR="00000000">
        <w:trPr>
          <w:divId w:val="956915817"/>
          <w:jc w:val="center"/>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31,298 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33,571 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956915817"/>
          <w:jc w:val="center"/>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15,706 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16,194 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(488)</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(3.0)</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956915817"/>
          <w:jc w:val="center"/>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3,379 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2,922 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457 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956915817"/>
          <w:jc w:val="center"/>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1,668 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1,888 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(220)</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(11.7)</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956915817"/>
          <w:jc w:val="center"/>
        </w:trPr>
        <w:tc>
          <w:tcPr>
            <w:tcW w:w="0" w:type="auto"/>
            <w:gridSpan w:val="3"/>
            <w:vAlign w:val="center"/>
            <w:hideMark/>
          </w:tcPr>
          <w:p w:rsidR="00000000" w:rsidRDefault="00971A12">
            <w:pPr>
              <w:spacing w:after="100"/>
              <w:jc w:val="right"/>
              <w:rPr>
                <w:rFonts w:eastAsia="Times New Roman"/>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956915817"/>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956915817"/>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956915817"/>
          <w:jc w:val="center"/>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 xml:space="preserve">Other </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9,149 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7,161 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1,988 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27.8 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956915817"/>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general and administrative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61,200 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61,736 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(536)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(0.9)</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bl>
    <w:p w:rsidR="00000000" w:rsidRDefault="00971A12">
      <w:pPr>
        <w:jc w:val="both"/>
        <w:divId w:val="1003555261"/>
        <w:rPr>
          <w:rFonts w:eastAsia="Times New Roman"/>
        </w:rPr>
      </w:pPr>
      <w:r>
        <w:rPr>
          <w:rFonts w:eastAsia="Times New Roman"/>
          <w:color w:val="000000"/>
          <w:sz w:val="20"/>
          <w:szCs w:val="20"/>
        </w:rPr>
        <w:t>General and administrative exp</w:t>
      </w:r>
      <w:r>
        <w:rPr>
          <w:rFonts w:eastAsia="Times New Roman"/>
          <w:color w:val="000000"/>
          <w:sz w:val="20"/>
          <w:szCs w:val="20"/>
        </w:rPr>
        <w:t>enses decreased by $0.5 million, or 0.9%, for the year ended December 31, 2022 as compared to 2021. Employee costs decreased primarily due to lower stock-based compensation expense as a result of various executive departures in 2022 offset by an increase i</w:t>
      </w:r>
      <w:r>
        <w:rPr>
          <w:rFonts w:eastAsia="Times New Roman"/>
          <w:color w:val="000000"/>
          <w:sz w:val="20"/>
          <w:szCs w:val="20"/>
        </w:rPr>
        <w:t xml:space="preserve">n salary costs. These decreases were partially offset by an increase in Other primarily related to change in fair value of the contingent consideration recognized as part of the business combination described in </w:t>
      </w:r>
      <w:hyperlink w:anchor="i0047531bd13046b986557e31951e34f8_94" w:history="1">
        <w:r>
          <w:rPr>
            <w:rStyle w:val="a3"/>
            <w:rFonts w:eastAsia="Times New Roman"/>
            <w:sz w:val="20"/>
            <w:szCs w:val="20"/>
          </w:rPr>
          <w:t>Footnote 2</w:t>
        </w:r>
      </w:hyperlink>
      <w:r>
        <w:rPr>
          <w:rFonts w:eastAsia="Times New Roman"/>
          <w:color w:val="000000"/>
          <w:sz w:val="20"/>
          <w:szCs w:val="20"/>
        </w:rPr>
        <w:t xml:space="preserve">, </w:t>
      </w:r>
      <w:r>
        <w:rPr>
          <w:rFonts w:eastAsia="Times New Roman"/>
          <w:i/>
          <w:iCs/>
          <w:color w:val="000000"/>
          <w:sz w:val="20"/>
          <w:szCs w:val="20"/>
        </w:rPr>
        <w:t>Summary of Significant Accounting Policies</w:t>
      </w:r>
      <w:r>
        <w:rPr>
          <w:rFonts w:eastAsia="Times New Roman"/>
          <w:color w:val="000000"/>
          <w:sz w:val="20"/>
          <w:szCs w:val="20"/>
        </w:rPr>
        <w:t>.</w:t>
      </w:r>
    </w:p>
    <w:p w:rsidR="00000000" w:rsidRDefault="00971A12">
      <w:pPr>
        <w:jc w:val="both"/>
        <w:divId w:val="739138399"/>
        <w:rPr>
          <w:rFonts w:eastAsia="Times New Roman"/>
        </w:rPr>
      </w:pPr>
      <w:r>
        <w:rPr>
          <w:rFonts w:eastAsia="Times New Roman"/>
          <w:color w:val="000000"/>
          <w:sz w:val="20"/>
          <w:szCs w:val="20"/>
        </w:rPr>
        <w:t>General and administrative expenses for the years ended December 31, 2021 and 2020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961"/>
        <w:gridCol w:w="37"/>
        <w:gridCol w:w="110"/>
        <w:gridCol w:w="594"/>
        <w:gridCol w:w="36"/>
        <w:gridCol w:w="36"/>
        <w:gridCol w:w="36"/>
        <w:gridCol w:w="36"/>
        <w:gridCol w:w="65"/>
        <w:gridCol w:w="556"/>
        <w:gridCol w:w="170"/>
        <w:gridCol w:w="36"/>
        <w:gridCol w:w="36"/>
        <w:gridCol w:w="36"/>
        <w:gridCol w:w="110"/>
        <w:gridCol w:w="593"/>
        <w:gridCol w:w="36"/>
        <w:gridCol w:w="36"/>
        <w:gridCol w:w="36"/>
        <w:gridCol w:w="36"/>
        <w:gridCol w:w="65"/>
        <w:gridCol w:w="556"/>
        <w:gridCol w:w="170"/>
        <w:gridCol w:w="36"/>
        <w:gridCol w:w="36"/>
        <w:gridCol w:w="36"/>
        <w:gridCol w:w="111"/>
        <w:gridCol w:w="694"/>
        <w:gridCol w:w="36"/>
        <w:gridCol w:w="36"/>
        <w:gridCol w:w="36"/>
        <w:gridCol w:w="36"/>
        <w:gridCol w:w="68"/>
        <w:gridCol w:w="589"/>
        <w:gridCol w:w="170"/>
      </w:tblGrid>
      <w:tr w:rsidR="00000000">
        <w:trPr>
          <w:divId w:val="1739548124"/>
          <w:jc w:val="center"/>
        </w:trPr>
        <w:tc>
          <w:tcPr>
            <w:tcW w:w="50" w:type="pct"/>
            <w:vAlign w:val="center"/>
            <w:hideMark/>
          </w:tcPr>
          <w:p w:rsidR="00000000" w:rsidRDefault="00971A12">
            <w:pPr>
              <w:jc w:val="both"/>
              <w:rPr>
                <w:rFonts w:eastAsia="Times New Roman"/>
              </w:rPr>
            </w:pPr>
          </w:p>
        </w:tc>
        <w:tc>
          <w:tcPr>
            <w:tcW w:w="188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739548124"/>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739548124"/>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739548124"/>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 Variance</w:t>
            </w:r>
          </w:p>
        </w:tc>
      </w:tr>
      <w:tr w:rsidR="00000000">
        <w:trPr>
          <w:divId w:val="1739548124"/>
          <w:jc w:val="center"/>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33,571 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28,205 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5,366 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739548124"/>
          <w:jc w:val="center"/>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16,194 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12,922 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3,272 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739548124"/>
          <w:jc w:val="center"/>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2,922 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2,246 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676 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30.1 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739548124"/>
          <w:jc w:val="center"/>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1,888 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2,114 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(226)</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(10.7)</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739548124"/>
          <w:jc w:val="center"/>
        </w:trPr>
        <w:tc>
          <w:tcPr>
            <w:tcW w:w="0" w:type="auto"/>
            <w:gridSpan w:val="3"/>
            <w:vAlign w:val="center"/>
            <w:hideMark/>
          </w:tcPr>
          <w:p w:rsidR="00000000" w:rsidRDefault="00971A12">
            <w:pPr>
              <w:spacing w:after="100"/>
              <w:jc w:val="right"/>
              <w:rPr>
                <w:rFonts w:eastAsia="Times New Roman"/>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739548124"/>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739548124"/>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739548124"/>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739548124"/>
          <w:jc w:val="center"/>
        </w:trPr>
        <w:tc>
          <w:tcPr>
            <w:tcW w:w="0" w:type="auto"/>
            <w:gridSpan w:val="3"/>
            <w:shd w:val="clear" w:color="auto" w:fill="CCEE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 xml:space="preserve">Other </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7,161 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10,296 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(3,135)</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(30.4)</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1739548124"/>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general and administrative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61,736 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55,783 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5,953 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bl>
    <w:p w:rsidR="00000000" w:rsidRDefault="00971A12">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Calculation is not meaning</w:t>
      </w:r>
      <w:r>
        <w:rPr>
          <w:rFonts w:eastAsia="Times New Roman"/>
          <w:color w:val="000000"/>
          <w:sz w:val="16"/>
          <w:szCs w:val="16"/>
        </w:rPr>
        <w:t>ful.</w:t>
      </w:r>
    </w:p>
    <w:p w:rsidR="00000000" w:rsidRDefault="00971A12">
      <w:pPr>
        <w:jc w:val="both"/>
        <w:divId w:val="1226719012"/>
        <w:rPr>
          <w:rFonts w:eastAsia="Times New Roman"/>
        </w:rPr>
      </w:pPr>
      <w:r>
        <w:rPr>
          <w:rFonts w:eastAsia="Times New Roman"/>
          <w:color w:val="000000"/>
          <w:sz w:val="20"/>
          <w:szCs w:val="20"/>
        </w:rPr>
        <w:t>General and administrative expenses increased by $6.0 million, or 10.7%, for the year ended December 31, 2021 as compared to 2020. Employee costs increased primarily due to higher stock-based compensation expense and the modification of certain employ</w:t>
      </w:r>
      <w:r>
        <w:rPr>
          <w:rFonts w:eastAsia="Times New Roman"/>
          <w:color w:val="000000"/>
          <w:sz w:val="20"/>
          <w:szCs w:val="20"/>
        </w:rPr>
        <w:t>ee incentive compensation. Professional fees increased primarily due to increased consulting and audit fees in 2021 related to implementation support for our new ERP system. These increases were offset by a decrease in other, primarily related to higher ba</w:t>
      </w:r>
      <w:r>
        <w:rPr>
          <w:rFonts w:eastAsia="Times New Roman"/>
          <w:color w:val="000000"/>
          <w:sz w:val="20"/>
          <w:szCs w:val="20"/>
        </w:rPr>
        <w:t xml:space="preserve">d debt expense in the first half of 2020 as a result of the COVID-19 pandemic. </w:t>
      </w:r>
    </w:p>
    <w:p w:rsidR="00000000" w:rsidRDefault="00971A12">
      <w:pPr>
        <w:jc w:val="center"/>
        <w:divId w:val="1761951729"/>
        <w:rPr>
          <w:rFonts w:eastAsia="Times New Roman"/>
        </w:rPr>
      </w:pPr>
      <w:r>
        <w:rPr>
          <w:rFonts w:eastAsia="Times New Roman"/>
          <w:color w:val="000000"/>
          <w:sz w:val="20"/>
          <w:szCs w:val="20"/>
        </w:rPr>
        <w:t>35</w:t>
      </w:r>
    </w:p>
    <w:p w:rsidR="00000000" w:rsidRDefault="00971A12">
      <w:pPr>
        <w:rPr>
          <w:rFonts w:eastAsia="Times New Roman"/>
        </w:rPr>
      </w:pPr>
      <w:r>
        <w:rPr>
          <w:rFonts w:eastAsia="Times New Roman"/>
        </w:rPr>
        <w:pict>
          <v:rect id="_x0000_i1063" style="width:0;height:1.5pt" o:hralign="center" o:hrstd="t" o:hr="t" fillcolor="#a0a0a0" stroked="f"/>
        </w:pict>
      </w:r>
    </w:p>
    <w:p w:rsidR="00000000" w:rsidRDefault="00971A12">
      <w:pPr>
        <w:divId w:val="1356422073"/>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733962828"/>
        <w:rPr>
          <w:rFonts w:eastAsia="Times New Roman"/>
        </w:rPr>
      </w:pPr>
    </w:p>
    <w:p w:rsidR="00000000" w:rsidRDefault="00971A12">
      <w:pPr>
        <w:jc w:val="both"/>
        <w:divId w:val="1562405312"/>
        <w:rPr>
          <w:rFonts w:eastAsia="Times New Roman"/>
        </w:rPr>
      </w:pPr>
      <w:r>
        <w:rPr>
          <w:rFonts w:eastAsia="Times New Roman"/>
          <w:b/>
          <w:bCs/>
          <w:i/>
          <w:iCs/>
          <w:color w:val="000000"/>
          <w:sz w:val="20"/>
          <w:szCs w:val="20"/>
        </w:rPr>
        <w:t>Amortization of Intangible Assets</w:t>
      </w:r>
    </w:p>
    <w:p w:rsidR="00000000" w:rsidRDefault="00971A12">
      <w:pPr>
        <w:jc w:val="both"/>
        <w:divId w:val="404032899"/>
        <w:rPr>
          <w:rFonts w:eastAsia="Times New Roman"/>
        </w:rPr>
      </w:pPr>
      <w:r>
        <w:rPr>
          <w:rFonts w:eastAsia="Times New Roman"/>
          <w:color w:val="000000"/>
          <w:sz w:val="20"/>
          <w:szCs w:val="20"/>
        </w:rPr>
        <w:t>Amortization expense consists of charges related to the amortization of intangible assets associated with acquisitions, primarily our Rentrak merger in which we acquired $170.3 million of finite-lived intangible assets. A</w:t>
      </w:r>
      <w:r>
        <w:rPr>
          <w:rFonts w:eastAsia="Times New Roman"/>
          <w:color w:val="000000"/>
          <w:sz w:val="20"/>
          <w:szCs w:val="20"/>
        </w:rPr>
        <w:t>mortization of intangible assets increased by $2.1 million, or 8.2%, for 2022 as compared to 2021 primarily due to amortization related to the customer relationships, methodologies and technology acquired as part of the Shareablee acquisition in December 2</w:t>
      </w:r>
      <w:r>
        <w:rPr>
          <w:rFonts w:eastAsia="Times New Roman"/>
          <w:color w:val="000000"/>
          <w:sz w:val="20"/>
          <w:szCs w:val="20"/>
        </w:rPr>
        <w:t xml:space="preserve">021. Amortization of intangible assets decreased by $2.2 million, or 8.0%, for 2021 as compared to 2020 due primarily to certain acquired software and customer relationship intangibles having reached the end of their useful lives. </w:t>
      </w:r>
    </w:p>
    <w:p w:rsidR="00000000" w:rsidRDefault="00971A12">
      <w:pPr>
        <w:jc w:val="both"/>
        <w:divId w:val="1502309282"/>
        <w:rPr>
          <w:rFonts w:eastAsia="Times New Roman"/>
        </w:rPr>
      </w:pPr>
      <w:r>
        <w:rPr>
          <w:rFonts w:eastAsia="Times New Roman"/>
          <w:b/>
          <w:bCs/>
          <w:i/>
          <w:iCs/>
          <w:color w:val="000000"/>
          <w:sz w:val="20"/>
          <w:szCs w:val="20"/>
        </w:rPr>
        <w:t>Impairment of Goodwill</w:t>
      </w:r>
    </w:p>
    <w:p w:rsidR="00000000" w:rsidRDefault="00971A12">
      <w:pPr>
        <w:jc w:val="both"/>
        <w:divId w:val="1049379737"/>
        <w:rPr>
          <w:rFonts w:eastAsia="Times New Roman"/>
        </w:rPr>
      </w:pPr>
      <w:r>
        <w:rPr>
          <w:rFonts w:eastAsia="Times New Roman"/>
          <w:color w:val="000000"/>
          <w:sz w:val="20"/>
          <w:szCs w:val="20"/>
        </w:rPr>
        <w:t>A</w:t>
      </w:r>
      <w:r>
        <w:rPr>
          <w:rFonts w:eastAsia="Times New Roman"/>
          <w:color w:val="000000"/>
          <w:sz w:val="20"/>
          <w:szCs w:val="20"/>
        </w:rPr>
        <w:t>s of September 30, 2022, as a result of a decline in our stock price and market capitalization, among other factors, we performed an interim impairment review of our goodwill in conjunction with our October 1, 2022 annual testing date. Our reporting unit d</w:t>
      </w:r>
      <w:r>
        <w:rPr>
          <w:rFonts w:eastAsia="Times New Roman"/>
          <w:color w:val="000000"/>
          <w:sz w:val="20"/>
          <w:szCs w:val="20"/>
        </w:rPr>
        <w:t>id not pass the goodwill impairment test, and as a result we recorded a $46.3 million non-cash impairment charge.</w:t>
      </w:r>
    </w:p>
    <w:p w:rsidR="00000000" w:rsidRDefault="00971A12">
      <w:pPr>
        <w:jc w:val="both"/>
        <w:divId w:val="1831404735"/>
        <w:rPr>
          <w:rFonts w:eastAsia="Times New Roman"/>
        </w:rPr>
      </w:pPr>
      <w:r>
        <w:rPr>
          <w:rFonts w:eastAsia="Times New Roman"/>
          <w:color w:val="000000"/>
          <w:sz w:val="20"/>
          <w:szCs w:val="20"/>
        </w:rPr>
        <w:t xml:space="preserve">For further information refer to </w:t>
      </w:r>
      <w:hyperlink w:anchor="i0047531bd13046b986557e31951e34f8_142" w:history="1">
        <w:r>
          <w:rPr>
            <w:rStyle w:val="a3"/>
            <w:rFonts w:eastAsia="Times New Roman"/>
            <w:sz w:val="20"/>
            <w:szCs w:val="20"/>
          </w:rPr>
          <w:t>Footnote 10</w:t>
        </w:r>
      </w:hyperlink>
      <w:r>
        <w:rPr>
          <w:rFonts w:eastAsia="Times New Roman"/>
          <w:color w:val="000000"/>
          <w:sz w:val="20"/>
          <w:szCs w:val="20"/>
        </w:rPr>
        <w:t xml:space="preserve">, </w:t>
      </w:r>
      <w:r>
        <w:rPr>
          <w:rFonts w:eastAsia="Times New Roman"/>
          <w:i/>
          <w:iCs/>
          <w:color w:val="000000"/>
          <w:sz w:val="20"/>
          <w:szCs w:val="20"/>
        </w:rPr>
        <w:t xml:space="preserve">Goodwill and Intangible Assets </w:t>
      </w:r>
      <w:r>
        <w:rPr>
          <w:rFonts w:eastAsia="Times New Roman"/>
          <w:color w:val="000000"/>
          <w:sz w:val="20"/>
          <w:szCs w:val="20"/>
        </w:rPr>
        <w:t>and</w:t>
      </w:r>
      <w:r>
        <w:rPr>
          <w:rFonts w:eastAsia="Times New Roman"/>
          <w:i/>
          <w:iCs/>
          <w:color w:val="000000"/>
          <w:sz w:val="20"/>
          <w:szCs w:val="20"/>
        </w:rPr>
        <w:t xml:space="preserve"> </w:t>
      </w:r>
      <w:hyperlink w:anchor="i0047531bd13046b986557e31951e34f8_67" w:history="1">
        <w:r>
          <w:rPr>
            <w:rStyle w:val="a3"/>
            <w:rFonts w:eastAsia="Times New Roman"/>
            <w:sz w:val="20"/>
            <w:szCs w:val="20"/>
          </w:rPr>
          <w:t>Item 7</w:t>
        </w:r>
      </w:hyperlink>
      <w:r>
        <w:rPr>
          <w:rFonts w:eastAsia="Times New Roman"/>
          <w:i/>
          <w:iCs/>
          <w:color w:val="000000"/>
          <w:sz w:val="20"/>
          <w:szCs w:val="20"/>
        </w:rPr>
        <w:t>, Critical Accounting Estimates</w:t>
      </w:r>
      <w:r>
        <w:rPr>
          <w:rFonts w:eastAsia="Times New Roman"/>
          <w:color w:val="000000"/>
          <w:sz w:val="20"/>
          <w:szCs w:val="20"/>
        </w:rPr>
        <w:t xml:space="preserve">. </w:t>
      </w:r>
    </w:p>
    <w:p w:rsidR="00000000" w:rsidRDefault="00971A12">
      <w:pPr>
        <w:jc w:val="both"/>
        <w:divId w:val="390008838"/>
        <w:rPr>
          <w:rFonts w:eastAsia="Times New Roman"/>
        </w:rPr>
      </w:pPr>
      <w:r>
        <w:rPr>
          <w:rFonts w:eastAsia="Times New Roman"/>
          <w:b/>
          <w:bCs/>
          <w:i/>
          <w:iCs/>
          <w:color w:val="000000"/>
          <w:sz w:val="20"/>
          <w:szCs w:val="20"/>
        </w:rPr>
        <w:t>Restructuring</w:t>
      </w:r>
    </w:p>
    <w:p w:rsidR="00000000" w:rsidRDefault="00971A12">
      <w:pPr>
        <w:jc w:val="both"/>
        <w:divId w:val="1040126236"/>
        <w:rPr>
          <w:rFonts w:eastAsia="Times New Roman"/>
        </w:rPr>
      </w:pPr>
      <w:r>
        <w:rPr>
          <w:rFonts w:eastAsia="Times New Roman"/>
          <w:color w:val="000000"/>
          <w:sz w:val="20"/>
          <w:szCs w:val="20"/>
        </w:rPr>
        <w:t>We incurred restructuring expenses of $5.8 million for the year ended December 31, 2022, related to the implementation of a restructuring plan that included a workforce reduction. Certain other initiatives are expected to be completed as part of the restru</w:t>
      </w:r>
      <w:r>
        <w:rPr>
          <w:rFonts w:eastAsia="Times New Roman"/>
          <w:color w:val="000000"/>
          <w:sz w:val="20"/>
          <w:szCs w:val="20"/>
        </w:rPr>
        <w:t xml:space="preserve">cturing plan, as described in </w:t>
      </w:r>
      <w:hyperlink w:anchor="i0047531bd13046b986557e31951e34f8_271" w:history="1">
        <w:r>
          <w:rPr>
            <w:rStyle w:val="a3"/>
            <w:rFonts w:eastAsia="Times New Roman"/>
            <w:sz w:val="20"/>
            <w:szCs w:val="20"/>
          </w:rPr>
          <w:t>Footnote 1</w:t>
        </w:r>
      </w:hyperlink>
      <w:hyperlink w:anchor="i0047531bd13046b986557e31951e34f8_271" w:history="1">
        <w:r>
          <w:rPr>
            <w:rStyle w:val="a3"/>
            <w:rFonts w:eastAsia="Times New Roman"/>
            <w:sz w:val="20"/>
            <w:szCs w:val="20"/>
          </w:rPr>
          <w:t>5</w:t>
        </w:r>
      </w:hyperlink>
      <w:r>
        <w:rPr>
          <w:rFonts w:eastAsia="Times New Roman"/>
          <w:color w:val="000000"/>
          <w:sz w:val="20"/>
          <w:szCs w:val="20"/>
        </w:rPr>
        <w:t xml:space="preserve">, </w:t>
      </w:r>
      <w:r>
        <w:rPr>
          <w:rFonts w:eastAsia="Times New Roman"/>
          <w:i/>
          <w:iCs/>
          <w:color w:val="000000"/>
          <w:sz w:val="20"/>
          <w:szCs w:val="20"/>
        </w:rPr>
        <w:t>Organizational Restructuring</w:t>
      </w:r>
      <w:r>
        <w:rPr>
          <w:rFonts w:eastAsia="Times New Roman"/>
          <w:color w:val="000000"/>
          <w:sz w:val="20"/>
          <w:szCs w:val="20"/>
        </w:rPr>
        <w:t>. No restructuring expenses were incurred during 2021 or 2020.</w:t>
      </w:r>
    </w:p>
    <w:p w:rsidR="00000000" w:rsidRDefault="00971A12">
      <w:pPr>
        <w:jc w:val="both"/>
        <w:divId w:val="1828545111"/>
        <w:rPr>
          <w:rFonts w:eastAsia="Times New Roman"/>
        </w:rPr>
      </w:pPr>
      <w:r>
        <w:rPr>
          <w:rFonts w:eastAsia="Times New Roman"/>
          <w:b/>
          <w:bCs/>
          <w:i/>
          <w:iCs/>
          <w:color w:val="000000"/>
          <w:sz w:val="20"/>
          <w:szCs w:val="20"/>
        </w:rPr>
        <w:t>Im</w:t>
      </w:r>
      <w:r>
        <w:rPr>
          <w:rFonts w:eastAsia="Times New Roman"/>
          <w:b/>
          <w:bCs/>
          <w:i/>
          <w:iCs/>
          <w:color w:val="000000"/>
          <w:sz w:val="20"/>
          <w:szCs w:val="20"/>
        </w:rPr>
        <w:t>pairment of Right-of-use and Long-lived Assets</w:t>
      </w:r>
    </w:p>
    <w:p w:rsidR="00000000" w:rsidRDefault="00971A12">
      <w:pPr>
        <w:jc w:val="both"/>
        <w:divId w:val="911698009"/>
        <w:rPr>
          <w:rFonts w:eastAsia="Times New Roman"/>
        </w:rPr>
      </w:pPr>
      <w:r>
        <w:rPr>
          <w:rFonts w:eastAsia="Times New Roman"/>
          <w:color w:val="000000"/>
          <w:sz w:val="20"/>
          <w:szCs w:val="20"/>
        </w:rPr>
        <w:t>In 2020, we recorded a $4.7 million impairment charge related to our facility lease right-of-use assets and associated leasehold improvements for certain properties on the market for sublease. The impairment charge was driven by changes in our projected un</w:t>
      </w:r>
      <w:r>
        <w:rPr>
          <w:rFonts w:eastAsia="Times New Roman"/>
          <w:color w:val="000000"/>
          <w:sz w:val="20"/>
          <w:szCs w:val="20"/>
        </w:rPr>
        <w:t>discounted cash flows for certain properties, primarily as a result of changes in the real estate market related to the COVID-19 pandemic, that led to an increase in the estimated marketing time and a reduction of expected receipts.</w:t>
      </w:r>
    </w:p>
    <w:p w:rsidR="00000000" w:rsidRDefault="00971A12">
      <w:pPr>
        <w:jc w:val="both"/>
        <w:divId w:val="1002077424"/>
        <w:rPr>
          <w:rFonts w:eastAsia="Times New Roman"/>
        </w:rPr>
      </w:pPr>
      <w:r>
        <w:rPr>
          <w:rFonts w:eastAsia="Times New Roman"/>
          <w:b/>
          <w:bCs/>
          <w:i/>
          <w:iCs/>
          <w:color w:val="000000"/>
          <w:sz w:val="20"/>
          <w:szCs w:val="20"/>
        </w:rPr>
        <w:t xml:space="preserve">Loss on Extinguishment </w:t>
      </w:r>
      <w:r>
        <w:rPr>
          <w:rFonts w:eastAsia="Times New Roman"/>
          <w:b/>
          <w:bCs/>
          <w:i/>
          <w:iCs/>
          <w:color w:val="000000"/>
          <w:sz w:val="20"/>
          <w:szCs w:val="20"/>
        </w:rPr>
        <w:t>of Debt</w:t>
      </w:r>
    </w:p>
    <w:p w:rsidR="00000000" w:rsidRDefault="00971A12">
      <w:pPr>
        <w:jc w:val="both"/>
        <w:divId w:val="762531034"/>
        <w:rPr>
          <w:rFonts w:eastAsia="Times New Roman"/>
        </w:rPr>
      </w:pPr>
      <w:r>
        <w:rPr>
          <w:rFonts w:eastAsia="Times New Roman"/>
          <w:color w:val="000000"/>
          <w:sz w:val="20"/>
          <w:szCs w:val="20"/>
        </w:rPr>
        <w:t>Loss on extinguishment of debt represents the difference between the carrying value of our debt instruments and any consideration paid to our creditors in the form of cash or shares of our Common Stock on the extinguishment date.</w:t>
      </w:r>
    </w:p>
    <w:p w:rsidR="00000000" w:rsidRDefault="00971A12">
      <w:pPr>
        <w:jc w:val="both"/>
        <w:divId w:val="1829442276"/>
        <w:rPr>
          <w:rFonts w:eastAsia="Times New Roman"/>
        </w:rPr>
      </w:pPr>
      <w:r>
        <w:rPr>
          <w:rFonts w:eastAsia="Times New Roman"/>
          <w:color w:val="000000"/>
          <w:sz w:val="20"/>
          <w:szCs w:val="20"/>
        </w:rPr>
        <w:t>In 2021, we record</w:t>
      </w:r>
      <w:r>
        <w:rPr>
          <w:rFonts w:eastAsia="Times New Roman"/>
          <w:color w:val="000000"/>
          <w:sz w:val="20"/>
          <w:szCs w:val="20"/>
        </w:rPr>
        <w:t xml:space="preserve">ed a $9.6 million loss on debt extinguishment related to the payoff of our senior secured convertible notes issues to Starboard Value LP (the "Notes") and a subsidiary-issued secured promissory note (the "Secured Term Note") on March 10, 2021. The primary </w:t>
      </w:r>
      <w:r>
        <w:rPr>
          <w:rFonts w:eastAsia="Times New Roman"/>
          <w:color w:val="000000"/>
          <w:sz w:val="20"/>
          <w:szCs w:val="20"/>
        </w:rPr>
        <w:t xml:space="preserve">drivers of the extinguishment loss were the write-off of unamortized deferred financing costs and issuance discounts, the issuance of additional shares of Common Stock in connection with the extinguishment, and the derecognition of the interest rate reset </w:t>
      </w:r>
      <w:r>
        <w:rPr>
          <w:rFonts w:eastAsia="Times New Roman"/>
          <w:color w:val="000000"/>
          <w:sz w:val="20"/>
          <w:szCs w:val="20"/>
        </w:rPr>
        <w:t xml:space="preserve">derivative liability on the Notes. These components are described in </w:t>
      </w:r>
      <w:hyperlink w:anchor="i0047531bd13046b986557e31951e34f8_124"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rsidR="00000000" w:rsidRDefault="00971A12">
      <w:pPr>
        <w:jc w:val="both"/>
        <w:divId w:val="1037240510"/>
        <w:rPr>
          <w:rFonts w:eastAsia="Times New Roman"/>
        </w:rPr>
      </w:pPr>
      <w:r>
        <w:rPr>
          <w:rFonts w:eastAsia="Times New Roman"/>
          <w:b/>
          <w:bCs/>
          <w:i/>
          <w:iCs/>
          <w:color w:val="000000"/>
          <w:sz w:val="20"/>
          <w:szCs w:val="20"/>
        </w:rPr>
        <w:t>Interest Expense, Net</w:t>
      </w:r>
    </w:p>
    <w:p w:rsidR="00000000" w:rsidRDefault="00971A12">
      <w:pPr>
        <w:jc w:val="both"/>
        <w:divId w:val="1567884404"/>
        <w:rPr>
          <w:rFonts w:eastAsia="Times New Roman"/>
        </w:rPr>
      </w:pPr>
      <w:r>
        <w:rPr>
          <w:rFonts w:eastAsia="Times New Roman"/>
          <w:color w:val="000000"/>
          <w:sz w:val="20"/>
          <w:szCs w:val="20"/>
        </w:rPr>
        <w:t>Interest expense, net consists of interest income and interest expense. Interest income</w:t>
      </w:r>
      <w:r>
        <w:rPr>
          <w:rFonts w:eastAsia="Times New Roman"/>
          <w:color w:val="000000"/>
          <w:sz w:val="20"/>
          <w:szCs w:val="20"/>
        </w:rPr>
        <w:t xml:space="preserve"> primarily consists of interest earned from our cash and cash equivalent balances. Interest expense relates to interest on our Notes, Secured Term Note, Revolving Credit Agreement, sale-leaseback agreement, and our finance leases.</w:t>
      </w:r>
    </w:p>
    <w:p w:rsidR="00000000" w:rsidRDefault="00971A12">
      <w:pPr>
        <w:jc w:val="both"/>
        <w:divId w:val="1505780232"/>
        <w:rPr>
          <w:rFonts w:eastAsia="Times New Roman"/>
        </w:rPr>
      </w:pPr>
      <w:r>
        <w:rPr>
          <w:rFonts w:eastAsia="Times New Roman"/>
          <w:color w:val="000000"/>
          <w:sz w:val="20"/>
          <w:szCs w:val="20"/>
        </w:rPr>
        <w:t>Interest expense, net, de</w:t>
      </w:r>
      <w:r>
        <w:rPr>
          <w:rFonts w:eastAsia="Times New Roman"/>
          <w:color w:val="000000"/>
          <w:sz w:val="20"/>
          <w:szCs w:val="20"/>
        </w:rPr>
        <w:t>creased $6.9 million during 2022 to $0.9 million as compared to $7.8 million in 2021. The decrease in interest expense for the year ended December 31, 2022 as compared to 2021 was primarily due to the extinguishment of the Notes and the Secured Term Note i</w:t>
      </w:r>
      <w:r>
        <w:rPr>
          <w:rFonts w:eastAsia="Times New Roman"/>
          <w:color w:val="000000"/>
          <w:sz w:val="20"/>
          <w:szCs w:val="20"/>
        </w:rPr>
        <w:t xml:space="preserve">n March 2021, as described in </w:t>
      </w:r>
      <w:hyperlink w:anchor="i0047531bd13046b986557e31951e34f8_124"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 xml:space="preserve">Debt. </w:t>
      </w:r>
    </w:p>
    <w:p w:rsidR="00000000" w:rsidRDefault="00971A12">
      <w:pPr>
        <w:jc w:val="both"/>
        <w:divId w:val="2111385975"/>
        <w:rPr>
          <w:rFonts w:eastAsia="Times New Roman"/>
        </w:rPr>
      </w:pPr>
      <w:r>
        <w:rPr>
          <w:rFonts w:eastAsia="Times New Roman"/>
          <w:color w:val="000000"/>
          <w:sz w:val="20"/>
          <w:szCs w:val="20"/>
        </w:rPr>
        <w:t xml:space="preserve">Interest expense, net, decreased to $7.8 million in 2021 as compared to $35.8 million in 2020. Interest expense decreased in 2021 primarily due to </w:t>
      </w:r>
      <w:r>
        <w:rPr>
          <w:rFonts w:eastAsia="Times New Roman"/>
          <w:color w:val="000000"/>
          <w:sz w:val="20"/>
          <w:szCs w:val="20"/>
        </w:rPr>
        <w:t>the extinguishment of the Notes and the Secured Term Note in March 2021.</w:t>
      </w:r>
    </w:p>
    <w:p w:rsidR="00000000" w:rsidRDefault="00971A12">
      <w:pPr>
        <w:jc w:val="both"/>
        <w:divId w:val="1227110531"/>
        <w:rPr>
          <w:rFonts w:eastAsia="Times New Roman"/>
        </w:rPr>
      </w:pPr>
      <w:r>
        <w:rPr>
          <w:rFonts w:eastAsia="Times New Roman"/>
          <w:color w:val="000000"/>
          <w:sz w:val="20"/>
          <w:szCs w:val="20"/>
        </w:rPr>
        <w:t xml:space="preserve">Refer to </w:t>
      </w:r>
      <w:hyperlink w:anchor="i0047531bd13046b986557e31951e34f8_124"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 xml:space="preserve">Debt </w:t>
      </w:r>
      <w:r>
        <w:rPr>
          <w:rFonts w:eastAsia="Times New Roman"/>
          <w:color w:val="000000"/>
          <w:sz w:val="20"/>
          <w:szCs w:val="20"/>
        </w:rPr>
        <w:t>for information on our debt and related extinguishments.</w:t>
      </w:r>
    </w:p>
    <w:p w:rsidR="00000000" w:rsidRDefault="00971A12">
      <w:pPr>
        <w:jc w:val="both"/>
        <w:divId w:val="139927990"/>
        <w:rPr>
          <w:rFonts w:eastAsia="Times New Roman"/>
        </w:rPr>
      </w:pPr>
      <w:r>
        <w:rPr>
          <w:rFonts w:eastAsia="Times New Roman"/>
          <w:b/>
          <w:bCs/>
          <w:i/>
          <w:iCs/>
          <w:color w:val="000000"/>
          <w:sz w:val="20"/>
          <w:szCs w:val="20"/>
        </w:rPr>
        <w:t>Other Income (Expense), Net</w:t>
      </w:r>
    </w:p>
    <w:p w:rsidR="00000000" w:rsidRDefault="00971A12">
      <w:pPr>
        <w:jc w:val="both"/>
        <w:divId w:val="1628004618"/>
        <w:rPr>
          <w:rFonts w:eastAsia="Times New Roman"/>
        </w:rPr>
      </w:pPr>
      <w:r>
        <w:rPr>
          <w:rFonts w:eastAsia="Times New Roman"/>
          <w:color w:val="000000"/>
          <w:sz w:val="20"/>
          <w:szCs w:val="20"/>
        </w:rPr>
        <w:t>Other income</w:t>
      </w:r>
      <w:r>
        <w:rPr>
          <w:rFonts w:eastAsia="Times New Roman"/>
          <w:color w:val="000000"/>
          <w:sz w:val="20"/>
          <w:szCs w:val="20"/>
        </w:rPr>
        <w:t xml:space="preserve"> (expense), net represents income and expenses incurred that are generally not recurring in nature or are not part of our normal operations. </w:t>
      </w:r>
    </w:p>
    <w:p w:rsidR="00000000" w:rsidRDefault="00971A12">
      <w:pPr>
        <w:jc w:val="center"/>
        <w:divId w:val="1847747008"/>
        <w:rPr>
          <w:rFonts w:eastAsia="Times New Roman"/>
        </w:rPr>
      </w:pPr>
      <w:r>
        <w:rPr>
          <w:rFonts w:eastAsia="Times New Roman"/>
          <w:color w:val="000000"/>
          <w:sz w:val="20"/>
          <w:szCs w:val="20"/>
        </w:rPr>
        <w:t>36</w:t>
      </w:r>
    </w:p>
    <w:p w:rsidR="00000000" w:rsidRDefault="00971A12">
      <w:pPr>
        <w:rPr>
          <w:rFonts w:eastAsia="Times New Roman"/>
        </w:rPr>
      </w:pPr>
      <w:r>
        <w:rPr>
          <w:rFonts w:eastAsia="Times New Roman"/>
        </w:rPr>
        <w:pict>
          <v:rect id="_x0000_i1064" style="width:0;height:1.5pt" o:hralign="center" o:hrstd="t" o:hr="t" fillcolor="#a0a0a0" stroked="f"/>
        </w:pict>
      </w:r>
    </w:p>
    <w:p w:rsidR="00000000" w:rsidRDefault="00971A12">
      <w:pPr>
        <w:divId w:val="454492197"/>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522014977"/>
        <w:rPr>
          <w:rFonts w:eastAsia="Times New Roman"/>
        </w:rPr>
      </w:pPr>
    </w:p>
    <w:p w:rsidR="00000000" w:rsidRDefault="00971A12">
      <w:pPr>
        <w:jc w:val="both"/>
        <w:divId w:val="333192104"/>
        <w:rPr>
          <w:rFonts w:eastAsia="Times New Roman"/>
        </w:rPr>
      </w:pPr>
      <w:r>
        <w:rPr>
          <w:rFonts w:eastAsia="Times New Roman"/>
          <w:color w:val="000000"/>
          <w:sz w:val="20"/>
          <w:szCs w:val="20"/>
        </w:rPr>
        <w:t>The following is a summary of other income (expense), net:</w:t>
      </w:r>
    </w:p>
    <w:tbl>
      <w:tblPr>
        <w:tblW w:w="5000" w:type="pct"/>
        <w:tblCellMar>
          <w:top w:w="15" w:type="dxa"/>
          <w:left w:w="15" w:type="dxa"/>
          <w:bottom w:w="15" w:type="dxa"/>
          <w:right w:w="15" w:type="dxa"/>
        </w:tblCellMar>
        <w:tblLook w:val="04A0" w:firstRow="1" w:lastRow="0" w:firstColumn="1" w:lastColumn="0" w:noHBand="0" w:noVBand="1"/>
      </w:tblPr>
      <w:tblGrid>
        <w:gridCol w:w="38"/>
        <w:gridCol w:w="4899"/>
        <w:gridCol w:w="36"/>
        <w:gridCol w:w="110"/>
        <w:gridCol w:w="893"/>
        <w:gridCol w:w="36"/>
        <w:gridCol w:w="36"/>
        <w:gridCol w:w="36"/>
        <w:gridCol w:w="36"/>
        <w:gridCol w:w="110"/>
        <w:gridCol w:w="893"/>
        <w:gridCol w:w="36"/>
        <w:gridCol w:w="36"/>
        <w:gridCol w:w="36"/>
        <w:gridCol w:w="36"/>
        <w:gridCol w:w="110"/>
        <w:gridCol w:w="893"/>
        <w:gridCol w:w="36"/>
      </w:tblGrid>
      <w:tr w:rsidR="00000000">
        <w:trPr>
          <w:divId w:val="938219051"/>
        </w:trPr>
        <w:tc>
          <w:tcPr>
            <w:tcW w:w="50" w:type="pct"/>
            <w:vAlign w:val="center"/>
            <w:hideMark/>
          </w:tcPr>
          <w:p w:rsidR="00000000" w:rsidRDefault="00971A12">
            <w:pPr>
              <w:jc w:val="both"/>
              <w:rPr>
                <w:rFonts w:eastAsia="Times New Roman"/>
              </w:rPr>
            </w:pPr>
          </w:p>
        </w:tc>
        <w:tc>
          <w:tcPr>
            <w:tcW w:w="2998"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938219051"/>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Years Ended December 31,</w:t>
            </w:r>
          </w:p>
        </w:tc>
      </w:tr>
      <w:tr w:rsidR="00000000">
        <w:trPr>
          <w:divId w:val="938219051"/>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r>
      <w:tr w:rsidR="00000000">
        <w:trPr>
          <w:divId w:val="938219051"/>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Change in fair value of financing derivatives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10,287 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938219051"/>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Change in fair value of warrants liability</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9,802 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(7,689)</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4,894 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938219051"/>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938219051"/>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(627)</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938219051"/>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Total other income (expense),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9,785 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(5,778)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14,554 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both"/>
        <w:divId w:val="2049325"/>
        <w:rPr>
          <w:rFonts w:eastAsia="Times New Roman"/>
        </w:rPr>
      </w:pPr>
      <w:r>
        <w:rPr>
          <w:rFonts w:eastAsia="Times New Roman"/>
          <w:color w:val="000000"/>
          <w:sz w:val="20"/>
          <w:szCs w:val="20"/>
        </w:rPr>
        <w:t>Total other income, net for the year ended December 31, 2022 was $9.8 million as compared to total other expense, net of $5.8 million in 2021. The increase in other income, net was primarily driven by gains from the change in fair value of warrants liabili</w:t>
      </w:r>
      <w:r>
        <w:rPr>
          <w:rFonts w:eastAsia="Times New Roman"/>
          <w:color w:val="000000"/>
          <w:sz w:val="20"/>
          <w:szCs w:val="20"/>
        </w:rPr>
        <w:t xml:space="preserve">ty due to a decrease in the trading price of our Common Stock during the year. This compared to other expense, net for 2021 due to the loss on the warrants liability resulting from an exercise price adjustment described in </w:t>
      </w:r>
      <w:hyperlink w:anchor="i0047531bd13046b986557e31951e34f8_115"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and an increase in the trading price of our Common Stock during 2021.</w:t>
      </w:r>
    </w:p>
    <w:p w:rsidR="00000000" w:rsidRDefault="00971A12">
      <w:pPr>
        <w:jc w:val="both"/>
        <w:divId w:val="1902402403"/>
        <w:rPr>
          <w:rFonts w:eastAsia="Times New Roman"/>
        </w:rPr>
      </w:pPr>
      <w:r>
        <w:rPr>
          <w:rFonts w:eastAsia="Times New Roman"/>
          <w:color w:val="000000"/>
          <w:sz w:val="20"/>
          <w:szCs w:val="20"/>
        </w:rPr>
        <w:t xml:space="preserve">Total other expense, net for the year ended December 31, 2021 was $5.8 million as </w:t>
      </w:r>
      <w:r>
        <w:rPr>
          <w:rFonts w:eastAsia="Times New Roman"/>
          <w:color w:val="000000"/>
          <w:sz w:val="20"/>
          <w:szCs w:val="20"/>
        </w:rPr>
        <w:t>compared to total other income, net of $14.6 million in 2020. The shift from other income, net was largely driven by a loss from the change in the fair value of our warrants liability and lower gains from the change in fair value of our financing derivativ</w:t>
      </w:r>
      <w:r>
        <w:rPr>
          <w:rFonts w:eastAsia="Times New Roman"/>
          <w:color w:val="000000"/>
          <w:sz w:val="20"/>
          <w:szCs w:val="20"/>
        </w:rPr>
        <w:t xml:space="preserve">es. The loss on the warrants liability for 2021 was due primarily to the exercise price adjustment described in </w:t>
      </w:r>
      <w:hyperlink w:anchor="i0047531bd13046b986557e31951e34f8_115"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xml:space="preserve">, and an </w:t>
      </w:r>
      <w:r>
        <w:rPr>
          <w:rFonts w:eastAsia="Times New Roman"/>
          <w:color w:val="000000"/>
          <w:sz w:val="20"/>
          <w:szCs w:val="20"/>
        </w:rPr>
        <w:t>increase in the trading price of our Common Stock during 2021</w:t>
      </w:r>
      <w:r>
        <w:rPr>
          <w:rFonts w:eastAsia="Times New Roman"/>
          <w:i/>
          <w:iCs/>
          <w:color w:val="000000"/>
          <w:sz w:val="20"/>
          <w:szCs w:val="20"/>
        </w:rPr>
        <w:t xml:space="preserve">. </w:t>
      </w:r>
      <w:r>
        <w:rPr>
          <w:rFonts w:eastAsia="Times New Roman"/>
          <w:color w:val="000000"/>
          <w:sz w:val="20"/>
          <w:szCs w:val="20"/>
        </w:rPr>
        <w:t xml:space="preserve">The gain on the financing derivatives was primarily due to the passage of time as our remaining future interest obligations declined over the term of the Notes prior to their extinguishment in </w:t>
      </w:r>
      <w:r>
        <w:rPr>
          <w:rFonts w:eastAsia="Times New Roman"/>
          <w:color w:val="000000"/>
          <w:sz w:val="20"/>
          <w:szCs w:val="20"/>
        </w:rPr>
        <w:t>March 2021.</w:t>
      </w:r>
    </w:p>
    <w:p w:rsidR="00000000" w:rsidRDefault="00971A12">
      <w:pPr>
        <w:jc w:val="both"/>
        <w:divId w:val="185365961"/>
        <w:rPr>
          <w:rFonts w:eastAsia="Times New Roman"/>
        </w:rPr>
      </w:pPr>
      <w:r>
        <w:rPr>
          <w:rFonts w:eastAsia="Times New Roman"/>
          <w:b/>
          <w:bCs/>
          <w:i/>
          <w:iCs/>
          <w:color w:val="000000"/>
          <w:sz w:val="20"/>
          <w:szCs w:val="20"/>
        </w:rPr>
        <w:t>Gain (Loss) from Foreign Currency Transactions</w:t>
      </w:r>
    </w:p>
    <w:p w:rsidR="00000000" w:rsidRDefault="00971A12">
      <w:pPr>
        <w:jc w:val="both"/>
        <w:divId w:val="965505730"/>
        <w:rPr>
          <w:rFonts w:eastAsia="Times New Roman"/>
        </w:rPr>
      </w:pPr>
      <w:r>
        <w:rPr>
          <w:rFonts w:eastAsia="Times New Roman"/>
          <w:color w:val="000000"/>
          <w:sz w:val="20"/>
          <w:szCs w:val="20"/>
        </w:rPr>
        <w:t xml:space="preserve">Our foreign currency transactions are recorded as a result of fluctuations in the exchange rate between the transactional currency and the functional currency of foreign subsidiary transactions. </w:t>
      </w:r>
    </w:p>
    <w:p w:rsidR="00000000" w:rsidRDefault="00971A12">
      <w:pPr>
        <w:jc w:val="both"/>
        <w:divId w:val="368066300"/>
        <w:rPr>
          <w:rFonts w:eastAsia="Times New Roman"/>
        </w:rPr>
      </w:pPr>
      <w:r>
        <w:rPr>
          <w:rFonts w:eastAsia="Times New Roman"/>
          <w:color w:val="000000"/>
          <w:sz w:val="20"/>
          <w:szCs w:val="20"/>
        </w:rPr>
        <w:t>F</w:t>
      </w:r>
      <w:r>
        <w:rPr>
          <w:rFonts w:eastAsia="Times New Roman"/>
          <w:color w:val="000000"/>
          <w:sz w:val="20"/>
          <w:szCs w:val="20"/>
        </w:rPr>
        <w:t xml:space="preserve">or the year ended December 31, 2022, the gain from foreign currency transactions was $1.2 million. The gain was primarily driven by fluctuations in the Euro and Chilean Peso against the U.S. Dollar and U.S. Dollar against the Canadian Dollar and Argentine </w:t>
      </w:r>
      <w:r>
        <w:rPr>
          <w:rFonts w:eastAsia="Times New Roman"/>
          <w:color w:val="000000"/>
          <w:sz w:val="20"/>
          <w:szCs w:val="20"/>
        </w:rPr>
        <w:t>Peso.</w:t>
      </w:r>
    </w:p>
    <w:p w:rsidR="00000000" w:rsidRDefault="00971A12">
      <w:pPr>
        <w:jc w:val="both"/>
        <w:divId w:val="1488280634"/>
        <w:rPr>
          <w:rFonts w:eastAsia="Times New Roman"/>
        </w:rPr>
      </w:pPr>
      <w:r>
        <w:rPr>
          <w:rFonts w:eastAsia="Times New Roman"/>
          <w:color w:val="000000"/>
          <w:sz w:val="20"/>
          <w:szCs w:val="20"/>
        </w:rPr>
        <w:t>For the year ended December 31, 2021, the gain from foreign currency transactions was $2.9 million. The gain was primarily driven by fluctuations in the Euro and Chilean Peso against the U.S. Dollar and Chilean Peso against the Euro.</w:t>
      </w:r>
    </w:p>
    <w:p w:rsidR="00000000" w:rsidRDefault="00971A12">
      <w:pPr>
        <w:jc w:val="both"/>
        <w:divId w:val="1137146223"/>
        <w:rPr>
          <w:rFonts w:eastAsia="Times New Roman"/>
        </w:rPr>
      </w:pPr>
      <w:r>
        <w:rPr>
          <w:rFonts w:eastAsia="Times New Roman"/>
          <w:color w:val="000000"/>
          <w:sz w:val="20"/>
          <w:szCs w:val="20"/>
        </w:rPr>
        <w:t xml:space="preserve">For the year ended December 31, 2020, the loss from foreign currency transactions was $4.5 million. The loss was primarily driven by fluctuations in the Chilean Peso against both the U.S. Dollar and Brazilian Real and the U.S. Dollar against the Euro. </w:t>
      </w:r>
    </w:p>
    <w:p w:rsidR="00000000" w:rsidRDefault="00971A12">
      <w:pPr>
        <w:jc w:val="both"/>
        <w:divId w:val="992679705"/>
        <w:rPr>
          <w:rFonts w:eastAsia="Times New Roman"/>
        </w:rPr>
      </w:pPr>
      <w:r>
        <w:rPr>
          <w:rFonts w:eastAsia="Times New Roman"/>
          <w:b/>
          <w:bCs/>
          <w:i/>
          <w:iCs/>
          <w:color w:val="000000"/>
          <w:sz w:val="20"/>
          <w:szCs w:val="20"/>
        </w:rPr>
        <w:t>Inc</w:t>
      </w:r>
      <w:r>
        <w:rPr>
          <w:rFonts w:eastAsia="Times New Roman"/>
          <w:b/>
          <w:bCs/>
          <w:i/>
          <w:iCs/>
          <w:color w:val="000000"/>
          <w:sz w:val="20"/>
          <w:szCs w:val="20"/>
        </w:rPr>
        <w:t xml:space="preserve">ome Tax Provision </w:t>
      </w:r>
    </w:p>
    <w:p w:rsidR="00000000" w:rsidRDefault="00971A12">
      <w:pPr>
        <w:jc w:val="both"/>
        <w:divId w:val="433940063"/>
        <w:rPr>
          <w:rFonts w:eastAsia="Times New Roman"/>
        </w:rPr>
      </w:pPr>
      <w:r>
        <w:rPr>
          <w:rFonts w:eastAsia="Times New Roman"/>
          <w:color w:val="000000"/>
          <w:sz w:val="20"/>
          <w:szCs w:val="20"/>
        </w:rPr>
        <w:t>A valuation allowance has been established against our net U.S. federal and state deferred tax assets, and certain foreign deferred tax assets, including net operating loss carryforwards. As a result, our income tax position is primarily</w:t>
      </w:r>
      <w:r>
        <w:rPr>
          <w:rFonts w:eastAsia="Times New Roman"/>
          <w:color w:val="000000"/>
          <w:sz w:val="20"/>
          <w:szCs w:val="20"/>
        </w:rPr>
        <w:t xml:space="preserve"> related to foreign tax activity and U.S. deferred taxes for tax deductible goodwill and other indefinite-lived liabilities.</w:t>
      </w:r>
    </w:p>
    <w:p w:rsidR="00000000" w:rsidRDefault="00971A12">
      <w:pPr>
        <w:jc w:val="both"/>
        <w:divId w:val="1916090683"/>
        <w:rPr>
          <w:rFonts w:eastAsia="Times New Roman"/>
        </w:rPr>
      </w:pPr>
      <w:r>
        <w:rPr>
          <w:rFonts w:eastAsia="Times New Roman"/>
          <w:color w:val="000000"/>
          <w:sz w:val="20"/>
          <w:szCs w:val="20"/>
        </w:rPr>
        <w:t>During the years ended December 31, 2022, 2021, and 2020, we recorded an income tax provision of $1.7 million, $0.9 million, and $0</w:t>
      </w:r>
      <w:r>
        <w:rPr>
          <w:rFonts w:eastAsia="Times New Roman"/>
          <w:color w:val="000000"/>
          <w:sz w:val="20"/>
          <w:szCs w:val="20"/>
        </w:rPr>
        <w:t>.9 million, resulting in an effective tax rate of 2.7%, 1.7%, and 1.9%, respectively. These effective tax rates differ from the U.S. federal statutory rate primarily due to the effects of certain permanent items, foreign tax rate differences, and increases</w:t>
      </w:r>
      <w:r>
        <w:rPr>
          <w:rFonts w:eastAsia="Times New Roman"/>
          <w:color w:val="000000"/>
          <w:sz w:val="20"/>
          <w:szCs w:val="20"/>
        </w:rPr>
        <w:t xml:space="preserve"> in the valuation allowance against our domestic deferred tax assets.</w:t>
      </w:r>
    </w:p>
    <w:p w:rsidR="00000000" w:rsidRDefault="00971A12">
      <w:pPr>
        <w:jc w:val="both"/>
        <w:divId w:val="617373228"/>
        <w:rPr>
          <w:rFonts w:eastAsia="Times New Roman"/>
        </w:rPr>
      </w:pPr>
      <w:r>
        <w:rPr>
          <w:rFonts w:eastAsia="Times New Roman"/>
          <w:color w:val="000000"/>
          <w:sz w:val="20"/>
          <w:szCs w:val="20"/>
        </w:rPr>
        <w:t xml:space="preserve">Included within tax expense for the year ended December 31, 2022 is income tax benefit of $2.6 million for permanent differences in the book and tax treatment of nontaxable gain on fair </w:t>
      </w:r>
      <w:r>
        <w:rPr>
          <w:rFonts w:eastAsia="Times New Roman"/>
          <w:color w:val="000000"/>
          <w:sz w:val="20"/>
          <w:szCs w:val="20"/>
        </w:rPr>
        <w:t>market value adjustment of stock warrants, offset by certain nondeductible stock-based compensation and executive compensation. Also included in the total tax expense is an income tax adjustment of $12.7 million related to the impairment of goodwill. Incom</w:t>
      </w:r>
      <w:r>
        <w:rPr>
          <w:rFonts w:eastAsia="Times New Roman"/>
          <w:color w:val="000000"/>
          <w:sz w:val="20"/>
          <w:szCs w:val="20"/>
        </w:rPr>
        <w:t>e tax expense of $18.5 million has also been included for an increase in the valuation allowance recorded against our deferred tax assets to offset the tax benefit of our operating losses in the U.S. and certain foreign jurisdictions. These tax adjustments</w:t>
      </w:r>
      <w:r>
        <w:rPr>
          <w:rFonts w:eastAsia="Times New Roman"/>
          <w:color w:val="000000"/>
          <w:sz w:val="20"/>
          <w:szCs w:val="20"/>
        </w:rPr>
        <w:t>, along with state and local taxes and book losses in foreign jurisdictions where the income tax rate is substantially lower than the U.S. federal statutory rate, are the primary drivers of the annual effective income tax rate.</w:t>
      </w:r>
    </w:p>
    <w:p w:rsidR="00000000" w:rsidRDefault="00971A12">
      <w:pPr>
        <w:jc w:val="both"/>
        <w:divId w:val="1360089783"/>
        <w:rPr>
          <w:rFonts w:eastAsia="Times New Roman"/>
        </w:rPr>
      </w:pPr>
      <w:r>
        <w:rPr>
          <w:rFonts w:eastAsia="Times New Roman"/>
          <w:color w:val="000000"/>
          <w:sz w:val="20"/>
          <w:szCs w:val="20"/>
        </w:rPr>
        <w:t xml:space="preserve">Included within tax expense </w:t>
      </w:r>
      <w:r>
        <w:rPr>
          <w:rFonts w:eastAsia="Times New Roman"/>
          <w:color w:val="000000"/>
          <w:sz w:val="20"/>
          <w:szCs w:val="20"/>
        </w:rPr>
        <w:t>for the year ended December 31, 2021 are income tax adjustments of $9.2 million for permanent differences in the book and tax treatment of certain stock-based compensation, limitations on the deductibility of certain executive compensation, nondeductible i</w:t>
      </w:r>
      <w:r>
        <w:rPr>
          <w:rFonts w:eastAsia="Times New Roman"/>
          <w:color w:val="000000"/>
          <w:sz w:val="20"/>
          <w:szCs w:val="20"/>
        </w:rPr>
        <w:t xml:space="preserve">nterest expense on debt instruments and associated derivatives, and other nondeductible expenses. Also included is a favorable return to provision true-up adjustment of $8.3 million for a prior year permanent difference related to foreign earnings taxable </w:t>
      </w:r>
      <w:r>
        <w:rPr>
          <w:rFonts w:eastAsia="Times New Roman"/>
          <w:color w:val="000000"/>
          <w:sz w:val="20"/>
          <w:szCs w:val="20"/>
        </w:rPr>
        <w:t>in the U.S. as a result of a tax restructuring that occurred during 2020. Tax expense of $16.3 million has also been included for an increase in the valuation allowance recorded against our deferred tax assets to offset the tax benefit of our operating los</w:t>
      </w:r>
      <w:r>
        <w:rPr>
          <w:rFonts w:eastAsia="Times New Roman"/>
          <w:color w:val="000000"/>
          <w:sz w:val="20"/>
          <w:szCs w:val="20"/>
        </w:rPr>
        <w:t>ses in the U.S. and certain foreign jurisdictions. This increase was offset by a tax benefit of $2.8 million for the release of a portion of our U.S. valuation allowance as a result of the Shareablee acquisition.</w:t>
      </w:r>
    </w:p>
    <w:p w:rsidR="00000000" w:rsidRDefault="00971A12">
      <w:pPr>
        <w:jc w:val="both"/>
        <w:divId w:val="1742289490"/>
        <w:rPr>
          <w:rFonts w:eastAsia="Times New Roman"/>
        </w:rPr>
      </w:pPr>
      <w:r>
        <w:rPr>
          <w:rFonts w:eastAsia="Times New Roman"/>
          <w:color w:val="000000"/>
          <w:sz w:val="20"/>
          <w:szCs w:val="20"/>
        </w:rPr>
        <w:t>Included within tax expense for the year en</w:t>
      </w:r>
      <w:r>
        <w:rPr>
          <w:rFonts w:eastAsia="Times New Roman"/>
          <w:color w:val="000000"/>
          <w:sz w:val="20"/>
          <w:szCs w:val="20"/>
        </w:rPr>
        <w:t xml:space="preserve">ded December 31, 2020 are income tax adjustments of $8.9 million for permanent differences in the book and tax treatment of certain stock-based compensation, limitations on the deductibility of certain executive compensation, nondeductible </w:t>
      </w:r>
    </w:p>
    <w:p w:rsidR="00000000" w:rsidRDefault="00971A12">
      <w:pPr>
        <w:jc w:val="center"/>
        <w:divId w:val="82727212"/>
        <w:rPr>
          <w:rFonts w:eastAsia="Times New Roman"/>
        </w:rPr>
      </w:pPr>
      <w:r>
        <w:rPr>
          <w:rFonts w:eastAsia="Times New Roman"/>
          <w:color w:val="000000"/>
          <w:sz w:val="20"/>
          <w:szCs w:val="20"/>
        </w:rPr>
        <w:t>37</w:t>
      </w:r>
    </w:p>
    <w:p w:rsidR="00000000" w:rsidRDefault="00971A12">
      <w:pPr>
        <w:rPr>
          <w:rFonts w:eastAsia="Times New Roman"/>
        </w:rPr>
      </w:pPr>
      <w:r>
        <w:rPr>
          <w:rFonts w:eastAsia="Times New Roman"/>
        </w:rPr>
        <w:pict>
          <v:rect id="_x0000_i1065" style="width:0;height:1.5pt" o:hralign="center" o:hrstd="t" o:hr="t" fillcolor="#a0a0a0" stroked="f"/>
        </w:pict>
      </w:r>
    </w:p>
    <w:p w:rsidR="00000000" w:rsidRDefault="00971A12">
      <w:pPr>
        <w:divId w:val="587809585"/>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198785332"/>
        <w:rPr>
          <w:rFonts w:eastAsia="Times New Roman"/>
        </w:rPr>
      </w:pPr>
    </w:p>
    <w:p w:rsidR="00000000" w:rsidRDefault="00971A12">
      <w:pPr>
        <w:jc w:val="both"/>
        <w:divId w:val="532423787"/>
        <w:rPr>
          <w:rFonts w:eastAsia="Times New Roman"/>
        </w:rPr>
      </w:pPr>
      <w:r>
        <w:rPr>
          <w:rFonts w:eastAsia="Times New Roman"/>
          <w:color w:val="000000"/>
          <w:sz w:val="20"/>
          <w:szCs w:val="20"/>
        </w:rPr>
        <w:t>interest expense on debt instruments and associated derivatives, and other nondeductible expense</w:t>
      </w:r>
      <w:r>
        <w:rPr>
          <w:rFonts w:eastAsia="Times New Roman"/>
          <w:color w:val="000000"/>
          <w:sz w:val="20"/>
          <w:szCs w:val="20"/>
        </w:rPr>
        <w:t>s. Also included is an adjustment of $11.2 million for a permanent difference related to foreign earnings taxable in the U.S. as a result of a tax restructuring that occurred during the year.</w:t>
      </w:r>
    </w:p>
    <w:p w:rsidR="00000000" w:rsidRDefault="00971A12">
      <w:pPr>
        <w:jc w:val="both"/>
        <w:divId w:val="681589316"/>
        <w:rPr>
          <w:rFonts w:eastAsia="Times New Roman"/>
        </w:rPr>
      </w:pPr>
      <w:r>
        <w:rPr>
          <w:rFonts w:eastAsia="Times New Roman"/>
          <w:b/>
          <w:bCs/>
          <w:color w:val="000000"/>
          <w:sz w:val="20"/>
          <w:szCs w:val="20"/>
        </w:rPr>
        <w:t xml:space="preserve">Liquidity and Capital Resources </w:t>
      </w:r>
    </w:p>
    <w:p w:rsidR="00000000" w:rsidRDefault="00971A12">
      <w:pPr>
        <w:jc w:val="both"/>
        <w:divId w:val="1364865575"/>
        <w:rPr>
          <w:rFonts w:eastAsia="Times New Roman"/>
        </w:rPr>
      </w:pPr>
      <w:r>
        <w:rPr>
          <w:rFonts w:eastAsia="Times New Roman"/>
          <w:color w:val="000000"/>
          <w:sz w:val="20"/>
          <w:szCs w:val="20"/>
        </w:rPr>
        <w:t xml:space="preserve">The following table summarizes </w:t>
      </w:r>
      <w:r>
        <w:rPr>
          <w:rFonts w:eastAsia="Times New Roman"/>
          <w:color w:val="000000"/>
          <w:sz w:val="20"/>
          <w:szCs w:val="20"/>
        </w:rPr>
        <w:t>our cash flows for each of the periods identified: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828"/>
        <w:gridCol w:w="37"/>
        <w:gridCol w:w="36"/>
        <w:gridCol w:w="36"/>
        <w:gridCol w:w="36"/>
        <w:gridCol w:w="110"/>
        <w:gridCol w:w="879"/>
        <w:gridCol w:w="36"/>
        <w:gridCol w:w="36"/>
        <w:gridCol w:w="36"/>
        <w:gridCol w:w="36"/>
        <w:gridCol w:w="111"/>
        <w:gridCol w:w="880"/>
        <w:gridCol w:w="36"/>
        <w:gridCol w:w="36"/>
        <w:gridCol w:w="36"/>
        <w:gridCol w:w="36"/>
        <w:gridCol w:w="111"/>
        <w:gridCol w:w="880"/>
        <w:gridCol w:w="36"/>
      </w:tblGrid>
      <w:tr w:rsidR="00000000">
        <w:trPr>
          <w:divId w:val="424496274"/>
          <w:jc w:val="center"/>
        </w:trPr>
        <w:tc>
          <w:tcPr>
            <w:tcW w:w="50" w:type="pct"/>
            <w:vAlign w:val="center"/>
            <w:hideMark/>
          </w:tcPr>
          <w:p w:rsidR="00000000" w:rsidRDefault="00971A12">
            <w:pPr>
              <w:jc w:val="both"/>
              <w:rPr>
                <w:rFonts w:eastAsia="Times New Roman"/>
              </w:rPr>
            </w:pPr>
          </w:p>
        </w:tc>
        <w:tc>
          <w:tcPr>
            <w:tcW w:w="2972"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424496274"/>
          <w:jc w:val="center"/>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Years Ended December 31,</w:t>
            </w:r>
          </w:p>
        </w:tc>
      </w:tr>
      <w:tr w:rsidR="00000000">
        <w:trPr>
          <w:divId w:val="424496274"/>
          <w:jc w:val="center"/>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r>
      <w:tr w:rsidR="00000000">
        <w:trPr>
          <w:divId w:val="424496274"/>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34,937 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9,856 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424496274"/>
          <w:jc w:val="center"/>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Net cash used in investing activities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(17,822)</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(14,648)</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(15,555)</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424496274"/>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Net cash used in financing activities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(18,132)</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(22,452)</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(2,096)</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424496274"/>
          <w:jc w:val="center"/>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Effect of exchange rate changes on cash, cash equivalents and restricted cash</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(820)</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(1,218)</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902 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424496274"/>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Net decrease in 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(1,837)</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(28,462)</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(16,032)</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both"/>
        <w:divId w:val="737946450"/>
        <w:rPr>
          <w:rFonts w:eastAsia="Times New Roman"/>
        </w:rPr>
      </w:pPr>
      <w:r>
        <w:rPr>
          <w:rFonts w:eastAsia="Times New Roman"/>
          <w:color w:val="000000"/>
          <w:sz w:val="20"/>
          <w:szCs w:val="20"/>
          <w:u w:val="single"/>
        </w:rPr>
        <w:t>Overview</w:t>
      </w:r>
    </w:p>
    <w:p w:rsidR="00000000" w:rsidRDefault="00971A12">
      <w:pPr>
        <w:jc w:val="both"/>
        <w:divId w:val="184488208"/>
        <w:rPr>
          <w:rFonts w:eastAsia="Times New Roman"/>
        </w:rPr>
      </w:pPr>
      <w:r>
        <w:rPr>
          <w:rFonts w:eastAsia="Times New Roman"/>
          <w:color w:val="000000"/>
          <w:sz w:val="20"/>
          <w:szCs w:val="20"/>
        </w:rPr>
        <w:t>Our principal uses of cash consist of cash paid for data, payroll and other operating expenses, including restructuring-related costs and expenses incurred in prior periods; payments related to investments in equipment, primarily to support our consumer pa</w:t>
      </w:r>
      <w:r>
        <w:rPr>
          <w:rFonts w:eastAsia="Times New Roman"/>
          <w:color w:val="000000"/>
          <w:sz w:val="20"/>
          <w:szCs w:val="20"/>
        </w:rPr>
        <w:t xml:space="preserve">nels and technical infrastructure required to deliver our products and services and support our customers; service of our debt and lease facilities; and dividend payment obligations with respect to our Preferred Stock. </w:t>
      </w:r>
    </w:p>
    <w:p w:rsidR="00000000" w:rsidRDefault="00971A12">
      <w:pPr>
        <w:jc w:val="both"/>
        <w:divId w:val="217862629"/>
        <w:rPr>
          <w:rFonts w:eastAsia="Times New Roman"/>
        </w:rPr>
      </w:pPr>
      <w:r>
        <w:rPr>
          <w:rFonts w:eastAsia="Times New Roman"/>
          <w:color w:val="000000"/>
          <w:sz w:val="20"/>
          <w:szCs w:val="20"/>
        </w:rPr>
        <w:t>As of December 31, 2022, our princip</w:t>
      </w:r>
      <w:r>
        <w:rPr>
          <w:rFonts w:eastAsia="Times New Roman"/>
          <w:color w:val="000000"/>
          <w:sz w:val="20"/>
          <w:szCs w:val="20"/>
        </w:rPr>
        <w:t>al sources of liquidity consisted of cash, cash equivalents and restricted cash totaling $20.4 million, including $0.4 million in restricted cash; cash flows from our operations; and amounts available to us under our Revolving Credit Agreement, as describe</w:t>
      </w:r>
      <w:r>
        <w:rPr>
          <w:rFonts w:eastAsia="Times New Roman"/>
          <w:color w:val="000000"/>
          <w:sz w:val="20"/>
          <w:szCs w:val="20"/>
        </w:rPr>
        <w:t>d below.</w:t>
      </w:r>
    </w:p>
    <w:p w:rsidR="00000000" w:rsidRDefault="00971A12">
      <w:pPr>
        <w:jc w:val="both"/>
        <w:divId w:val="1427917200"/>
        <w:rPr>
          <w:rFonts w:eastAsia="Times New Roman"/>
        </w:rPr>
      </w:pPr>
      <w:r>
        <w:rPr>
          <w:rFonts w:eastAsia="Times New Roman"/>
          <w:color w:val="000000"/>
          <w:sz w:val="20"/>
          <w:szCs w:val="20"/>
        </w:rPr>
        <w:t>On June 30, 2022, we made cash dividend payments totaling $15.5 million to the holders of our Preferred Stock, representing dividends accrued for the period from June 30, 2021 through June 29, 2022. The next scheduled dividend payment date for the Preferre</w:t>
      </w:r>
      <w:r>
        <w:rPr>
          <w:rFonts w:eastAsia="Times New Roman"/>
          <w:color w:val="000000"/>
          <w:sz w:val="20"/>
          <w:szCs w:val="20"/>
        </w:rPr>
        <w:t>d Stock is June 30, 2023, and as of December 31, 2022, accrued dividends for the Preferred Stock totaled $7.9 million.</w:t>
      </w:r>
    </w:p>
    <w:p w:rsidR="00000000" w:rsidRDefault="00971A12">
      <w:pPr>
        <w:jc w:val="both"/>
        <w:divId w:val="788938465"/>
        <w:rPr>
          <w:rFonts w:eastAsia="Times New Roman"/>
        </w:rPr>
      </w:pPr>
      <w:r>
        <w:rPr>
          <w:rFonts w:eastAsia="Times New Roman"/>
          <w:color w:val="000000"/>
          <w:sz w:val="20"/>
          <w:szCs w:val="20"/>
        </w:rPr>
        <w:t>On May 5, 2021, we entered into the Revolving Credit Agreement with Bank of America N.A. The Revolving Credit Agreement provides a borrow</w:t>
      </w:r>
      <w:r>
        <w:rPr>
          <w:rFonts w:eastAsia="Times New Roman"/>
          <w:color w:val="000000"/>
          <w:sz w:val="20"/>
          <w:szCs w:val="20"/>
        </w:rPr>
        <w:t>ing capacity equal to $40.0 million, which was increased from $25.0 million on February 25, 2022. As of December 31, 2022, we had outstanding borrowings of $16.0 million and outstanding letters of credit totaling $3.4 million under the Revolving Credit Agr</w:t>
      </w:r>
      <w:r>
        <w:rPr>
          <w:rFonts w:eastAsia="Times New Roman"/>
          <w:color w:val="000000"/>
          <w:sz w:val="20"/>
          <w:szCs w:val="20"/>
        </w:rPr>
        <w:t>eement, leaving a remaining borrowing capacity of $20.6 million.</w:t>
      </w:r>
    </w:p>
    <w:p w:rsidR="00000000" w:rsidRDefault="00971A12">
      <w:pPr>
        <w:jc w:val="both"/>
        <w:divId w:val="1653482304"/>
        <w:rPr>
          <w:rFonts w:eastAsia="Times New Roman"/>
        </w:rPr>
      </w:pPr>
      <w:r>
        <w:rPr>
          <w:rFonts w:eastAsia="Times New Roman"/>
          <w:color w:val="000000"/>
          <w:sz w:val="20"/>
          <w:szCs w:val="20"/>
          <w:u w:val="single"/>
        </w:rPr>
        <w:t>Macroeconomic Factors</w:t>
      </w:r>
    </w:p>
    <w:p w:rsidR="00000000" w:rsidRDefault="00971A12">
      <w:pPr>
        <w:jc w:val="both"/>
        <w:rPr>
          <w:rFonts w:eastAsia="Times New Roman"/>
        </w:rPr>
      </w:pPr>
      <w:r>
        <w:rPr>
          <w:rFonts w:eastAsia="Times New Roman"/>
          <w:color w:val="000000"/>
          <w:sz w:val="20"/>
          <w:szCs w:val="20"/>
        </w:rPr>
        <w:t>During 2020 and 2021, the COVID-19 pandemic and related government mandates and restrictions had a significant impact on the media, advertising and entertainment industr</w:t>
      </w:r>
      <w:r>
        <w:rPr>
          <w:rFonts w:eastAsia="Times New Roman"/>
          <w:color w:val="000000"/>
          <w:sz w:val="20"/>
          <w:szCs w:val="20"/>
        </w:rPr>
        <w:t>ies in which we operate. The pandemic also had an impact on our business, including with respect to the execution of new and renewal contracts, the impact of closed movie theaters on our customers, customer payment delays and requests to modify contractual</w:t>
      </w:r>
      <w:r>
        <w:rPr>
          <w:rFonts w:eastAsia="Times New Roman"/>
          <w:color w:val="000000"/>
          <w:sz w:val="20"/>
          <w:szCs w:val="20"/>
        </w:rPr>
        <w:t xml:space="preserve"> payment terms. In response to the COVID-19 pandemic, we took actions in 2020 and 2021 to mitigate the liquidity impact, including freezing hiring, exiting non-critical consultants and contractors, terminating or negotiating reductions in vendor agreements</w:t>
      </w:r>
      <w:r>
        <w:rPr>
          <w:rFonts w:eastAsia="Times New Roman"/>
          <w:color w:val="000000"/>
          <w:sz w:val="20"/>
          <w:szCs w:val="20"/>
        </w:rPr>
        <w:t xml:space="preserve"> and leases, and reducing certain travel, marketing, recruiting and other corporate activities. Although we cannot quantify the impact that the pandemic may have on our business in the future, we saw positive recovery in 2022, including the reopening of th</w:t>
      </w:r>
      <w:r>
        <w:rPr>
          <w:rFonts w:eastAsia="Times New Roman"/>
          <w:color w:val="000000"/>
          <w:sz w:val="20"/>
          <w:szCs w:val="20"/>
        </w:rPr>
        <w:t xml:space="preserve">eaters in most markets worldwide. At the same time, however, macroeconomic factors such as inflation, rising interest rates, and supply chain disruptions caused some advertisers to reduce or delay advertising expenditures in the second half of 2022. These </w:t>
      </w:r>
      <w:r>
        <w:rPr>
          <w:rFonts w:eastAsia="Times New Roman"/>
          <w:color w:val="000000"/>
          <w:sz w:val="20"/>
          <w:szCs w:val="20"/>
        </w:rPr>
        <w:t>declines had a direct impact on demand for our products, particularly those for which we recognize revenue based on impressions used. We expect that softness in the advertising market will continue to affect our business in 2023.</w:t>
      </w:r>
    </w:p>
    <w:p w:rsidR="00000000" w:rsidRDefault="00971A12">
      <w:pPr>
        <w:jc w:val="both"/>
        <w:divId w:val="1613634453"/>
        <w:rPr>
          <w:rFonts w:eastAsia="Times New Roman"/>
        </w:rPr>
      </w:pPr>
      <w:r>
        <w:rPr>
          <w:rFonts w:eastAsia="Times New Roman"/>
          <w:color w:val="000000"/>
          <w:sz w:val="20"/>
          <w:szCs w:val="20"/>
          <w:u w:val="single"/>
        </w:rPr>
        <w:t>Preferred Stock</w:t>
      </w:r>
    </w:p>
    <w:p w:rsidR="00000000" w:rsidRDefault="00971A12">
      <w:pPr>
        <w:jc w:val="both"/>
        <w:divId w:val="879438546"/>
        <w:rPr>
          <w:rFonts w:eastAsia="Times New Roman"/>
        </w:rPr>
      </w:pPr>
      <w:r>
        <w:rPr>
          <w:rFonts w:eastAsia="Times New Roman"/>
          <w:color w:val="000000"/>
          <w:sz w:val="20"/>
          <w:szCs w:val="20"/>
        </w:rPr>
        <w:t>On March 1</w:t>
      </w:r>
      <w:r>
        <w:rPr>
          <w:rFonts w:eastAsia="Times New Roman"/>
          <w:color w:val="000000"/>
          <w:sz w:val="20"/>
          <w:szCs w:val="20"/>
        </w:rPr>
        <w:t>0, 2021, we issued 82,527,609 shares of Preferred Stock in exchange for gross cash proceeds of $204.0 million. Net proceeds from the issuance totaled $187.9 million</w:t>
      </w:r>
      <w:r>
        <w:rPr>
          <w:rFonts w:eastAsia="Times New Roman"/>
          <w:i/>
          <w:iCs/>
          <w:color w:val="000000"/>
          <w:sz w:val="20"/>
          <w:szCs w:val="20"/>
        </w:rPr>
        <w:t xml:space="preserve"> </w:t>
      </w:r>
      <w:r>
        <w:rPr>
          <w:rFonts w:eastAsia="Times New Roman"/>
          <w:color w:val="000000"/>
          <w:sz w:val="20"/>
          <w:szCs w:val="20"/>
        </w:rPr>
        <w:t>after deducting issuance costs. Shares of Preferred Stock are convertible into Common Stock</w:t>
      </w:r>
      <w:r>
        <w:rPr>
          <w:rFonts w:eastAsia="Times New Roman"/>
          <w:color w:val="000000"/>
          <w:sz w:val="20"/>
          <w:szCs w:val="20"/>
        </w:rPr>
        <w:t xml:space="preserve"> as described in </w:t>
      </w:r>
      <w:hyperlink w:anchor="i0047531bd13046b986557e31951e34f8_115"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xml:space="preserve">. As of December 31, 2022, each share of Preferred Stock was convertible into 1.038542 shares of Common </w:t>
      </w:r>
      <w:r>
        <w:rPr>
          <w:rFonts w:eastAsia="Times New Roman"/>
          <w:color w:val="000000"/>
          <w:sz w:val="20"/>
          <w:szCs w:val="20"/>
        </w:rPr>
        <w:t xml:space="preserve">Stock, with such conversion rate scheduled to return to 1.00 upon payment of accrued dividends on June 30, 2023. </w:t>
      </w:r>
    </w:p>
    <w:p w:rsidR="00000000" w:rsidRDefault="00971A12">
      <w:pPr>
        <w:jc w:val="both"/>
        <w:divId w:val="1225868319"/>
        <w:rPr>
          <w:rFonts w:eastAsia="Times New Roman"/>
        </w:rPr>
      </w:pPr>
      <w:r>
        <w:rPr>
          <w:rFonts w:eastAsia="Times New Roman"/>
          <w:color w:val="000000"/>
          <w:sz w:val="20"/>
          <w:szCs w:val="20"/>
        </w:rPr>
        <w:t>The holders of Preferred Stock are entitled to participate in all dividends declared on the Common Stock on an as-converted basis and are also</w:t>
      </w:r>
      <w:r>
        <w:rPr>
          <w:rFonts w:eastAsia="Times New Roman"/>
          <w:color w:val="000000"/>
          <w:sz w:val="20"/>
          <w:szCs w:val="20"/>
        </w:rPr>
        <w:t xml:space="preserve"> entitled to a cumulative dividend at the rate of 7.5% per annum, payable annually in arrears and subject to increase under certain specified circumstances. In addition, such holders are entitled to request, and we must take all actions reasonably necessar</w:t>
      </w:r>
      <w:r>
        <w:rPr>
          <w:rFonts w:eastAsia="Times New Roman"/>
          <w:color w:val="000000"/>
          <w:sz w:val="20"/>
          <w:szCs w:val="20"/>
        </w:rPr>
        <w:t>y to pay, a one-time special dividend on the Preferred Stock equal to the highest dividend that our Board of Directors determines can be paid at the applicable time (or a lesser amount agreed by the holders), subject to additional conditions and limitation</w:t>
      </w:r>
      <w:r>
        <w:rPr>
          <w:rFonts w:eastAsia="Times New Roman"/>
          <w:color w:val="000000"/>
          <w:sz w:val="20"/>
          <w:szCs w:val="20"/>
        </w:rPr>
        <w:t xml:space="preserve">s described in </w:t>
      </w:r>
      <w:hyperlink w:anchor="i0047531bd13046b986557e31951e34f8_115"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We may be obligated to obtain debt financing in order to effectuate the special dividend, which could si</w:t>
      </w:r>
      <w:r>
        <w:rPr>
          <w:rFonts w:eastAsia="Times New Roman"/>
          <w:color w:val="000000"/>
          <w:sz w:val="20"/>
          <w:szCs w:val="20"/>
        </w:rPr>
        <w:t xml:space="preserve">gnificantly impact our financial position and liquidity depending on the timing and scope of the dividend payment and related financing. </w:t>
      </w:r>
    </w:p>
    <w:p w:rsidR="00000000" w:rsidRDefault="00971A12">
      <w:pPr>
        <w:jc w:val="center"/>
        <w:divId w:val="1784110153"/>
        <w:rPr>
          <w:rFonts w:eastAsia="Times New Roman"/>
        </w:rPr>
      </w:pPr>
      <w:r>
        <w:rPr>
          <w:rFonts w:eastAsia="Times New Roman"/>
          <w:color w:val="000000"/>
          <w:sz w:val="20"/>
          <w:szCs w:val="20"/>
        </w:rPr>
        <w:t>38</w:t>
      </w:r>
    </w:p>
    <w:p w:rsidR="00000000" w:rsidRDefault="00971A12">
      <w:pPr>
        <w:rPr>
          <w:rFonts w:eastAsia="Times New Roman"/>
        </w:rPr>
      </w:pPr>
      <w:r>
        <w:rPr>
          <w:rFonts w:eastAsia="Times New Roman"/>
        </w:rPr>
        <w:pict>
          <v:rect id="_x0000_i1066" style="width:0;height:1.5pt" o:hralign="center" o:hrstd="t" o:hr="t" fillcolor="#a0a0a0" stroked="f"/>
        </w:pict>
      </w:r>
    </w:p>
    <w:p w:rsidR="00000000" w:rsidRDefault="00971A12">
      <w:pPr>
        <w:divId w:val="231164309"/>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847937479"/>
        <w:rPr>
          <w:rFonts w:eastAsia="Times New Roman"/>
        </w:rPr>
      </w:pPr>
    </w:p>
    <w:p w:rsidR="00000000" w:rsidRDefault="00971A12">
      <w:pPr>
        <w:jc w:val="both"/>
        <w:divId w:val="1665931421"/>
        <w:rPr>
          <w:rFonts w:eastAsia="Times New Roman"/>
        </w:rPr>
      </w:pPr>
      <w:r>
        <w:rPr>
          <w:rFonts w:eastAsia="Times New Roman"/>
          <w:color w:val="000000"/>
          <w:sz w:val="20"/>
          <w:szCs w:val="20"/>
        </w:rPr>
        <w:t>Moreover, this obligation could lead us to refinance or terminate the Revolving Credit Agreement prior to its maturity, due to its restrictions on our ability to incur additional debt.</w:t>
      </w:r>
    </w:p>
    <w:p w:rsidR="00000000" w:rsidRDefault="00971A12">
      <w:pPr>
        <w:jc w:val="both"/>
        <w:divId w:val="1013607118"/>
        <w:rPr>
          <w:rFonts w:eastAsia="Times New Roman"/>
        </w:rPr>
      </w:pPr>
      <w:r>
        <w:rPr>
          <w:rFonts w:eastAsia="Times New Roman"/>
          <w:color w:val="000000"/>
          <w:sz w:val="20"/>
          <w:szCs w:val="20"/>
        </w:rPr>
        <w:t>The proceeds from the Preferred Stock issuance were used to repay the N</w:t>
      </w:r>
      <w:r>
        <w:rPr>
          <w:rFonts w:eastAsia="Times New Roman"/>
          <w:color w:val="000000"/>
          <w:sz w:val="20"/>
          <w:szCs w:val="20"/>
        </w:rPr>
        <w:t xml:space="preserve">otes. In connection with the closing, we also repaid the Secured Term Note and certain transaction-related expenses with cash from our balance sheet. For additional information on the Preferred Stock issuance and related debt extinguishments, refer to </w:t>
      </w:r>
      <w:hyperlink w:anchor="i0047531bd13046b986557e31951e34f8_124"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xml:space="preserve"> and </w:t>
      </w:r>
      <w:hyperlink w:anchor="i0047531bd13046b986557e31951e34f8_115"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p>
    <w:p w:rsidR="00000000" w:rsidRDefault="00971A12">
      <w:pPr>
        <w:divId w:val="2096125840"/>
        <w:rPr>
          <w:rFonts w:eastAsia="Times New Roman"/>
        </w:rPr>
      </w:pPr>
      <w:r>
        <w:rPr>
          <w:rFonts w:eastAsia="Times New Roman"/>
          <w:color w:val="000000"/>
          <w:sz w:val="20"/>
          <w:szCs w:val="20"/>
          <w:u w:val="single"/>
        </w:rPr>
        <w:t>Revolving Credit Agreement</w:t>
      </w:r>
    </w:p>
    <w:p w:rsidR="00000000" w:rsidRDefault="00971A12">
      <w:pPr>
        <w:jc w:val="both"/>
        <w:divId w:val="1081172040"/>
        <w:rPr>
          <w:rFonts w:eastAsia="Times New Roman"/>
        </w:rPr>
      </w:pPr>
      <w:r>
        <w:rPr>
          <w:rFonts w:eastAsia="Times New Roman"/>
          <w:color w:val="000000"/>
          <w:sz w:val="20"/>
          <w:szCs w:val="20"/>
        </w:rPr>
        <w:t>On May 5, 2021,</w:t>
      </w:r>
      <w:r>
        <w:rPr>
          <w:rFonts w:eastAsia="Times New Roman"/>
          <w:color w:val="000000"/>
          <w:sz w:val="20"/>
          <w:szCs w:val="20"/>
        </w:rPr>
        <w:t xml:space="preserve"> we entered into the Revolving Credit Agreement, which matures on May 5, 2024. The Revolving Credit Agreement provides a borrowing capacity equal to $40.0 million (increased from $25.0 million on February 25, 2022). We may also request the issuance of lett</w:t>
      </w:r>
      <w:r>
        <w:rPr>
          <w:rFonts w:eastAsia="Times New Roman"/>
          <w:color w:val="000000"/>
          <w:sz w:val="20"/>
          <w:szCs w:val="20"/>
        </w:rPr>
        <w:t>ers of credit under the Revolving Credit Agreement in an aggregate amount up to $5.0 million, which reduces the amount of available borrowings by the amount of such issued and outstanding letters of credit.</w:t>
      </w:r>
    </w:p>
    <w:p w:rsidR="00000000" w:rsidRDefault="00971A12">
      <w:pPr>
        <w:jc w:val="both"/>
        <w:divId w:val="1574924956"/>
        <w:rPr>
          <w:rFonts w:eastAsia="Times New Roman"/>
        </w:rPr>
      </w:pPr>
      <w:r>
        <w:rPr>
          <w:rFonts w:eastAsia="Times New Roman"/>
          <w:color w:val="000000"/>
          <w:sz w:val="20"/>
          <w:szCs w:val="20"/>
        </w:rPr>
        <w:t>On February 25, 2022, we entered into an amendmen</w:t>
      </w:r>
      <w:r>
        <w:rPr>
          <w:rFonts w:eastAsia="Times New Roman"/>
          <w:color w:val="000000"/>
          <w:sz w:val="20"/>
          <w:szCs w:val="20"/>
        </w:rPr>
        <w:t>t to the Revolving Credit Agreement to expand our aggregate borrowing capacity from $25.0 million to $40.0 million. The 2022 amendment also replaced the previous Eurodollar Rate (as defined in the Revolving Credit Agreement) with a SOFR-based interest rate</w:t>
      </w:r>
      <w:r>
        <w:rPr>
          <w:rFonts w:eastAsia="Times New Roman"/>
          <w:color w:val="000000"/>
          <w:sz w:val="20"/>
          <w:szCs w:val="20"/>
        </w:rPr>
        <w:t xml:space="preserve"> and modified the Applicable Rate definition in the Revolving Credit Agreement to increase the Applicable Rate payable on SOFR-based loans to 2.50%. On February 24, 2023, we entered into an additional amendment to the Revolving Credit Agreement that furthe</w:t>
      </w:r>
      <w:r>
        <w:rPr>
          <w:rFonts w:eastAsia="Times New Roman"/>
          <w:color w:val="000000"/>
          <w:sz w:val="20"/>
          <w:szCs w:val="20"/>
        </w:rPr>
        <w:t>r increased the Applicable Rate payable on SOFR-based loans to 3.50%.</w:t>
      </w:r>
    </w:p>
    <w:p w:rsidR="00000000" w:rsidRDefault="00971A12">
      <w:pPr>
        <w:jc w:val="both"/>
        <w:divId w:val="92677908"/>
        <w:rPr>
          <w:rFonts w:eastAsia="Times New Roman"/>
        </w:rPr>
      </w:pPr>
      <w:r>
        <w:rPr>
          <w:rFonts w:eastAsia="Times New Roman"/>
          <w:color w:val="000000"/>
          <w:sz w:val="20"/>
          <w:szCs w:val="20"/>
        </w:rPr>
        <w:t>The amount we are able to borrow under the Revolving Credit Agreement is subject to compliance with the financial covenants, satisfaction of various conditions precedent to borrowing and</w:t>
      </w:r>
      <w:r>
        <w:rPr>
          <w:rFonts w:eastAsia="Times New Roman"/>
          <w:color w:val="000000"/>
          <w:sz w:val="20"/>
          <w:szCs w:val="20"/>
        </w:rPr>
        <w:t xml:space="preserve"> other provisions of the Revolving Credit Agreement. Notably, the Revolving Credit Agreement (as amended) contains financial covenants that require us to maintain a minimum Consolidated Asset Coverage Ratio and minimum Liquidity through maturity, minimum C</w:t>
      </w:r>
      <w:r>
        <w:rPr>
          <w:rFonts w:eastAsia="Times New Roman"/>
          <w:color w:val="000000"/>
          <w:sz w:val="20"/>
          <w:szCs w:val="20"/>
        </w:rPr>
        <w:t>onsolidated EBITDA for periods through December 31, 2023, and a minimum Consolidated Fixed Charge Coverage Ratio for periods after December 31, 2023 (each term as defined in the Revolving Credit Agreement). As of December 31, 2022, we were in compliance wi</w:t>
      </w:r>
      <w:r>
        <w:rPr>
          <w:rFonts w:eastAsia="Times New Roman"/>
          <w:color w:val="000000"/>
          <w:sz w:val="20"/>
          <w:szCs w:val="20"/>
        </w:rPr>
        <w:t xml:space="preserve">th our covenants under the Revolving Credit Agreement, and based on our current plans, we do not anticipate a breach of these covenants that would result in an event of default under the Revolving Credit Agreement. </w:t>
      </w:r>
    </w:p>
    <w:p w:rsidR="00000000" w:rsidRDefault="00971A12">
      <w:pPr>
        <w:jc w:val="both"/>
        <w:divId w:val="1201480526"/>
        <w:rPr>
          <w:rFonts w:eastAsia="Times New Roman"/>
        </w:rPr>
      </w:pPr>
      <w:r>
        <w:rPr>
          <w:rFonts w:eastAsia="Times New Roman"/>
          <w:color w:val="000000"/>
          <w:sz w:val="20"/>
          <w:szCs w:val="20"/>
        </w:rPr>
        <w:t>As of December 31, 2022, we had outstand</w:t>
      </w:r>
      <w:r>
        <w:rPr>
          <w:rFonts w:eastAsia="Times New Roman"/>
          <w:color w:val="000000"/>
          <w:sz w:val="20"/>
          <w:szCs w:val="20"/>
        </w:rPr>
        <w:t>ing borrowings of $16.0 million and outstanding letters of credit totaling $3.4 million under the Revolving Credit Agreement, leaving a remaining borrowing capacity of $20.6 million. The borrowed funds were used to reduce our accounts payable balances, pri</w:t>
      </w:r>
      <w:r>
        <w:rPr>
          <w:rFonts w:eastAsia="Times New Roman"/>
          <w:color w:val="000000"/>
          <w:sz w:val="20"/>
          <w:szCs w:val="20"/>
        </w:rPr>
        <w:t>marily related to expenses incurred in prior periods, and support our working capital position. While we continue to take steps to reduce our outstanding trade payables and improve our working capital position, our liquidity could be negatively affected if</w:t>
      </w:r>
      <w:r>
        <w:rPr>
          <w:rFonts w:eastAsia="Times New Roman"/>
          <w:color w:val="000000"/>
          <w:sz w:val="20"/>
          <w:szCs w:val="20"/>
        </w:rPr>
        <w:t xml:space="preserve"> we are unable to generate sufficient cash from operations to satisfy outstanding payables and meet our other financial obligations as they come due. Our liquidity could also be negatively affected if we are unable to repay or refinance our outstanding bor</w:t>
      </w:r>
      <w:r>
        <w:rPr>
          <w:rFonts w:eastAsia="Times New Roman"/>
          <w:color w:val="000000"/>
          <w:sz w:val="20"/>
          <w:szCs w:val="20"/>
        </w:rPr>
        <w:t>rowings under the Revolving Credit Agreement upon its maturity in 2024.</w:t>
      </w:r>
    </w:p>
    <w:p w:rsidR="00000000" w:rsidRDefault="00971A12">
      <w:pPr>
        <w:divId w:val="2131630147"/>
        <w:rPr>
          <w:rFonts w:eastAsia="Times New Roman"/>
        </w:rPr>
      </w:pPr>
      <w:r>
        <w:rPr>
          <w:rFonts w:eastAsia="Times New Roman"/>
          <w:color w:val="000000"/>
          <w:sz w:val="20"/>
          <w:szCs w:val="20"/>
        </w:rPr>
        <w:t xml:space="preserve">For additional information on the Revolving Credit Agreement, refer to </w:t>
      </w:r>
      <w:hyperlink w:anchor="i0047531bd13046b986557e31951e34f8_124"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rsidR="00000000" w:rsidRDefault="00971A12">
      <w:pPr>
        <w:divId w:val="1136803074"/>
        <w:rPr>
          <w:rFonts w:eastAsia="Times New Roman"/>
        </w:rPr>
      </w:pPr>
      <w:r>
        <w:rPr>
          <w:rFonts w:eastAsia="Times New Roman"/>
          <w:color w:val="000000"/>
          <w:sz w:val="20"/>
          <w:szCs w:val="20"/>
          <w:u w:val="single"/>
        </w:rPr>
        <w:t>Sale of Common Stock and Warrants</w:t>
      </w:r>
    </w:p>
    <w:p w:rsidR="00000000" w:rsidRDefault="00971A12">
      <w:pPr>
        <w:jc w:val="both"/>
        <w:divId w:val="315576281"/>
        <w:rPr>
          <w:rFonts w:eastAsia="Times New Roman"/>
        </w:rPr>
      </w:pPr>
      <w:r>
        <w:rPr>
          <w:rFonts w:eastAsia="Times New Roman"/>
          <w:color w:val="000000"/>
          <w:sz w:val="20"/>
          <w:szCs w:val="20"/>
        </w:rPr>
        <w:t>O</w:t>
      </w:r>
      <w:r>
        <w:rPr>
          <w:rFonts w:eastAsia="Times New Roman"/>
          <w:color w:val="000000"/>
          <w:sz w:val="20"/>
          <w:szCs w:val="20"/>
        </w:rPr>
        <w:t>n June 23, 2019, we entered into a Securities Purchase Agreement with CVI Investments, Inc. ("CVI") pursuant to which we sold to CVI for aggregate gross proceeds of $20.0 million (i) 2,728,513 shares of Common Stock and (ii) Series A Warrants, Series B-1 W</w:t>
      </w:r>
      <w:r>
        <w:rPr>
          <w:rFonts w:eastAsia="Times New Roman"/>
          <w:color w:val="000000"/>
          <w:sz w:val="20"/>
          <w:szCs w:val="20"/>
        </w:rPr>
        <w:t>arrants, Series B-2 Warrants and Series C Warrants to initially purchase up to 11,654,033 shares of Common Stock (the "Private Placement"). On October 14, 2019, we issued 2,728,513 shares of Common Stock to CVI upon exercise by CVI of the Series C Warrants</w:t>
      </w:r>
      <w:r>
        <w:rPr>
          <w:rFonts w:eastAsia="Times New Roman"/>
          <w:color w:val="000000"/>
          <w:sz w:val="20"/>
          <w:szCs w:val="20"/>
        </w:rPr>
        <w:t>. As a result of this exercise, the number of shares issuable under our Series A Warrants was increased by 2,728,513. On January 29, 2020, the Series B-1 Warrants expired unexercised. On August 3, 2020, the Series B-2 Warrants expired unexercised.</w:t>
      </w:r>
    </w:p>
    <w:p w:rsidR="00000000" w:rsidRDefault="00971A12">
      <w:pPr>
        <w:jc w:val="both"/>
        <w:divId w:val="1489439842"/>
        <w:rPr>
          <w:rFonts w:eastAsia="Times New Roman"/>
        </w:rPr>
      </w:pPr>
      <w:r>
        <w:rPr>
          <w:rFonts w:eastAsia="Times New Roman"/>
          <w:color w:val="000000"/>
          <w:sz w:val="20"/>
          <w:szCs w:val="20"/>
        </w:rPr>
        <w:t>For addi</w:t>
      </w:r>
      <w:r>
        <w:rPr>
          <w:rFonts w:eastAsia="Times New Roman"/>
          <w:color w:val="000000"/>
          <w:sz w:val="20"/>
          <w:szCs w:val="20"/>
        </w:rPr>
        <w:t>tional information on the Private Placement and the 2021 adjustment to the exercise price of our Series A Warrants in connection with the Preferred Stock issuance (which adjustment could reduce the cash proceeds we receive upon exercise of the Series A War</w:t>
      </w:r>
      <w:r>
        <w:rPr>
          <w:rFonts w:eastAsia="Times New Roman"/>
          <w:color w:val="000000"/>
          <w:sz w:val="20"/>
          <w:szCs w:val="20"/>
        </w:rPr>
        <w:t xml:space="preserve">rants), refer to </w:t>
      </w:r>
      <w:hyperlink w:anchor="i0047531bd13046b986557e31951e34f8_115"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xml:space="preserve">. </w:t>
      </w:r>
    </w:p>
    <w:p w:rsidR="00000000" w:rsidRDefault="00971A12">
      <w:pPr>
        <w:jc w:val="both"/>
        <w:divId w:val="538780741"/>
        <w:rPr>
          <w:rFonts w:eastAsia="Times New Roman"/>
        </w:rPr>
      </w:pPr>
      <w:r>
        <w:rPr>
          <w:rFonts w:eastAsia="Times New Roman"/>
          <w:color w:val="000000"/>
          <w:sz w:val="20"/>
          <w:szCs w:val="20"/>
          <w:u w:val="single"/>
        </w:rPr>
        <w:t>Restricted Cash</w:t>
      </w:r>
    </w:p>
    <w:p w:rsidR="00000000" w:rsidRDefault="00971A12">
      <w:pPr>
        <w:jc w:val="both"/>
        <w:divId w:val="1882210190"/>
        <w:rPr>
          <w:rFonts w:eastAsia="Times New Roman"/>
        </w:rPr>
      </w:pPr>
      <w:r>
        <w:rPr>
          <w:rFonts w:eastAsia="Times New Roman"/>
          <w:color w:val="000000"/>
          <w:sz w:val="20"/>
          <w:szCs w:val="20"/>
        </w:rPr>
        <w:t>Restricted cash represents security deposits for subleased office space. As of Decemb</w:t>
      </w:r>
      <w:r>
        <w:rPr>
          <w:rFonts w:eastAsia="Times New Roman"/>
          <w:color w:val="000000"/>
          <w:sz w:val="20"/>
          <w:szCs w:val="20"/>
        </w:rPr>
        <w:t>er 31, 2022 and 2021, we had $0.4 million of restricted cash. Repayment of the Secured Term Note in 2021 resulted in the termination of the collateralization requirement thereunder, and no cash was restricted relating to the Secured Term Note as of Decembe</w:t>
      </w:r>
      <w:r>
        <w:rPr>
          <w:rFonts w:eastAsia="Times New Roman"/>
          <w:color w:val="000000"/>
          <w:sz w:val="20"/>
          <w:szCs w:val="20"/>
        </w:rPr>
        <w:t>r 31, 2022. We also transferred outstanding letters of credit totaling $3.4 million under the Revolving Credit Agreement, which further reduced our restricted cash balance as this facility does not require letters of credit to be cash collateralized.</w:t>
      </w:r>
    </w:p>
    <w:p w:rsidR="00000000" w:rsidRDefault="00971A12">
      <w:pPr>
        <w:jc w:val="both"/>
        <w:divId w:val="1382707157"/>
        <w:rPr>
          <w:rFonts w:eastAsia="Times New Roman"/>
        </w:rPr>
      </w:pPr>
      <w:r>
        <w:rPr>
          <w:rFonts w:eastAsia="Times New Roman"/>
          <w:b/>
          <w:bCs/>
          <w:i/>
          <w:iCs/>
          <w:color w:val="000000"/>
          <w:sz w:val="20"/>
          <w:szCs w:val="20"/>
        </w:rPr>
        <w:t>Operating Activities</w:t>
      </w:r>
    </w:p>
    <w:p w:rsidR="00000000" w:rsidRDefault="00971A12">
      <w:pPr>
        <w:jc w:val="both"/>
        <w:divId w:val="1867256958"/>
        <w:rPr>
          <w:rFonts w:eastAsia="Times New Roman"/>
        </w:rPr>
      </w:pPr>
      <w:r>
        <w:rPr>
          <w:rFonts w:eastAsia="Times New Roman"/>
          <w:color w:val="000000"/>
          <w:sz w:val="20"/>
          <w:szCs w:val="20"/>
        </w:rPr>
        <w:t>Our primary source of cash provided by operating activities is revenues generated from sales of our products and services. Our primary uses of cash from operating activities include personnel costs and costs related to data and infrast</w:t>
      </w:r>
      <w:r>
        <w:rPr>
          <w:rFonts w:eastAsia="Times New Roman"/>
          <w:color w:val="000000"/>
          <w:sz w:val="20"/>
          <w:szCs w:val="20"/>
        </w:rPr>
        <w:t>ructure used to develop and maintain our products and services.</w:t>
      </w:r>
    </w:p>
    <w:p w:rsidR="00000000" w:rsidRDefault="00971A12">
      <w:pPr>
        <w:jc w:val="center"/>
        <w:divId w:val="916744721"/>
        <w:rPr>
          <w:rFonts w:eastAsia="Times New Roman"/>
        </w:rPr>
      </w:pPr>
      <w:r>
        <w:rPr>
          <w:rFonts w:eastAsia="Times New Roman"/>
          <w:color w:val="000000"/>
          <w:sz w:val="20"/>
          <w:szCs w:val="20"/>
        </w:rPr>
        <w:t>39</w:t>
      </w:r>
    </w:p>
    <w:p w:rsidR="00000000" w:rsidRDefault="00971A12">
      <w:pPr>
        <w:rPr>
          <w:rFonts w:eastAsia="Times New Roman"/>
        </w:rPr>
      </w:pPr>
      <w:r>
        <w:rPr>
          <w:rFonts w:eastAsia="Times New Roman"/>
        </w:rPr>
        <w:pict>
          <v:rect id="_x0000_i1067" style="width:0;height:1.5pt" o:hralign="center" o:hrstd="t" o:hr="t" fillcolor="#a0a0a0" stroked="f"/>
        </w:pict>
      </w:r>
    </w:p>
    <w:p w:rsidR="00000000" w:rsidRDefault="00971A12">
      <w:pPr>
        <w:divId w:val="24673164"/>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150250866"/>
        <w:rPr>
          <w:rFonts w:eastAsia="Times New Roman"/>
        </w:rPr>
      </w:pPr>
    </w:p>
    <w:p w:rsidR="00000000" w:rsidRDefault="00971A12">
      <w:pPr>
        <w:jc w:val="both"/>
        <w:divId w:val="1410691698"/>
        <w:rPr>
          <w:rFonts w:eastAsia="Times New Roman"/>
        </w:rPr>
      </w:pPr>
      <w:r>
        <w:rPr>
          <w:rFonts w:eastAsia="Times New Roman"/>
          <w:color w:val="000000"/>
          <w:sz w:val="20"/>
          <w:szCs w:val="20"/>
        </w:rPr>
        <w:t>Cash provided by operating activities is calculated by adjusting our net loss for changes in working capital, as well as by excluding non-cash items such as: depreciation, non-cash operating l</w:t>
      </w:r>
      <w:r>
        <w:rPr>
          <w:rFonts w:eastAsia="Times New Roman"/>
          <w:color w:val="000000"/>
          <w:sz w:val="20"/>
          <w:szCs w:val="20"/>
        </w:rPr>
        <w:t>ease expense, amortization expense of finance leases and intangible assets, impairment of right-of-use assets and goodwill, stock-based compensation, deferred tax provision, change in the fair value of financing derivatives, warrants liability and equity s</w:t>
      </w:r>
      <w:r>
        <w:rPr>
          <w:rFonts w:eastAsia="Times New Roman"/>
          <w:color w:val="000000"/>
          <w:sz w:val="20"/>
          <w:szCs w:val="20"/>
        </w:rPr>
        <w:t>ecurities, loss on extinguishment of debt, non-cash interest expense on the Notes, accretion of debt discount, and amortization of deferred financing costs.</w:t>
      </w:r>
    </w:p>
    <w:p w:rsidR="00000000" w:rsidRDefault="00971A12">
      <w:pPr>
        <w:jc w:val="both"/>
        <w:divId w:val="857082517"/>
        <w:rPr>
          <w:rFonts w:eastAsia="Times New Roman"/>
        </w:rPr>
      </w:pPr>
      <w:r>
        <w:rPr>
          <w:rFonts w:eastAsia="Times New Roman"/>
          <w:color w:val="000000"/>
          <w:sz w:val="20"/>
          <w:szCs w:val="20"/>
        </w:rPr>
        <w:t>Net cash provided by operating activities in 2022 was $34.9 million compared to $9.9 million in 202</w:t>
      </w:r>
      <w:r>
        <w:rPr>
          <w:rFonts w:eastAsia="Times New Roman"/>
          <w:color w:val="000000"/>
          <w:sz w:val="20"/>
          <w:szCs w:val="20"/>
        </w:rPr>
        <w:t>1. The increase in cash provided by operating activities was primarily reflective of higher revenues, shorter billing cycles, and improved cash collections during 2022 as compared to 2021. These increases were partially offset by payments of $4.6 million r</w:t>
      </w:r>
      <w:r>
        <w:rPr>
          <w:rFonts w:eastAsia="Times New Roman"/>
          <w:color w:val="000000"/>
          <w:sz w:val="20"/>
          <w:szCs w:val="20"/>
        </w:rPr>
        <w:t>elated to our organizational restructuring during 2022.</w:t>
      </w:r>
    </w:p>
    <w:p w:rsidR="00000000" w:rsidRDefault="00971A12">
      <w:pPr>
        <w:jc w:val="both"/>
        <w:divId w:val="292029301"/>
        <w:rPr>
          <w:rFonts w:eastAsia="Times New Roman"/>
        </w:rPr>
      </w:pPr>
      <w:r>
        <w:rPr>
          <w:rFonts w:eastAsia="Times New Roman"/>
          <w:color w:val="000000"/>
          <w:sz w:val="20"/>
          <w:szCs w:val="20"/>
        </w:rPr>
        <w:t>Net cash provided by operating activities in 2021 was $9.9 million compared to $0.7 million in 2020. The increase in cash provided by operating activities was primarily attributable to a decrease in t</w:t>
      </w:r>
      <w:r>
        <w:rPr>
          <w:rFonts w:eastAsia="Times New Roman"/>
          <w:color w:val="000000"/>
          <w:sz w:val="20"/>
          <w:szCs w:val="20"/>
        </w:rPr>
        <w:t>he cash interest paid on the Notes in 2021 of $21.4 million compared to 2020 (interest of $10.8 million on the Notes was paid in shares of Common Stock in 2021). Offsetting the reduction in cash interest paid was a net decrease in operating assets and liab</w:t>
      </w:r>
      <w:r>
        <w:rPr>
          <w:rFonts w:eastAsia="Times New Roman"/>
          <w:color w:val="000000"/>
          <w:sz w:val="20"/>
          <w:szCs w:val="20"/>
        </w:rPr>
        <w:t>ilities of $23.8 million for 2021 compared to $20.3 million for 2020. The decrease in operating assets and liabilities was primarily due to decreases in our accounts payable and accrued expense balances in 2021 as we paid invoices related to expenses incur</w:t>
      </w:r>
      <w:r>
        <w:rPr>
          <w:rFonts w:eastAsia="Times New Roman"/>
          <w:color w:val="000000"/>
          <w:sz w:val="20"/>
          <w:szCs w:val="20"/>
        </w:rPr>
        <w:t>red in prior periods.</w:t>
      </w:r>
    </w:p>
    <w:p w:rsidR="00000000" w:rsidRDefault="00971A12">
      <w:pPr>
        <w:jc w:val="both"/>
        <w:divId w:val="942035528"/>
        <w:rPr>
          <w:rFonts w:eastAsia="Times New Roman"/>
        </w:rPr>
      </w:pPr>
      <w:r>
        <w:rPr>
          <w:rFonts w:eastAsia="Times New Roman"/>
          <w:b/>
          <w:bCs/>
          <w:i/>
          <w:iCs/>
          <w:color w:val="000000"/>
          <w:sz w:val="20"/>
          <w:szCs w:val="20"/>
        </w:rPr>
        <w:t>Investing Activities</w:t>
      </w:r>
    </w:p>
    <w:p w:rsidR="00000000" w:rsidRDefault="00971A12">
      <w:pPr>
        <w:jc w:val="both"/>
        <w:divId w:val="571427764"/>
        <w:rPr>
          <w:rFonts w:eastAsia="Times New Roman"/>
        </w:rPr>
      </w:pPr>
      <w:r>
        <w:rPr>
          <w:rFonts w:eastAsia="Times New Roman"/>
          <w:color w:val="000000"/>
          <w:sz w:val="20"/>
          <w:szCs w:val="20"/>
        </w:rPr>
        <w:t>Cash used in investing activities primarily consists of payments related to capitalized internal-use software costs, purchases of computer and network equipment to support our technical infrastructure, and furnitu</w:t>
      </w:r>
      <w:r>
        <w:rPr>
          <w:rFonts w:eastAsia="Times New Roman"/>
          <w:color w:val="000000"/>
          <w:sz w:val="20"/>
          <w:szCs w:val="20"/>
        </w:rPr>
        <w:t>re and equipment. The extent of these investments will be affected by our ability to expand relationships with existing customers, grow our customer base and introduce new digital formats, as well as constraints on cash expenditures due to our financial po</w:t>
      </w:r>
      <w:r>
        <w:rPr>
          <w:rFonts w:eastAsia="Times New Roman"/>
          <w:color w:val="000000"/>
          <w:sz w:val="20"/>
          <w:szCs w:val="20"/>
        </w:rPr>
        <w:t>sition and the current economic environment.</w:t>
      </w:r>
    </w:p>
    <w:p w:rsidR="00000000" w:rsidRDefault="00971A12">
      <w:pPr>
        <w:jc w:val="both"/>
        <w:divId w:val="1331757765"/>
        <w:rPr>
          <w:rFonts w:eastAsia="Times New Roman"/>
        </w:rPr>
      </w:pPr>
      <w:r>
        <w:rPr>
          <w:rFonts w:eastAsia="Times New Roman"/>
          <w:color w:val="000000"/>
          <w:sz w:val="20"/>
          <w:szCs w:val="20"/>
        </w:rPr>
        <w:t xml:space="preserve">Net cash used in investing activities in 2022 was $17.8 million compared to $14.6 million in 2021. The increase in cash used in investing activities was primarily due to an increase in cash paid for capitalized </w:t>
      </w:r>
      <w:r>
        <w:rPr>
          <w:rFonts w:eastAsia="Times New Roman"/>
          <w:color w:val="000000"/>
          <w:sz w:val="20"/>
          <w:szCs w:val="20"/>
        </w:rPr>
        <w:t>internally developed software offset by cash acquired from our 2021 acquisition of Shareablee.</w:t>
      </w:r>
    </w:p>
    <w:p w:rsidR="00000000" w:rsidRDefault="00971A12">
      <w:pPr>
        <w:jc w:val="both"/>
        <w:divId w:val="919751430"/>
        <w:rPr>
          <w:rFonts w:eastAsia="Times New Roman"/>
        </w:rPr>
      </w:pPr>
      <w:r>
        <w:rPr>
          <w:rFonts w:eastAsia="Times New Roman"/>
          <w:color w:val="000000"/>
          <w:sz w:val="20"/>
          <w:szCs w:val="20"/>
        </w:rPr>
        <w:t>Net cash used in investing activities in 2021 was $14.6 million compared to $15.6 million in 2020. The decrease in cash used in investing activities was primaril</w:t>
      </w:r>
      <w:r>
        <w:rPr>
          <w:rFonts w:eastAsia="Times New Roman"/>
          <w:color w:val="000000"/>
          <w:sz w:val="20"/>
          <w:szCs w:val="20"/>
        </w:rPr>
        <w:t>y due to net cash received as part of the Shareablee acquisition in 2021.</w:t>
      </w:r>
    </w:p>
    <w:p w:rsidR="00000000" w:rsidRDefault="00971A12">
      <w:pPr>
        <w:jc w:val="both"/>
        <w:divId w:val="822358074"/>
        <w:rPr>
          <w:rFonts w:eastAsia="Times New Roman"/>
        </w:rPr>
      </w:pPr>
      <w:r>
        <w:rPr>
          <w:rFonts w:eastAsia="Times New Roman"/>
          <w:b/>
          <w:bCs/>
          <w:i/>
          <w:iCs/>
          <w:color w:val="000000"/>
          <w:sz w:val="20"/>
          <w:szCs w:val="20"/>
        </w:rPr>
        <w:t>Financing Activities</w:t>
      </w:r>
    </w:p>
    <w:p w:rsidR="00000000" w:rsidRDefault="00971A12">
      <w:pPr>
        <w:jc w:val="both"/>
        <w:divId w:val="855845120"/>
        <w:rPr>
          <w:rFonts w:eastAsia="Times New Roman"/>
        </w:rPr>
      </w:pPr>
      <w:r>
        <w:rPr>
          <w:rFonts w:eastAsia="Times New Roman"/>
          <w:color w:val="000000"/>
          <w:sz w:val="20"/>
          <w:szCs w:val="20"/>
        </w:rPr>
        <w:t>Net cash used in financing activities in 2022 was $18.1 million compared to $22.5 million in 2021. The decrease in cash used for financing activities was primari</w:t>
      </w:r>
      <w:r>
        <w:rPr>
          <w:rFonts w:eastAsia="Times New Roman"/>
          <w:color w:val="000000"/>
          <w:sz w:val="20"/>
          <w:szCs w:val="20"/>
        </w:rPr>
        <w:t xml:space="preserve">ly due to repayment of the Notes and the Secured Term Note in 2021, which outflows were partially offset by cash proceeds received from the issuance of the Preferred Stock (net of related transaction costs) in the same year. These decreases were partially </w:t>
      </w:r>
      <w:r>
        <w:rPr>
          <w:rFonts w:eastAsia="Times New Roman"/>
          <w:color w:val="000000"/>
          <w:sz w:val="20"/>
          <w:szCs w:val="20"/>
        </w:rPr>
        <w:t>offset by a net increase of $10.8 million in cash dividends paid to holders of the Preferred Stock in 2022, reflecting a full annual dividend period, as compared to 2021, which included only a partial dividend period.</w:t>
      </w:r>
    </w:p>
    <w:p w:rsidR="00000000" w:rsidRDefault="00971A12">
      <w:pPr>
        <w:jc w:val="both"/>
        <w:divId w:val="2142112896"/>
        <w:rPr>
          <w:rFonts w:eastAsia="Times New Roman"/>
        </w:rPr>
      </w:pPr>
      <w:r>
        <w:rPr>
          <w:rFonts w:eastAsia="Times New Roman"/>
          <w:color w:val="000000"/>
          <w:sz w:val="20"/>
          <w:szCs w:val="20"/>
        </w:rPr>
        <w:t xml:space="preserve">Net cash used in financing activities </w:t>
      </w:r>
      <w:r>
        <w:rPr>
          <w:rFonts w:eastAsia="Times New Roman"/>
          <w:color w:val="000000"/>
          <w:sz w:val="20"/>
          <w:szCs w:val="20"/>
        </w:rPr>
        <w:t>in 2021 was $22.5 million compared to $2.1 million in 2020. The increase in cash used in financing activities was primarily due to the repayment of the Notes and the Secured Term Note and payment of $4.8 million in cash dividends to the holders of the Pref</w:t>
      </w:r>
      <w:r>
        <w:rPr>
          <w:rFonts w:eastAsia="Times New Roman"/>
          <w:color w:val="000000"/>
          <w:sz w:val="20"/>
          <w:szCs w:val="20"/>
        </w:rPr>
        <w:t xml:space="preserve">erred Stock in 2021. These increases in cash used were partially offset by cash proceeds of $204.0 million from the issuance of the Preferred Stock (net of $16.1 million in related transaction costs) and cash proceeds of $16.0 million from borrowing under </w:t>
      </w:r>
      <w:r>
        <w:rPr>
          <w:rFonts w:eastAsia="Times New Roman"/>
          <w:color w:val="000000"/>
          <w:sz w:val="20"/>
          <w:szCs w:val="20"/>
        </w:rPr>
        <w:t>the Revolving Credit Agreement.</w:t>
      </w:r>
    </w:p>
    <w:p w:rsidR="00000000" w:rsidRDefault="00971A12">
      <w:pPr>
        <w:jc w:val="both"/>
        <w:divId w:val="576745813"/>
        <w:rPr>
          <w:rFonts w:eastAsia="Times New Roman"/>
        </w:rPr>
      </w:pPr>
      <w:r>
        <w:rPr>
          <w:rFonts w:eastAsia="Times New Roman"/>
          <w:b/>
          <w:bCs/>
          <w:i/>
          <w:iCs/>
          <w:color w:val="000000"/>
          <w:sz w:val="20"/>
          <w:szCs w:val="20"/>
        </w:rPr>
        <w:t>Contractual Payment Obligations</w:t>
      </w:r>
    </w:p>
    <w:p w:rsidR="00000000" w:rsidRDefault="00971A12">
      <w:pPr>
        <w:jc w:val="both"/>
        <w:divId w:val="1824544465"/>
        <w:rPr>
          <w:rFonts w:eastAsia="Times New Roman"/>
        </w:rPr>
      </w:pPr>
      <w:r>
        <w:rPr>
          <w:rFonts w:eastAsia="Times New Roman"/>
          <w:color w:val="000000"/>
          <w:sz w:val="20"/>
          <w:szCs w:val="20"/>
        </w:rPr>
        <w:t>We have certain long-term contractual arrangements that have fixed and determinable payment obligations including unconditional purchase obligations with MVPDs and connected (Smart) TV data pr</w:t>
      </w:r>
      <w:r>
        <w:rPr>
          <w:rFonts w:eastAsia="Times New Roman"/>
          <w:color w:val="000000"/>
          <w:sz w:val="20"/>
          <w:szCs w:val="20"/>
        </w:rPr>
        <w:t xml:space="preserve">oviders, operating and financing leases, and data storage and bandwidth arrangements. </w:t>
      </w:r>
    </w:p>
    <w:p w:rsidR="00000000" w:rsidRDefault="00971A12">
      <w:pPr>
        <w:jc w:val="both"/>
        <w:divId w:val="598954859"/>
        <w:rPr>
          <w:rFonts w:eastAsia="Times New Roman"/>
        </w:rPr>
      </w:pPr>
      <w:r>
        <w:rPr>
          <w:rFonts w:eastAsia="Times New Roman"/>
          <w:color w:val="000000"/>
          <w:sz w:val="20"/>
          <w:szCs w:val="20"/>
        </w:rPr>
        <w:t>We have data licensing agreements with a number of MVPDs and other providers for set-top box and connected TV data. These agreements have remaining terms from one to eig</w:t>
      </w:r>
      <w:r>
        <w:rPr>
          <w:rFonts w:eastAsia="Times New Roman"/>
          <w:color w:val="000000"/>
          <w:sz w:val="20"/>
          <w:szCs w:val="20"/>
        </w:rPr>
        <w:t>ht years. As of December 31, 2022, the total fixed payment obligations related to set-top box and connected TV data agreements are $299.7 million and $8.3 million, respectively. In addition, we expect to make variable payments related to a set-top box data</w:t>
      </w:r>
      <w:r>
        <w:rPr>
          <w:rFonts w:eastAsia="Times New Roman"/>
          <w:color w:val="000000"/>
          <w:sz w:val="20"/>
          <w:szCs w:val="20"/>
        </w:rPr>
        <w:t xml:space="preserve"> agreement totaling an estimated $8.8 million by the end of 2023. </w:t>
      </w:r>
    </w:p>
    <w:p w:rsidR="00000000" w:rsidRDefault="00971A12">
      <w:pPr>
        <w:jc w:val="both"/>
        <w:divId w:val="1454639881"/>
        <w:rPr>
          <w:rFonts w:eastAsia="Times New Roman"/>
        </w:rPr>
      </w:pPr>
      <w:r>
        <w:rPr>
          <w:rFonts w:eastAsia="Times New Roman"/>
          <w:color w:val="000000"/>
          <w:sz w:val="20"/>
          <w:szCs w:val="20"/>
        </w:rPr>
        <w:t>We have both operating and financing leases related to corporate office space and equipment. Our leases have remaining terms from one to five years. As of December 31, 2022, the total fixed</w:t>
      </w:r>
      <w:r>
        <w:rPr>
          <w:rFonts w:eastAsia="Times New Roman"/>
          <w:color w:val="000000"/>
          <w:sz w:val="20"/>
          <w:szCs w:val="20"/>
        </w:rPr>
        <w:t xml:space="preserve"> payment obligation related to these agreements is $50.0 million.</w:t>
      </w:r>
    </w:p>
    <w:p w:rsidR="00000000" w:rsidRDefault="00971A12">
      <w:pPr>
        <w:jc w:val="both"/>
        <w:divId w:val="1590307468"/>
        <w:rPr>
          <w:rFonts w:eastAsia="Times New Roman"/>
        </w:rPr>
      </w:pPr>
      <w:r>
        <w:rPr>
          <w:rFonts w:eastAsia="Times New Roman"/>
          <w:color w:val="000000"/>
          <w:sz w:val="20"/>
          <w:szCs w:val="20"/>
        </w:rPr>
        <w:t>We have an agreement for cloud-based data storage and bandwidth to help process and store our data. The remaining term for this agreement is one year. As of December 31, 2022, the total fixe</w:t>
      </w:r>
      <w:r>
        <w:rPr>
          <w:rFonts w:eastAsia="Times New Roman"/>
          <w:color w:val="000000"/>
          <w:sz w:val="20"/>
          <w:szCs w:val="20"/>
        </w:rPr>
        <w:t xml:space="preserve">d payment obligation related to this agreement is $9.6 million. </w:t>
      </w:r>
    </w:p>
    <w:p w:rsidR="00000000" w:rsidRDefault="00971A12">
      <w:pPr>
        <w:jc w:val="both"/>
        <w:divId w:val="1197812589"/>
        <w:rPr>
          <w:rFonts w:eastAsia="Times New Roman"/>
        </w:rPr>
      </w:pPr>
      <w:r>
        <w:rPr>
          <w:rFonts w:eastAsia="Times New Roman"/>
          <w:b/>
          <w:bCs/>
          <w:i/>
          <w:iCs/>
          <w:color w:val="000000"/>
          <w:sz w:val="20"/>
          <w:szCs w:val="20"/>
        </w:rPr>
        <w:t>Future Capital Requirements</w:t>
      </w:r>
    </w:p>
    <w:p w:rsidR="00000000" w:rsidRDefault="00971A12">
      <w:pPr>
        <w:jc w:val="both"/>
        <w:divId w:val="301542525"/>
        <w:rPr>
          <w:rFonts w:eastAsia="Times New Roman"/>
        </w:rPr>
      </w:pPr>
      <w:r>
        <w:rPr>
          <w:rFonts w:eastAsia="Times New Roman"/>
          <w:color w:val="000000"/>
          <w:sz w:val="20"/>
          <w:szCs w:val="20"/>
        </w:rPr>
        <w:t>Our ability to generate cash is subject to our performance, general economic conditions, industry trends and other factors, including the timing of cash collections from our customers, data costs and other trade payables, service of our debt and lease faci</w:t>
      </w:r>
      <w:r>
        <w:rPr>
          <w:rFonts w:eastAsia="Times New Roman"/>
          <w:color w:val="000000"/>
          <w:sz w:val="20"/>
          <w:szCs w:val="20"/>
        </w:rPr>
        <w:t xml:space="preserve">lities and dividend payment obligations, and expenses from ongoing compliance efforts and legal matters. To the extent that our existing cash, cash equivalents and </w:t>
      </w:r>
    </w:p>
    <w:p w:rsidR="00000000" w:rsidRDefault="00971A12">
      <w:pPr>
        <w:jc w:val="center"/>
        <w:divId w:val="1381321049"/>
        <w:rPr>
          <w:rFonts w:eastAsia="Times New Roman"/>
        </w:rPr>
      </w:pPr>
      <w:r>
        <w:rPr>
          <w:rFonts w:eastAsia="Times New Roman"/>
          <w:color w:val="000000"/>
          <w:sz w:val="20"/>
          <w:szCs w:val="20"/>
        </w:rPr>
        <w:t>40</w:t>
      </w:r>
    </w:p>
    <w:p w:rsidR="00000000" w:rsidRDefault="00971A12">
      <w:pPr>
        <w:rPr>
          <w:rFonts w:eastAsia="Times New Roman"/>
        </w:rPr>
      </w:pPr>
      <w:r>
        <w:rPr>
          <w:rFonts w:eastAsia="Times New Roman"/>
        </w:rPr>
        <w:pict>
          <v:rect id="_x0000_i1068" style="width:0;height:1.5pt" o:hralign="center" o:hrstd="t" o:hr="t" fillcolor="#a0a0a0" stroked="f"/>
        </w:pict>
      </w:r>
    </w:p>
    <w:p w:rsidR="00000000" w:rsidRDefault="00971A12">
      <w:pPr>
        <w:divId w:val="54624066"/>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635137192"/>
        <w:rPr>
          <w:rFonts w:eastAsia="Times New Roman"/>
        </w:rPr>
      </w:pPr>
    </w:p>
    <w:p w:rsidR="00000000" w:rsidRDefault="00971A12">
      <w:pPr>
        <w:jc w:val="both"/>
        <w:divId w:val="1369376015"/>
        <w:rPr>
          <w:rFonts w:eastAsia="Times New Roman"/>
        </w:rPr>
      </w:pPr>
      <w:r>
        <w:rPr>
          <w:rFonts w:eastAsia="Times New Roman"/>
          <w:color w:val="000000"/>
          <w:sz w:val="20"/>
          <w:szCs w:val="20"/>
        </w:rPr>
        <w:t>operating cash flow, together with savings from repayment of the Notes and Secured Term Note and cost-reduction initiatives undertaken by our management, are insufficient t</w:t>
      </w:r>
      <w:r>
        <w:rPr>
          <w:rFonts w:eastAsia="Times New Roman"/>
          <w:color w:val="000000"/>
          <w:sz w:val="20"/>
          <w:szCs w:val="20"/>
        </w:rPr>
        <w:t>o fund our future activities and requirements, we may need to raise additional funds through public or private equity or debt financing. We may also be required to raise additional funds in order to repay our Revolving Credit Agreement upon maturity or pay</w:t>
      </w:r>
      <w:r>
        <w:rPr>
          <w:rFonts w:eastAsia="Times New Roman"/>
          <w:color w:val="000000"/>
          <w:sz w:val="20"/>
          <w:szCs w:val="20"/>
        </w:rPr>
        <w:t xml:space="preserve"> a special dividend to holders of our Preferred Stock, as described above. Our history of net losses, as well as disruption and volatility in global capital and credit markets, could impact our ability to access capital resources on terms acceptable to us </w:t>
      </w:r>
      <w:r>
        <w:rPr>
          <w:rFonts w:eastAsia="Times New Roman"/>
          <w:color w:val="000000"/>
          <w:sz w:val="20"/>
          <w:szCs w:val="20"/>
        </w:rPr>
        <w:t>or at all. If we issue additional equity securities in order to raise additional funds, pay dividends or for other purposes, further dilution to existing stockholders may occur.</w:t>
      </w:r>
    </w:p>
    <w:p w:rsidR="00000000" w:rsidRDefault="00971A12">
      <w:pPr>
        <w:jc w:val="both"/>
        <w:divId w:val="706367873"/>
        <w:rPr>
          <w:rFonts w:eastAsia="Times New Roman"/>
        </w:rPr>
      </w:pPr>
      <w:r>
        <w:rPr>
          <w:rFonts w:eastAsia="Times New Roman"/>
          <w:b/>
          <w:bCs/>
          <w:color w:val="000000"/>
          <w:sz w:val="20"/>
          <w:szCs w:val="20"/>
        </w:rPr>
        <w:t>Critical Accounting Estimates</w:t>
      </w:r>
    </w:p>
    <w:p w:rsidR="00000000" w:rsidRDefault="00971A12">
      <w:pPr>
        <w:jc w:val="both"/>
        <w:divId w:val="1538816998"/>
        <w:rPr>
          <w:rFonts w:eastAsia="Times New Roman"/>
        </w:rPr>
      </w:pPr>
      <w:r>
        <w:rPr>
          <w:rFonts w:eastAsia="Times New Roman"/>
          <w:color w:val="000000"/>
          <w:sz w:val="20"/>
          <w:szCs w:val="20"/>
        </w:rPr>
        <w:t>Our discussion and analysis of our financial con</w:t>
      </w:r>
      <w:r>
        <w:rPr>
          <w:rFonts w:eastAsia="Times New Roman"/>
          <w:color w:val="000000"/>
          <w:sz w:val="20"/>
          <w:szCs w:val="20"/>
        </w:rPr>
        <w:t>dition and results of operations are based on our Consolidated Financial Statements, which have been prepared in accordance with generally accepted accounting principles in the U.S. ("GAAP"). The preparation of these financial statements requires us to mak</w:t>
      </w:r>
      <w:r>
        <w:rPr>
          <w:rFonts w:eastAsia="Times New Roman"/>
          <w:color w:val="000000"/>
          <w:sz w:val="20"/>
          <w:szCs w:val="20"/>
        </w:rPr>
        <w:t>e estimates, assumptions and judgments that affect the amounts reported in our Consolidated Financial Statements and the accompanying Notes to Consolidated Financial Statements. We base our estimates on historical experience and on various other assumption</w:t>
      </w:r>
      <w:r>
        <w:rPr>
          <w:rFonts w:eastAsia="Times New Roman"/>
          <w:color w:val="000000"/>
          <w:sz w:val="20"/>
          <w:szCs w:val="20"/>
        </w:rPr>
        <w:t>s that we believe to be reasonable under the circumstances.</w:t>
      </w:r>
    </w:p>
    <w:p w:rsidR="00000000" w:rsidRDefault="00971A12">
      <w:pPr>
        <w:jc w:val="both"/>
        <w:divId w:val="1620456569"/>
        <w:rPr>
          <w:rFonts w:eastAsia="Times New Roman"/>
        </w:rPr>
      </w:pPr>
      <w:r>
        <w:rPr>
          <w:rFonts w:eastAsia="Times New Roman"/>
          <w:color w:val="000000"/>
          <w:sz w:val="20"/>
          <w:szCs w:val="20"/>
        </w:rPr>
        <w:t>The accounting estimates and assumptions discussed in this section are those that we consider to be the most critical to an understanding of our financial condition and results of operations becau</w:t>
      </w:r>
      <w:r>
        <w:rPr>
          <w:rFonts w:eastAsia="Times New Roman"/>
          <w:color w:val="000000"/>
          <w:sz w:val="20"/>
          <w:szCs w:val="20"/>
        </w:rPr>
        <w:t xml:space="preserve">se they involve significant judgments and uncertainties. Actual results in these areas could differ from management's estimates. Refer to </w:t>
      </w:r>
      <w:hyperlink w:anchor="i0047531bd13046b986557e31951e34f8_94" w:history="1">
        <w:r>
          <w:rPr>
            <w:rStyle w:val="a3"/>
            <w:rFonts w:eastAsia="Times New Roman"/>
            <w:sz w:val="20"/>
            <w:szCs w:val="20"/>
          </w:rPr>
          <w:t>Footnote 2</w:t>
        </w:r>
      </w:hyperlink>
      <w:r>
        <w:rPr>
          <w:rFonts w:eastAsia="Times New Roman"/>
          <w:color w:val="000000"/>
          <w:sz w:val="20"/>
          <w:szCs w:val="20"/>
        </w:rPr>
        <w:t xml:space="preserve">, </w:t>
      </w:r>
      <w:r>
        <w:rPr>
          <w:rFonts w:eastAsia="Times New Roman"/>
          <w:i/>
          <w:iCs/>
          <w:color w:val="000000"/>
          <w:sz w:val="20"/>
          <w:szCs w:val="20"/>
        </w:rPr>
        <w:t>Summary of Significant Accounting Policies</w:t>
      </w:r>
      <w:r>
        <w:rPr>
          <w:rFonts w:eastAsia="Times New Roman"/>
          <w:color w:val="000000"/>
          <w:sz w:val="20"/>
          <w:szCs w:val="20"/>
        </w:rPr>
        <w:t xml:space="preserve"> for </w:t>
      </w:r>
      <w:r>
        <w:rPr>
          <w:rFonts w:eastAsia="Times New Roman"/>
          <w:color w:val="000000"/>
          <w:sz w:val="20"/>
          <w:szCs w:val="20"/>
        </w:rPr>
        <w:t>further information on our most significant accounting policies.</w:t>
      </w:r>
    </w:p>
    <w:p w:rsidR="00000000" w:rsidRDefault="00971A12">
      <w:pPr>
        <w:jc w:val="both"/>
        <w:divId w:val="256711890"/>
        <w:rPr>
          <w:rFonts w:eastAsia="Times New Roman"/>
        </w:rPr>
      </w:pPr>
      <w:r>
        <w:rPr>
          <w:rFonts w:eastAsia="Times New Roman"/>
          <w:b/>
          <w:bCs/>
          <w:i/>
          <w:iCs/>
          <w:color w:val="000000"/>
          <w:sz w:val="20"/>
          <w:szCs w:val="20"/>
        </w:rPr>
        <w:t>Revenue Recognition</w:t>
      </w:r>
    </w:p>
    <w:p w:rsidR="00000000" w:rsidRDefault="00971A12">
      <w:pPr>
        <w:jc w:val="both"/>
        <w:divId w:val="714357686"/>
        <w:rPr>
          <w:rFonts w:eastAsia="Times New Roman"/>
        </w:rPr>
      </w:pPr>
      <w:r>
        <w:rPr>
          <w:rFonts w:eastAsia="Times New Roman"/>
          <w:color w:val="000000"/>
          <w:sz w:val="20"/>
          <w:szCs w:val="20"/>
        </w:rPr>
        <w:t>We recognize revenue under the core principle of depicting the transfer of promised goods and services to our customers in an amount that reflects the consideration to which we expect to be entitled. Significant judgments used in the determination of the a</w:t>
      </w:r>
      <w:r>
        <w:rPr>
          <w:rFonts w:eastAsia="Times New Roman"/>
          <w:color w:val="000000"/>
          <w:sz w:val="20"/>
          <w:szCs w:val="20"/>
        </w:rPr>
        <w:t>mount and timing of our revenue recognition include the identification of distinct performance obligations and the allocation of contract consideration among individual performance obligations based on their relative standalone selling price ("SSP").</w:t>
      </w:r>
    </w:p>
    <w:p w:rsidR="00000000" w:rsidRDefault="00971A12">
      <w:pPr>
        <w:jc w:val="both"/>
        <w:divId w:val="1314798926"/>
        <w:rPr>
          <w:rFonts w:eastAsia="Times New Roman"/>
        </w:rPr>
      </w:pPr>
      <w:r>
        <w:rPr>
          <w:rFonts w:eastAsia="Times New Roman"/>
          <w:color w:val="000000"/>
          <w:sz w:val="20"/>
          <w:szCs w:val="20"/>
        </w:rPr>
        <w:t>Perfo</w:t>
      </w:r>
      <w:r>
        <w:rPr>
          <w:rFonts w:eastAsia="Times New Roman"/>
          <w:color w:val="000000"/>
          <w:sz w:val="20"/>
          <w:szCs w:val="20"/>
        </w:rPr>
        <w:t xml:space="preserve">rmance obligations are identified by evaluating whether the promised goods and services are capable of being distinct and distinct within the context of the contract. We have a limited number of monetary contracts with MVPDs that involve both the purchase </w:t>
      </w:r>
      <w:r>
        <w:rPr>
          <w:rFonts w:eastAsia="Times New Roman"/>
          <w:color w:val="000000"/>
          <w:sz w:val="20"/>
          <w:szCs w:val="20"/>
        </w:rPr>
        <w:t>and sale of services with a single counterparty. Each contract is assessed to determine if the goods and services exchanged between the two parties represent distinct performance obligations which can entail significant judgment. The conclusion regarding w</w:t>
      </w:r>
      <w:r>
        <w:rPr>
          <w:rFonts w:eastAsia="Times New Roman"/>
          <w:color w:val="000000"/>
          <w:sz w:val="20"/>
          <w:szCs w:val="20"/>
        </w:rPr>
        <w:t>hether goods and services exchanged are distinct determines whether consideration received from the counterparty is recognized as revenues (up to the SSP of the distinct goods or services), or as a reduction to the purchase price of the goods or services r</w:t>
      </w:r>
      <w:r>
        <w:rPr>
          <w:rFonts w:eastAsia="Times New Roman"/>
          <w:color w:val="000000"/>
          <w:sz w:val="20"/>
          <w:szCs w:val="20"/>
        </w:rPr>
        <w:t>ecorded in our cost of revenues.</w:t>
      </w:r>
    </w:p>
    <w:p w:rsidR="00000000" w:rsidRDefault="00971A12">
      <w:pPr>
        <w:jc w:val="both"/>
        <w:divId w:val="1622764870"/>
        <w:rPr>
          <w:rFonts w:eastAsia="Times New Roman"/>
        </w:rPr>
      </w:pPr>
      <w:r>
        <w:rPr>
          <w:rFonts w:eastAsia="Times New Roman"/>
          <w:color w:val="000000"/>
          <w:sz w:val="20"/>
          <w:szCs w:val="20"/>
        </w:rPr>
        <w:t>The transaction price is allocated to each performance obligation based on its relative SSP. In most sales contracts, we bundle multiple products and very few are sold on a standalone basis. As a result, our SSP is not dire</w:t>
      </w:r>
      <w:r>
        <w:rPr>
          <w:rFonts w:eastAsia="Times New Roman"/>
          <w:color w:val="000000"/>
          <w:sz w:val="20"/>
          <w:szCs w:val="20"/>
        </w:rPr>
        <w:t xml:space="preserve">ctly observable and we have to develop internal estimates using information that is reasonably available to us. Our SSP is primarily developed using an adjusted market approach supported by rate cards and pricing calculators that are periodically reviewed </w:t>
      </w:r>
      <w:r>
        <w:rPr>
          <w:rFonts w:eastAsia="Times New Roman"/>
          <w:color w:val="000000"/>
          <w:sz w:val="20"/>
          <w:szCs w:val="20"/>
        </w:rPr>
        <w:t>and updated to reflect the best available information. Bundled arrangements may include a combination of distinct goods and services where some are satisfied over time and others are satisfied at a point in time. Changes to the SSP will impact the amount o</w:t>
      </w:r>
      <w:r>
        <w:rPr>
          <w:rFonts w:eastAsia="Times New Roman"/>
          <w:color w:val="000000"/>
          <w:sz w:val="20"/>
          <w:szCs w:val="20"/>
        </w:rPr>
        <w:t>f consideration allocated to each performance obligation, which could have an impact on the timing and amount of revenues recognized in future periods as our performance obligations are satisfied. The determination of SSP also impacts the amount of revenue</w:t>
      </w:r>
      <w:r>
        <w:rPr>
          <w:rFonts w:eastAsia="Times New Roman"/>
          <w:color w:val="000000"/>
          <w:sz w:val="20"/>
          <w:szCs w:val="20"/>
        </w:rPr>
        <w:t>s we can recognize in transactions where consideration is exchanged with counterparties as described above.</w:t>
      </w:r>
    </w:p>
    <w:p w:rsidR="00000000" w:rsidRDefault="00971A12">
      <w:pPr>
        <w:jc w:val="both"/>
        <w:divId w:val="883567689"/>
        <w:rPr>
          <w:rFonts w:eastAsia="Times New Roman"/>
        </w:rPr>
      </w:pPr>
      <w:r>
        <w:rPr>
          <w:rFonts w:eastAsia="Times New Roman"/>
          <w:b/>
          <w:bCs/>
          <w:i/>
          <w:iCs/>
          <w:color w:val="000000"/>
          <w:sz w:val="20"/>
          <w:szCs w:val="20"/>
        </w:rPr>
        <w:t xml:space="preserve">Goodwill </w:t>
      </w:r>
    </w:p>
    <w:p w:rsidR="00000000" w:rsidRDefault="00971A12">
      <w:pPr>
        <w:jc w:val="both"/>
        <w:divId w:val="2104690888"/>
        <w:rPr>
          <w:rFonts w:eastAsia="Times New Roman"/>
        </w:rPr>
      </w:pPr>
      <w:r>
        <w:rPr>
          <w:rFonts w:eastAsia="Times New Roman"/>
          <w:color w:val="000000"/>
          <w:sz w:val="20"/>
          <w:szCs w:val="20"/>
        </w:rPr>
        <w:t>The valuation of goodwill involves the use of management's estimates and assumptions and can have a significant impact on future operating results. Goodwill is not amortized but is evaluated for impairment at least annually, as of October 1, by comparing t</w:t>
      </w:r>
      <w:r>
        <w:rPr>
          <w:rFonts w:eastAsia="Times New Roman"/>
          <w:color w:val="000000"/>
          <w:sz w:val="20"/>
          <w:szCs w:val="20"/>
        </w:rPr>
        <w:t>he fair value of a reporting unit to its carrying value including goodwill recorded by the reporting unit.</w:t>
      </w:r>
    </w:p>
    <w:p w:rsidR="00000000" w:rsidRDefault="00971A12">
      <w:pPr>
        <w:jc w:val="both"/>
        <w:divId w:val="2081518295"/>
        <w:rPr>
          <w:rFonts w:eastAsia="Times New Roman"/>
        </w:rPr>
      </w:pPr>
      <w:r>
        <w:rPr>
          <w:rFonts w:eastAsia="Times New Roman"/>
          <w:color w:val="000000"/>
          <w:sz w:val="20"/>
          <w:szCs w:val="20"/>
        </w:rPr>
        <w:t>We have one reporting unit. As such, we perform the impairment assessment for goodwill at the enterprise level. Goodwill is reviewed for possible imp</w:t>
      </w:r>
      <w:r>
        <w:rPr>
          <w:rFonts w:eastAsia="Times New Roman"/>
          <w:color w:val="000000"/>
          <w:sz w:val="20"/>
          <w:szCs w:val="20"/>
        </w:rPr>
        <w:t>airment between annual tests if an event occurs or circumstances change that would more likely than not reduce the fair value of the reporting unit below the carrying value. In assessing the possibility that our reporting unit's fair value has been reduced</w:t>
      </w:r>
      <w:r>
        <w:rPr>
          <w:rFonts w:eastAsia="Times New Roman"/>
          <w:color w:val="000000"/>
          <w:sz w:val="20"/>
          <w:szCs w:val="20"/>
        </w:rPr>
        <w:t xml:space="preserve"> below its carrying value due to the occurrence of events or circumstances between annual impairment testing dates, we consider all available evidence including, but not limited to: (i) the results of our impairment testing from the most recent testing dat</w:t>
      </w:r>
      <w:r>
        <w:rPr>
          <w:rFonts w:eastAsia="Times New Roman"/>
          <w:color w:val="000000"/>
          <w:sz w:val="20"/>
          <w:szCs w:val="20"/>
        </w:rPr>
        <w:t>e (in particular, the magnitude of the excess of fair value over carrying value observed), (ii) downward revisions to internal forecasts, if any, (iii) declines in market capitalization below book value (and the magnitude and duration of those declines), i</w:t>
      </w:r>
      <w:r>
        <w:rPr>
          <w:rFonts w:eastAsia="Times New Roman"/>
          <w:color w:val="000000"/>
          <w:sz w:val="20"/>
          <w:szCs w:val="20"/>
        </w:rPr>
        <w:t>f any, and (iv) changes in general industry, market and macroeconomic conditions.</w:t>
      </w:r>
    </w:p>
    <w:p w:rsidR="00000000" w:rsidRDefault="00971A12">
      <w:pPr>
        <w:jc w:val="both"/>
        <w:divId w:val="1160659549"/>
        <w:rPr>
          <w:rFonts w:eastAsia="Times New Roman"/>
        </w:rPr>
      </w:pPr>
      <w:r>
        <w:rPr>
          <w:rFonts w:eastAsia="Times New Roman"/>
          <w:color w:val="000000"/>
          <w:sz w:val="20"/>
          <w:szCs w:val="20"/>
        </w:rPr>
        <w:t>We determine the fair value of our reporting unit using a combination of the income and market approaches. The results from each of these approaches are weighted appropriatel</w:t>
      </w:r>
      <w:r>
        <w:rPr>
          <w:rFonts w:eastAsia="Times New Roman"/>
          <w:color w:val="000000"/>
          <w:sz w:val="20"/>
          <w:szCs w:val="20"/>
        </w:rPr>
        <w:t>y taking into account the relevance and availability of data at the time we perform the valuation.</w:t>
      </w:r>
    </w:p>
    <w:p w:rsidR="00000000" w:rsidRDefault="00971A12">
      <w:pPr>
        <w:jc w:val="both"/>
        <w:divId w:val="201593957"/>
        <w:rPr>
          <w:rFonts w:eastAsia="Times New Roman"/>
        </w:rPr>
      </w:pPr>
      <w:r>
        <w:rPr>
          <w:rFonts w:eastAsia="Times New Roman"/>
          <w:color w:val="000000"/>
          <w:sz w:val="20"/>
          <w:szCs w:val="20"/>
        </w:rPr>
        <w:t>Under the income approach, the fair value is determined using a discounted cash flow model based on projected financial performance and discount rates that t</w:t>
      </w:r>
      <w:r>
        <w:rPr>
          <w:rFonts w:eastAsia="Times New Roman"/>
          <w:color w:val="000000"/>
          <w:sz w:val="20"/>
          <w:szCs w:val="20"/>
        </w:rPr>
        <w:t>ake into account an appropriate risk-adjusted return. The discounted cash flow model requires the use of various assumptions in developing the present value of projected cash flows, the following of which are significant to our analysis:</w:t>
      </w:r>
    </w:p>
    <w:p w:rsidR="00000000" w:rsidRDefault="00971A12">
      <w:pPr>
        <w:jc w:val="center"/>
        <w:divId w:val="1651206967"/>
        <w:rPr>
          <w:rFonts w:eastAsia="Times New Roman"/>
        </w:rPr>
      </w:pPr>
      <w:r>
        <w:rPr>
          <w:rFonts w:eastAsia="Times New Roman"/>
          <w:color w:val="000000"/>
          <w:sz w:val="20"/>
          <w:szCs w:val="20"/>
        </w:rPr>
        <w:t>41</w:t>
      </w:r>
    </w:p>
    <w:p w:rsidR="00000000" w:rsidRDefault="00971A12">
      <w:pPr>
        <w:rPr>
          <w:rFonts w:eastAsia="Times New Roman"/>
        </w:rPr>
      </w:pPr>
      <w:r>
        <w:rPr>
          <w:rFonts w:eastAsia="Times New Roman"/>
        </w:rPr>
        <w:pict>
          <v:rect id="_x0000_i1069" style="width:0;height:1.5pt" o:hralign="center" o:hrstd="t" o:hr="t" fillcolor="#a0a0a0" stroked="f"/>
        </w:pict>
      </w:r>
    </w:p>
    <w:p w:rsidR="00000000" w:rsidRDefault="00971A12">
      <w:pPr>
        <w:divId w:val="798887837"/>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416946968"/>
        <w:rPr>
          <w:rFonts w:eastAsia="Times New Roman"/>
        </w:rPr>
      </w:pPr>
    </w:p>
    <w:p w:rsidR="00000000" w:rsidRDefault="00971A12">
      <w:pPr>
        <w:jc w:val="both"/>
        <w:divId w:val="1100493991"/>
        <w:rPr>
          <w:rFonts w:eastAsia="Times New Roman"/>
        </w:rPr>
      </w:pPr>
      <w:r>
        <w:rPr>
          <w:rFonts w:eastAsia="Times New Roman"/>
          <w:i/>
          <w:iCs/>
          <w:color w:val="000000"/>
          <w:sz w:val="20"/>
          <w:szCs w:val="20"/>
        </w:rPr>
        <w:t xml:space="preserve">Projected financial performance: </w:t>
      </w:r>
      <w:r>
        <w:rPr>
          <w:rFonts w:eastAsia="Times New Roman"/>
          <w:color w:val="000000"/>
          <w:sz w:val="20"/>
          <w:szCs w:val="20"/>
        </w:rPr>
        <w:t>expected future cash flows and growth rates are based upon assump</w:t>
      </w:r>
      <w:r>
        <w:rPr>
          <w:rFonts w:eastAsia="Times New Roman"/>
          <w:color w:val="000000"/>
          <w:sz w:val="20"/>
          <w:szCs w:val="20"/>
        </w:rPr>
        <w:t>tions of our future revenue growth and operating costs. Actual results of operations and cash flows will likely differ from those utilized in our discounted cash flow analysis, and it is possible that those differences could be material.</w:t>
      </w:r>
    </w:p>
    <w:p w:rsidR="00000000" w:rsidRDefault="00971A12">
      <w:pPr>
        <w:jc w:val="both"/>
        <w:divId w:val="48117752"/>
        <w:rPr>
          <w:rFonts w:eastAsia="Times New Roman"/>
        </w:rPr>
      </w:pPr>
      <w:r>
        <w:rPr>
          <w:rFonts w:eastAsia="Times New Roman"/>
          <w:i/>
          <w:iCs/>
          <w:color w:val="000000"/>
          <w:sz w:val="20"/>
          <w:szCs w:val="20"/>
        </w:rPr>
        <w:t>Long-term growth r</w:t>
      </w:r>
      <w:r>
        <w:rPr>
          <w:rFonts w:eastAsia="Times New Roman"/>
          <w:i/>
          <w:iCs/>
          <w:color w:val="000000"/>
          <w:sz w:val="20"/>
          <w:szCs w:val="20"/>
        </w:rPr>
        <w:t xml:space="preserve">ate: </w:t>
      </w:r>
      <w:r>
        <w:rPr>
          <w:rFonts w:eastAsia="Times New Roman"/>
          <w:color w:val="000000"/>
          <w:sz w:val="20"/>
          <w:szCs w:val="20"/>
        </w:rPr>
        <w:t>the long-term growth rate represents the rate at which our single reporting unit's earnings are expected to grow or losses to decrease. Our assumed long-term growth rate was based on projected long-term inflation and gross domestic product growth esti</w:t>
      </w:r>
      <w:r>
        <w:rPr>
          <w:rFonts w:eastAsia="Times New Roman"/>
          <w:color w:val="000000"/>
          <w:sz w:val="20"/>
          <w:szCs w:val="20"/>
        </w:rPr>
        <w:t>mates for the countries in which we operate and a long-term growth estimate for our business and the industry in which we operate. The long-term growth rate selected for the 2022, 2021 and 2020 annual impairment analyses was 3.0%.</w:t>
      </w:r>
    </w:p>
    <w:p w:rsidR="00000000" w:rsidRDefault="00971A12">
      <w:pPr>
        <w:jc w:val="both"/>
        <w:divId w:val="1303005182"/>
        <w:rPr>
          <w:rFonts w:eastAsia="Times New Roman"/>
        </w:rPr>
      </w:pPr>
      <w:r>
        <w:rPr>
          <w:rFonts w:eastAsia="Times New Roman"/>
          <w:i/>
          <w:iCs/>
          <w:color w:val="000000"/>
          <w:sz w:val="20"/>
          <w:szCs w:val="20"/>
        </w:rPr>
        <w:t xml:space="preserve">Discount rate: </w:t>
      </w:r>
      <w:r>
        <w:rPr>
          <w:rFonts w:eastAsia="Times New Roman"/>
          <w:color w:val="000000"/>
          <w:sz w:val="20"/>
          <w:szCs w:val="20"/>
        </w:rPr>
        <w:t>our report</w:t>
      </w:r>
      <w:r>
        <w:rPr>
          <w:rFonts w:eastAsia="Times New Roman"/>
          <w:color w:val="000000"/>
          <w:sz w:val="20"/>
          <w:szCs w:val="20"/>
        </w:rPr>
        <w:t>ing unit's future cash flows are discounted at a rate that is consistent with our average weighted cost of capital that is likely to be utilized by market participants. The weighted-average cost of capital is our estimate of the overall returns required by</w:t>
      </w:r>
      <w:r>
        <w:rPr>
          <w:rFonts w:eastAsia="Times New Roman"/>
          <w:color w:val="000000"/>
          <w:sz w:val="20"/>
          <w:szCs w:val="20"/>
        </w:rPr>
        <w:t xml:space="preserve"> both debt and equity investors, weighted by their respective contributions of capital. We use discount rates that are commensurate with the risks and uncertainty inherent in our business and in our internally-developed forecasts. The discount rates select</w:t>
      </w:r>
      <w:r>
        <w:rPr>
          <w:rFonts w:eastAsia="Times New Roman"/>
          <w:color w:val="000000"/>
          <w:sz w:val="20"/>
          <w:szCs w:val="20"/>
        </w:rPr>
        <w:t>ed for the 2022, 2021 and 2020 annual impairment analyses were 27.0%, 19.0% and 13.5%, respectively. Our selected discount rate was higher in 2022 primarily due to the increase in risk-free interest rates, cost of debt, unlevered beta assumptions, and comp</w:t>
      </w:r>
      <w:r>
        <w:rPr>
          <w:rFonts w:eastAsia="Times New Roman"/>
          <w:color w:val="000000"/>
          <w:sz w:val="20"/>
          <w:szCs w:val="20"/>
        </w:rPr>
        <w:t xml:space="preserve">any-specific risk premium ("CSRP"). The increase in CSRP was related to the utilization of higher growth rates in earnings before interest, taxes, depreciation, and amortization. </w:t>
      </w:r>
    </w:p>
    <w:p w:rsidR="00000000" w:rsidRDefault="00971A12">
      <w:pPr>
        <w:jc w:val="both"/>
        <w:divId w:val="24445432"/>
        <w:rPr>
          <w:rFonts w:eastAsia="Times New Roman"/>
        </w:rPr>
      </w:pPr>
      <w:r>
        <w:rPr>
          <w:rFonts w:eastAsia="Times New Roman"/>
          <w:color w:val="000000"/>
          <w:sz w:val="20"/>
          <w:szCs w:val="20"/>
        </w:rPr>
        <w:t>Under the market approach, the fair value is determined using certain financ</w:t>
      </w:r>
      <w:r>
        <w:rPr>
          <w:rFonts w:eastAsia="Times New Roman"/>
          <w:color w:val="000000"/>
          <w:sz w:val="20"/>
          <w:szCs w:val="20"/>
        </w:rPr>
        <w:t>ial metrics of publicly traded companies or historically completed transactions of comparable businesses. The selection of comparable businesses requires judgment and is based on the markets in which we operate giving consideration to, amongst other things</w:t>
      </w:r>
      <w:r>
        <w:rPr>
          <w:rFonts w:eastAsia="Times New Roman"/>
          <w:color w:val="000000"/>
          <w:sz w:val="20"/>
          <w:szCs w:val="20"/>
        </w:rPr>
        <w:t>, risk profiles, size and geography. The market approach may also be limited in instances where there is a lack of recently executed transactions of comparable businesses. We determine fair value primarily based on selected market multiples based on curren</w:t>
      </w:r>
      <w:r>
        <w:rPr>
          <w:rFonts w:eastAsia="Times New Roman"/>
          <w:color w:val="000000"/>
          <w:sz w:val="20"/>
          <w:szCs w:val="20"/>
        </w:rPr>
        <w:t>t and projected revenues compared to business enterprise value, with an estimated control premium as applicable.</w:t>
      </w:r>
    </w:p>
    <w:p w:rsidR="00000000" w:rsidRDefault="00971A12">
      <w:pPr>
        <w:jc w:val="both"/>
        <w:divId w:val="66151469"/>
        <w:rPr>
          <w:rFonts w:eastAsia="Times New Roman"/>
        </w:rPr>
      </w:pPr>
      <w:r>
        <w:rPr>
          <w:rFonts w:eastAsia="Times New Roman"/>
          <w:color w:val="000000"/>
          <w:sz w:val="20"/>
          <w:szCs w:val="20"/>
        </w:rPr>
        <w:t>As of September 30, 2022, we concluded that it was more likely than not that the estimated fair value of our reporting unit was less than its c</w:t>
      </w:r>
      <w:r>
        <w:rPr>
          <w:rFonts w:eastAsia="Times New Roman"/>
          <w:color w:val="000000"/>
          <w:sz w:val="20"/>
          <w:szCs w:val="20"/>
        </w:rPr>
        <w:t>arrying value. In our assessment, we considered the decline in our stock price and market capitalization among other factors. We performed a quantitative goodwill impairment test in conjunction with the annual test using a discounted cash flow model, suppo</w:t>
      </w:r>
      <w:r>
        <w:rPr>
          <w:rFonts w:eastAsia="Times New Roman"/>
          <w:color w:val="000000"/>
          <w:sz w:val="20"/>
          <w:szCs w:val="20"/>
        </w:rPr>
        <w:t>rted by a market approach. Our reporting unit did not pass the goodwill impairment test, and as a result we recorded a $46.3 million non-cash impairment charge.</w:t>
      </w:r>
    </w:p>
    <w:p w:rsidR="00000000" w:rsidRDefault="00971A12">
      <w:pPr>
        <w:jc w:val="both"/>
        <w:divId w:val="1165706082"/>
        <w:rPr>
          <w:rFonts w:eastAsia="Times New Roman"/>
        </w:rPr>
      </w:pPr>
      <w:r>
        <w:rPr>
          <w:rFonts w:eastAsia="Times New Roman"/>
          <w:color w:val="000000"/>
          <w:sz w:val="20"/>
          <w:szCs w:val="20"/>
        </w:rPr>
        <w:t>Goodwill allocated to our single reporting unit as of December 31, 2022 was $388.0 million, inc</w:t>
      </w:r>
      <w:r>
        <w:rPr>
          <w:rFonts w:eastAsia="Times New Roman"/>
          <w:color w:val="000000"/>
          <w:sz w:val="20"/>
          <w:szCs w:val="20"/>
        </w:rPr>
        <w:t>luding $19.2 million initially attributable to our acquisition of Shareablee in 2021. The projected long-term cash flows used in our fair value estimate are consistent with our most recent operating plan and are dependent on the successful execution of our</w:t>
      </w:r>
      <w:r>
        <w:rPr>
          <w:rFonts w:eastAsia="Times New Roman"/>
          <w:color w:val="000000"/>
          <w:sz w:val="20"/>
          <w:szCs w:val="20"/>
        </w:rPr>
        <w:t xml:space="preserve"> business plan, overall industry growth rates and the competitive environment.</w:t>
      </w:r>
    </w:p>
    <w:p w:rsidR="00000000" w:rsidRDefault="00971A12">
      <w:pPr>
        <w:jc w:val="both"/>
        <w:divId w:val="609506637"/>
        <w:rPr>
          <w:rFonts w:eastAsia="Times New Roman"/>
        </w:rPr>
      </w:pPr>
      <w:r>
        <w:rPr>
          <w:rFonts w:eastAsia="Times New Roman"/>
          <w:color w:val="000000"/>
          <w:sz w:val="20"/>
          <w:szCs w:val="20"/>
        </w:rPr>
        <w:t>We monitor for events and circumstances that could negatively impact the key assumptions in determining the fair value of our goodwill, including long-term growth projections, p</w:t>
      </w:r>
      <w:r>
        <w:rPr>
          <w:rFonts w:eastAsia="Times New Roman"/>
          <w:color w:val="000000"/>
          <w:sz w:val="20"/>
          <w:szCs w:val="20"/>
        </w:rPr>
        <w:t>rofitability, discount rates, volatility in our market capitalization, and general industry, market and macroeconomic conditions. The judgments and estimates described above could change in future periods. If the reporting unit's future performance falls b</w:t>
      </w:r>
      <w:r>
        <w:rPr>
          <w:rFonts w:eastAsia="Times New Roman"/>
          <w:color w:val="000000"/>
          <w:sz w:val="20"/>
          <w:szCs w:val="20"/>
        </w:rPr>
        <w:t>elow our expectations, or if there are negative revisions to our fair value assumptions, including those that are significant and discussed above, we may need to record a material, non-cash goodwill impairment charge in a future period.</w:t>
      </w:r>
    </w:p>
    <w:tbl>
      <w:tblPr>
        <w:tblW w:w="4446" w:type="pct"/>
        <w:tblCellMar>
          <w:top w:w="15" w:type="dxa"/>
          <w:left w:w="15" w:type="dxa"/>
          <w:bottom w:w="15" w:type="dxa"/>
          <w:right w:w="15" w:type="dxa"/>
        </w:tblCellMar>
        <w:tblLook w:val="04A0" w:firstRow="1" w:lastRow="0" w:firstColumn="1" w:lastColumn="0" w:noHBand="0" w:noVBand="1"/>
      </w:tblPr>
      <w:tblGrid>
        <w:gridCol w:w="94"/>
        <w:gridCol w:w="815"/>
        <w:gridCol w:w="36"/>
        <w:gridCol w:w="37"/>
        <w:gridCol w:w="6368"/>
        <w:gridCol w:w="36"/>
      </w:tblGrid>
      <w:tr w:rsidR="00000000">
        <w:trPr>
          <w:divId w:val="1613592388"/>
        </w:trPr>
        <w:tc>
          <w:tcPr>
            <w:tcW w:w="50" w:type="pct"/>
            <w:vAlign w:val="center"/>
            <w:hideMark/>
          </w:tcPr>
          <w:p w:rsidR="00000000" w:rsidRDefault="00971A12">
            <w:pPr>
              <w:jc w:val="both"/>
              <w:rPr>
                <w:rFonts w:eastAsia="Times New Roman"/>
              </w:rPr>
            </w:pPr>
          </w:p>
        </w:tc>
        <w:tc>
          <w:tcPr>
            <w:tcW w:w="43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45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613592388"/>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20"/>
                <w:szCs w:val="20"/>
              </w:rPr>
              <w:t xml:space="preserve">ITEM 7A. </w:t>
            </w: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i/>
                <w:iCs/>
                <w:color w:val="000000"/>
                <w:sz w:val="20"/>
                <w:szCs w:val="20"/>
              </w:rPr>
              <w:t>QUANTITATIVE AND QUALITATIVE DISCLOSURES ABOUT MARKET RISK</w:t>
            </w:r>
          </w:p>
        </w:tc>
      </w:tr>
    </w:tbl>
    <w:p w:rsidR="00000000" w:rsidRDefault="00971A12">
      <w:pPr>
        <w:jc w:val="both"/>
        <w:divId w:val="566576942"/>
        <w:rPr>
          <w:rFonts w:eastAsia="Times New Roman"/>
        </w:rPr>
      </w:pPr>
      <w:r>
        <w:rPr>
          <w:rFonts w:eastAsia="Times New Roman"/>
          <w:color w:val="000000"/>
          <w:sz w:val="20"/>
          <w:szCs w:val="20"/>
        </w:rPr>
        <w:t>Market risk represents the risk of loss that may impact our financial position due to adverse changes in financial market prices and rates. As of December 31, 2022, we have outstanding warrant</w:t>
      </w:r>
      <w:r>
        <w:rPr>
          <w:rFonts w:eastAsia="Times New Roman"/>
          <w:color w:val="000000"/>
          <w:sz w:val="20"/>
          <w:szCs w:val="20"/>
        </w:rPr>
        <w:t>s that are subject to market risk. We also have interest rate risk for amounts outstanding under our Revolving Credit Agreement, and foreign currency exchange rate risk from our global operations.</w:t>
      </w:r>
    </w:p>
    <w:p w:rsidR="00000000" w:rsidRDefault="00971A12">
      <w:pPr>
        <w:jc w:val="both"/>
        <w:divId w:val="1501963690"/>
        <w:rPr>
          <w:rFonts w:eastAsia="Times New Roman"/>
        </w:rPr>
      </w:pPr>
      <w:r>
        <w:rPr>
          <w:rFonts w:eastAsia="Times New Roman"/>
          <w:b/>
          <w:bCs/>
          <w:color w:val="000000"/>
          <w:sz w:val="20"/>
          <w:szCs w:val="20"/>
        </w:rPr>
        <w:t>Interest rate risk</w:t>
      </w:r>
    </w:p>
    <w:p w:rsidR="00000000" w:rsidRDefault="00971A12">
      <w:pPr>
        <w:jc w:val="both"/>
        <w:divId w:val="2064597573"/>
        <w:rPr>
          <w:rFonts w:eastAsia="Times New Roman"/>
        </w:rPr>
      </w:pPr>
      <w:r>
        <w:rPr>
          <w:rFonts w:eastAsia="Times New Roman"/>
          <w:color w:val="000000"/>
          <w:sz w:val="20"/>
          <w:szCs w:val="20"/>
        </w:rPr>
        <w:t>As of December 31, 2022, our borrowings,</w:t>
      </w:r>
      <w:r>
        <w:rPr>
          <w:rFonts w:eastAsia="Times New Roman"/>
          <w:color w:val="000000"/>
          <w:sz w:val="20"/>
          <w:szCs w:val="20"/>
        </w:rPr>
        <w:t xml:space="preserve"> including letters of credit, under the Revolving Credit Agreement bore interest at a variable rate per annum equal to the Daily SOFR (as defined in the Revolving Credit Agreement) plus an applicable rate of 2.50%. On February 24, 2023, our interest rate i</w:t>
      </w:r>
      <w:r>
        <w:rPr>
          <w:rFonts w:eastAsia="Times New Roman"/>
          <w:color w:val="000000"/>
          <w:sz w:val="20"/>
          <w:szCs w:val="20"/>
        </w:rPr>
        <w:t xml:space="preserve">ncreased to a variable rate per annum equal to the Daily SOFR plus an applicable rate of 3.50%. </w:t>
      </w:r>
    </w:p>
    <w:p w:rsidR="00000000" w:rsidRDefault="00971A12">
      <w:pPr>
        <w:jc w:val="both"/>
        <w:divId w:val="1732071007"/>
        <w:rPr>
          <w:rFonts w:eastAsia="Times New Roman"/>
        </w:rPr>
      </w:pPr>
      <w:r>
        <w:rPr>
          <w:rFonts w:eastAsia="Times New Roman"/>
          <w:color w:val="000000"/>
          <w:sz w:val="20"/>
          <w:szCs w:val="20"/>
        </w:rPr>
        <w:t xml:space="preserve">As a result, we are subject to interest rate risk based on the Daily SOFR, and our interest obligation on outstanding borrowings will fluctuate with movements </w:t>
      </w:r>
      <w:r>
        <w:rPr>
          <w:rFonts w:eastAsia="Times New Roman"/>
          <w:color w:val="000000"/>
          <w:sz w:val="20"/>
          <w:szCs w:val="20"/>
        </w:rPr>
        <w:t>in the Daily SOFR. We are permitted to repay any amounts borrowed under the Revolving Credit Agreement prior to the maturity date without any premium or penalty other than customary breakage costs.</w:t>
      </w:r>
    </w:p>
    <w:p w:rsidR="00000000" w:rsidRDefault="00971A12">
      <w:pPr>
        <w:jc w:val="both"/>
        <w:divId w:val="927926767"/>
        <w:rPr>
          <w:rFonts w:eastAsia="Times New Roman"/>
        </w:rPr>
      </w:pPr>
      <w:r>
        <w:rPr>
          <w:rFonts w:eastAsia="Times New Roman"/>
          <w:color w:val="000000"/>
          <w:sz w:val="20"/>
          <w:szCs w:val="20"/>
        </w:rPr>
        <w:t>As of December 31, 2022, our exposure to interest rate ris</w:t>
      </w:r>
      <w:r>
        <w:rPr>
          <w:rFonts w:eastAsia="Times New Roman"/>
          <w:color w:val="000000"/>
          <w:sz w:val="20"/>
          <w:szCs w:val="20"/>
        </w:rPr>
        <w:t>k calculated using the Daily SOFR was not material.</w:t>
      </w:r>
    </w:p>
    <w:p w:rsidR="00000000" w:rsidRDefault="00971A12">
      <w:pPr>
        <w:jc w:val="both"/>
        <w:divId w:val="299699104"/>
        <w:rPr>
          <w:rFonts w:eastAsia="Times New Roman"/>
        </w:rPr>
      </w:pPr>
      <w:r>
        <w:rPr>
          <w:rFonts w:eastAsia="Times New Roman"/>
          <w:b/>
          <w:bCs/>
          <w:color w:val="000000"/>
          <w:sz w:val="20"/>
          <w:szCs w:val="20"/>
        </w:rPr>
        <w:t>Warrants liability financial instrument risk</w:t>
      </w:r>
    </w:p>
    <w:p w:rsidR="00000000" w:rsidRDefault="00971A12">
      <w:pPr>
        <w:jc w:val="both"/>
        <w:divId w:val="88817313"/>
        <w:rPr>
          <w:rFonts w:eastAsia="Times New Roman"/>
        </w:rPr>
      </w:pPr>
      <w:r>
        <w:rPr>
          <w:rFonts w:eastAsia="Times New Roman"/>
          <w:color w:val="000000"/>
          <w:sz w:val="20"/>
          <w:szCs w:val="20"/>
        </w:rPr>
        <w:t>As a result of having $0.7 million in liability related to outstanding warrants as of December 31, 2022, which warrants are exercisable for shares of Common Stock under certain conditions, we are subject to market risk. The value of the warrants is impacte</w:t>
      </w:r>
      <w:r>
        <w:rPr>
          <w:rFonts w:eastAsia="Times New Roman"/>
          <w:color w:val="000000"/>
          <w:sz w:val="20"/>
          <w:szCs w:val="20"/>
        </w:rPr>
        <w:t>d by changes in the market price of our Common Stock.</w:t>
      </w:r>
    </w:p>
    <w:p w:rsidR="00000000" w:rsidRDefault="00971A12">
      <w:pPr>
        <w:jc w:val="center"/>
        <w:divId w:val="1386031077"/>
        <w:rPr>
          <w:rFonts w:eastAsia="Times New Roman"/>
        </w:rPr>
      </w:pPr>
      <w:r>
        <w:rPr>
          <w:rFonts w:eastAsia="Times New Roman"/>
          <w:color w:val="000000"/>
          <w:sz w:val="20"/>
          <w:szCs w:val="20"/>
        </w:rPr>
        <w:t>42</w:t>
      </w:r>
    </w:p>
    <w:p w:rsidR="00000000" w:rsidRDefault="00971A12">
      <w:pPr>
        <w:rPr>
          <w:rFonts w:eastAsia="Times New Roman"/>
        </w:rPr>
      </w:pPr>
      <w:r>
        <w:rPr>
          <w:rFonts w:eastAsia="Times New Roman"/>
        </w:rPr>
        <w:pict>
          <v:rect id="_x0000_i1070" style="width:0;height:1.5pt" o:hralign="center" o:hrstd="t" o:hr="t" fillcolor="#a0a0a0" stroked="f"/>
        </w:pict>
      </w:r>
    </w:p>
    <w:p w:rsidR="00000000" w:rsidRDefault="00971A12">
      <w:pPr>
        <w:divId w:val="1134059587"/>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263154111"/>
        <w:rPr>
          <w:rFonts w:eastAsia="Times New Roman"/>
        </w:rPr>
      </w:pPr>
    </w:p>
    <w:p w:rsidR="00000000" w:rsidRDefault="00971A12">
      <w:pPr>
        <w:jc w:val="both"/>
        <w:divId w:val="238562356"/>
        <w:rPr>
          <w:rFonts w:eastAsia="Times New Roman"/>
        </w:rPr>
      </w:pPr>
      <w:r>
        <w:rPr>
          <w:rFonts w:eastAsia="Times New Roman"/>
          <w:color w:val="000000"/>
          <w:sz w:val="20"/>
          <w:szCs w:val="20"/>
        </w:rPr>
        <w:t>As of December 31, 2022, a</w:t>
      </w:r>
      <w:r>
        <w:rPr>
          <w:rFonts w:eastAsia="Times New Roman"/>
          <w:color w:val="000000"/>
          <w:sz w:val="20"/>
          <w:szCs w:val="20"/>
        </w:rPr>
        <w:t xml:space="preserve"> 10% increase in the market price of our Common Stock would result in a $0.2 million increase in the fair value of the Series A Warrants, while a 10% decrease in the market price of our Common Stock would result in a $0.2 million decrease in fair value of </w:t>
      </w:r>
      <w:r>
        <w:rPr>
          <w:rFonts w:eastAsia="Times New Roman"/>
          <w:color w:val="000000"/>
          <w:sz w:val="20"/>
          <w:szCs w:val="20"/>
        </w:rPr>
        <w:t>the Series A Warrants.</w:t>
      </w:r>
    </w:p>
    <w:p w:rsidR="00000000" w:rsidRDefault="00971A12">
      <w:pPr>
        <w:jc w:val="both"/>
        <w:divId w:val="1635987489"/>
        <w:rPr>
          <w:rFonts w:eastAsia="Times New Roman"/>
        </w:rPr>
      </w:pPr>
      <w:r>
        <w:rPr>
          <w:rFonts w:eastAsia="Times New Roman"/>
          <w:color w:val="000000"/>
          <w:sz w:val="20"/>
          <w:szCs w:val="20"/>
        </w:rPr>
        <w:t xml:space="preserve">For further information on our outstanding warrants, refer to </w:t>
      </w:r>
      <w:hyperlink w:anchor="i0047531bd13046b986557e31951e34f8_115"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w:t>
      </w:r>
    </w:p>
    <w:p w:rsidR="00000000" w:rsidRDefault="00971A12">
      <w:pPr>
        <w:jc w:val="both"/>
        <w:divId w:val="2111194983"/>
        <w:rPr>
          <w:rFonts w:eastAsia="Times New Roman"/>
        </w:rPr>
      </w:pPr>
      <w:r>
        <w:rPr>
          <w:rFonts w:eastAsia="Times New Roman"/>
          <w:b/>
          <w:bCs/>
          <w:color w:val="000000"/>
          <w:sz w:val="20"/>
          <w:szCs w:val="20"/>
        </w:rPr>
        <w:t>Foreign currency risk</w:t>
      </w:r>
    </w:p>
    <w:p w:rsidR="00000000" w:rsidRDefault="00971A12">
      <w:pPr>
        <w:jc w:val="both"/>
        <w:divId w:val="1451851643"/>
        <w:rPr>
          <w:rFonts w:eastAsia="Times New Roman"/>
        </w:rPr>
      </w:pPr>
      <w:r>
        <w:rPr>
          <w:rFonts w:eastAsia="Times New Roman"/>
          <w:color w:val="000000"/>
          <w:sz w:val="20"/>
          <w:szCs w:val="20"/>
        </w:rPr>
        <w:t>We operate globally, and we predominantly generate revenues and expenses in local currencies. We operate in several countries in Europe, as well as countries throughout South America and Asia Pacific. As such, we have exposure to adve</w:t>
      </w:r>
      <w:r>
        <w:rPr>
          <w:rFonts w:eastAsia="Times New Roman"/>
          <w:color w:val="000000"/>
          <w:sz w:val="20"/>
          <w:szCs w:val="20"/>
        </w:rPr>
        <w:t>rse changes in exchange rates associated with revenues and operating expenses of our foreign operations. We have not engaged in any transactions that hedge foreign currency exchange rate risk.</w:t>
      </w:r>
    </w:p>
    <w:p w:rsidR="00000000" w:rsidRDefault="00971A12">
      <w:pPr>
        <w:jc w:val="both"/>
        <w:divId w:val="1095832586"/>
        <w:rPr>
          <w:rFonts w:eastAsia="Times New Roman"/>
        </w:rPr>
      </w:pPr>
      <w:r>
        <w:rPr>
          <w:rFonts w:eastAsia="Times New Roman"/>
          <w:color w:val="000000"/>
          <w:sz w:val="20"/>
          <w:szCs w:val="20"/>
        </w:rPr>
        <w:t>There can be no guarantee that exchange rates will remain const</w:t>
      </w:r>
      <w:r>
        <w:rPr>
          <w:rFonts w:eastAsia="Times New Roman"/>
          <w:color w:val="000000"/>
          <w:sz w:val="20"/>
          <w:szCs w:val="20"/>
        </w:rPr>
        <w:t>ant in future periods. In addition to the impact from the U.S. Dollar to Euro exchange rate movements, we are also impacted by the movements in the exchange rates between the U.S. Dollar and various South American, Asia Pacific and other European currencie</w:t>
      </w:r>
      <w:r>
        <w:rPr>
          <w:rFonts w:eastAsia="Times New Roman"/>
          <w:color w:val="000000"/>
          <w:sz w:val="20"/>
          <w:szCs w:val="20"/>
        </w:rPr>
        <w:t>s. We performed a sensitivity analysis, assuming a 10% decrease or increase in the value of foreign currencies in which we operate. We determined that a 10% decrease in value would have resulted in a decrease to our net loss of approximately $9.6 million a</w:t>
      </w:r>
      <w:r>
        <w:rPr>
          <w:rFonts w:eastAsia="Times New Roman"/>
          <w:color w:val="000000"/>
          <w:sz w:val="20"/>
          <w:szCs w:val="20"/>
        </w:rPr>
        <w:t>nd a 10% increase in value would have resulted in an increase to our net loss of approximately $5.2 million for the year ended December 31, 2022.</w:t>
      </w:r>
    </w:p>
    <w:p w:rsidR="00000000" w:rsidRDefault="00971A12">
      <w:pPr>
        <w:jc w:val="both"/>
        <w:divId w:val="1620062358"/>
        <w:rPr>
          <w:rFonts w:eastAsia="Times New Roman"/>
        </w:rPr>
      </w:pPr>
      <w:r>
        <w:rPr>
          <w:rFonts w:eastAsia="Times New Roman"/>
          <w:color w:val="000000"/>
          <w:sz w:val="20"/>
          <w:szCs w:val="20"/>
        </w:rPr>
        <w:t>As of December 31, 2022, of our total $20.4 million in cash and cash equivalents, including restricted cash, $</w:t>
      </w:r>
      <w:r>
        <w:rPr>
          <w:rFonts w:eastAsia="Times New Roman"/>
          <w:color w:val="000000"/>
          <w:sz w:val="20"/>
          <w:szCs w:val="20"/>
        </w:rPr>
        <w:t>10.6 million was held by foreign subsidiaries. Of this amount, we believe $3.3 million could be subject to income tax withholding of 5% to 15% if the funds were repatriated to the U.S.</w:t>
      </w:r>
    </w:p>
    <w:p w:rsidR="00000000" w:rsidRDefault="00971A12">
      <w:pPr>
        <w:jc w:val="center"/>
        <w:divId w:val="279193059"/>
        <w:rPr>
          <w:rFonts w:eastAsia="Times New Roman"/>
        </w:rPr>
      </w:pPr>
      <w:r>
        <w:rPr>
          <w:rFonts w:eastAsia="Times New Roman"/>
          <w:color w:val="000000"/>
          <w:sz w:val="20"/>
          <w:szCs w:val="20"/>
        </w:rPr>
        <w:t>43</w:t>
      </w:r>
    </w:p>
    <w:p w:rsidR="00000000" w:rsidRDefault="00971A12">
      <w:pPr>
        <w:rPr>
          <w:rFonts w:eastAsia="Times New Roman"/>
        </w:rPr>
      </w:pPr>
      <w:r>
        <w:rPr>
          <w:rFonts w:eastAsia="Times New Roman"/>
        </w:rPr>
        <w:pict>
          <v:rect id="_x0000_i1071" style="width:0;height:1.5pt" o:hralign="center" o:hrstd="t" o:hr="t" fillcolor="#a0a0a0" stroked="f"/>
        </w:pict>
      </w:r>
    </w:p>
    <w:p w:rsidR="00000000" w:rsidRDefault="00971A12">
      <w:pPr>
        <w:divId w:val="1419791793"/>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42299268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705"/>
        <w:gridCol w:w="36"/>
        <w:gridCol w:w="69"/>
        <w:gridCol w:w="7391"/>
        <w:gridCol w:w="36"/>
      </w:tblGrid>
      <w:tr w:rsidR="00000000">
        <w:trPr>
          <w:divId w:val="1396320305"/>
        </w:trPr>
        <w:tc>
          <w:tcPr>
            <w:tcW w:w="50" w:type="pct"/>
            <w:vAlign w:val="center"/>
            <w:hideMark/>
          </w:tcPr>
          <w:p w:rsidR="00000000" w:rsidRDefault="00971A12">
            <w:pPr>
              <w:rPr>
                <w:rFonts w:eastAsia="Times New Roman"/>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45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396320305"/>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20"/>
                <w:szCs w:val="20"/>
              </w:rPr>
              <w:t>ITEM 8.</w:t>
            </w: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i/>
                <w:iCs/>
                <w:color w:val="000000"/>
                <w:sz w:val="20"/>
                <w:szCs w:val="20"/>
              </w:rPr>
              <w:t>FINANCIAL STATEMENTS AND SUPPLEMENTARY DATA</w:t>
            </w:r>
          </w:p>
        </w:tc>
      </w:tr>
    </w:tbl>
    <w:p w:rsidR="00000000" w:rsidRDefault="00971A12">
      <w:pPr>
        <w:jc w:val="center"/>
        <w:divId w:val="1926189389"/>
        <w:rPr>
          <w:rFonts w:eastAsia="Times New Roman"/>
        </w:rPr>
      </w:pPr>
      <w:r>
        <w:rPr>
          <w:rFonts w:eastAsia="Times New Roman"/>
          <w:b/>
          <w:bCs/>
          <w:color w:val="000000"/>
          <w:sz w:val="20"/>
          <w:szCs w:val="20"/>
        </w:rPr>
        <w:t>INDEX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4"/>
        <w:gridCol w:w="7764"/>
        <w:gridCol w:w="39"/>
        <w:gridCol w:w="79"/>
        <w:gridCol w:w="324"/>
        <w:gridCol w:w="36"/>
      </w:tblGrid>
      <w:tr w:rsidR="00000000">
        <w:trPr>
          <w:divId w:val="508371906"/>
        </w:trPr>
        <w:tc>
          <w:tcPr>
            <w:tcW w:w="50" w:type="pct"/>
            <w:vAlign w:val="center"/>
            <w:hideMark/>
          </w:tcPr>
          <w:p w:rsidR="00000000" w:rsidRDefault="00971A12">
            <w:pPr>
              <w:jc w:val="center"/>
              <w:rPr>
                <w:rFonts w:eastAsia="Times New Roman"/>
              </w:rPr>
            </w:pPr>
          </w:p>
        </w:tc>
        <w:tc>
          <w:tcPr>
            <w:tcW w:w="468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20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508371906"/>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r>
              <w:rPr>
                <w:rFonts w:eastAsia="Times New Roman"/>
                <w:b/>
                <w:bCs/>
                <w:color w:val="000000"/>
                <w:sz w:val="18"/>
                <w:szCs w:val="18"/>
                <w:u w:val="single"/>
              </w:rPr>
              <w:t>Page</w:t>
            </w:r>
          </w:p>
        </w:tc>
      </w:tr>
      <w:tr w:rsidR="00000000">
        <w:trPr>
          <w:divId w:val="508371906"/>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18"/>
                <w:szCs w:val="18"/>
              </w:rPr>
              <w:t>comScore, Inc. Consolidated Financial Statements</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r>
      <w:tr w:rsidR="00000000">
        <w:trPr>
          <w:divId w:val="508371906"/>
        </w:trPr>
        <w:tc>
          <w:tcPr>
            <w:tcW w:w="0" w:type="auto"/>
            <w:gridSpan w:val="3"/>
            <w:tcMar>
              <w:top w:w="30" w:type="dxa"/>
              <w:left w:w="20" w:type="dxa"/>
              <w:bottom w:w="30" w:type="dxa"/>
              <w:right w:w="20" w:type="dxa"/>
            </w:tcMar>
            <w:vAlign w:val="bottom"/>
            <w:hideMark/>
          </w:tcPr>
          <w:p w:rsidR="00000000" w:rsidRDefault="00971A12">
            <w:pPr>
              <w:spacing w:after="100"/>
              <w:divId w:val="376777852"/>
              <w:rPr>
                <w:rFonts w:eastAsia="Times New Roman"/>
              </w:rPr>
            </w:pPr>
            <w:hyperlink w:anchor="i0047531bd13046b986557e31951e34f8_76" w:history="1">
              <w:r>
                <w:rPr>
                  <w:rStyle w:val="a3"/>
                  <w:rFonts w:eastAsia="Times New Roman"/>
                  <w:sz w:val="18"/>
                  <w:szCs w:val="18"/>
                </w:rPr>
                <w:t>REPORT OF INDEPENDENT REGISTERED PUBLIC ACCOUNTING FIRM</w:t>
              </w:r>
            </w:hyperlink>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76" w:history="1">
              <w:r>
                <w:rPr>
                  <w:rStyle w:val="a3"/>
                  <w:rFonts w:eastAsia="Times New Roman"/>
                  <w:sz w:val="18"/>
                  <w:szCs w:val="18"/>
                </w:rPr>
                <w:t>45</w:t>
              </w:r>
            </w:hyperlink>
          </w:p>
        </w:tc>
      </w:tr>
      <w:tr w:rsidR="00000000">
        <w:trPr>
          <w:divId w:val="508371906"/>
        </w:trPr>
        <w:tc>
          <w:tcPr>
            <w:tcW w:w="0" w:type="auto"/>
            <w:gridSpan w:val="3"/>
            <w:tcMar>
              <w:top w:w="30" w:type="dxa"/>
              <w:left w:w="20" w:type="dxa"/>
              <w:bottom w:w="30" w:type="dxa"/>
              <w:right w:w="20" w:type="dxa"/>
            </w:tcMar>
            <w:vAlign w:val="bottom"/>
            <w:hideMark/>
          </w:tcPr>
          <w:p w:rsidR="00000000" w:rsidRDefault="00971A12">
            <w:pPr>
              <w:spacing w:after="100"/>
              <w:divId w:val="492993664"/>
              <w:rPr>
                <w:rFonts w:eastAsia="Times New Roman"/>
              </w:rPr>
            </w:pPr>
            <w:hyperlink w:anchor="i0047531bd13046b986557e31951e34f8_79" w:history="1">
              <w:r>
                <w:rPr>
                  <w:rStyle w:val="a3"/>
                  <w:rFonts w:eastAsia="Times New Roman"/>
                  <w:sz w:val="18"/>
                  <w:szCs w:val="18"/>
                </w:rPr>
                <w:t>CONSOLIDATED BALANCE SHEETS</w:t>
              </w:r>
            </w:hyperlink>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79" w:history="1">
              <w:r>
                <w:rPr>
                  <w:rStyle w:val="a3"/>
                  <w:rFonts w:eastAsia="Times New Roman"/>
                  <w:sz w:val="18"/>
                  <w:szCs w:val="18"/>
                </w:rPr>
                <w:t>48</w:t>
              </w:r>
            </w:hyperlink>
          </w:p>
        </w:tc>
      </w:tr>
      <w:tr w:rsidR="00000000">
        <w:trPr>
          <w:divId w:val="508371906"/>
        </w:trPr>
        <w:tc>
          <w:tcPr>
            <w:tcW w:w="0" w:type="auto"/>
            <w:gridSpan w:val="3"/>
            <w:tcMar>
              <w:top w:w="30" w:type="dxa"/>
              <w:left w:w="20" w:type="dxa"/>
              <w:bottom w:w="30" w:type="dxa"/>
              <w:right w:w="20" w:type="dxa"/>
            </w:tcMar>
            <w:vAlign w:val="bottom"/>
            <w:hideMark/>
          </w:tcPr>
          <w:p w:rsidR="00000000" w:rsidRDefault="00971A12">
            <w:pPr>
              <w:spacing w:after="100"/>
              <w:divId w:val="1981881469"/>
              <w:rPr>
                <w:rFonts w:eastAsia="Times New Roman"/>
              </w:rPr>
            </w:pPr>
            <w:hyperlink w:anchor="i0047531bd13046b986557e31951e34f8_82" w:history="1">
              <w:r>
                <w:rPr>
                  <w:rStyle w:val="a3"/>
                  <w:rFonts w:eastAsia="Times New Roman"/>
                  <w:sz w:val="18"/>
                  <w:szCs w:val="18"/>
                </w:rPr>
                <w:t>CONSOLIDATED STATEMENTS OF OPERATIONS AND C</w:t>
              </w:r>
              <w:r>
                <w:rPr>
                  <w:rStyle w:val="a3"/>
                  <w:rFonts w:eastAsia="Times New Roman"/>
                  <w:sz w:val="18"/>
                  <w:szCs w:val="18"/>
                </w:rPr>
                <w:t>OMPREHENSIVE LOSS</w:t>
              </w:r>
            </w:hyperlink>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82" w:history="1">
              <w:r>
                <w:rPr>
                  <w:rStyle w:val="a3"/>
                  <w:rFonts w:eastAsia="Times New Roman"/>
                  <w:sz w:val="18"/>
                  <w:szCs w:val="18"/>
                </w:rPr>
                <w:t>49</w:t>
              </w:r>
            </w:hyperlink>
          </w:p>
        </w:tc>
      </w:tr>
      <w:tr w:rsidR="00000000">
        <w:trPr>
          <w:divId w:val="508371906"/>
        </w:trPr>
        <w:tc>
          <w:tcPr>
            <w:tcW w:w="0" w:type="auto"/>
            <w:gridSpan w:val="3"/>
            <w:tcMar>
              <w:top w:w="30" w:type="dxa"/>
              <w:left w:w="20" w:type="dxa"/>
              <w:bottom w:w="30" w:type="dxa"/>
              <w:right w:w="20" w:type="dxa"/>
            </w:tcMar>
            <w:vAlign w:val="bottom"/>
            <w:hideMark/>
          </w:tcPr>
          <w:p w:rsidR="00000000" w:rsidRDefault="00971A12">
            <w:pPr>
              <w:spacing w:after="100"/>
              <w:divId w:val="1923220363"/>
              <w:rPr>
                <w:rFonts w:eastAsia="Times New Roman"/>
              </w:rPr>
            </w:pPr>
            <w:hyperlink w:anchor="i0047531bd13046b986557e31951e34f8_85" w:history="1">
              <w:r>
                <w:rPr>
                  <w:rStyle w:val="a3"/>
                  <w:rFonts w:eastAsia="Times New Roman"/>
                  <w:sz w:val="18"/>
                  <w:szCs w:val="18"/>
                </w:rPr>
                <w:t xml:space="preserve">CONSOLIDATED STATEMENT OF CHANGES IN CONVERTIBLE REDEEMABLE PREFERRED STOCK AND STOCKHOLDERS' EQUITY </w:t>
              </w:r>
            </w:hyperlink>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85" w:history="1">
              <w:r>
                <w:rPr>
                  <w:rStyle w:val="a3"/>
                  <w:rFonts w:eastAsia="Times New Roman"/>
                  <w:sz w:val="18"/>
                  <w:szCs w:val="18"/>
                </w:rPr>
                <w:t>50</w:t>
              </w:r>
            </w:hyperlink>
          </w:p>
        </w:tc>
      </w:tr>
      <w:tr w:rsidR="00000000">
        <w:trPr>
          <w:divId w:val="508371906"/>
        </w:trPr>
        <w:tc>
          <w:tcPr>
            <w:tcW w:w="0" w:type="auto"/>
            <w:gridSpan w:val="3"/>
            <w:tcMar>
              <w:top w:w="30" w:type="dxa"/>
              <w:left w:w="20" w:type="dxa"/>
              <w:bottom w:w="30" w:type="dxa"/>
              <w:right w:w="20" w:type="dxa"/>
            </w:tcMar>
            <w:vAlign w:val="bottom"/>
            <w:hideMark/>
          </w:tcPr>
          <w:p w:rsidR="00000000" w:rsidRDefault="00971A12">
            <w:pPr>
              <w:spacing w:after="100"/>
              <w:divId w:val="8529634"/>
              <w:rPr>
                <w:rFonts w:eastAsia="Times New Roman"/>
              </w:rPr>
            </w:pPr>
            <w:hyperlink w:anchor="i0047531bd13046b986557e31951e34f8_88" w:history="1">
              <w:r>
                <w:rPr>
                  <w:rStyle w:val="a3"/>
                  <w:rFonts w:eastAsia="Times New Roman"/>
                  <w:sz w:val="18"/>
                  <w:szCs w:val="18"/>
                </w:rPr>
                <w:t xml:space="preserve">CONSOLIDATED STATEMENTS OF CASH FLOWS </w:t>
              </w:r>
            </w:hyperlink>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88" w:history="1">
              <w:r>
                <w:rPr>
                  <w:rStyle w:val="a3"/>
                  <w:rFonts w:eastAsia="Times New Roman"/>
                  <w:sz w:val="18"/>
                  <w:szCs w:val="18"/>
                </w:rPr>
                <w:t>51</w:t>
              </w:r>
            </w:hyperlink>
          </w:p>
        </w:tc>
      </w:tr>
      <w:tr w:rsidR="00000000">
        <w:trPr>
          <w:divId w:val="508371906"/>
        </w:trPr>
        <w:tc>
          <w:tcPr>
            <w:tcW w:w="0" w:type="auto"/>
            <w:gridSpan w:val="3"/>
            <w:tcMar>
              <w:top w:w="30" w:type="dxa"/>
              <w:left w:w="20" w:type="dxa"/>
              <w:bottom w:w="30" w:type="dxa"/>
              <w:right w:w="20" w:type="dxa"/>
            </w:tcMar>
            <w:vAlign w:val="bottom"/>
            <w:hideMark/>
          </w:tcPr>
          <w:p w:rsidR="00000000" w:rsidRDefault="00971A12">
            <w:pPr>
              <w:spacing w:after="100"/>
              <w:divId w:val="1035736320"/>
              <w:rPr>
                <w:rFonts w:eastAsia="Times New Roman"/>
              </w:rPr>
            </w:pPr>
            <w:hyperlink w:anchor="i0047531bd13046b986557e31951e34f8_91" w:history="1">
              <w:r>
                <w:rPr>
                  <w:rStyle w:val="a3"/>
                  <w:rFonts w:eastAsia="Times New Roman"/>
                  <w:sz w:val="18"/>
                  <w:szCs w:val="18"/>
                </w:rPr>
                <w:t xml:space="preserve">NOTES TO CONSOLIDATED FINANCIAL STATEMENTS </w:t>
              </w:r>
            </w:hyperlink>
          </w:p>
        </w:tc>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hyperlink w:anchor="i0047531bd13046b986557e31951e34f8_91" w:history="1">
              <w:r>
                <w:rPr>
                  <w:rStyle w:val="a3"/>
                  <w:rFonts w:eastAsia="Times New Roman"/>
                  <w:sz w:val="18"/>
                  <w:szCs w:val="18"/>
                </w:rPr>
                <w:t>53</w:t>
              </w:r>
            </w:hyperlink>
          </w:p>
        </w:tc>
      </w:tr>
    </w:tbl>
    <w:p w:rsidR="00000000" w:rsidRDefault="00971A12">
      <w:pPr>
        <w:jc w:val="center"/>
        <w:divId w:val="1586722951"/>
        <w:rPr>
          <w:rFonts w:eastAsia="Times New Roman"/>
        </w:rPr>
      </w:pPr>
      <w:r>
        <w:rPr>
          <w:rFonts w:eastAsia="Times New Roman"/>
          <w:color w:val="000000"/>
          <w:sz w:val="20"/>
          <w:szCs w:val="20"/>
        </w:rPr>
        <w:t>44</w:t>
      </w:r>
    </w:p>
    <w:p w:rsidR="00000000" w:rsidRDefault="00971A12">
      <w:pPr>
        <w:rPr>
          <w:rFonts w:eastAsia="Times New Roman"/>
        </w:rPr>
      </w:pPr>
      <w:r>
        <w:rPr>
          <w:rFonts w:eastAsia="Times New Roman"/>
        </w:rPr>
        <w:pict>
          <v:rect id="_x0000_i1072" style="width:0;height:1.5pt" o:hralign="center" o:hrstd="t" o:hr="t" fillcolor="#a0a0a0" stroked="f"/>
        </w:pict>
      </w:r>
    </w:p>
    <w:p w:rsidR="00000000" w:rsidRDefault="00971A12">
      <w:pPr>
        <w:divId w:val="493642189"/>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47139493"/>
        <w:rPr>
          <w:rFonts w:eastAsia="Times New Roman"/>
        </w:rPr>
      </w:pPr>
    </w:p>
    <w:p w:rsidR="00000000" w:rsidRDefault="00971A12">
      <w:pPr>
        <w:divId w:val="760838719"/>
        <w:rPr>
          <w:rFonts w:eastAsia="Times New Roman"/>
        </w:rPr>
      </w:pPr>
      <w:r>
        <w:rPr>
          <w:rFonts w:eastAsia="Times New Roman"/>
          <w:b/>
          <w:bCs/>
          <w:color w:val="000000"/>
          <w:sz w:val="20"/>
          <w:szCs w:val="20"/>
        </w:rPr>
        <w:t>REPORT OF INDEPENDENT REGISTERED PUBLIC ACCOUNTING FIRM</w:t>
      </w:r>
    </w:p>
    <w:p w:rsidR="00000000" w:rsidRDefault="00971A12">
      <w:pPr>
        <w:divId w:val="1925332996"/>
        <w:rPr>
          <w:rFonts w:eastAsia="Times New Roman"/>
        </w:rPr>
      </w:pPr>
      <w:r>
        <w:rPr>
          <w:rFonts w:eastAsia="Times New Roman"/>
          <w:color w:val="000000"/>
          <w:sz w:val="20"/>
          <w:szCs w:val="20"/>
        </w:rPr>
        <w:t xml:space="preserve">To the stockholders and the Board of Directors of comScore, Inc. </w:t>
      </w:r>
    </w:p>
    <w:p w:rsidR="00000000" w:rsidRDefault="00971A12">
      <w:pPr>
        <w:divId w:val="1865631917"/>
        <w:rPr>
          <w:rFonts w:eastAsia="Times New Roman"/>
        </w:rPr>
      </w:pPr>
      <w:r>
        <w:rPr>
          <w:rFonts w:eastAsia="Times New Roman"/>
          <w:b/>
          <w:bCs/>
          <w:color w:val="000000"/>
          <w:sz w:val="20"/>
          <w:szCs w:val="20"/>
        </w:rPr>
        <w:t>Opinion on the Financial Statements</w:t>
      </w:r>
    </w:p>
    <w:p w:rsidR="00000000" w:rsidRDefault="00971A12">
      <w:pPr>
        <w:jc w:val="both"/>
        <w:divId w:val="855461190"/>
        <w:rPr>
          <w:rFonts w:eastAsia="Times New Roman"/>
        </w:rPr>
      </w:pPr>
      <w:r>
        <w:rPr>
          <w:rFonts w:eastAsia="Times New Roman"/>
          <w:color w:val="000000"/>
          <w:sz w:val="20"/>
          <w:szCs w:val="20"/>
        </w:rPr>
        <w:t>We have audited the accompanying consolidated balance sheets of comScore, Inc. and subsidiaries (t</w:t>
      </w:r>
      <w:r>
        <w:rPr>
          <w:rFonts w:eastAsia="Times New Roman"/>
          <w:color w:val="000000"/>
          <w:sz w:val="20"/>
          <w:szCs w:val="20"/>
        </w:rPr>
        <w:t>he "Company") as of December 31, 2022 and 2021, the related consolidated statements of operations and comprehensive loss, convertible redeemable preferred stock and stockholders' equity, and cash flows, for each of the three years in the period ended Decem</w:t>
      </w:r>
      <w:r>
        <w:rPr>
          <w:rFonts w:eastAsia="Times New Roman"/>
          <w:color w:val="000000"/>
          <w:sz w:val="20"/>
          <w:szCs w:val="20"/>
        </w:rPr>
        <w:t>ber 31, 2022, and the related notes (collectively referred to as the "financial statements"). In our opinion, the financial statements present fairly, in all material respects, the financial position of the Company as of December 31, 2022 and 2021, and the</w:t>
      </w:r>
      <w:r>
        <w:rPr>
          <w:rFonts w:eastAsia="Times New Roman"/>
          <w:color w:val="000000"/>
          <w:sz w:val="20"/>
          <w:szCs w:val="20"/>
        </w:rPr>
        <w:t xml:space="preserve"> results of its operations and its cash flows for each of the three years in the period ended December 31, 2022, in conformity with accounting principles generally accepted in the United States of America.</w:t>
      </w:r>
    </w:p>
    <w:p w:rsidR="00000000" w:rsidRDefault="00971A12">
      <w:pPr>
        <w:jc w:val="both"/>
        <w:divId w:val="606473703"/>
        <w:rPr>
          <w:rFonts w:eastAsia="Times New Roman"/>
        </w:rPr>
      </w:pPr>
      <w:r>
        <w:rPr>
          <w:rFonts w:eastAsia="Times New Roman"/>
          <w:color w:val="000000"/>
          <w:sz w:val="20"/>
          <w:szCs w:val="20"/>
        </w:rPr>
        <w:t xml:space="preserve">We have also audited, in accordance with the standards of the Public Company Accounting Oversight Board (United States) ("PCAOB"), the Company's internal control over financial reporting as of December 31, 2022, based on criteria established in </w:t>
      </w:r>
      <w:r>
        <w:rPr>
          <w:rFonts w:eastAsia="Times New Roman"/>
          <w:i/>
          <w:iCs/>
          <w:color w:val="000000"/>
          <w:sz w:val="20"/>
          <w:szCs w:val="20"/>
        </w:rPr>
        <w:t>Internal Co</w:t>
      </w:r>
      <w:r>
        <w:rPr>
          <w:rFonts w:eastAsia="Times New Roman"/>
          <w:i/>
          <w:iCs/>
          <w:color w:val="000000"/>
          <w:sz w:val="20"/>
          <w:szCs w:val="20"/>
        </w:rPr>
        <w:t>ntrol – Integrated Framework (2013)</w:t>
      </w:r>
      <w:r>
        <w:rPr>
          <w:rFonts w:eastAsia="Times New Roman"/>
          <w:color w:val="000000"/>
          <w:sz w:val="20"/>
          <w:szCs w:val="20"/>
        </w:rPr>
        <w:t xml:space="preserve"> issued by the Committee of Sponsoring Organizations of the Treadway Commission and our report dated March 1, 2023, expressed an unqualified opinion on the Company's internal control over financial reporting.</w:t>
      </w:r>
    </w:p>
    <w:p w:rsidR="00000000" w:rsidRDefault="00971A12">
      <w:pPr>
        <w:divId w:val="1464469213"/>
        <w:rPr>
          <w:rFonts w:eastAsia="Times New Roman"/>
        </w:rPr>
      </w:pPr>
      <w:r>
        <w:rPr>
          <w:rFonts w:eastAsia="Times New Roman"/>
          <w:b/>
          <w:bCs/>
          <w:color w:val="000000"/>
          <w:sz w:val="20"/>
          <w:szCs w:val="20"/>
        </w:rPr>
        <w:t>Basis for Op</w:t>
      </w:r>
      <w:r>
        <w:rPr>
          <w:rFonts w:eastAsia="Times New Roman"/>
          <w:b/>
          <w:bCs/>
          <w:color w:val="000000"/>
          <w:sz w:val="20"/>
          <w:szCs w:val="20"/>
        </w:rPr>
        <w:t>inion</w:t>
      </w:r>
    </w:p>
    <w:p w:rsidR="00000000" w:rsidRDefault="00971A12">
      <w:pPr>
        <w:jc w:val="both"/>
        <w:divId w:val="1446970196"/>
        <w:rPr>
          <w:rFonts w:eastAsia="Times New Roman"/>
        </w:rPr>
      </w:pPr>
      <w:r>
        <w:rPr>
          <w:rFonts w:eastAsia="Times New Roman"/>
          <w:color w:val="000000"/>
          <w:sz w:val="20"/>
          <w:szCs w:val="20"/>
        </w:rPr>
        <w:t>These financial statements are the responsibility of the Company's management. Our responsibility is to express an opinion on the Company's financial statements based on our audits. We are a public accounting firm registered with the PCAOB and are re</w:t>
      </w:r>
      <w:r>
        <w:rPr>
          <w:rFonts w:eastAsia="Times New Roman"/>
          <w:color w:val="000000"/>
          <w:sz w:val="20"/>
          <w:szCs w:val="20"/>
        </w:rPr>
        <w:t>quired to be independent with respect to the Company in accordance with the U.S. federal securities laws and the applicable rules and regulations of the Securities and Exchange Commission and the PCAOB.</w:t>
      </w:r>
    </w:p>
    <w:p w:rsidR="00000000" w:rsidRDefault="00971A12">
      <w:pPr>
        <w:jc w:val="both"/>
        <w:divId w:val="1224096060"/>
        <w:rPr>
          <w:rFonts w:eastAsia="Times New Roman"/>
        </w:rPr>
      </w:pPr>
      <w:r>
        <w:rPr>
          <w:rFonts w:eastAsia="Times New Roman"/>
          <w:color w:val="000000"/>
          <w:sz w:val="20"/>
          <w:szCs w:val="20"/>
        </w:rPr>
        <w:t>We conducted our audits in accordance with the standa</w:t>
      </w:r>
      <w:r>
        <w:rPr>
          <w:rFonts w:eastAsia="Times New Roman"/>
          <w:color w:val="000000"/>
          <w:sz w:val="20"/>
          <w:szCs w:val="20"/>
        </w:rPr>
        <w:t>rds of the PCAOB. Those standards require that we plan and perform the audit to obtain reasonable assurance about whether the financial statements are free of material misstatement, whether due to error or fraud. Our audits included performing procedures t</w:t>
      </w:r>
      <w:r>
        <w:rPr>
          <w:rFonts w:eastAsia="Times New Roman"/>
          <w:color w:val="000000"/>
          <w:sz w:val="20"/>
          <w:szCs w:val="20"/>
        </w:rPr>
        <w:t>o assess the risks of material misstatement of the financial statements, whether due to error or fraud, and performing procedures that respond to those risks. Such procedures included examining, on a test basis, evidence regarding the amounts and disclosur</w:t>
      </w:r>
      <w:r>
        <w:rPr>
          <w:rFonts w:eastAsia="Times New Roman"/>
          <w:color w:val="000000"/>
          <w:sz w:val="20"/>
          <w:szCs w:val="20"/>
        </w:rPr>
        <w:t xml:space="preserve">es in the financial statements. Our audits also included evaluating the accounting principles used and significant estimates made by management, as well as evaluating the overall presentation of the financial statements. We believe that our audits provide </w:t>
      </w:r>
      <w:r>
        <w:rPr>
          <w:rFonts w:eastAsia="Times New Roman"/>
          <w:color w:val="000000"/>
          <w:sz w:val="20"/>
          <w:szCs w:val="20"/>
        </w:rPr>
        <w:t>a reasonable basis for our opinion.</w:t>
      </w:r>
    </w:p>
    <w:p w:rsidR="00000000" w:rsidRDefault="00971A12">
      <w:pPr>
        <w:divId w:val="1094207595"/>
        <w:rPr>
          <w:rFonts w:eastAsia="Times New Roman"/>
        </w:rPr>
      </w:pPr>
      <w:r>
        <w:rPr>
          <w:rFonts w:eastAsia="Times New Roman"/>
          <w:b/>
          <w:bCs/>
          <w:color w:val="000000"/>
          <w:sz w:val="20"/>
          <w:szCs w:val="20"/>
        </w:rPr>
        <w:t>Critical Audit Matters</w:t>
      </w:r>
    </w:p>
    <w:p w:rsidR="00000000" w:rsidRDefault="00971A12">
      <w:pPr>
        <w:jc w:val="both"/>
        <w:divId w:val="1048533279"/>
        <w:rPr>
          <w:rFonts w:eastAsia="Times New Roman"/>
        </w:rPr>
      </w:pPr>
      <w:r>
        <w:rPr>
          <w:rFonts w:eastAsia="Times New Roman"/>
          <w:color w:val="000000"/>
          <w:sz w:val="20"/>
          <w:szCs w:val="20"/>
        </w:rPr>
        <w:t>The critical audit matters communicated below are matters arising from the current-period audit of the financial statements that were communicated or required to be communicated to the audit commit</w:t>
      </w:r>
      <w:r>
        <w:rPr>
          <w:rFonts w:eastAsia="Times New Roman"/>
          <w:color w:val="000000"/>
          <w:sz w:val="20"/>
          <w:szCs w:val="20"/>
        </w:rPr>
        <w:t>tee and that (1) relate to accounts or disclosures that are material to the financial statements and (2) involved our especially challenging, subjective, or complex judgments. The communication of critical audit matters does not alter in any way our opinio</w:t>
      </w:r>
      <w:r>
        <w:rPr>
          <w:rFonts w:eastAsia="Times New Roman"/>
          <w:color w:val="000000"/>
          <w:sz w:val="20"/>
          <w:szCs w:val="20"/>
        </w:rPr>
        <w:t>n on the financial statements, taken as a whole, and we are not, by communicating the critical audit matters below, providing separate opinions on the critical audit matters or on the accounts or disclosures to which they relate.</w:t>
      </w:r>
    </w:p>
    <w:p w:rsidR="00000000" w:rsidRDefault="00971A12">
      <w:pPr>
        <w:divId w:val="568081035"/>
        <w:rPr>
          <w:rFonts w:eastAsia="Times New Roman"/>
        </w:rPr>
      </w:pPr>
      <w:r>
        <w:rPr>
          <w:rFonts w:eastAsia="Times New Roman"/>
          <w:b/>
          <w:bCs/>
          <w:i/>
          <w:iCs/>
          <w:color w:val="000000"/>
          <w:sz w:val="20"/>
          <w:szCs w:val="20"/>
        </w:rPr>
        <w:t>Revenues – Certain Complex</w:t>
      </w:r>
      <w:r>
        <w:rPr>
          <w:rFonts w:eastAsia="Times New Roman"/>
          <w:b/>
          <w:bCs/>
          <w:i/>
          <w:iCs/>
          <w:color w:val="000000"/>
          <w:sz w:val="20"/>
          <w:szCs w:val="20"/>
        </w:rPr>
        <w:t xml:space="preserve"> Contracts – Refer to Notes 2 and 4 to the financial statements</w:t>
      </w:r>
    </w:p>
    <w:p w:rsidR="00000000" w:rsidRDefault="00971A12">
      <w:pPr>
        <w:divId w:val="138965049"/>
        <w:rPr>
          <w:rFonts w:eastAsia="Times New Roman"/>
        </w:rPr>
      </w:pPr>
      <w:r>
        <w:rPr>
          <w:rFonts w:eastAsia="Times New Roman"/>
          <w:i/>
          <w:iCs/>
          <w:color w:val="000000"/>
          <w:sz w:val="20"/>
          <w:szCs w:val="20"/>
        </w:rPr>
        <w:t>Critical Audit Matter Description</w:t>
      </w:r>
    </w:p>
    <w:p w:rsidR="00000000" w:rsidRDefault="00971A12">
      <w:pPr>
        <w:jc w:val="both"/>
        <w:divId w:val="1790466561"/>
        <w:rPr>
          <w:rFonts w:eastAsia="Times New Roman"/>
        </w:rPr>
      </w:pPr>
      <w:r>
        <w:rPr>
          <w:rFonts w:eastAsia="Times New Roman"/>
          <w:color w:val="000000"/>
          <w:sz w:val="20"/>
          <w:szCs w:val="20"/>
        </w:rPr>
        <w:t xml:space="preserve">The Company recognizes revenue under the core principle to depict the transfer of control to its customers in an amount reflecting the consideration to which </w:t>
      </w:r>
      <w:r>
        <w:rPr>
          <w:rFonts w:eastAsia="Times New Roman"/>
          <w:color w:val="000000"/>
          <w:sz w:val="20"/>
          <w:szCs w:val="20"/>
        </w:rPr>
        <w:t>it expects to be entitled. The Company's contracts with customers may include multiple promised goods and services. Contracts with multiple performance obligations typically consist of a mix of subscriptions to the Company's online database, customized dat</w:t>
      </w:r>
      <w:r>
        <w:rPr>
          <w:rFonts w:eastAsia="Times New Roman"/>
          <w:color w:val="000000"/>
          <w:sz w:val="20"/>
          <w:szCs w:val="20"/>
        </w:rPr>
        <w:t>a services, and delivery of periodic custom reports based on information obtained from the database. In such cases, the Company identifies performance obligations by evaluating whether the promised goods and services are capable of being distinct and disti</w:t>
      </w:r>
      <w:r>
        <w:rPr>
          <w:rFonts w:eastAsia="Times New Roman"/>
          <w:color w:val="000000"/>
          <w:sz w:val="20"/>
          <w:szCs w:val="20"/>
        </w:rPr>
        <w:t xml:space="preserve">nct within the context of the contract at contract inception. Promised goods and services that are not distinct at contract inception are combined as one performance obligation. </w:t>
      </w:r>
    </w:p>
    <w:p w:rsidR="00000000" w:rsidRDefault="00971A12">
      <w:pPr>
        <w:jc w:val="both"/>
        <w:divId w:val="1873496499"/>
        <w:rPr>
          <w:rFonts w:eastAsia="Times New Roman"/>
        </w:rPr>
      </w:pPr>
      <w:r>
        <w:rPr>
          <w:rFonts w:eastAsia="Times New Roman"/>
          <w:color w:val="000000"/>
          <w:sz w:val="20"/>
          <w:szCs w:val="20"/>
        </w:rPr>
        <w:t>Once the Company identifies the performance obligations, the Company will det</w:t>
      </w:r>
      <w:r>
        <w:rPr>
          <w:rFonts w:eastAsia="Times New Roman"/>
          <w:color w:val="000000"/>
          <w:sz w:val="20"/>
          <w:szCs w:val="20"/>
        </w:rPr>
        <w:t>ermine the transaction price based on contractually fixed amounts and an estimate of variable consideration. In general, the transaction price is determined by estimating the fixed amount of consideration to which the Company is entitled for transfer of go</w:t>
      </w:r>
      <w:r>
        <w:rPr>
          <w:rFonts w:eastAsia="Times New Roman"/>
          <w:color w:val="000000"/>
          <w:sz w:val="20"/>
          <w:szCs w:val="20"/>
        </w:rPr>
        <w:t>ods and services and all relevant sources and components of variable consideration. Variable consideration is estimated based on the most likely amount or expected value approach, depending on which method the Company expects to better predict the amount o</w:t>
      </w:r>
      <w:r>
        <w:rPr>
          <w:rFonts w:eastAsia="Times New Roman"/>
          <w:color w:val="000000"/>
          <w:sz w:val="20"/>
          <w:szCs w:val="20"/>
        </w:rPr>
        <w:t>f consideration to which it will be entitled. Once the Company elects one of the methods to estimate variable consideration for a particular type of performance obligation, the Company will apply that method consistently. Estimates of variable consideratio</w:t>
      </w:r>
      <w:r>
        <w:rPr>
          <w:rFonts w:eastAsia="Times New Roman"/>
          <w:color w:val="000000"/>
          <w:sz w:val="20"/>
          <w:szCs w:val="20"/>
        </w:rPr>
        <w:t>n are subject to constraint based on expected recovery from the customer.</w:t>
      </w:r>
    </w:p>
    <w:p w:rsidR="00000000" w:rsidRDefault="00971A12">
      <w:pPr>
        <w:jc w:val="both"/>
        <w:divId w:val="1794979899"/>
        <w:rPr>
          <w:rFonts w:eastAsia="Times New Roman"/>
        </w:rPr>
      </w:pPr>
      <w:r>
        <w:rPr>
          <w:rFonts w:eastAsia="Times New Roman"/>
          <w:color w:val="000000"/>
          <w:sz w:val="20"/>
          <w:szCs w:val="20"/>
        </w:rPr>
        <w:t>The Company allocates the transaction price to each performance obligation based on relative standalone selling price ("SSP"). The Company recognizes revenue when (or as) it satisfie</w:t>
      </w:r>
      <w:r>
        <w:rPr>
          <w:rFonts w:eastAsia="Times New Roman"/>
          <w:color w:val="000000"/>
          <w:sz w:val="20"/>
          <w:szCs w:val="20"/>
        </w:rPr>
        <w:t>s a performance obligation by transferring promised goods or services to a customer. Customers may obtain the control of promised goods or services over time or at a point in time.</w:t>
      </w:r>
    </w:p>
    <w:p w:rsidR="00000000" w:rsidRDefault="00971A12">
      <w:pPr>
        <w:jc w:val="center"/>
        <w:divId w:val="1367024779"/>
        <w:rPr>
          <w:rFonts w:eastAsia="Times New Roman"/>
        </w:rPr>
      </w:pPr>
      <w:r>
        <w:rPr>
          <w:rFonts w:eastAsia="Times New Roman"/>
          <w:color w:val="000000"/>
          <w:sz w:val="20"/>
          <w:szCs w:val="20"/>
        </w:rPr>
        <w:t>45</w:t>
      </w:r>
    </w:p>
    <w:p w:rsidR="00000000" w:rsidRDefault="00971A12">
      <w:pPr>
        <w:rPr>
          <w:rFonts w:eastAsia="Times New Roman"/>
        </w:rPr>
      </w:pPr>
      <w:r>
        <w:rPr>
          <w:rFonts w:eastAsia="Times New Roman"/>
        </w:rPr>
        <w:pict>
          <v:rect id="_x0000_i1073" style="width:0;height:1.5pt" o:hralign="center" o:hrstd="t" o:hr="t" fillcolor="#a0a0a0" stroked="f"/>
        </w:pict>
      </w:r>
    </w:p>
    <w:p w:rsidR="00000000" w:rsidRDefault="00971A12">
      <w:pPr>
        <w:divId w:val="1537738903"/>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507599506"/>
        <w:rPr>
          <w:rFonts w:eastAsia="Times New Roman"/>
        </w:rPr>
      </w:pPr>
    </w:p>
    <w:p w:rsidR="00000000" w:rsidRDefault="00971A12">
      <w:pPr>
        <w:jc w:val="both"/>
        <w:divId w:val="1853759388"/>
        <w:rPr>
          <w:rFonts w:eastAsia="Times New Roman"/>
        </w:rPr>
      </w:pPr>
      <w:r>
        <w:rPr>
          <w:rFonts w:eastAsia="Times New Roman"/>
          <w:color w:val="000000"/>
          <w:sz w:val="20"/>
          <w:szCs w:val="20"/>
        </w:rPr>
        <w:t>Given the complexity of certain of the Company's contracts, we concluded that revenue recognition from these contracts represents a critical audit matter because of the judgments necessary for management to identify performance obligations, determine the t</w:t>
      </w:r>
      <w:r>
        <w:rPr>
          <w:rFonts w:eastAsia="Times New Roman"/>
          <w:color w:val="000000"/>
          <w:sz w:val="20"/>
          <w:szCs w:val="20"/>
        </w:rPr>
        <w:t>ransaction price, allocate transaction price to the performance obligations and recognize revenue when performance obligations are satisfied. Performing audit procedures related to revenue recognition for these contracts required more extensive audit effor</w:t>
      </w:r>
      <w:r>
        <w:rPr>
          <w:rFonts w:eastAsia="Times New Roman"/>
          <w:color w:val="000000"/>
          <w:sz w:val="20"/>
          <w:szCs w:val="20"/>
        </w:rPr>
        <w:t>t and a higher degree of auditor judgment.</w:t>
      </w:r>
    </w:p>
    <w:p w:rsidR="00000000" w:rsidRDefault="00971A12">
      <w:pPr>
        <w:jc w:val="both"/>
        <w:divId w:val="677923407"/>
        <w:rPr>
          <w:rFonts w:eastAsia="Times New Roman"/>
        </w:rPr>
      </w:pPr>
      <w:r>
        <w:rPr>
          <w:rFonts w:eastAsia="Times New Roman"/>
          <w:i/>
          <w:iCs/>
          <w:color w:val="000000"/>
          <w:sz w:val="20"/>
          <w:szCs w:val="20"/>
        </w:rPr>
        <w:t>How the Critical Audit Matter Was Addressed in the Audit</w:t>
      </w:r>
    </w:p>
    <w:p w:rsidR="00000000" w:rsidRDefault="00971A12">
      <w:pPr>
        <w:jc w:val="both"/>
        <w:divId w:val="1365054543"/>
        <w:rPr>
          <w:rFonts w:eastAsia="Times New Roman"/>
        </w:rPr>
      </w:pPr>
      <w:r>
        <w:rPr>
          <w:rFonts w:eastAsia="Times New Roman"/>
          <w:color w:val="000000"/>
          <w:sz w:val="20"/>
          <w:szCs w:val="20"/>
        </w:rPr>
        <w:t>Our audit procedures related to evaluating the significant estimates and judgments used by management in the determination of the accounting for certain mor</w:t>
      </w:r>
      <w:r>
        <w:rPr>
          <w:rFonts w:eastAsia="Times New Roman"/>
          <w:color w:val="000000"/>
          <w:sz w:val="20"/>
          <w:szCs w:val="20"/>
        </w:rPr>
        <w:t>e complex revenue contracts, including the identification of performance obligations, determination of the transaction price, allocation of the transaction price to the performance obligations and recognition of revenue when performance obligations are sat</w:t>
      </w:r>
      <w:r>
        <w:rPr>
          <w:rFonts w:eastAsia="Times New Roman"/>
          <w:color w:val="000000"/>
          <w:sz w:val="20"/>
          <w:szCs w:val="20"/>
        </w:rPr>
        <w:t>isfied, included the following, among others:</w:t>
      </w:r>
    </w:p>
    <w:p w:rsidR="00000000" w:rsidRDefault="00971A12">
      <w:pPr>
        <w:ind w:hanging="360"/>
        <w:jc w:val="both"/>
        <w:divId w:val="364411640"/>
        <w:rPr>
          <w:rFonts w:eastAsia="Times New Roman"/>
        </w:rPr>
      </w:pPr>
      <w:r>
        <w:rPr>
          <w:rFonts w:eastAsia="Times New Roman"/>
          <w:color w:val="000000"/>
          <w:sz w:val="20"/>
          <w:szCs w:val="20"/>
        </w:rPr>
        <w:t>•We tested the effectiveness of controls, including controls over the identification of performance obligations, determination of the transaction price, allocation of the transaction price, and determination of</w:t>
      </w:r>
      <w:r>
        <w:rPr>
          <w:rFonts w:eastAsia="Times New Roman"/>
          <w:color w:val="000000"/>
          <w:sz w:val="20"/>
          <w:szCs w:val="20"/>
        </w:rPr>
        <w:t xml:space="preserve"> when performance obligations are satisfied.</w:t>
      </w:r>
    </w:p>
    <w:p w:rsidR="00000000" w:rsidRDefault="00971A12">
      <w:pPr>
        <w:ind w:hanging="360"/>
        <w:jc w:val="both"/>
        <w:divId w:val="897663698"/>
        <w:rPr>
          <w:rFonts w:eastAsia="Times New Roman"/>
        </w:rPr>
      </w:pPr>
      <w:r>
        <w:rPr>
          <w:rFonts w:eastAsia="Times New Roman"/>
          <w:color w:val="000000"/>
          <w:sz w:val="20"/>
          <w:szCs w:val="20"/>
        </w:rPr>
        <w:t>•For a selection of revenue contracts identified as having more complex terms, we performed the following:</w:t>
      </w:r>
    </w:p>
    <w:p w:rsidR="00000000" w:rsidRDefault="00971A12">
      <w:pPr>
        <w:spacing w:before="60"/>
        <w:ind w:hanging="360"/>
        <w:jc w:val="both"/>
        <w:divId w:val="302274808"/>
        <w:rPr>
          <w:rFonts w:eastAsia="Times New Roman"/>
        </w:rPr>
      </w:pPr>
      <w:r>
        <w:rPr>
          <w:rFonts w:eastAsia="Times New Roman"/>
          <w:color w:val="000000"/>
          <w:sz w:val="20"/>
          <w:szCs w:val="20"/>
        </w:rPr>
        <w:t>◦</w:t>
      </w:r>
      <w:r>
        <w:rPr>
          <w:rFonts w:eastAsia="Times New Roman"/>
          <w:color w:val="000000"/>
          <w:sz w:val="20"/>
          <w:szCs w:val="20"/>
        </w:rPr>
        <w:t>Analyzed the contract to determine if all arrangement terms that may have an impact on revenue recognit</w:t>
      </w:r>
      <w:r>
        <w:rPr>
          <w:rFonts w:eastAsia="Times New Roman"/>
          <w:color w:val="000000"/>
          <w:sz w:val="20"/>
          <w:szCs w:val="20"/>
        </w:rPr>
        <w:t>ion were identified and independently evaluated management's accounting for the contract.</w:t>
      </w:r>
    </w:p>
    <w:p w:rsidR="00000000" w:rsidRDefault="00971A12">
      <w:pPr>
        <w:spacing w:before="60"/>
        <w:ind w:hanging="360"/>
        <w:jc w:val="both"/>
        <w:divId w:val="1206454944"/>
        <w:rPr>
          <w:rFonts w:eastAsia="Times New Roman"/>
        </w:rPr>
      </w:pPr>
      <w:r>
        <w:rPr>
          <w:rFonts w:eastAsia="Times New Roman"/>
          <w:color w:val="000000"/>
          <w:sz w:val="20"/>
          <w:szCs w:val="20"/>
        </w:rPr>
        <w:t>◦</w:t>
      </w:r>
      <w:r>
        <w:rPr>
          <w:rFonts w:eastAsia="Times New Roman"/>
          <w:color w:val="000000"/>
          <w:sz w:val="20"/>
          <w:szCs w:val="20"/>
        </w:rPr>
        <w:t>Tested management's identification of distinct performance obligations by evaluating whether the underlying goods, services, or both were capable of being distinct a</w:t>
      </w:r>
      <w:r>
        <w:rPr>
          <w:rFonts w:eastAsia="Times New Roman"/>
          <w:color w:val="000000"/>
          <w:sz w:val="20"/>
          <w:szCs w:val="20"/>
        </w:rPr>
        <w:t>nd distinct within the context of the contract.</w:t>
      </w:r>
    </w:p>
    <w:p w:rsidR="00000000" w:rsidRDefault="00971A12">
      <w:pPr>
        <w:spacing w:before="60"/>
        <w:ind w:hanging="360"/>
        <w:jc w:val="both"/>
        <w:divId w:val="789519412"/>
        <w:rPr>
          <w:rFonts w:eastAsia="Times New Roman"/>
        </w:rPr>
      </w:pPr>
      <w:r>
        <w:rPr>
          <w:rFonts w:eastAsia="Times New Roman"/>
          <w:color w:val="000000"/>
          <w:sz w:val="20"/>
          <w:szCs w:val="20"/>
        </w:rPr>
        <w:t>◦</w:t>
      </w:r>
      <w:r>
        <w:rPr>
          <w:rFonts w:eastAsia="Times New Roman"/>
          <w:color w:val="000000"/>
          <w:sz w:val="20"/>
          <w:szCs w:val="20"/>
        </w:rPr>
        <w:t>Tested the contract value allocation based on the Company's standalone selling price (SSP) through the performance of our revenue testing. We also evaluated the risks related to the Company's SSP determinati</w:t>
      </w:r>
      <w:r>
        <w:rPr>
          <w:rFonts w:eastAsia="Times New Roman"/>
          <w:color w:val="000000"/>
          <w:sz w:val="20"/>
          <w:szCs w:val="20"/>
        </w:rPr>
        <w:t>on.</w:t>
      </w:r>
    </w:p>
    <w:p w:rsidR="00000000" w:rsidRDefault="00971A12">
      <w:pPr>
        <w:spacing w:before="60"/>
        <w:ind w:hanging="360"/>
        <w:jc w:val="both"/>
        <w:divId w:val="2129817710"/>
        <w:rPr>
          <w:rFonts w:eastAsia="Times New Roman"/>
        </w:rPr>
      </w:pPr>
      <w:r>
        <w:rPr>
          <w:rFonts w:eastAsia="Times New Roman"/>
          <w:color w:val="000000"/>
          <w:sz w:val="20"/>
          <w:szCs w:val="20"/>
        </w:rPr>
        <w:t>◦</w:t>
      </w:r>
      <w:r>
        <w:rPr>
          <w:rFonts w:eastAsia="Times New Roman"/>
          <w:color w:val="000000"/>
          <w:sz w:val="20"/>
          <w:szCs w:val="20"/>
        </w:rPr>
        <w:t>Tested the timing of revenue recognition by evaluating whether revenue should be recognized over time or at a point in time, and whether the revenue was recognized in the appropriate period by examining evidence of delivery or access to support the ti</w:t>
      </w:r>
      <w:r>
        <w:rPr>
          <w:rFonts w:eastAsia="Times New Roman"/>
          <w:color w:val="000000"/>
          <w:sz w:val="20"/>
          <w:szCs w:val="20"/>
        </w:rPr>
        <w:t>ming of revenue recognition based on the product or service type.</w:t>
      </w:r>
    </w:p>
    <w:p w:rsidR="00000000" w:rsidRDefault="00971A12">
      <w:pPr>
        <w:spacing w:before="60"/>
        <w:ind w:hanging="360"/>
        <w:jc w:val="both"/>
        <w:divId w:val="1743403210"/>
        <w:rPr>
          <w:rFonts w:eastAsia="Times New Roman"/>
        </w:rPr>
      </w:pPr>
      <w:r>
        <w:rPr>
          <w:rFonts w:eastAsia="Times New Roman"/>
          <w:color w:val="000000"/>
          <w:sz w:val="20"/>
          <w:szCs w:val="20"/>
        </w:rPr>
        <w:t>◦</w:t>
      </w:r>
      <w:r>
        <w:rPr>
          <w:rFonts w:eastAsia="Times New Roman"/>
          <w:color w:val="000000"/>
          <w:sz w:val="20"/>
          <w:szCs w:val="20"/>
        </w:rPr>
        <w:t>Tested the mathematical accuracy of management's calculation of revenue.</w:t>
      </w:r>
    </w:p>
    <w:p w:rsidR="00000000" w:rsidRDefault="00971A12">
      <w:pPr>
        <w:jc w:val="both"/>
        <w:divId w:val="809715138"/>
        <w:rPr>
          <w:rFonts w:eastAsia="Times New Roman"/>
        </w:rPr>
      </w:pPr>
      <w:r>
        <w:rPr>
          <w:rFonts w:eastAsia="Times New Roman"/>
          <w:b/>
          <w:bCs/>
          <w:i/>
          <w:iCs/>
          <w:color w:val="000000"/>
          <w:sz w:val="20"/>
          <w:szCs w:val="20"/>
        </w:rPr>
        <w:t>Goodwill – Goodwill Impairment Analysis – Refer to Notes 2 and 10 to the financial statements</w:t>
      </w:r>
    </w:p>
    <w:p w:rsidR="00000000" w:rsidRDefault="00971A12">
      <w:pPr>
        <w:jc w:val="both"/>
        <w:divId w:val="1109472302"/>
        <w:rPr>
          <w:rFonts w:eastAsia="Times New Roman"/>
        </w:rPr>
      </w:pPr>
      <w:r>
        <w:rPr>
          <w:rFonts w:eastAsia="Times New Roman"/>
          <w:i/>
          <w:iCs/>
          <w:color w:val="000000"/>
          <w:sz w:val="20"/>
          <w:szCs w:val="20"/>
        </w:rPr>
        <w:t xml:space="preserve">Critical Audit Matter </w:t>
      </w:r>
      <w:r>
        <w:rPr>
          <w:rFonts w:eastAsia="Times New Roman"/>
          <w:i/>
          <w:iCs/>
          <w:color w:val="000000"/>
          <w:sz w:val="20"/>
          <w:szCs w:val="20"/>
        </w:rPr>
        <w:t>Description</w:t>
      </w:r>
    </w:p>
    <w:p w:rsidR="00000000" w:rsidRDefault="00971A12">
      <w:pPr>
        <w:jc w:val="both"/>
        <w:divId w:val="1570263834"/>
        <w:rPr>
          <w:rFonts w:eastAsia="Times New Roman"/>
        </w:rPr>
      </w:pPr>
      <w:r>
        <w:rPr>
          <w:rFonts w:eastAsia="Times New Roman"/>
          <w:color w:val="000000"/>
          <w:sz w:val="20"/>
          <w:szCs w:val="20"/>
        </w:rPr>
        <w:t xml:space="preserve">Goodwill is evaluated for impairment at least annually, as of October 1, by comparing the fair value of a reporting unit to its carrying value including goodwill. The Company has a single reporting unit. Accordingly, the impairment assessment for goodwill </w:t>
      </w:r>
      <w:r>
        <w:rPr>
          <w:rFonts w:eastAsia="Times New Roman"/>
          <w:color w:val="000000"/>
          <w:sz w:val="20"/>
          <w:szCs w:val="20"/>
        </w:rPr>
        <w:t>is performed at the enterprise level. Goodwill is reviewed for possible impairment between annual tests if an event occurs or circumstances change that would more likely than not reduce the fair value of the reporting unit below its carrying value. The car</w:t>
      </w:r>
      <w:r>
        <w:rPr>
          <w:rFonts w:eastAsia="Times New Roman"/>
          <w:color w:val="000000"/>
          <w:sz w:val="20"/>
          <w:szCs w:val="20"/>
        </w:rPr>
        <w:t>rying value of the reporting unit is reviewed utilizing a combination of the discounted cash flow model and a market value approach. The estimated fair value of a reporting unit is determined based on assumptions regarding estimated future cash flows, disc</w:t>
      </w:r>
      <w:r>
        <w:rPr>
          <w:rFonts w:eastAsia="Times New Roman"/>
          <w:color w:val="000000"/>
          <w:sz w:val="20"/>
          <w:szCs w:val="20"/>
        </w:rPr>
        <w:t>ount rate, long-term growth rates and market values.</w:t>
      </w:r>
    </w:p>
    <w:p w:rsidR="00000000" w:rsidRDefault="00971A12">
      <w:pPr>
        <w:jc w:val="both"/>
        <w:divId w:val="1011644619"/>
        <w:rPr>
          <w:rFonts w:eastAsia="Times New Roman"/>
        </w:rPr>
      </w:pPr>
      <w:r>
        <w:rPr>
          <w:rFonts w:eastAsia="Times New Roman"/>
          <w:color w:val="000000"/>
          <w:sz w:val="20"/>
          <w:szCs w:val="20"/>
        </w:rPr>
        <w:t>The Company monitors for events and circumstances that could negatively impact the key assumptions in determining fair value, including long-term growth rates, profitability, discount rates, volatility i</w:t>
      </w:r>
      <w:r>
        <w:rPr>
          <w:rFonts w:eastAsia="Times New Roman"/>
          <w:color w:val="000000"/>
          <w:sz w:val="20"/>
          <w:szCs w:val="20"/>
        </w:rPr>
        <w:t>n the Company's market capitalization, general industry, and market and macro-economic conditions.</w:t>
      </w:r>
    </w:p>
    <w:p w:rsidR="00000000" w:rsidRDefault="00971A12">
      <w:pPr>
        <w:jc w:val="both"/>
        <w:divId w:val="991132014"/>
        <w:rPr>
          <w:rFonts w:eastAsia="Times New Roman"/>
        </w:rPr>
      </w:pPr>
      <w:r>
        <w:rPr>
          <w:rFonts w:eastAsia="Times New Roman"/>
          <w:color w:val="000000"/>
          <w:sz w:val="20"/>
          <w:szCs w:val="20"/>
        </w:rPr>
        <w:t>As of September 30, 2022, the Company concluded that it was more likely than not that the estimated fair value of its reporting unit was less than its carryi</w:t>
      </w:r>
      <w:r>
        <w:rPr>
          <w:rFonts w:eastAsia="Times New Roman"/>
          <w:color w:val="000000"/>
          <w:sz w:val="20"/>
          <w:szCs w:val="20"/>
        </w:rPr>
        <w:t xml:space="preserve">ng value. Accordingly, in conjunction with its annual test as of October 1, 2022, the Company completed its assessment, and concluded that it was more likely than not that the estimated fair value of its reporting unit was less than its carrying value. In </w:t>
      </w:r>
      <w:r>
        <w:rPr>
          <w:rFonts w:eastAsia="Times New Roman"/>
          <w:color w:val="000000"/>
          <w:sz w:val="20"/>
          <w:szCs w:val="20"/>
        </w:rPr>
        <w:t>its assessment, the Company considered the decline in the Company's stock price and market capitalization among other factors. The Company performed a quantitative goodwill impairment test using a discounted cash flow model, supported by a market approach.</w:t>
      </w:r>
      <w:r>
        <w:rPr>
          <w:rFonts w:eastAsia="Times New Roman"/>
          <w:color w:val="000000"/>
          <w:sz w:val="20"/>
          <w:szCs w:val="20"/>
        </w:rPr>
        <w:t xml:space="preserve"> The Company's reporting unit did not pass the goodwill impairment test, and as a result the Company recorded a $46.3 million non-cash impairment charge during the three months ended September 30, 2022 and year ended December 31, 2022.</w:t>
      </w:r>
    </w:p>
    <w:p w:rsidR="00000000" w:rsidRDefault="00971A12">
      <w:pPr>
        <w:jc w:val="both"/>
        <w:divId w:val="199318288"/>
        <w:rPr>
          <w:rFonts w:eastAsia="Times New Roman"/>
        </w:rPr>
      </w:pPr>
      <w:r>
        <w:rPr>
          <w:rFonts w:eastAsia="Times New Roman"/>
          <w:color w:val="000000"/>
          <w:sz w:val="20"/>
          <w:szCs w:val="20"/>
        </w:rPr>
        <w:t>We identified goodwi</w:t>
      </w:r>
      <w:r>
        <w:rPr>
          <w:rFonts w:eastAsia="Times New Roman"/>
          <w:color w:val="000000"/>
          <w:sz w:val="20"/>
          <w:szCs w:val="20"/>
        </w:rPr>
        <w:t>ll for the Company as a critical audit matter because of the significant judgments made by management to estimate the fair value of the reporting unit, specifically related to the selection of the discount rate and forecasts of future revenue. Performing a</w:t>
      </w:r>
      <w:r>
        <w:rPr>
          <w:rFonts w:eastAsia="Times New Roman"/>
          <w:color w:val="000000"/>
          <w:sz w:val="20"/>
          <w:szCs w:val="20"/>
        </w:rPr>
        <w:t>udit procedures to evaluate the reasonableness of management's estimates and assumptions related to selection of the discount rate and forecasts of future revenue required a high degree of auditor judgment and an increased extent of effort, including the n</w:t>
      </w:r>
      <w:r>
        <w:rPr>
          <w:rFonts w:eastAsia="Times New Roman"/>
          <w:color w:val="000000"/>
          <w:sz w:val="20"/>
          <w:szCs w:val="20"/>
        </w:rPr>
        <w:t>eed to involve our fair value specialists.</w:t>
      </w:r>
    </w:p>
    <w:p w:rsidR="00000000" w:rsidRDefault="00971A12">
      <w:pPr>
        <w:jc w:val="both"/>
        <w:divId w:val="591162314"/>
        <w:rPr>
          <w:rFonts w:eastAsia="Times New Roman"/>
        </w:rPr>
      </w:pPr>
      <w:r>
        <w:rPr>
          <w:rFonts w:eastAsia="Times New Roman"/>
          <w:i/>
          <w:iCs/>
          <w:color w:val="000000"/>
          <w:sz w:val="20"/>
          <w:szCs w:val="20"/>
        </w:rPr>
        <w:t>How the Critical Audit Matter Was Addressed in the Audit</w:t>
      </w:r>
    </w:p>
    <w:p w:rsidR="00000000" w:rsidRDefault="00971A12">
      <w:pPr>
        <w:jc w:val="both"/>
        <w:divId w:val="1237938932"/>
        <w:rPr>
          <w:rFonts w:eastAsia="Times New Roman"/>
        </w:rPr>
      </w:pPr>
      <w:r>
        <w:rPr>
          <w:rFonts w:eastAsia="Times New Roman"/>
          <w:color w:val="000000"/>
          <w:sz w:val="20"/>
          <w:szCs w:val="20"/>
        </w:rPr>
        <w:t>Our audit procedures related to the forecasts of future revenue and the selection of the discount rate for the Company's goodwill impairment included the fo</w:t>
      </w:r>
      <w:r>
        <w:rPr>
          <w:rFonts w:eastAsia="Times New Roman"/>
          <w:color w:val="000000"/>
          <w:sz w:val="20"/>
          <w:szCs w:val="20"/>
        </w:rPr>
        <w:t>llowing, among others:</w:t>
      </w:r>
    </w:p>
    <w:p w:rsidR="00000000" w:rsidRDefault="00971A12">
      <w:pPr>
        <w:ind w:hanging="360"/>
        <w:jc w:val="both"/>
        <w:divId w:val="535118287"/>
        <w:rPr>
          <w:rFonts w:eastAsia="Times New Roman"/>
        </w:rPr>
      </w:pPr>
      <w:r>
        <w:rPr>
          <w:rFonts w:eastAsia="Times New Roman"/>
          <w:color w:val="000000"/>
          <w:sz w:val="20"/>
          <w:szCs w:val="20"/>
        </w:rPr>
        <w:t>•We tested the effectiveness of controls over management's goodwill impairment evaluations, including those over the forecasts of future revenue and management's selection of the discount rate.</w:t>
      </w:r>
    </w:p>
    <w:p w:rsidR="00000000" w:rsidRDefault="00971A12">
      <w:pPr>
        <w:ind w:hanging="360"/>
        <w:jc w:val="both"/>
        <w:divId w:val="1094058170"/>
        <w:rPr>
          <w:rFonts w:eastAsia="Times New Roman"/>
        </w:rPr>
      </w:pPr>
      <w:r>
        <w:rPr>
          <w:rFonts w:eastAsia="Times New Roman"/>
          <w:color w:val="000000"/>
          <w:sz w:val="20"/>
          <w:szCs w:val="20"/>
        </w:rPr>
        <w:t>•We evaluated whether the internal spec</w:t>
      </w:r>
      <w:r>
        <w:rPr>
          <w:rFonts w:eastAsia="Times New Roman"/>
          <w:color w:val="000000"/>
          <w:sz w:val="20"/>
          <w:szCs w:val="20"/>
        </w:rPr>
        <w:t xml:space="preserve">ialists used by the Company to perform the goodwill valuation analysis had the necessary competence, capabilities, and objectivity. </w:t>
      </w:r>
    </w:p>
    <w:p w:rsidR="00000000" w:rsidRDefault="00971A12">
      <w:pPr>
        <w:jc w:val="center"/>
        <w:divId w:val="1652710721"/>
        <w:rPr>
          <w:rFonts w:eastAsia="Times New Roman"/>
        </w:rPr>
      </w:pPr>
      <w:r>
        <w:rPr>
          <w:rFonts w:eastAsia="Times New Roman"/>
          <w:color w:val="000000"/>
          <w:sz w:val="20"/>
          <w:szCs w:val="20"/>
        </w:rPr>
        <w:t>46</w:t>
      </w:r>
    </w:p>
    <w:p w:rsidR="00000000" w:rsidRDefault="00971A12">
      <w:pPr>
        <w:rPr>
          <w:rFonts w:eastAsia="Times New Roman"/>
        </w:rPr>
      </w:pPr>
      <w:r>
        <w:rPr>
          <w:rFonts w:eastAsia="Times New Roman"/>
        </w:rPr>
        <w:pict>
          <v:rect id="_x0000_i1074" style="width:0;height:1.5pt" o:hralign="center" o:hrstd="t" o:hr="t" fillcolor="#a0a0a0" stroked="f"/>
        </w:pict>
      </w:r>
    </w:p>
    <w:p w:rsidR="00000000" w:rsidRDefault="00971A12">
      <w:pPr>
        <w:divId w:val="1911385744"/>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980309453"/>
        <w:rPr>
          <w:rFonts w:eastAsia="Times New Roman"/>
        </w:rPr>
      </w:pPr>
    </w:p>
    <w:p w:rsidR="00000000" w:rsidRDefault="00971A12">
      <w:pPr>
        <w:ind w:hanging="360"/>
        <w:jc w:val="both"/>
        <w:divId w:val="1864633870"/>
        <w:rPr>
          <w:rFonts w:eastAsia="Times New Roman"/>
        </w:rPr>
      </w:pPr>
      <w:r>
        <w:rPr>
          <w:rFonts w:eastAsia="Times New Roman"/>
          <w:color w:val="000000"/>
          <w:sz w:val="20"/>
          <w:szCs w:val="20"/>
        </w:rPr>
        <w:t>•</w:t>
      </w:r>
      <w:r>
        <w:rPr>
          <w:rFonts w:eastAsia="Times New Roman"/>
          <w:color w:val="000000"/>
          <w:sz w:val="20"/>
          <w:szCs w:val="20"/>
        </w:rPr>
        <w:t>We evaluated management's ability to accurately forecast revenue by comparing the actual results to management's historical projections.</w:t>
      </w:r>
    </w:p>
    <w:p w:rsidR="00000000" w:rsidRDefault="00971A12">
      <w:pPr>
        <w:ind w:hanging="360"/>
        <w:jc w:val="both"/>
        <w:divId w:val="1199007039"/>
        <w:rPr>
          <w:rFonts w:eastAsia="Times New Roman"/>
        </w:rPr>
      </w:pPr>
      <w:r>
        <w:rPr>
          <w:rFonts w:eastAsia="Times New Roman"/>
          <w:color w:val="000000"/>
          <w:sz w:val="20"/>
          <w:szCs w:val="20"/>
        </w:rPr>
        <w:t>•We sensitized management projections to determine areas of audit focus.</w:t>
      </w:r>
    </w:p>
    <w:p w:rsidR="00000000" w:rsidRDefault="00971A12">
      <w:pPr>
        <w:ind w:hanging="360"/>
        <w:jc w:val="both"/>
        <w:divId w:val="897279437"/>
        <w:rPr>
          <w:rFonts w:eastAsia="Times New Roman"/>
        </w:rPr>
      </w:pPr>
      <w:r>
        <w:rPr>
          <w:rFonts w:eastAsia="Times New Roman"/>
          <w:color w:val="000000"/>
          <w:sz w:val="20"/>
          <w:szCs w:val="20"/>
        </w:rPr>
        <w:t>•We evaluated the reasonableness of management</w:t>
      </w:r>
      <w:r>
        <w:rPr>
          <w:rFonts w:eastAsia="Times New Roman"/>
          <w:color w:val="000000"/>
          <w:sz w:val="20"/>
          <w:szCs w:val="20"/>
        </w:rPr>
        <w:t>'s forecasted revenue by comparing the forecasts to:</w:t>
      </w:r>
    </w:p>
    <w:p w:rsidR="00000000" w:rsidRDefault="00971A12">
      <w:pPr>
        <w:spacing w:before="60"/>
        <w:ind w:hanging="360"/>
        <w:jc w:val="both"/>
        <w:divId w:val="442774247"/>
        <w:rPr>
          <w:rFonts w:eastAsia="Times New Roman"/>
        </w:rPr>
      </w:pPr>
      <w:r>
        <w:rPr>
          <w:rFonts w:eastAsia="Times New Roman"/>
          <w:color w:val="000000"/>
          <w:sz w:val="20"/>
          <w:szCs w:val="20"/>
        </w:rPr>
        <w:t>◦</w:t>
      </w:r>
      <w:r>
        <w:rPr>
          <w:rFonts w:eastAsia="Times New Roman"/>
          <w:color w:val="000000"/>
          <w:sz w:val="20"/>
          <w:szCs w:val="20"/>
        </w:rPr>
        <w:t>Historical revenue growth.</w:t>
      </w:r>
    </w:p>
    <w:p w:rsidR="00000000" w:rsidRDefault="00971A12">
      <w:pPr>
        <w:spacing w:before="60"/>
        <w:ind w:hanging="360"/>
        <w:jc w:val="both"/>
        <w:divId w:val="1417677142"/>
        <w:rPr>
          <w:rFonts w:eastAsia="Times New Roman"/>
        </w:rPr>
      </w:pPr>
      <w:r>
        <w:rPr>
          <w:rFonts w:eastAsia="Times New Roman"/>
          <w:color w:val="000000"/>
          <w:sz w:val="20"/>
          <w:szCs w:val="20"/>
        </w:rPr>
        <w:t>◦</w:t>
      </w:r>
      <w:r>
        <w:rPr>
          <w:rFonts w:eastAsia="Times New Roman"/>
          <w:color w:val="000000"/>
          <w:sz w:val="20"/>
          <w:szCs w:val="20"/>
        </w:rPr>
        <w:t>Historical industry revenue growth rates and revenue growth rates of peer group companies.</w:t>
      </w:r>
    </w:p>
    <w:p w:rsidR="00000000" w:rsidRDefault="00971A12">
      <w:pPr>
        <w:spacing w:before="60"/>
        <w:ind w:hanging="360"/>
        <w:jc w:val="both"/>
        <w:divId w:val="974335491"/>
        <w:rPr>
          <w:rFonts w:eastAsia="Times New Roman"/>
        </w:rPr>
      </w:pPr>
      <w:r>
        <w:rPr>
          <w:rFonts w:eastAsia="Times New Roman"/>
          <w:color w:val="000000"/>
          <w:sz w:val="20"/>
          <w:szCs w:val="20"/>
        </w:rPr>
        <w:t>◦</w:t>
      </w:r>
      <w:r>
        <w:rPr>
          <w:rFonts w:eastAsia="Times New Roman"/>
          <w:color w:val="000000"/>
          <w:sz w:val="20"/>
          <w:szCs w:val="20"/>
        </w:rPr>
        <w:t>Economic forecasts considering the impact of macro-economic conditions.</w:t>
      </w:r>
    </w:p>
    <w:p w:rsidR="00000000" w:rsidRDefault="00971A12">
      <w:pPr>
        <w:spacing w:before="60"/>
        <w:ind w:hanging="360"/>
        <w:jc w:val="both"/>
        <w:divId w:val="924075268"/>
        <w:rPr>
          <w:rFonts w:eastAsia="Times New Roman"/>
        </w:rPr>
      </w:pPr>
      <w:r>
        <w:rPr>
          <w:rFonts w:eastAsia="Times New Roman"/>
          <w:color w:val="000000"/>
          <w:sz w:val="20"/>
          <w:szCs w:val="20"/>
        </w:rPr>
        <w:t>◦</w:t>
      </w:r>
      <w:r>
        <w:rPr>
          <w:rFonts w:eastAsia="Times New Roman"/>
          <w:color w:val="000000"/>
          <w:sz w:val="20"/>
          <w:szCs w:val="20"/>
        </w:rPr>
        <w:t xml:space="preserve">Internal </w:t>
      </w:r>
      <w:r>
        <w:rPr>
          <w:rFonts w:eastAsia="Times New Roman"/>
          <w:color w:val="000000"/>
          <w:sz w:val="20"/>
          <w:szCs w:val="20"/>
        </w:rPr>
        <w:t>communications to management and the Board of Directors.</w:t>
      </w:r>
    </w:p>
    <w:p w:rsidR="00000000" w:rsidRDefault="00971A12">
      <w:pPr>
        <w:spacing w:before="60"/>
        <w:ind w:hanging="360"/>
        <w:jc w:val="both"/>
        <w:divId w:val="1452481916"/>
        <w:rPr>
          <w:rFonts w:eastAsia="Times New Roman"/>
        </w:rPr>
      </w:pPr>
      <w:r>
        <w:rPr>
          <w:rFonts w:eastAsia="Times New Roman"/>
          <w:color w:val="000000"/>
          <w:sz w:val="20"/>
          <w:szCs w:val="20"/>
        </w:rPr>
        <w:t>◦</w:t>
      </w:r>
      <w:r>
        <w:rPr>
          <w:rFonts w:eastAsia="Times New Roman"/>
          <w:color w:val="000000"/>
          <w:sz w:val="20"/>
          <w:szCs w:val="20"/>
        </w:rPr>
        <w:t>Forecasted information included in analyst and industry reports for the Company and certain of its peer group.</w:t>
      </w:r>
    </w:p>
    <w:p w:rsidR="00000000" w:rsidRDefault="00971A12">
      <w:pPr>
        <w:spacing w:before="60"/>
        <w:ind w:hanging="360"/>
        <w:jc w:val="both"/>
        <w:divId w:val="486553906"/>
        <w:rPr>
          <w:rFonts w:eastAsia="Times New Roman"/>
        </w:rPr>
      </w:pPr>
      <w:r>
        <w:rPr>
          <w:rFonts w:eastAsia="Times New Roman"/>
          <w:color w:val="000000"/>
          <w:sz w:val="20"/>
          <w:szCs w:val="20"/>
        </w:rPr>
        <w:t>◦</w:t>
      </w:r>
      <w:r>
        <w:rPr>
          <w:rFonts w:eastAsia="Times New Roman"/>
          <w:color w:val="000000"/>
          <w:sz w:val="20"/>
          <w:szCs w:val="20"/>
        </w:rPr>
        <w:t>Public information related to addressable market opportunities.</w:t>
      </w:r>
    </w:p>
    <w:p w:rsidR="00000000" w:rsidRDefault="00971A12">
      <w:pPr>
        <w:spacing w:before="60"/>
        <w:ind w:hanging="360"/>
        <w:jc w:val="both"/>
        <w:divId w:val="987784837"/>
        <w:rPr>
          <w:rFonts w:eastAsia="Times New Roman"/>
        </w:rPr>
      </w:pPr>
      <w:r>
        <w:rPr>
          <w:rFonts w:eastAsia="Times New Roman"/>
          <w:color w:val="000000"/>
          <w:sz w:val="20"/>
          <w:szCs w:val="20"/>
        </w:rPr>
        <w:t>◦</w:t>
      </w:r>
      <w:r>
        <w:rPr>
          <w:rFonts w:eastAsia="Times New Roman"/>
          <w:color w:val="000000"/>
          <w:sz w:val="20"/>
          <w:szCs w:val="20"/>
        </w:rPr>
        <w:t>Corroborative inquiri</w:t>
      </w:r>
      <w:r>
        <w:rPr>
          <w:rFonts w:eastAsia="Times New Roman"/>
          <w:color w:val="000000"/>
          <w:sz w:val="20"/>
          <w:szCs w:val="20"/>
        </w:rPr>
        <w:t>es with management regarding the projected revenue growth.</w:t>
      </w:r>
    </w:p>
    <w:p w:rsidR="00000000" w:rsidRDefault="00971A12">
      <w:pPr>
        <w:ind w:hanging="360"/>
        <w:jc w:val="both"/>
        <w:divId w:val="850069364"/>
        <w:rPr>
          <w:rFonts w:eastAsia="Times New Roman"/>
        </w:rPr>
      </w:pPr>
      <w:r>
        <w:rPr>
          <w:rFonts w:eastAsia="Times New Roman"/>
          <w:color w:val="000000"/>
          <w:sz w:val="20"/>
          <w:szCs w:val="20"/>
        </w:rPr>
        <w:t>•With the assistance of our fair value specialists, we evaluated the reasonableness of the (1) valuation methodology and (2) discount rate by:</w:t>
      </w:r>
    </w:p>
    <w:p w:rsidR="00000000" w:rsidRDefault="00971A12">
      <w:pPr>
        <w:spacing w:before="60"/>
        <w:ind w:hanging="360"/>
        <w:jc w:val="both"/>
        <w:divId w:val="1859658018"/>
        <w:rPr>
          <w:rFonts w:eastAsia="Times New Roman"/>
        </w:rPr>
      </w:pPr>
      <w:r>
        <w:rPr>
          <w:rFonts w:eastAsia="Times New Roman"/>
          <w:color w:val="000000"/>
          <w:sz w:val="20"/>
          <w:szCs w:val="20"/>
        </w:rPr>
        <w:t>◦</w:t>
      </w:r>
      <w:r>
        <w:rPr>
          <w:rFonts w:eastAsia="Times New Roman"/>
          <w:color w:val="000000"/>
          <w:sz w:val="20"/>
          <w:szCs w:val="20"/>
        </w:rPr>
        <w:t>Testing the source information underlying the determi</w:t>
      </w:r>
      <w:r>
        <w:rPr>
          <w:rFonts w:eastAsia="Times New Roman"/>
          <w:color w:val="000000"/>
          <w:sz w:val="20"/>
          <w:szCs w:val="20"/>
        </w:rPr>
        <w:t>nation of the discount rate and the mathematical accuracy of the calculation.</w:t>
      </w:r>
    </w:p>
    <w:p w:rsidR="00000000" w:rsidRDefault="00971A12">
      <w:pPr>
        <w:spacing w:before="60"/>
        <w:ind w:hanging="360"/>
        <w:jc w:val="both"/>
        <w:divId w:val="402990299"/>
        <w:rPr>
          <w:rFonts w:eastAsia="Times New Roman"/>
        </w:rPr>
      </w:pPr>
      <w:r>
        <w:rPr>
          <w:rFonts w:eastAsia="Times New Roman"/>
          <w:color w:val="000000"/>
          <w:sz w:val="20"/>
          <w:szCs w:val="20"/>
        </w:rPr>
        <w:t>◦</w:t>
      </w:r>
      <w:r>
        <w:rPr>
          <w:rFonts w:eastAsia="Times New Roman"/>
          <w:color w:val="000000"/>
          <w:sz w:val="20"/>
          <w:szCs w:val="20"/>
        </w:rPr>
        <w:t>Developing a range of independent estimates and comparing those to the discount rate selected by management.</w:t>
      </w:r>
    </w:p>
    <w:p w:rsidR="00000000" w:rsidRDefault="00971A12">
      <w:pPr>
        <w:ind w:hanging="360"/>
        <w:jc w:val="both"/>
        <w:divId w:val="2135980036"/>
        <w:rPr>
          <w:rFonts w:eastAsia="Times New Roman"/>
        </w:rPr>
      </w:pPr>
      <w:r>
        <w:rPr>
          <w:rFonts w:eastAsia="Times New Roman"/>
          <w:color w:val="000000"/>
          <w:sz w:val="20"/>
          <w:szCs w:val="20"/>
        </w:rPr>
        <w:t>•We evaluated the impact of changes in management's revenue forecast</w:t>
      </w:r>
      <w:r>
        <w:rPr>
          <w:rFonts w:eastAsia="Times New Roman"/>
          <w:color w:val="000000"/>
          <w:sz w:val="20"/>
          <w:szCs w:val="20"/>
        </w:rPr>
        <w:t>s from the October 1, 2022 annual measurement date to December 31, 2022.</w:t>
      </w:r>
    </w:p>
    <w:p w:rsidR="00000000" w:rsidRDefault="00971A12">
      <w:pPr>
        <w:divId w:val="1382096254"/>
        <w:rPr>
          <w:rFonts w:eastAsia="Times New Roman"/>
        </w:rPr>
      </w:pPr>
    </w:p>
    <w:p w:rsidR="00000000" w:rsidRDefault="00971A12">
      <w:pPr>
        <w:divId w:val="1982886641"/>
        <w:rPr>
          <w:rFonts w:eastAsia="Times New Roman"/>
        </w:rPr>
      </w:pPr>
      <w:r>
        <w:rPr>
          <w:rFonts w:eastAsia="Times New Roman"/>
          <w:color w:val="000000"/>
          <w:sz w:val="20"/>
          <w:szCs w:val="20"/>
        </w:rPr>
        <w:t>/s/ Deloitte &amp; Touche LLP</w:t>
      </w:r>
    </w:p>
    <w:p w:rsidR="00000000" w:rsidRDefault="00971A12">
      <w:pPr>
        <w:divId w:val="990674138"/>
        <w:rPr>
          <w:rFonts w:eastAsia="Times New Roman"/>
        </w:rPr>
      </w:pPr>
      <w:r>
        <w:rPr>
          <w:rFonts w:eastAsia="Times New Roman"/>
          <w:color w:val="000000"/>
          <w:sz w:val="20"/>
          <w:szCs w:val="20"/>
        </w:rPr>
        <w:t>McLean, Virginia</w:t>
      </w:r>
    </w:p>
    <w:p w:rsidR="00000000" w:rsidRDefault="00971A12">
      <w:pPr>
        <w:divId w:val="1608200702"/>
        <w:rPr>
          <w:rFonts w:eastAsia="Times New Roman"/>
        </w:rPr>
      </w:pPr>
      <w:r>
        <w:rPr>
          <w:rFonts w:eastAsia="Times New Roman"/>
          <w:color w:val="000000"/>
          <w:sz w:val="20"/>
          <w:szCs w:val="20"/>
        </w:rPr>
        <w:t>March 1, 2023</w:t>
      </w:r>
    </w:p>
    <w:p w:rsidR="00000000" w:rsidRDefault="00971A12">
      <w:pPr>
        <w:divId w:val="2104572120"/>
        <w:rPr>
          <w:rFonts w:eastAsia="Times New Roman"/>
        </w:rPr>
      </w:pPr>
      <w:r>
        <w:rPr>
          <w:rFonts w:eastAsia="Times New Roman"/>
          <w:color w:val="000000"/>
          <w:sz w:val="20"/>
          <w:szCs w:val="20"/>
        </w:rPr>
        <w:t>We have served as the Company's auditor since 2017.</w:t>
      </w:r>
    </w:p>
    <w:p w:rsidR="00000000" w:rsidRDefault="00971A12">
      <w:pPr>
        <w:jc w:val="center"/>
        <w:divId w:val="1397361977"/>
        <w:rPr>
          <w:rFonts w:eastAsia="Times New Roman"/>
        </w:rPr>
      </w:pPr>
      <w:r>
        <w:rPr>
          <w:rFonts w:eastAsia="Times New Roman"/>
          <w:color w:val="000000"/>
          <w:sz w:val="20"/>
          <w:szCs w:val="20"/>
        </w:rPr>
        <w:t>47</w:t>
      </w:r>
    </w:p>
    <w:p w:rsidR="00000000" w:rsidRDefault="00971A12">
      <w:pPr>
        <w:rPr>
          <w:rFonts w:eastAsia="Times New Roman"/>
        </w:rPr>
      </w:pPr>
      <w:r>
        <w:rPr>
          <w:rFonts w:eastAsia="Times New Roman"/>
        </w:rPr>
        <w:pict>
          <v:rect id="_x0000_i1075" style="width:0;height:1.5pt" o:hralign="center" o:hrstd="t" o:hr="t" fillcolor="#a0a0a0" stroked="f"/>
        </w:pict>
      </w:r>
    </w:p>
    <w:p w:rsidR="00000000" w:rsidRDefault="00971A12">
      <w:pPr>
        <w:divId w:val="1556239829"/>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977176752"/>
        <w:rPr>
          <w:rFonts w:eastAsia="Times New Roman"/>
        </w:rPr>
      </w:pPr>
    </w:p>
    <w:p w:rsidR="00000000" w:rsidRDefault="00971A12">
      <w:pPr>
        <w:jc w:val="center"/>
        <w:rPr>
          <w:rFonts w:eastAsia="Times New Roman"/>
        </w:rPr>
      </w:pPr>
      <w:r>
        <w:rPr>
          <w:rFonts w:eastAsia="Times New Roman"/>
          <w:b/>
          <w:bCs/>
          <w:color w:val="000000"/>
          <w:sz w:val="20"/>
          <w:szCs w:val="20"/>
        </w:rPr>
        <w:t>COMSCORE, INC.</w:t>
      </w:r>
    </w:p>
    <w:p w:rsidR="00000000" w:rsidRDefault="00971A12">
      <w:pPr>
        <w:jc w:val="center"/>
        <w:rPr>
          <w:rFonts w:eastAsia="Times New Roman"/>
        </w:rPr>
      </w:pPr>
      <w:r>
        <w:rPr>
          <w:rFonts w:eastAsia="Times New Roman"/>
          <w:b/>
          <w:bCs/>
          <w:color w:val="000000"/>
          <w:sz w:val="20"/>
          <w:szCs w:val="20"/>
        </w:rPr>
        <w:t>CONSOLIDATED BALANCE SHEETS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6012"/>
        <w:gridCol w:w="39"/>
        <w:gridCol w:w="112"/>
        <w:gridCol w:w="905"/>
        <w:gridCol w:w="36"/>
        <w:gridCol w:w="36"/>
        <w:gridCol w:w="36"/>
        <w:gridCol w:w="36"/>
        <w:gridCol w:w="112"/>
        <w:gridCol w:w="906"/>
        <w:gridCol w:w="36"/>
      </w:tblGrid>
      <w:tr w:rsidR="00000000">
        <w:trPr>
          <w:divId w:val="187647910"/>
          <w:jc w:val="center"/>
        </w:trPr>
        <w:tc>
          <w:tcPr>
            <w:tcW w:w="50" w:type="pct"/>
            <w:vAlign w:val="center"/>
            <w:hideMark/>
          </w:tcPr>
          <w:p w:rsidR="00000000" w:rsidRDefault="00971A12">
            <w:pPr>
              <w:jc w:val="center"/>
              <w:rPr>
                <w:rFonts w:eastAsia="Times New Roman"/>
              </w:rPr>
            </w:pPr>
          </w:p>
        </w:tc>
        <w:tc>
          <w:tcPr>
            <w:tcW w:w="365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87647910"/>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As of December 31,</w:t>
            </w:r>
          </w:p>
        </w:tc>
      </w:tr>
      <w:tr w:rsidR="00000000">
        <w:trPr>
          <w:divId w:val="187647910"/>
          <w:jc w:val="center"/>
        </w:trPr>
        <w:tc>
          <w:tcPr>
            <w:tcW w:w="0" w:type="auto"/>
            <w:gridSpan w:val="3"/>
            <w:tcMar>
              <w:top w:w="30" w:type="dxa"/>
              <w:left w:w="20" w:type="dxa"/>
              <w:bottom w:w="30" w:type="dxa"/>
              <w:right w:w="20" w:type="dxa"/>
            </w:tcMar>
            <w:vAlign w:val="bottom"/>
            <w:hideMark/>
          </w:tcPr>
          <w:p w:rsidR="00000000" w:rsidRDefault="00971A12">
            <w:pPr>
              <w:spacing w:after="100"/>
              <w:jc w:val="both"/>
              <w:rPr>
                <w:rFonts w:eastAsia="Times New Roman"/>
              </w:rPr>
            </w:pPr>
            <w:r>
              <w:rPr>
                <w:rFonts w:eastAsia="Times New Roman"/>
                <w:i/>
                <w:iCs/>
                <w:color w:val="000000"/>
                <w:sz w:val="16"/>
                <w:szCs w:val="16"/>
              </w:rPr>
              <w:t>(In thousands, except share and per share data)</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r>
      <w:tr w:rsidR="00000000">
        <w:trPr>
          <w:divId w:val="187647910"/>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87647910"/>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87647910"/>
          <w:jc w:val="center"/>
        </w:trPr>
        <w:tc>
          <w:tcPr>
            <w:tcW w:w="0" w:type="auto"/>
            <w:gridSpan w:val="3"/>
            <w:shd w:val="clear" w:color="auto" w:fill="CCEE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20,044 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21,854 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FFFF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398 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425 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1363243721"/>
              <w:rPr>
                <w:rFonts w:eastAsia="Times New Roman"/>
              </w:rPr>
            </w:pPr>
            <w:r>
              <w:rPr>
                <w:rFonts w:eastAsia="Times New Roman"/>
                <w:color w:val="000000"/>
                <w:sz w:val="18"/>
                <w:szCs w:val="18"/>
              </w:rPr>
              <w:t>Accounts receivable, net of allowances of $798 and $1,173, respectively ($1,034 and $3,606 of accounts receivable attributable to related parties, respectively)</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68,457 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72,059 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FFFF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15,922 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14,769 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CCEEFF"/>
            <w:tcMar>
              <w:top w:w="30" w:type="dxa"/>
              <w:left w:w="15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104,821 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109,107 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Property and equipment, net</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36,367 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36,451 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Operating right-of-use assets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23,864 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29,186 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 xml:space="preserve">Deferred tax assets </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3,351 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2,811 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 xml:space="preserve">Intangible assets, net </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13,327 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39,945 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 xml:space="preserve">Goodwill </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387,973 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435,711 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Other non-current assets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10,883 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10,263 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FFFFFF"/>
            <w:tcMar>
              <w:top w:w="30" w:type="dxa"/>
              <w:left w:w="15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580,586 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663,474 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18"/>
                <w:szCs w:val="18"/>
              </w:rPr>
              <w:t>Liabilities, Convertible Redeemable Preferred Stock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87647910"/>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87647910"/>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1098870249"/>
              <w:rPr>
                <w:rFonts w:eastAsia="Times New Roman"/>
              </w:rPr>
            </w:pPr>
            <w:r>
              <w:rPr>
                <w:rFonts w:eastAsia="Times New Roman"/>
                <w:color w:val="000000"/>
                <w:sz w:val="18"/>
                <w:szCs w:val="18"/>
              </w:rPr>
              <w:t>Accounts payable ($12,090 and $6,575 attributable to related parties, respectively)</w:t>
            </w: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29,090 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23,575 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divId w:val="922496090"/>
              <w:rPr>
                <w:rFonts w:eastAsia="Times New Roman"/>
              </w:rPr>
            </w:pPr>
            <w:r>
              <w:rPr>
                <w:rFonts w:eastAsia="Times New Roman"/>
                <w:color w:val="000000"/>
                <w:sz w:val="18"/>
                <w:szCs w:val="18"/>
              </w:rPr>
              <w:t>Accrued expenses ($4,297 and $4,122 attributable to related parties, respectively)</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43,393 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45,264 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2061127548"/>
              <w:rPr>
                <w:rFonts w:eastAsia="Times New Roman"/>
              </w:rPr>
            </w:pPr>
            <w:r>
              <w:rPr>
                <w:rFonts w:eastAsia="Times New Roman"/>
                <w:color w:val="000000"/>
                <w:sz w:val="18"/>
                <w:szCs w:val="18"/>
              </w:rPr>
              <w:t>Contract liabilities ($1,341 and $3,553 attributable to related parties, respectively)</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52,944 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54,011 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FFFF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 xml:space="preserve">Customer advances </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11,527 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11,613 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CCEE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Current operating lease liabilities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7,639 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7,538 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FFFF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Warrants liability</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718 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10,520 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CCEE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Current portion of contingent consideration</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7,134 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20"/>
                <w:szCs w:val="20"/>
              </w:rPr>
              <w:t>1,037 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87647910"/>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divId w:val="1997681989"/>
              <w:rPr>
                <w:rFonts w:eastAsia="Times New Roman"/>
              </w:rPr>
            </w:pPr>
            <w:r>
              <w:rPr>
                <w:rFonts w:eastAsia="Times New Roman"/>
                <w:color w:val="000000"/>
                <w:sz w:val="18"/>
                <w:szCs w:val="18"/>
              </w:rPr>
              <w:t xml:space="preserve">Other current liabilities ($7,863 and $7,863 </w:t>
            </w:r>
            <w:r>
              <w:rPr>
                <w:rFonts w:eastAsia="Times New Roman"/>
                <w:color w:val="000000"/>
                <w:sz w:val="18"/>
                <w:szCs w:val="18"/>
              </w:rPr>
              <w:t>attributable to related parties, respectively)</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12,646 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11,813 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CCEEFF"/>
            <w:tcMar>
              <w:top w:w="30" w:type="dxa"/>
              <w:left w:w="15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165,091 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165,371 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Non-current 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29,588 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36,055 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753744656"/>
              <w:rPr>
                <w:rFonts w:eastAsia="Times New Roman"/>
              </w:rPr>
            </w:pPr>
            <w:r>
              <w:rPr>
                <w:rFonts w:eastAsia="Times New Roman"/>
                <w:color w:val="000000"/>
                <w:sz w:val="18"/>
                <w:szCs w:val="18"/>
              </w:rPr>
              <w:t>Non-current portion of accrued data costs ($15,471 and $7,843 attributable to related parties, respectively)</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25,106 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16,005 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Revolving line of credit</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16,000 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16,000 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Deferred tax liabilities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2,127 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2,103 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87647910"/>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87647910"/>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divId w:val="1799253347"/>
              <w:rPr>
                <w:rFonts w:eastAsia="Times New Roman"/>
              </w:rPr>
            </w:pPr>
            <w:r>
              <w:rPr>
                <w:rFonts w:eastAsia="Times New Roman"/>
                <w:color w:val="000000"/>
                <w:sz w:val="18"/>
                <w:szCs w:val="18"/>
              </w:rPr>
              <w:t>Other non-current liabilities ($159 and $1,582 attributable to related parties, respectively)</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10,627 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16,879 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CCEEFF"/>
            <w:tcMar>
              <w:top w:w="30" w:type="dxa"/>
              <w:left w:w="15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248,539 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252,413 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Commitments and contingencies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87647910"/>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411977257"/>
              <w:rPr>
                <w:rFonts w:eastAsia="Times New Roman"/>
              </w:rPr>
            </w:pPr>
            <w:r>
              <w:rPr>
                <w:rFonts w:eastAsia="Times New Roman"/>
                <w:color w:val="000000"/>
                <w:sz w:val="18"/>
                <w:szCs w:val="18"/>
              </w:rPr>
              <w:t>Convertible redeemable preferred stock, $0.001 par value; 82,527,609 shares authorized, issued and outstanding as of December 31, 2022 and 2021; aggregate liquidation preference of $211,863 as of December 31, 2022 and 2021 (related parties)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187,885 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187,885 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87647910"/>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771123039"/>
              <w:rPr>
                <w:rFonts w:eastAsia="Times New Roman"/>
              </w:rPr>
            </w:pPr>
            <w:r>
              <w:rPr>
                <w:rFonts w:eastAsia="Times New Roman"/>
                <w:color w:val="000000"/>
                <w:sz w:val="18"/>
                <w:szCs w:val="18"/>
              </w:rPr>
              <w:t>Preferred stock, $0.001 par value; 7,472,391 shares authorized as of December 31, 2022 and 2021; no shares issued or outstanding as of December 31, 2022 or 2021</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divId w:val="1339498477"/>
              <w:rPr>
                <w:rFonts w:eastAsia="Times New Roman"/>
              </w:rPr>
            </w:pPr>
            <w:r>
              <w:rPr>
                <w:rFonts w:eastAsia="Times New Roman"/>
                <w:color w:val="000000"/>
                <w:sz w:val="18"/>
                <w:szCs w:val="18"/>
              </w:rPr>
              <w:t xml:space="preserve">Common stock, $0.001 </w:t>
            </w:r>
            <w:r>
              <w:rPr>
                <w:rFonts w:eastAsia="Times New Roman"/>
                <w:color w:val="000000"/>
                <w:sz w:val="18"/>
                <w:szCs w:val="18"/>
              </w:rPr>
              <w:t>par value; 275,000,000 shares authorized as of December 31, 2022 and 2021; 98,869,738 shares issued and 92,104,942 shares outstanding as of December 31, 2022, and 97,172,086 shares issued and 90,407,290 shares outstanding as of December 31, 2021</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CCEE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1,690,783 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1,683,883 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FFFF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Accumulated other comprehensive loss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(15,940)</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(12,098)</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CCEE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Accumulated deficit</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(1,300,789)</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(1,218,715)</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divId w:val="1756245257"/>
              <w:rPr>
                <w:rFonts w:eastAsia="Times New Roman"/>
              </w:rPr>
            </w:pPr>
            <w:r>
              <w:rPr>
                <w:rFonts w:eastAsia="Times New Roman"/>
                <w:color w:val="000000"/>
                <w:sz w:val="18"/>
                <w:szCs w:val="18"/>
              </w:rPr>
              <w:t xml:space="preserve">Treasury stock, at cost, 6,764,796 </w:t>
            </w:r>
            <w:r>
              <w:rPr>
                <w:rFonts w:eastAsia="Times New Roman"/>
                <w:color w:val="000000"/>
                <w:sz w:val="18"/>
                <w:szCs w:val="18"/>
              </w:rPr>
              <w:t>shares as of December 31, 2022 and 2021</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(229,984)</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(229,984)</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CCEEFF"/>
            <w:tcMar>
              <w:top w:w="30" w:type="dxa"/>
              <w:left w:w="15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144,162 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223,176 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7647910"/>
          <w:jc w:val="center"/>
        </w:trPr>
        <w:tc>
          <w:tcPr>
            <w:tcW w:w="0" w:type="auto"/>
            <w:gridSpan w:val="3"/>
            <w:shd w:val="clear" w:color="auto" w:fill="FFFFFF"/>
            <w:tcMar>
              <w:top w:w="30" w:type="dxa"/>
              <w:left w:w="15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liabilities, convertible redeemable preferred stock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580,586 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663,474 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center"/>
        <w:divId w:val="1049183571"/>
        <w:rPr>
          <w:rFonts w:eastAsia="Times New Roman"/>
        </w:rPr>
      </w:pPr>
      <w:r>
        <w:rPr>
          <w:rFonts w:eastAsia="Times New Roman"/>
          <w:color w:val="000000"/>
          <w:sz w:val="18"/>
          <w:szCs w:val="18"/>
        </w:rPr>
        <w:t>See accompanying Notes to Consolidated Financial Statements.</w:t>
      </w:r>
    </w:p>
    <w:p w:rsidR="00000000" w:rsidRDefault="00971A12">
      <w:pPr>
        <w:jc w:val="center"/>
        <w:divId w:val="487985419"/>
        <w:rPr>
          <w:rFonts w:eastAsia="Times New Roman"/>
        </w:rPr>
      </w:pPr>
      <w:r>
        <w:rPr>
          <w:rFonts w:eastAsia="Times New Roman"/>
          <w:color w:val="000000"/>
          <w:sz w:val="20"/>
          <w:szCs w:val="20"/>
        </w:rPr>
        <w:t>48</w:t>
      </w:r>
    </w:p>
    <w:p w:rsidR="00000000" w:rsidRDefault="00971A12">
      <w:pPr>
        <w:rPr>
          <w:rFonts w:eastAsia="Times New Roman"/>
        </w:rPr>
      </w:pPr>
      <w:r>
        <w:rPr>
          <w:rFonts w:eastAsia="Times New Roman"/>
        </w:rPr>
        <w:pict>
          <v:rect id="_x0000_i1076" style="width:0;height:1.5pt" o:hralign="center" o:hrstd="t" o:hr="t" fillcolor="#a0a0a0" stroked="f"/>
        </w:pict>
      </w:r>
    </w:p>
    <w:p w:rsidR="00000000" w:rsidRDefault="00971A12">
      <w:pPr>
        <w:divId w:val="1954705514"/>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845945023"/>
        <w:rPr>
          <w:rFonts w:eastAsia="Times New Roman"/>
        </w:rPr>
      </w:pPr>
    </w:p>
    <w:p w:rsidR="00000000" w:rsidRDefault="00971A12">
      <w:pPr>
        <w:ind w:firstLine="720"/>
        <w:jc w:val="center"/>
        <w:rPr>
          <w:rFonts w:eastAsia="Times New Roman"/>
        </w:rPr>
      </w:pPr>
      <w:r>
        <w:rPr>
          <w:rFonts w:eastAsia="Times New Roman"/>
          <w:b/>
          <w:bCs/>
          <w:color w:val="000000"/>
          <w:sz w:val="20"/>
          <w:szCs w:val="20"/>
        </w:rPr>
        <w:t>COMSCORE, INC.</w:t>
      </w:r>
    </w:p>
    <w:p w:rsidR="00000000" w:rsidRDefault="00971A12">
      <w:pPr>
        <w:jc w:val="center"/>
        <w:rPr>
          <w:rFonts w:eastAsia="Times New Roman"/>
        </w:rPr>
      </w:pPr>
      <w:r>
        <w:rPr>
          <w:rFonts w:eastAsia="Times New Roman"/>
          <w:b/>
          <w:bCs/>
          <w:color w:val="000000"/>
          <w:sz w:val="20"/>
          <w:szCs w:val="20"/>
        </w:rPr>
        <w:t>CONSOLIDATED STATEMENTS OF OPERATIONS AND COMPREHENSIVE LOSS</w:t>
      </w:r>
    </w:p>
    <w:tbl>
      <w:tblPr>
        <w:tblW w:w="5000" w:type="pct"/>
        <w:tblCellMar>
          <w:top w:w="15" w:type="dxa"/>
          <w:left w:w="15" w:type="dxa"/>
          <w:bottom w:w="15" w:type="dxa"/>
          <w:right w:w="15" w:type="dxa"/>
        </w:tblCellMar>
        <w:tblLook w:val="04A0" w:firstRow="1" w:lastRow="0" w:firstColumn="1" w:lastColumn="0" w:noHBand="0" w:noVBand="1"/>
      </w:tblPr>
      <w:tblGrid>
        <w:gridCol w:w="40"/>
        <w:gridCol w:w="4825"/>
        <w:gridCol w:w="39"/>
        <w:gridCol w:w="36"/>
        <w:gridCol w:w="36"/>
        <w:gridCol w:w="36"/>
        <w:gridCol w:w="111"/>
        <w:gridCol w:w="879"/>
        <w:gridCol w:w="36"/>
        <w:gridCol w:w="36"/>
        <w:gridCol w:w="36"/>
        <w:gridCol w:w="36"/>
        <w:gridCol w:w="111"/>
        <w:gridCol w:w="879"/>
        <w:gridCol w:w="36"/>
        <w:gridCol w:w="36"/>
        <w:gridCol w:w="36"/>
        <w:gridCol w:w="36"/>
        <w:gridCol w:w="111"/>
        <w:gridCol w:w="879"/>
        <w:gridCol w:w="36"/>
      </w:tblGrid>
      <w:tr w:rsidR="00000000">
        <w:trPr>
          <w:divId w:val="2092389170"/>
        </w:trPr>
        <w:tc>
          <w:tcPr>
            <w:tcW w:w="50" w:type="pct"/>
            <w:vAlign w:val="center"/>
            <w:hideMark/>
          </w:tcPr>
          <w:p w:rsidR="00000000" w:rsidRDefault="00971A12">
            <w:pPr>
              <w:jc w:val="center"/>
              <w:rPr>
                <w:rFonts w:eastAsia="Times New Roman"/>
              </w:rPr>
            </w:pPr>
          </w:p>
        </w:tc>
        <w:tc>
          <w:tcPr>
            <w:tcW w:w="2972"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2092389170"/>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Years Ended December 31,</w:t>
            </w:r>
          </w:p>
        </w:tc>
      </w:tr>
      <w:tr w:rsidR="00000000">
        <w:trPr>
          <w:divId w:val="2092389170"/>
        </w:trPr>
        <w:tc>
          <w:tcPr>
            <w:tcW w:w="0" w:type="auto"/>
            <w:gridSpan w:val="3"/>
            <w:tcMar>
              <w:top w:w="30" w:type="dxa"/>
              <w:left w:w="20" w:type="dxa"/>
              <w:bottom w:w="30" w:type="dxa"/>
              <w:right w:w="20" w:type="dxa"/>
            </w:tcMar>
            <w:vAlign w:val="bottom"/>
            <w:hideMark/>
          </w:tcPr>
          <w:p w:rsidR="00000000" w:rsidRDefault="00971A12">
            <w:pPr>
              <w:spacing w:after="100"/>
              <w:jc w:val="both"/>
              <w:rPr>
                <w:rFonts w:eastAsia="Times New Roman"/>
              </w:rPr>
            </w:pPr>
            <w:r>
              <w:rPr>
                <w:rFonts w:eastAsia="Times New Roman"/>
                <w:i/>
                <w:iCs/>
                <w:color w:val="000000"/>
                <w:sz w:val="16"/>
                <w:szCs w:val="16"/>
              </w:rPr>
              <w:t>(In thousands, except share and per share data)</w:t>
            </w:r>
          </w:p>
        </w:tc>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r>
      <w:tr w:rsidR="00000000">
        <w:trPr>
          <w:divId w:val="2092389170"/>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1045518383"/>
              <w:rPr>
                <w:rFonts w:eastAsia="Times New Roman"/>
              </w:rPr>
            </w:pPr>
            <w:r>
              <w:rPr>
                <w:rFonts w:eastAsia="Times New Roman"/>
                <w:color w:val="000000"/>
                <w:sz w:val="18"/>
                <w:szCs w:val="18"/>
              </w:rPr>
              <w:t>Revenues</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376,423 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367,013 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356,036 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Height w:val="240"/>
        </w:trPr>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2092389170"/>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492374227"/>
              <w:rPr>
                <w:rFonts w:eastAsia="Times New Roman"/>
              </w:rPr>
            </w:pPr>
            <w:r>
              <w:rPr>
                <w:rFonts w:eastAsia="Times New Roman"/>
                <w:color w:val="000000"/>
                <w:sz w:val="18"/>
                <w:szCs w:val="18"/>
              </w:rPr>
              <w:t>Cost of revenues</w:t>
            </w:r>
            <w:r>
              <w:rPr>
                <w:rFonts w:eastAsia="Times New Roman"/>
                <w:i/>
                <w:iCs/>
                <w:color w:val="000000"/>
                <w:sz w:val="18"/>
                <w:szCs w:val="18"/>
              </w:rPr>
              <w:t xml:space="preserve"> </w:t>
            </w:r>
            <w:r>
              <w:rPr>
                <w:rFonts w:eastAsia="Times New Roman"/>
                <w:color w:val="000000"/>
                <w:sz w:val="12"/>
                <w:szCs w:val="12"/>
              </w:rPr>
              <w:t>(1) (2) (3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205,294 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203,044 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180,712 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divId w:val="524368900"/>
              <w:rPr>
                <w:rFonts w:eastAsia="Times New Roman"/>
              </w:rPr>
            </w:pPr>
            <w:r>
              <w:rPr>
                <w:rFonts w:eastAsia="Times New Roman"/>
                <w:color w:val="000000"/>
                <w:sz w:val="18"/>
                <w:szCs w:val="18"/>
              </w:rPr>
              <w:t>Selling and marketing</w:t>
            </w:r>
            <w:r>
              <w:rPr>
                <w:rFonts w:eastAsia="Times New Roman"/>
                <w:color w:val="000000"/>
                <w:sz w:val="18"/>
                <w:szCs w:val="18"/>
              </w:rPr>
              <w:t xml:space="preserve"> </w:t>
            </w:r>
            <w:r>
              <w:rPr>
                <w:rFonts w:eastAsia="Times New Roman"/>
                <w:color w:val="000000"/>
                <w:sz w:val="12"/>
                <w:szCs w:val="12"/>
              </w:rPr>
              <w:t>(1) (3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68,453 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66,937 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70,220 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1902596099"/>
              <w:rPr>
                <w:rFonts w:eastAsia="Times New Roman"/>
              </w:rPr>
            </w:pPr>
            <w:r>
              <w:rPr>
                <w:rFonts w:eastAsia="Times New Roman"/>
                <w:color w:val="000000"/>
                <w:sz w:val="18"/>
                <w:szCs w:val="18"/>
              </w:rPr>
              <w:t>Research and development</w:t>
            </w:r>
            <w:r>
              <w:rPr>
                <w:rFonts w:eastAsia="Times New Roman"/>
                <w:i/>
                <w:iCs/>
                <w:color w:val="000000"/>
                <w:sz w:val="18"/>
                <w:szCs w:val="18"/>
              </w:rPr>
              <w:t xml:space="preserve"> </w:t>
            </w:r>
            <w:r>
              <w:rPr>
                <w:rFonts w:eastAsia="Times New Roman"/>
                <w:color w:val="000000"/>
                <w:sz w:val="12"/>
                <w:szCs w:val="12"/>
              </w:rPr>
              <w:t>(1) (3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36,987 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39,123 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38,706 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divId w:val="355621671"/>
              <w:rPr>
                <w:rFonts w:eastAsia="Times New Roman"/>
              </w:rPr>
            </w:pPr>
            <w:r>
              <w:rPr>
                <w:rFonts w:eastAsia="Times New Roman"/>
                <w:color w:val="000000"/>
                <w:sz w:val="18"/>
                <w:szCs w:val="18"/>
              </w:rPr>
              <w:t>General and administrative</w:t>
            </w:r>
            <w:r>
              <w:rPr>
                <w:rFonts w:eastAsia="Times New Roman"/>
                <w:i/>
                <w:iCs/>
                <w:color w:val="000000"/>
                <w:sz w:val="18"/>
                <w:szCs w:val="18"/>
              </w:rPr>
              <w:t xml:space="preserve"> </w:t>
            </w:r>
            <w:r>
              <w:rPr>
                <w:rFonts w:eastAsia="Times New Roman"/>
                <w:color w:val="000000"/>
                <w:sz w:val="12"/>
                <w:szCs w:val="12"/>
              </w:rPr>
              <w:t>(1) (3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61,200 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61,736 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55,783 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 xml:space="preserve">Amortization of intangible assets </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27,096 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25,038 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27,219 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2092389170"/>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Impairment of goodwill</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46,300 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2092389170"/>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2092389170"/>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Restructuring</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5,810 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Impairment of right-of-use and long-lived assets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4,671 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expenses from operations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451,296 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395,878 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377,311 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Loss from operations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(74,873)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(28,865)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(21,275)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140317739"/>
              <w:rPr>
                <w:rFonts w:eastAsia="Times New Roman"/>
              </w:rPr>
            </w:pPr>
            <w:r>
              <w:rPr>
                <w:rFonts w:eastAsia="Times New Roman"/>
                <w:color w:val="000000"/>
                <w:sz w:val="18"/>
                <w:szCs w:val="18"/>
              </w:rPr>
              <w:t>Loss on extinguishment of debt</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(9,629)</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divId w:val="949700196"/>
              <w:rPr>
                <w:rFonts w:eastAsia="Times New Roman"/>
              </w:rPr>
            </w:pPr>
            <w:r>
              <w:rPr>
                <w:rFonts w:eastAsia="Times New Roman"/>
                <w:color w:val="000000"/>
                <w:sz w:val="18"/>
                <w:szCs w:val="18"/>
              </w:rPr>
              <w:t>Interest expense, net</w:t>
            </w:r>
            <w:r>
              <w:rPr>
                <w:rFonts w:eastAsia="Times New Roman"/>
                <w:i/>
                <w:iCs/>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(915)</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(7,801)</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(35,805)</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9,785 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(5,778)</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14,554 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Gain (loss) from foreign currency transactions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1,166 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2,895 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(4,490)</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(64,837)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(49,178)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(47,016)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Income tax provision</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(1,724)</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(859)</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(902)</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w:t>
            </w:r>
            <w:r>
              <w:rPr>
                <w:rFonts w:eastAsia="Times New Roman"/>
                <w:color w:val="000000"/>
                <w:sz w:val="18"/>
                <w:szCs w:val="18"/>
              </w:rPr>
              <w:t>66,561)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(50,037)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(47,918)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Net loss available to common stockholders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2092389170"/>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(66,561)</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(50,037)</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(47,918)</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divId w:val="311521695"/>
              <w:rPr>
                <w:rFonts w:eastAsia="Times New Roman"/>
              </w:rPr>
            </w:pPr>
            <w:r>
              <w:rPr>
                <w:rFonts w:eastAsia="Times New Roman"/>
                <w:color w:val="000000"/>
                <w:sz w:val="18"/>
                <w:szCs w:val="18"/>
              </w:rPr>
              <w:t>Convertible redeemable preferred stock dividends</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(15,513)</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(12,623)</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net loss available to common stockholders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(82,074)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(62,660)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(47,918)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Net loss per common share: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2092389170"/>
        </w:trPr>
        <w:tc>
          <w:tcPr>
            <w:tcW w:w="0" w:type="auto"/>
            <w:gridSpan w:val="3"/>
            <w:shd w:val="clear" w:color="auto" w:fill="CCEE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Basic and diluted</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(0.89)</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(0.78)</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(0.67)</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Weighted-average number of shares used in per share calculation - Common Stock:</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2092389170"/>
        </w:trPr>
        <w:tc>
          <w:tcPr>
            <w:tcW w:w="0" w:type="auto"/>
            <w:gridSpan w:val="3"/>
            <w:shd w:val="clear" w:color="auto" w:fill="CCEE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Basic and diluted</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92,683,564 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80,802,053 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71,181,496 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Comprehensive loss: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2092389170"/>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(66,561)</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w:t>
            </w:r>
            <w:r>
              <w:rPr>
                <w:rFonts w:eastAsia="Times New Roman"/>
                <w:color w:val="000000"/>
                <w:sz w:val="18"/>
                <w:szCs w:val="18"/>
              </w:rPr>
              <w:t>50,037)</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(47,918)</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Other comprehensive (loss) income: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2092389170"/>
        </w:trPr>
        <w:tc>
          <w:tcPr>
            <w:tcW w:w="0" w:type="auto"/>
            <w:gridSpan w:val="3"/>
            <w:shd w:val="clear" w:color="auto" w:fill="CCEE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Foreign currency cumulative translation adjustment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(3,842)</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(5,068)</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5,303 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92389170"/>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2092389170"/>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comprehensive loss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(70,403)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(55,105)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(42,615)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both"/>
        <w:divId w:val="1477259686"/>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Excludes amortization of intangible assets, which is presented separately in the Consolidated Statements of Operations and Comprehensive Loss.</w:t>
      </w:r>
    </w:p>
    <w:p w:rsidR="00000000" w:rsidRDefault="00971A12">
      <w:pPr>
        <w:jc w:val="both"/>
        <w:rPr>
          <w:rFonts w:eastAsia="Times New Roman"/>
        </w:rPr>
      </w:pPr>
      <w:r>
        <w:rPr>
          <w:rFonts w:eastAsia="Times New Roman"/>
          <w:color w:val="000000"/>
          <w:sz w:val="12"/>
          <w:szCs w:val="12"/>
        </w:rPr>
        <w:t>(2</w:t>
      </w:r>
      <w:r>
        <w:rPr>
          <w:rFonts w:eastAsia="Times New Roman"/>
          <w:color w:val="000000"/>
          <w:sz w:val="12"/>
          <w:szCs w:val="12"/>
        </w:rPr>
        <w:t>)</w:t>
      </w:r>
      <w:r>
        <w:rPr>
          <w:rFonts w:eastAsia="Times New Roman"/>
          <w:color w:val="000000"/>
          <w:sz w:val="18"/>
          <w:szCs w:val="18"/>
        </w:rPr>
        <w:t xml:space="preserve"> Transaction</w:t>
      </w:r>
      <w:r>
        <w:rPr>
          <w:rFonts w:eastAsia="Times New Roman"/>
          <w:color w:val="000000"/>
          <w:sz w:val="18"/>
          <w:szCs w:val="18"/>
        </w:rPr>
        <w:t>s with related parties are included in the line items above as follows (refer to </w:t>
      </w:r>
      <w:hyperlink w:anchor="i0047531bd13046b986557e31951e34f8_157" w:history="1">
        <w:r>
          <w:rPr>
            <w:rStyle w:val="a3"/>
            <w:rFonts w:eastAsia="Times New Roman"/>
            <w:sz w:val="18"/>
            <w:szCs w:val="18"/>
          </w:rPr>
          <w:t>Footnote 14</w:t>
        </w:r>
      </w:hyperlink>
      <w:r>
        <w:rPr>
          <w:rFonts w:eastAsia="Times New Roman"/>
          <w:color w:val="000000"/>
          <w:sz w:val="18"/>
          <w:szCs w:val="18"/>
        </w:rPr>
        <w:t xml:space="preserve">, </w:t>
      </w:r>
      <w:r>
        <w:rPr>
          <w:rFonts w:eastAsia="Times New Roman"/>
          <w:i/>
          <w:iCs/>
          <w:color w:val="000000"/>
          <w:sz w:val="18"/>
          <w:szCs w:val="18"/>
        </w:rPr>
        <w:t>Related Party Transactions</w:t>
      </w:r>
      <w:r>
        <w:rPr>
          <w:rFonts w:eastAsia="Times New Roman"/>
          <w:color w:val="000000"/>
          <w:sz w:val="18"/>
          <w:szCs w:val="18"/>
        </w:rPr>
        <w:t>, for further information):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829"/>
        <w:gridCol w:w="37"/>
        <w:gridCol w:w="36"/>
        <w:gridCol w:w="36"/>
        <w:gridCol w:w="36"/>
        <w:gridCol w:w="110"/>
        <w:gridCol w:w="880"/>
        <w:gridCol w:w="36"/>
        <w:gridCol w:w="36"/>
        <w:gridCol w:w="36"/>
        <w:gridCol w:w="36"/>
        <w:gridCol w:w="110"/>
        <w:gridCol w:w="880"/>
        <w:gridCol w:w="36"/>
        <w:gridCol w:w="36"/>
        <w:gridCol w:w="36"/>
        <w:gridCol w:w="36"/>
        <w:gridCol w:w="110"/>
        <w:gridCol w:w="880"/>
        <w:gridCol w:w="36"/>
      </w:tblGrid>
      <w:tr w:rsidR="00000000">
        <w:trPr>
          <w:jc w:val="center"/>
        </w:trPr>
        <w:tc>
          <w:tcPr>
            <w:tcW w:w="50" w:type="pct"/>
            <w:vAlign w:val="center"/>
            <w:hideMark/>
          </w:tcPr>
          <w:p w:rsidR="00000000" w:rsidRDefault="00971A12">
            <w:pPr>
              <w:jc w:val="both"/>
              <w:rPr>
                <w:rFonts w:eastAsia="Times New Roman"/>
              </w:rPr>
            </w:pPr>
          </w:p>
        </w:tc>
        <w:tc>
          <w:tcPr>
            <w:tcW w:w="2972"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Years Ended December 31,</w:t>
            </w:r>
          </w:p>
        </w:tc>
      </w:tr>
      <w:tr w:rsidR="00000000">
        <w:trPr>
          <w:jc w:val="center"/>
        </w:trPr>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14,934 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16,285 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13,314 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Cost of revenues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26,971 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34,534 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10,094 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(4,692)</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(24,480)</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Loss on extinguishment of debt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(9,608)</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Convertible redeemable 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(15,513)</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(12,623)</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bl>
    <w:p w:rsidR="00000000" w:rsidRDefault="00971A12">
      <w:pPr>
        <w:divId w:val="554967407"/>
        <w:rPr>
          <w:rFonts w:eastAsia="Times New Roman"/>
        </w:rPr>
      </w:pPr>
      <w:r>
        <w:rPr>
          <w:rFonts w:eastAsia="Times New Roman"/>
          <w:color w:val="000000"/>
          <w:sz w:val="12"/>
          <w:szCs w:val="12"/>
        </w:rPr>
        <w:t>(3</w:t>
      </w:r>
      <w:r>
        <w:rPr>
          <w:rFonts w:eastAsia="Times New Roman"/>
          <w:color w:val="000000"/>
          <w:sz w:val="12"/>
          <w:szCs w:val="12"/>
        </w:rPr>
        <w:t>)</w:t>
      </w:r>
      <w:r>
        <w:rPr>
          <w:rFonts w:eastAsia="Times New Roman"/>
          <w:color w:val="000000"/>
          <w:sz w:val="18"/>
          <w:szCs w:val="18"/>
        </w:rPr>
        <w:t xml:space="preserve"> Stock-based compensation expense is included in the line items above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826"/>
        <w:gridCol w:w="39"/>
        <w:gridCol w:w="36"/>
        <w:gridCol w:w="36"/>
        <w:gridCol w:w="36"/>
        <w:gridCol w:w="110"/>
        <w:gridCol w:w="879"/>
        <w:gridCol w:w="36"/>
        <w:gridCol w:w="36"/>
        <w:gridCol w:w="36"/>
        <w:gridCol w:w="36"/>
        <w:gridCol w:w="110"/>
        <w:gridCol w:w="880"/>
        <w:gridCol w:w="36"/>
        <w:gridCol w:w="36"/>
        <w:gridCol w:w="36"/>
        <w:gridCol w:w="36"/>
        <w:gridCol w:w="110"/>
        <w:gridCol w:w="880"/>
        <w:gridCol w:w="36"/>
      </w:tblGrid>
      <w:tr w:rsidR="00000000">
        <w:trPr>
          <w:jc w:val="center"/>
        </w:trPr>
        <w:tc>
          <w:tcPr>
            <w:tcW w:w="50" w:type="pct"/>
            <w:vAlign w:val="center"/>
            <w:hideMark/>
          </w:tcPr>
          <w:p w:rsidR="00000000" w:rsidRDefault="00971A12">
            <w:pPr>
              <w:rPr>
                <w:rFonts w:eastAsia="Times New Roman"/>
              </w:rPr>
            </w:pPr>
          </w:p>
        </w:tc>
        <w:tc>
          <w:tcPr>
            <w:tcW w:w="2972"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Years Ended December 31,</w:t>
            </w:r>
          </w:p>
        </w:tc>
      </w:tr>
      <w:tr w:rsidR="00000000">
        <w:trPr>
          <w:jc w:val="center"/>
        </w:trPr>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Cost of revenues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Selling and marketing</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1,021 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1,791 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2,226 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Research and development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827 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1,079 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886 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5,186 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9,375 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5,673 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8,178 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13,848 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10,073 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bl>
    <w:p w:rsidR="00000000" w:rsidRDefault="00971A12">
      <w:pPr>
        <w:jc w:val="center"/>
        <w:divId w:val="793525664"/>
        <w:rPr>
          <w:rFonts w:eastAsia="Times New Roman"/>
        </w:rPr>
      </w:pPr>
      <w:r>
        <w:rPr>
          <w:rFonts w:eastAsia="Times New Roman"/>
          <w:color w:val="000000"/>
          <w:sz w:val="18"/>
          <w:szCs w:val="18"/>
        </w:rPr>
        <w:t>See accompanying Notes to Consolidated Financial Statements.</w:t>
      </w:r>
    </w:p>
    <w:p w:rsidR="00000000" w:rsidRDefault="00971A12">
      <w:pPr>
        <w:jc w:val="center"/>
        <w:divId w:val="816610658"/>
        <w:rPr>
          <w:rFonts w:eastAsia="Times New Roman"/>
        </w:rPr>
      </w:pPr>
      <w:r>
        <w:rPr>
          <w:rFonts w:eastAsia="Times New Roman"/>
          <w:color w:val="000000"/>
          <w:sz w:val="20"/>
          <w:szCs w:val="20"/>
        </w:rPr>
        <w:t>49</w:t>
      </w:r>
    </w:p>
    <w:p w:rsidR="00000000" w:rsidRDefault="00971A12">
      <w:pPr>
        <w:rPr>
          <w:rFonts w:eastAsia="Times New Roman"/>
        </w:rPr>
      </w:pPr>
      <w:r>
        <w:rPr>
          <w:rFonts w:eastAsia="Times New Roman"/>
        </w:rPr>
        <w:pict>
          <v:rect id="_x0000_i1077" style="width:0;height:1.5pt" o:hralign="center" o:hrstd="t" o:hr="t" fillcolor="#a0a0a0" stroked="f"/>
        </w:pict>
      </w:r>
    </w:p>
    <w:p w:rsidR="00000000" w:rsidRDefault="00971A12">
      <w:pPr>
        <w:divId w:val="1301807413"/>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522864619"/>
        <w:rPr>
          <w:rFonts w:eastAsia="Times New Roman"/>
        </w:rPr>
      </w:pPr>
    </w:p>
    <w:p w:rsidR="00000000" w:rsidRDefault="00971A12">
      <w:pPr>
        <w:jc w:val="center"/>
        <w:rPr>
          <w:rFonts w:eastAsia="Times New Roman"/>
        </w:rPr>
      </w:pPr>
      <w:r>
        <w:rPr>
          <w:rFonts w:eastAsia="Times New Roman"/>
          <w:b/>
          <w:bCs/>
          <w:color w:val="000000"/>
          <w:sz w:val="20"/>
          <w:szCs w:val="20"/>
        </w:rPr>
        <w:t>COMSCORE, INC.</w:t>
      </w:r>
    </w:p>
    <w:p w:rsidR="00000000" w:rsidRDefault="00971A12">
      <w:pPr>
        <w:jc w:val="center"/>
        <w:rPr>
          <w:rFonts w:eastAsia="Times New Roman"/>
        </w:rPr>
      </w:pPr>
      <w:r>
        <w:rPr>
          <w:rFonts w:eastAsia="Times New Roman"/>
          <w:b/>
          <w:bCs/>
          <w:color w:val="000000"/>
          <w:sz w:val="20"/>
          <w:szCs w:val="20"/>
        </w:rPr>
        <w:t>CONSOLIDATED STATEMENT OF CHANGES IN CONVERTIBLE REDEEMABLE PREFERRED STOCK AND STOCKHOLDERS' EQUITY</w:t>
      </w:r>
    </w:p>
    <w:tbl>
      <w:tblPr>
        <w:tblW w:w="4997" w:type="pct"/>
        <w:jc w:val="center"/>
        <w:tblCellMar>
          <w:top w:w="15" w:type="dxa"/>
          <w:left w:w="15" w:type="dxa"/>
          <w:bottom w:w="15" w:type="dxa"/>
          <w:right w:w="15" w:type="dxa"/>
        </w:tblCellMar>
        <w:tblLook w:val="04A0" w:firstRow="1" w:lastRow="0" w:firstColumn="1" w:lastColumn="0" w:noHBand="0" w:noVBand="1"/>
      </w:tblPr>
      <w:tblGrid>
        <w:gridCol w:w="40"/>
        <w:gridCol w:w="1122"/>
        <w:gridCol w:w="39"/>
        <w:gridCol w:w="128"/>
        <w:gridCol w:w="747"/>
        <w:gridCol w:w="36"/>
        <w:gridCol w:w="36"/>
        <w:gridCol w:w="36"/>
        <w:gridCol w:w="36"/>
        <w:gridCol w:w="110"/>
        <w:gridCol w:w="630"/>
        <w:gridCol w:w="36"/>
        <w:gridCol w:w="46"/>
        <w:gridCol w:w="36"/>
        <w:gridCol w:w="36"/>
        <w:gridCol w:w="36"/>
        <w:gridCol w:w="37"/>
        <w:gridCol w:w="37"/>
        <w:gridCol w:w="37"/>
        <w:gridCol w:w="128"/>
        <w:gridCol w:w="747"/>
        <w:gridCol w:w="37"/>
        <w:gridCol w:w="36"/>
        <w:gridCol w:w="36"/>
        <w:gridCol w:w="36"/>
        <w:gridCol w:w="111"/>
        <w:gridCol w:w="506"/>
        <w:gridCol w:w="36"/>
        <w:gridCol w:w="203"/>
        <w:gridCol w:w="365"/>
        <w:gridCol w:w="202"/>
        <w:gridCol w:w="110"/>
        <w:gridCol w:w="765"/>
        <w:gridCol w:w="36"/>
        <w:gridCol w:w="292"/>
        <w:gridCol w:w="524"/>
        <w:gridCol w:w="291"/>
        <w:gridCol w:w="110"/>
        <w:gridCol w:w="615"/>
        <w:gridCol w:w="36"/>
        <w:gridCol w:w="250"/>
        <w:gridCol w:w="448"/>
        <w:gridCol w:w="249"/>
        <w:gridCol w:w="110"/>
        <w:gridCol w:w="840"/>
        <w:gridCol w:w="36"/>
        <w:gridCol w:w="177"/>
        <w:gridCol w:w="319"/>
        <w:gridCol w:w="176"/>
        <w:gridCol w:w="110"/>
        <w:gridCol w:w="705"/>
        <w:gridCol w:w="36"/>
        <w:gridCol w:w="257"/>
        <w:gridCol w:w="461"/>
        <w:gridCol w:w="256"/>
        <w:gridCol w:w="110"/>
        <w:gridCol w:w="630"/>
        <w:gridCol w:w="36"/>
      </w:tblGrid>
      <w:tr w:rsidR="00000000">
        <w:trPr>
          <w:divId w:val="1763258571"/>
          <w:jc w:val="center"/>
        </w:trPr>
        <w:tc>
          <w:tcPr>
            <w:tcW w:w="50" w:type="pct"/>
            <w:vAlign w:val="center"/>
            <w:hideMark/>
          </w:tcPr>
          <w:p w:rsidR="00000000" w:rsidRDefault="00971A12">
            <w:pPr>
              <w:jc w:val="center"/>
              <w:rPr>
                <w:rFonts w:eastAsia="Times New Roman"/>
              </w:rPr>
            </w:pPr>
          </w:p>
        </w:tc>
        <w:tc>
          <w:tcPr>
            <w:tcW w:w="1582"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2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2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2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2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2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338"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2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2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2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763258571"/>
          <w:trHeight w:val="360"/>
          <w:jc w:val="center"/>
        </w:trPr>
        <w:tc>
          <w:tcPr>
            <w:tcW w:w="0" w:type="auto"/>
            <w:gridSpan w:val="3"/>
            <w:vMerge w:val="restart"/>
            <w:tcMar>
              <w:top w:w="30" w:type="dxa"/>
              <w:left w:w="20" w:type="dxa"/>
              <w:bottom w:w="30" w:type="dxa"/>
              <w:right w:w="20" w:type="dxa"/>
            </w:tcMar>
            <w:vAlign w:val="bottom"/>
            <w:hideMark/>
          </w:tcPr>
          <w:p w:rsidR="00000000" w:rsidRDefault="00971A12">
            <w:pPr>
              <w:spacing w:after="100"/>
              <w:jc w:val="both"/>
              <w:rPr>
                <w:rFonts w:eastAsia="Times New Roman"/>
              </w:rPr>
            </w:pPr>
            <w:r>
              <w:rPr>
                <w:rFonts w:eastAsia="Times New Roman"/>
                <w:i/>
                <w:iCs/>
                <w:color w:val="000000"/>
                <w:sz w:val="16"/>
                <w:szCs w:val="16"/>
              </w:rPr>
              <w:t>(In thousands, except share data)</w:t>
            </w:r>
          </w:p>
        </w:tc>
        <w:tc>
          <w:tcPr>
            <w:tcW w:w="0" w:type="auto"/>
            <w:gridSpan w:val="9"/>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Convertible Redeemable Preferred Stock</w:t>
            </w:r>
          </w:p>
        </w:tc>
        <w:tc>
          <w:tcPr>
            <w:tcW w:w="0" w:type="auto"/>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vMerge w:val="restart"/>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vMerge w:val="restart"/>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Treasury stock, at cost</w:t>
            </w:r>
          </w:p>
        </w:tc>
        <w:tc>
          <w:tcPr>
            <w:tcW w:w="0" w:type="auto"/>
            <w:gridSpan w:val="3"/>
            <w:vMerge w:val="restart"/>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763258571"/>
          <w:trHeight w:val="460"/>
          <w:jc w:val="center"/>
        </w:trPr>
        <w:tc>
          <w:tcPr>
            <w:tcW w:w="0" w:type="auto"/>
            <w:gridSpan w:val="3"/>
            <w:vMerge/>
            <w:vAlign w:val="center"/>
            <w:hideMark/>
          </w:tcPr>
          <w:p w:rsidR="00000000" w:rsidRDefault="00971A1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Amount</w:t>
            </w:r>
          </w:p>
        </w:tc>
        <w:tc>
          <w:tcPr>
            <w:tcW w:w="0" w:type="auto"/>
            <w:vAlign w:val="center"/>
            <w:hideMark/>
          </w:tcPr>
          <w:p w:rsidR="00000000" w:rsidRDefault="00971A1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Amount</w:t>
            </w:r>
          </w:p>
        </w:tc>
        <w:tc>
          <w:tcPr>
            <w:tcW w:w="0" w:type="auto"/>
            <w:gridSpan w:val="3"/>
            <w:vMerge/>
            <w:vAlign w:val="center"/>
            <w:hideMark/>
          </w:tcPr>
          <w:p w:rsidR="00000000" w:rsidRDefault="00971A12">
            <w:pPr>
              <w:spacing w:after="100"/>
              <w:rPr>
                <w:rFonts w:eastAsia="Times New Roman"/>
              </w:rPr>
            </w:pPr>
          </w:p>
        </w:tc>
        <w:tc>
          <w:tcPr>
            <w:tcW w:w="0" w:type="auto"/>
            <w:gridSpan w:val="3"/>
            <w:vMerge/>
            <w:vAlign w:val="center"/>
            <w:hideMark/>
          </w:tcPr>
          <w:p w:rsidR="00000000" w:rsidRDefault="00971A12">
            <w:pPr>
              <w:spacing w:after="100"/>
              <w:rPr>
                <w:rFonts w:eastAsia="Times New Roman"/>
              </w:rPr>
            </w:pPr>
          </w:p>
        </w:tc>
        <w:tc>
          <w:tcPr>
            <w:tcW w:w="0" w:type="auto"/>
            <w:gridSpan w:val="3"/>
            <w:vMerge/>
            <w:vAlign w:val="center"/>
            <w:hideMark/>
          </w:tcPr>
          <w:p w:rsidR="00000000" w:rsidRDefault="00971A12">
            <w:pPr>
              <w:spacing w:after="100"/>
              <w:rPr>
                <w:rFonts w:eastAsia="Times New Roman"/>
              </w:rPr>
            </w:pPr>
          </w:p>
        </w:tc>
        <w:tc>
          <w:tcPr>
            <w:tcW w:w="0" w:type="auto"/>
            <w:gridSpan w:val="3"/>
            <w:vMerge/>
            <w:vAlign w:val="center"/>
            <w:hideMark/>
          </w:tcPr>
          <w:p w:rsidR="00000000" w:rsidRDefault="00971A12">
            <w:pPr>
              <w:spacing w:after="100"/>
              <w:rPr>
                <w:rFonts w:eastAsia="Times New Roman"/>
              </w:rPr>
            </w:pPr>
          </w:p>
        </w:tc>
        <w:tc>
          <w:tcPr>
            <w:tcW w:w="0" w:type="auto"/>
            <w:gridSpan w:val="3"/>
            <w:vMerge/>
            <w:vAlign w:val="center"/>
            <w:hideMark/>
          </w:tcPr>
          <w:p w:rsidR="00000000" w:rsidRDefault="00971A12">
            <w:pPr>
              <w:spacing w:after="100"/>
              <w:rPr>
                <w:rFonts w:eastAsia="Times New Roman"/>
              </w:rPr>
            </w:pPr>
          </w:p>
        </w:tc>
        <w:tc>
          <w:tcPr>
            <w:tcW w:w="0" w:type="auto"/>
            <w:gridSpan w:val="3"/>
            <w:vMerge/>
            <w:vAlign w:val="center"/>
            <w:hideMark/>
          </w:tcPr>
          <w:p w:rsidR="00000000" w:rsidRDefault="00971A12">
            <w:pPr>
              <w:spacing w:after="100"/>
              <w:rPr>
                <w:rFonts w:eastAsia="Times New Roman"/>
              </w:rPr>
            </w:pPr>
          </w:p>
        </w:tc>
        <w:tc>
          <w:tcPr>
            <w:tcW w:w="0" w:type="auto"/>
            <w:gridSpan w:val="3"/>
            <w:vMerge/>
            <w:vAlign w:val="center"/>
            <w:hideMark/>
          </w:tcPr>
          <w:p w:rsidR="00000000" w:rsidRDefault="00971A12">
            <w:pPr>
              <w:spacing w:after="100"/>
              <w:rPr>
                <w:rFonts w:eastAsia="Times New Roman"/>
              </w:rPr>
            </w:pPr>
          </w:p>
        </w:tc>
        <w:tc>
          <w:tcPr>
            <w:tcW w:w="0" w:type="auto"/>
            <w:gridSpan w:val="3"/>
            <w:vMerge/>
            <w:vAlign w:val="center"/>
            <w:hideMark/>
          </w:tcPr>
          <w:p w:rsidR="00000000" w:rsidRDefault="00971A12">
            <w:pPr>
              <w:spacing w:after="100"/>
              <w:rPr>
                <w:rFonts w:eastAsia="Times New Roman"/>
              </w:rPr>
            </w:pPr>
          </w:p>
        </w:tc>
        <w:tc>
          <w:tcPr>
            <w:tcW w:w="0" w:type="auto"/>
            <w:gridSpan w:val="3"/>
            <w:vMerge/>
            <w:vAlign w:val="center"/>
            <w:hideMark/>
          </w:tcPr>
          <w:p w:rsidR="00000000" w:rsidRDefault="00971A1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r>
      <w:tr w:rsidR="00000000">
        <w:trPr>
          <w:divId w:val="1763258571"/>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763258571"/>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763258571"/>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763258571"/>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971A12">
        <w:trPr>
          <w:divId w:val="1763258571"/>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18"/>
                <w:szCs w:val="18"/>
              </w:rPr>
              <w:t>Balance as of December 31,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70,065,130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1,609,358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(12,333)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(1,108,137)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258,974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63258571"/>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971A12">
        <w:trPr>
          <w:divId w:val="1763258571"/>
          <w:jc w:val="center"/>
        </w:trPr>
        <w:tc>
          <w:tcPr>
            <w:tcW w:w="0" w:type="auto"/>
            <w:gridSpan w:val="3"/>
            <w:shd w:val="clear" w:color="auto" w:fill="FFFFFF"/>
            <w:tcMar>
              <w:top w:w="30" w:type="dxa"/>
              <w:left w:w="14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Net loss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(47,918)</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(47,918)</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971A12">
        <w:trPr>
          <w:divId w:val="1763258571"/>
          <w:jc w:val="center"/>
        </w:trPr>
        <w:tc>
          <w:tcPr>
            <w:tcW w:w="0" w:type="auto"/>
            <w:gridSpan w:val="3"/>
            <w:shd w:val="clear" w:color="auto" w:fill="CCEEFF"/>
            <w:tcMar>
              <w:top w:w="30" w:type="dxa"/>
              <w:left w:w="14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5,303 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5,303 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63258571"/>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763258571"/>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763258571"/>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971A12">
        <w:trPr>
          <w:divId w:val="1763258571"/>
          <w:jc w:val="center"/>
        </w:trPr>
        <w:tc>
          <w:tcPr>
            <w:tcW w:w="0" w:type="auto"/>
            <w:gridSpan w:val="3"/>
            <w:shd w:val="clear" w:color="auto" w:fill="FFFFFF"/>
            <w:tcMar>
              <w:top w:w="30" w:type="dxa"/>
              <w:left w:w="14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Exercise of Common Stock options, net</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75,000 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63258571"/>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971A12">
        <w:trPr>
          <w:divId w:val="1763258571"/>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669521647"/>
              <w:rPr>
                <w:rFonts w:eastAsia="Times New Roman"/>
              </w:rPr>
            </w:pPr>
            <w:r>
              <w:rPr>
                <w:rFonts w:eastAsia="Times New Roman"/>
                <w:color w:val="000000"/>
                <w:sz w:val="18"/>
                <w:szCs w:val="18"/>
              </w:rPr>
              <w:t>Interest paid in Common Stock</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1,474,201 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3,058 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3,060 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971A12">
        <w:trPr>
          <w:divId w:val="1763258571"/>
          <w:jc w:val="center"/>
        </w:trPr>
        <w:tc>
          <w:tcPr>
            <w:tcW w:w="0" w:type="auto"/>
            <w:gridSpan w:val="3"/>
            <w:shd w:val="clear" w:color="auto" w:fill="FFFFFF"/>
            <w:tcMar>
              <w:top w:w="30" w:type="dxa"/>
              <w:left w:w="14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Restricted stock units distributed</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1,363,152 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3,064 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3,065 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971A12">
        <w:trPr>
          <w:divId w:val="1763258571"/>
          <w:jc w:val="center"/>
        </w:trPr>
        <w:tc>
          <w:tcPr>
            <w:tcW w:w="0" w:type="auto"/>
            <w:gridSpan w:val="3"/>
            <w:shd w:val="clear" w:color="auto" w:fill="CCEEFF"/>
            <w:tcMar>
              <w:top w:w="30" w:type="dxa"/>
              <w:left w:w="14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(38,937)</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(117)</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(117)</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971A12">
        <w:trPr>
          <w:divId w:val="1763258571"/>
          <w:jc w:val="center"/>
        </w:trPr>
        <w:tc>
          <w:tcPr>
            <w:tcW w:w="0" w:type="auto"/>
            <w:gridSpan w:val="3"/>
            <w:shd w:val="clear" w:color="auto" w:fill="FFFFFF"/>
            <w:tcMar>
              <w:top w:w="30" w:type="dxa"/>
              <w:left w:w="14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Amortization of 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6,480 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6,480 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971A12">
        <w:trPr>
          <w:divId w:val="1763258571"/>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18"/>
                <w:szCs w:val="18"/>
              </w:rPr>
              <w:t>Balance as of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72,938,546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1,621,986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(7,030)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(1,156,055)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228,990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971A12">
        <w:trPr>
          <w:divId w:val="1763258571"/>
          <w:jc w:val="center"/>
        </w:trPr>
        <w:tc>
          <w:tcPr>
            <w:tcW w:w="0" w:type="auto"/>
            <w:gridSpan w:val="3"/>
            <w:shd w:val="clear" w:color="auto" w:fill="FFFFFF"/>
            <w:tcMar>
              <w:top w:w="30" w:type="dxa"/>
              <w:left w:w="14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Net loss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(50,037)</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(50,037)</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971A12">
        <w:trPr>
          <w:divId w:val="1763258571"/>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1358388163"/>
              <w:rPr>
                <w:rFonts w:eastAsia="Times New Roman"/>
              </w:rPr>
            </w:pPr>
            <w:r>
              <w:rPr>
                <w:rFonts w:eastAsia="Times New Roman"/>
                <w:color w:val="000000"/>
                <w:sz w:val="18"/>
                <w:szCs w:val="18"/>
              </w:rPr>
              <w:t>Convertible redeemable preferred stock, net of issuance costs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82,527,609 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187,885 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63258571"/>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971A12">
        <w:trPr>
          <w:divId w:val="1763258571"/>
          <w:jc w:val="center"/>
        </w:trPr>
        <w:tc>
          <w:tcPr>
            <w:tcW w:w="0" w:type="auto"/>
            <w:gridSpan w:val="3"/>
            <w:shd w:val="clear" w:color="auto" w:fill="FFFFFF"/>
            <w:tcMar>
              <w:top w:w="30" w:type="dxa"/>
              <w:left w:w="14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Fair value of Common Stock issued in connection with acquisition</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7,945,519 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25,766 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25,774 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971A12">
        <w:trPr>
          <w:divId w:val="1763258571"/>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1907643807"/>
              <w:rPr>
                <w:rFonts w:eastAsia="Times New Roman"/>
              </w:rPr>
            </w:pPr>
            <w:r>
              <w:rPr>
                <w:rFonts w:eastAsia="Times New Roman"/>
                <w:color w:val="000000"/>
                <w:sz w:val="18"/>
                <w:szCs w:val="18"/>
              </w:rPr>
              <w:t>Conversion shares issued as extinguishment cost on senior secured convertible notes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3,150,000 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9,605 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9,608 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971A12">
        <w:trPr>
          <w:divId w:val="1763258571"/>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divId w:val="1445810233"/>
              <w:rPr>
                <w:rFonts w:eastAsia="Times New Roman"/>
              </w:rPr>
            </w:pPr>
            <w:r>
              <w:rPr>
                <w:rFonts w:eastAsia="Times New Roman"/>
                <w:color w:val="000000"/>
                <w:sz w:val="18"/>
                <w:szCs w:val="18"/>
              </w:rPr>
              <w:t>Interest paid in Common Stock</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4,165,781 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10,808 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10,812 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971A12">
        <w:trPr>
          <w:divId w:val="1763258571"/>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843935546"/>
              <w:rPr>
                <w:rFonts w:eastAsia="Times New Roman"/>
              </w:rPr>
            </w:pPr>
            <w:r>
              <w:rPr>
                <w:rFonts w:eastAsia="Times New Roman"/>
                <w:color w:val="000000"/>
                <w:sz w:val="18"/>
                <w:szCs w:val="18"/>
              </w:rPr>
              <w:t>Convertible redeemable preferred stock dividends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(12,623)</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(12,623)</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971A12">
        <w:trPr>
          <w:divId w:val="1763258571"/>
          <w:jc w:val="center"/>
        </w:trPr>
        <w:tc>
          <w:tcPr>
            <w:tcW w:w="0" w:type="auto"/>
            <w:gridSpan w:val="3"/>
            <w:shd w:val="clear" w:color="auto" w:fill="FFFFFF"/>
            <w:tcMar>
              <w:top w:w="30" w:type="dxa"/>
              <w:left w:w="14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Restricted stock units distributed</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2,362,963 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7,117 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7,119 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971A12">
        <w:trPr>
          <w:divId w:val="1763258571"/>
          <w:jc w:val="center"/>
        </w:trPr>
        <w:tc>
          <w:tcPr>
            <w:tcW w:w="0" w:type="auto"/>
            <w:gridSpan w:val="3"/>
            <w:shd w:val="clear" w:color="auto" w:fill="CCEEFF"/>
            <w:tcMar>
              <w:top w:w="30" w:type="dxa"/>
              <w:left w:w="14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(5,068)</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w:t>
            </w:r>
            <w:r>
              <w:rPr>
                <w:rFonts w:eastAsia="Times New Roman"/>
                <w:color w:val="000000"/>
                <w:sz w:val="18"/>
                <w:szCs w:val="18"/>
              </w:rPr>
              <w:t>5,068)</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971A12">
        <w:trPr>
          <w:divId w:val="1763258571"/>
          <w:jc w:val="center"/>
        </w:trPr>
        <w:tc>
          <w:tcPr>
            <w:tcW w:w="0" w:type="auto"/>
            <w:gridSpan w:val="3"/>
            <w:shd w:val="clear" w:color="auto" w:fill="FFFFFF"/>
            <w:tcMar>
              <w:top w:w="30" w:type="dxa"/>
              <w:left w:w="14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(155,519)</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(522)</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(522)</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971A12">
        <w:trPr>
          <w:divId w:val="1763258571"/>
          <w:jc w:val="center"/>
        </w:trPr>
        <w:tc>
          <w:tcPr>
            <w:tcW w:w="0" w:type="auto"/>
            <w:gridSpan w:val="3"/>
            <w:shd w:val="clear" w:color="auto" w:fill="CCEEFF"/>
            <w:tcMar>
              <w:top w:w="30" w:type="dxa"/>
              <w:left w:w="14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Amortization of stock-based compensation</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9,123 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9,123 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971A12">
        <w:trPr>
          <w:divId w:val="1763258571"/>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18"/>
                <w:szCs w:val="18"/>
              </w:rPr>
              <w:t>Balance as of December 31,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82,527,609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187,885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90,407,290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90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1,683,883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(12,098)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(1,218,715)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223,176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971A12">
        <w:trPr>
          <w:divId w:val="1763258571"/>
          <w:jc w:val="center"/>
        </w:trPr>
        <w:tc>
          <w:tcPr>
            <w:tcW w:w="0" w:type="auto"/>
            <w:gridSpan w:val="3"/>
            <w:shd w:val="clear" w:color="auto" w:fill="CCEEFF"/>
            <w:tcMar>
              <w:top w:w="30" w:type="dxa"/>
              <w:left w:w="14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 xml:space="preserve">Net loss </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(66,561)</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(66,561)</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63258571"/>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971A12">
        <w:trPr>
          <w:divId w:val="1763258571"/>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divId w:val="470558563"/>
              <w:rPr>
                <w:rFonts w:eastAsia="Times New Roman"/>
              </w:rPr>
            </w:pPr>
            <w:r>
              <w:rPr>
                <w:rFonts w:eastAsia="Times New Roman"/>
                <w:color w:val="000000"/>
                <w:sz w:val="18"/>
                <w:szCs w:val="18"/>
              </w:rPr>
              <w:t>Convertible redeemable preferred stock dividends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(15,513)</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(15,513)</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971A12">
        <w:trPr>
          <w:divId w:val="1763258571"/>
          <w:jc w:val="center"/>
        </w:trPr>
        <w:tc>
          <w:tcPr>
            <w:tcW w:w="0" w:type="auto"/>
            <w:gridSpan w:val="3"/>
            <w:shd w:val="clear" w:color="auto" w:fill="CCEEFF"/>
            <w:tcMar>
              <w:top w:w="30" w:type="dxa"/>
              <w:left w:w="14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Restricted stock units distributed</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1,493,121 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1,717 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1,718 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971A12">
        <w:trPr>
          <w:divId w:val="1763258571"/>
          <w:jc w:val="center"/>
        </w:trPr>
        <w:tc>
          <w:tcPr>
            <w:tcW w:w="0" w:type="auto"/>
            <w:gridSpan w:val="3"/>
            <w:shd w:val="clear" w:color="auto" w:fill="FFFFFF"/>
            <w:tcMar>
              <w:top w:w="30" w:type="dxa"/>
              <w:left w:w="14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Exercise of Common Stock options, net</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96,955 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63258571"/>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763258571"/>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763258571"/>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971A12">
        <w:trPr>
          <w:divId w:val="1763258571"/>
          <w:jc w:val="center"/>
        </w:trPr>
        <w:tc>
          <w:tcPr>
            <w:tcW w:w="0" w:type="auto"/>
            <w:gridSpan w:val="3"/>
            <w:shd w:val="clear" w:color="auto" w:fill="CCEEFF"/>
            <w:tcMar>
              <w:top w:w="30" w:type="dxa"/>
              <w:left w:w="14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(13,120)</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(23)</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(23)</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63258571"/>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971A12">
        <w:trPr>
          <w:divId w:val="1763258571"/>
          <w:jc w:val="center"/>
        </w:trPr>
        <w:tc>
          <w:tcPr>
            <w:tcW w:w="0" w:type="auto"/>
            <w:gridSpan w:val="3"/>
            <w:shd w:val="clear" w:color="auto" w:fill="FFFFFF"/>
            <w:tcMar>
              <w:top w:w="30" w:type="dxa"/>
              <w:left w:w="14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Amortization of 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5,106 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5,106 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971A12">
        <w:trPr>
          <w:divId w:val="1763258571"/>
          <w:jc w:val="center"/>
        </w:trPr>
        <w:tc>
          <w:tcPr>
            <w:tcW w:w="0" w:type="auto"/>
            <w:gridSpan w:val="3"/>
            <w:shd w:val="clear" w:color="auto" w:fill="CCEEFF"/>
            <w:tcMar>
              <w:top w:w="30" w:type="dxa"/>
              <w:left w:w="14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120,696 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971A12">
        <w:trPr>
          <w:divId w:val="1763258571"/>
          <w:jc w:val="center"/>
        </w:trPr>
        <w:tc>
          <w:tcPr>
            <w:tcW w:w="0" w:type="auto"/>
            <w:gridSpan w:val="3"/>
            <w:shd w:val="clear" w:color="auto" w:fill="FFFFFF"/>
            <w:tcMar>
              <w:top w:w="30" w:type="dxa"/>
              <w:left w:w="14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(3,842)</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(3,842)</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63258571"/>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971A12">
        <w:trPr>
          <w:divId w:val="1763258571"/>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18"/>
                <w:szCs w:val="18"/>
              </w:rPr>
              <w:t>Balance as of December 31, 2022</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82,527,609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187,885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92,104,942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92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1,690,783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(15,940)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(1,300,789)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b/>
                <w:bCs/>
                <w:color w:val="000000"/>
                <w:sz w:val="18"/>
                <w:szCs w:val="18"/>
              </w:rPr>
              <w:t>144,162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both"/>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Transactions for these line items were exclusively with related parties (refer to </w:t>
      </w:r>
      <w:hyperlink w:anchor="i0047531bd13046b986557e31951e34f8_115" w:history="1">
        <w:r>
          <w:rPr>
            <w:rStyle w:val="a3"/>
            <w:rFonts w:eastAsia="Times New Roman"/>
            <w:sz w:val="18"/>
            <w:szCs w:val="18"/>
          </w:rPr>
          <w:t>Footnote 5</w:t>
        </w:r>
      </w:hyperlink>
      <w:r>
        <w:rPr>
          <w:rFonts w:eastAsia="Times New Roman"/>
          <w:color w:val="000000"/>
          <w:sz w:val="18"/>
          <w:szCs w:val="18"/>
        </w:rPr>
        <w:t xml:space="preserve">, </w:t>
      </w:r>
      <w:r>
        <w:rPr>
          <w:rFonts w:eastAsia="Times New Roman"/>
          <w:i/>
          <w:iCs/>
          <w:color w:val="000000"/>
          <w:sz w:val="18"/>
          <w:szCs w:val="18"/>
        </w:rPr>
        <w:t>Convertible Redeemable Preferred Stock and Stockholders' Equity</w:t>
      </w:r>
      <w:r>
        <w:rPr>
          <w:rFonts w:eastAsia="Times New Roman"/>
          <w:color w:val="000000"/>
          <w:sz w:val="18"/>
          <w:szCs w:val="18"/>
        </w:rPr>
        <w:t xml:space="preserve">, </w:t>
      </w:r>
      <w:hyperlink w:anchor="i0047531bd13046b986557e31951e34f8_124" w:history="1">
        <w:r>
          <w:rPr>
            <w:rStyle w:val="a3"/>
            <w:rFonts w:eastAsia="Times New Roman"/>
            <w:sz w:val="18"/>
            <w:szCs w:val="18"/>
          </w:rPr>
          <w:t>Footnote 6</w:t>
        </w:r>
      </w:hyperlink>
      <w:r>
        <w:rPr>
          <w:rFonts w:eastAsia="Times New Roman"/>
          <w:color w:val="000000"/>
          <w:sz w:val="18"/>
          <w:szCs w:val="18"/>
        </w:rPr>
        <w:t xml:space="preserve">, </w:t>
      </w:r>
      <w:r>
        <w:rPr>
          <w:rFonts w:eastAsia="Times New Roman"/>
          <w:i/>
          <w:iCs/>
          <w:color w:val="000000"/>
          <w:sz w:val="18"/>
          <w:szCs w:val="18"/>
        </w:rPr>
        <w:t>Debt</w:t>
      </w:r>
      <w:r>
        <w:rPr>
          <w:rFonts w:eastAsia="Times New Roman"/>
          <w:color w:val="000000"/>
          <w:sz w:val="18"/>
          <w:szCs w:val="18"/>
        </w:rPr>
        <w:t>, and </w:t>
      </w:r>
      <w:hyperlink w:anchor="i0047531bd13046b986557e31951e34f8_157" w:history="1">
        <w:r>
          <w:rPr>
            <w:rStyle w:val="a3"/>
            <w:rFonts w:eastAsia="Times New Roman"/>
            <w:sz w:val="18"/>
            <w:szCs w:val="18"/>
          </w:rPr>
          <w:t>Footnote 14</w:t>
        </w:r>
      </w:hyperlink>
      <w:r>
        <w:rPr>
          <w:rFonts w:eastAsia="Times New Roman"/>
          <w:color w:val="000000"/>
          <w:sz w:val="18"/>
          <w:szCs w:val="18"/>
        </w:rPr>
        <w:t xml:space="preserve">, </w:t>
      </w:r>
      <w:r>
        <w:rPr>
          <w:rFonts w:eastAsia="Times New Roman"/>
          <w:i/>
          <w:iCs/>
          <w:color w:val="000000"/>
          <w:sz w:val="18"/>
          <w:szCs w:val="18"/>
        </w:rPr>
        <w:t>Related Party Transactions</w:t>
      </w:r>
      <w:r>
        <w:rPr>
          <w:rFonts w:eastAsia="Times New Roman"/>
          <w:color w:val="000000"/>
          <w:sz w:val="18"/>
          <w:szCs w:val="18"/>
        </w:rPr>
        <w:t>, of the Notes to Consolidated Financial Statements for additional information). Gross proceeds from related parties for the issuance of convertible redeemab</w:t>
      </w:r>
      <w:r>
        <w:rPr>
          <w:rFonts w:eastAsia="Times New Roman"/>
          <w:color w:val="000000"/>
          <w:sz w:val="18"/>
          <w:szCs w:val="18"/>
        </w:rPr>
        <w:t>le preferred stock were $204.0 million.</w:t>
      </w:r>
    </w:p>
    <w:p w:rsidR="00000000" w:rsidRDefault="00971A12">
      <w:pPr>
        <w:jc w:val="center"/>
        <w:divId w:val="65274148"/>
        <w:rPr>
          <w:rFonts w:eastAsia="Times New Roman"/>
        </w:rPr>
      </w:pPr>
      <w:r>
        <w:rPr>
          <w:rFonts w:eastAsia="Times New Roman"/>
          <w:color w:val="000000"/>
          <w:sz w:val="18"/>
          <w:szCs w:val="18"/>
        </w:rPr>
        <w:t>See accompanying Notes to Consolidated Financial Statements.</w:t>
      </w:r>
    </w:p>
    <w:p w:rsidR="00000000" w:rsidRDefault="00971A12">
      <w:pPr>
        <w:jc w:val="center"/>
        <w:divId w:val="1285771756"/>
        <w:rPr>
          <w:rFonts w:eastAsia="Times New Roman"/>
        </w:rPr>
      </w:pPr>
      <w:r>
        <w:rPr>
          <w:rFonts w:eastAsia="Times New Roman"/>
          <w:color w:val="000000"/>
          <w:sz w:val="20"/>
          <w:szCs w:val="20"/>
        </w:rPr>
        <w:t>50</w:t>
      </w:r>
    </w:p>
    <w:p w:rsidR="00000000" w:rsidRDefault="00971A12">
      <w:pPr>
        <w:rPr>
          <w:rFonts w:eastAsia="Times New Roman"/>
        </w:rPr>
      </w:pPr>
      <w:r>
        <w:rPr>
          <w:rFonts w:eastAsia="Times New Roman"/>
        </w:rPr>
        <w:pict>
          <v:rect id="_x0000_i1078" style="width:0;height:1.5pt" o:hralign="center" o:hrstd="t" o:hr="t" fillcolor="#a0a0a0" stroked="f"/>
        </w:pict>
      </w:r>
    </w:p>
    <w:p w:rsidR="00000000" w:rsidRDefault="00971A12">
      <w:pPr>
        <w:divId w:val="416752126"/>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396172437"/>
        <w:rPr>
          <w:rFonts w:eastAsia="Times New Roman"/>
        </w:rPr>
      </w:pPr>
    </w:p>
    <w:p w:rsidR="00000000" w:rsidRDefault="00971A12">
      <w:pPr>
        <w:jc w:val="center"/>
        <w:divId w:val="776749710"/>
        <w:rPr>
          <w:rFonts w:eastAsia="Times New Roman"/>
        </w:rPr>
      </w:pPr>
      <w:r>
        <w:rPr>
          <w:rFonts w:eastAsia="Times New Roman"/>
          <w:b/>
          <w:bCs/>
          <w:color w:val="000000"/>
          <w:sz w:val="20"/>
          <w:szCs w:val="20"/>
        </w:rPr>
        <w:t>COMSCORE, INC.</w:t>
      </w:r>
    </w:p>
    <w:p w:rsidR="00000000" w:rsidRDefault="00971A12">
      <w:pPr>
        <w:jc w:val="center"/>
        <w:rPr>
          <w:rFonts w:eastAsia="Times New Roman"/>
        </w:rPr>
      </w:pPr>
      <w:r>
        <w:rPr>
          <w:rFonts w:eastAsia="Times New Roman"/>
          <w:b/>
          <w:bCs/>
          <w:color w:val="000000"/>
          <w:sz w:val="20"/>
          <w:szCs w:val="20"/>
        </w:rPr>
        <w:t>CONSOLIDATED STATEMENTS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4893"/>
        <w:gridCol w:w="41"/>
        <w:gridCol w:w="110"/>
        <w:gridCol w:w="892"/>
        <w:gridCol w:w="36"/>
        <w:gridCol w:w="36"/>
        <w:gridCol w:w="36"/>
        <w:gridCol w:w="36"/>
        <w:gridCol w:w="110"/>
        <w:gridCol w:w="892"/>
        <w:gridCol w:w="36"/>
        <w:gridCol w:w="36"/>
        <w:gridCol w:w="36"/>
        <w:gridCol w:w="36"/>
        <w:gridCol w:w="110"/>
        <w:gridCol w:w="892"/>
        <w:gridCol w:w="36"/>
      </w:tblGrid>
      <w:tr w:rsidR="00000000">
        <w:trPr>
          <w:jc w:val="center"/>
        </w:trPr>
        <w:tc>
          <w:tcPr>
            <w:tcW w:w="50" w:type="pct"/>
            <w:vAlign w:val="center"/>
            <w:hideMark/>
          </w:tcPr>
          <w:p w:rsidR="00000000" w:rsidRDefault="00971A12">
            <w:pPr>
              <w:jc w:val="center"/>
              <w:rPr>
                <w:rFonts w:eastAsia="Times New Roman"/>
              </w:rPr>
            </w:pPr>
          </w:p>
        </w:tc>
        <w:tc>
          <w:tcPr>
            <w:tcW w:w="2998"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Years Ended December 31,</w:t>
            </w:r>
          </w:p>
        </w:tc>
      </w:tr>
      <w:tr w:rsidR="00000000">
        <w:trPr>
          <w:jc w:val="center"/>
        </w:trPr>
        <w:tc>
          <w:tcPr>
            <w:tcW w:w="0" w:type="auto"/>
            <w:gridSpan w:val="3"/>
            <w:tcMar>
              <w:top w:w="30" w:type="dxa"/>
              <w:left w:w="20" w:type="dxa"/>
              <w:bottom w:w="30" w:type="dxa"/>
              <w:right w:w="20" w:type="dxa"/>
            </w:tcMar>
            <w:vAlign w:val="bottom"/>
            <w:hideMark/>
          </w:tcPr>
          <w:p w:rsidR="00000000" w:rsidRDefault="00971A12">
            <w:pPr>
              <w:spacing w:after="100"/>
              <w:jc w:val="both"/>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1291203628"/>
              <w:rPr>
                <w:rFonts w:eastAsia="Times New Roman"/>
              </w:rPr>
            </w:pPr>
            <w:r>
              <w:rPr>
                <w:rFonts w:eastAsia="Times New Roman"/>
                <w:b/>
                <w:bCs/>
                <w:color w:val="000000"/>
                <w:sz w:val="18"/>
                <w:szCs w:val="18"/>
              </w:rPr>
              <w:t>Operating activities</w:t>
            </w:r>
            <w:r>
              <w:rPr>
                <w:rFonts w:eastAsia="Times New Roman"/>
                <w:color w:val="000000"/>
                <w:sz w:val="18"/>
                <w:szCs w:val="18"/>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Net loss</w:t>
            </w: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(66,561)</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w:t>
            </w:r>
            <w:r>
              <w:rPr>
                <w:rFonts w:eastAsia="Times New Roman"/>
                <w:color w:val="000000"/>
                <w:sz w:val="18"/>
                <w:szCs w:val="18"/>
              </w:rPr>
              <w:t>50,037)</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(47,918)</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Adjustments to reconcile net loss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Impairment of goodwill</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46,300 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 xml:space="preserve">Amortization of intangible assets </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27,096 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25,038 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27,219 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Depreciation</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16,828 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15,793 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14,064 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8,178 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13,848 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10,073 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Non-cash operating lease expense</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6,060 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5,345 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5,555 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Change in fair value of contingent consideration liability</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2,558 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Amortization expense of finance leases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2,364 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2,188 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1,652 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Bad debt expense (benefit)</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312 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(80)</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1,693 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Amortization of deferred financing costs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378 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1,560 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Impairment of right-of-use and long-lived assets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4,671 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 xml:space="preserve">Deferred tax (benefit) provision </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(475)</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(1,719)</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Change in fair value of warrant liability</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(9,802)</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7,689 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(4,894)</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Loss on extinguishment of debt</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9,629 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131289204"/>
              <w:rPr>
                <w:rFonts w:eastAsia="Times New Roman"/>
              </w:rPr>
            </w:pPr>
            <w:r>
              <w:rPr>
                <w:rFonts w:eastAsia="Times New Roman"/>
                <w:color w:val="000000"/>
                <w:sz w:val="18"/>
                <w:szCs w:val="18"/>
              </w:rPr>
              <w:t>Non-cash interest expense on senior secured convertible notes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4,692 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9,180 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Accretion of debt discount</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1,620 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7,571 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Change in fair value of financing derivatives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(1,800)</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(10,287)</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 xml:space="preserve">Other </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1,435 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1,082 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908 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Changes in operating assets and liabilities, net of effect of acquisition:</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shd w:val="clear" w:color="auto" w:fill="FFFFFF"/>
            <w:tcMar>
              <w:top w:w="30" w:type="dxa"/>
              <w:left w:w="50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Accounts receivable</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2,596 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(2,081)</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2,024 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CCEEFF"/>
            <w:tcMar>
              <w:top w:w="30" w:type="dxa"/>
              <w:left w:w="50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Prepaid expenses and other assets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(805)</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(1,145)</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(6,283)</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FFFFFF"/>
            <w:tcMar>
              <w:top w:w="30" w:type="dxa"/>
              <w:left w:w="50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Accounts payable, accrued expenses, and other liabilities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7,396 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(4,210)</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(17,095)</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CCEEFF"/>
            <w:tcMar>
              <w:top w:w="30" w:type="dxa"/>
              <w:left w:w="50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Contract liability and customer advances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(1,587)</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(10,777)</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7,341 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FFFFFF"/>
            <w:tcMar>
              <w:top w:w="30" w:type="dxa"/>
              <w:left w:w="50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(7,275)</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(5,597)</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(6,327)</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34,937 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9,856 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131215117"/>
              <w:rPr>
                <w:rFonts w:eastAsia="Times New Roman"/>
              </w:rPr>
            </w:pPr>
            <w:r>
              <w:rPr>
                <w:rFonts w:eastAsia="Times New Roman"/>
                <w:b/>
                <w:bCs/>
                <w:color w:val="000000"/>
                <w:sz w:val="18"/>
                <w:szCs w:val="18"/>
              </w:rPr>
              <w:t>Investing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Capitalized internal-use software costs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(16,685)</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(14,747)</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(15,078)</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Purchases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(1,137)</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(803)</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(477)</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Cash and restricted cash acquired from acquisition</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902 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Net cash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(17,822)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(14,648)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(15,555)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295377369"/>
              <w:rPr>
                <w:rFonts w:eastAsia="Times New Roman"/>
              </w:rPr>
            </w:pPr>
            <w:r>
              <w:rPr>
                <w:rFonts w:eastAsia="Times New Roman"/>
                <w:b/>
                <w:bCs/>
                <w:color w:val="000000"/>
                <w:sz w:val="18"/>
                <w:szCs w:val="18"/>
              </w:rPr>
              <w:t>Financing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divId w:val="788016820"/>
              <w:rPr>
                <w:rFonts w:eastAsia="Times New Roman"/>
              </w:rPr>
            </w:pPr>
            <w:r>
              <w:rPr>
                <w:rFonts w:eastAsia="Times New Roman"/>
                <w:color w:val="000000"/>
                <w:sz w:val="18"/>
                <w:szCs w:val="18"/>
              </w:rPr>
              <w:t>Payments for dividends on convertible redeemable preferred stock</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(15,512)</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(4,760)</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Principal payments on finance leases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(2,519)</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(2,138)</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(1,754)</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divId w:val="895045657"/>
              <w:rPr>
                <w:rFonts w:eastAsia="Times New Roman"/>
              </w:rPr>
            </w:pPr>
            <w:r>
              <w:rPr>
                <w:rFonts w:eastAsia="Times New Roman"/>
                <w:color w:val="000000"/>
                <w:sz w:val="18"/>
                <w:szCs w:val="18"/>
              </w:rPr>
              <w:t>Principal payment and extinguishment costs on senior secured convertible notes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(204,014)</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Principal payment and extinguishment costs on secured term note</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(14,031)</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Proceeds from borrowings on revolving line of credit</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16,000 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2038388605"/>
              <w:rPr>
                <w:rFonts w:eastAsia="Times New Roman"/>
              </w:rPr>
            </w:pPr>
            <w:r>
              <w:rPr>
                <w:rFonts w:eastAsia="Times New Roman"/>
                <w:color w:val="000000"/>
                <w:sz w:val="18"/>
                <w:szCs w:val="18"/>
              </w:rPr>
              <w:t>Proceeds from issuance of convertible redeemable preferred stock, net of issuance costs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187,885 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(101)</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(1,394)</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(342)</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Net cash used in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(18,132)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(22,452)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Effect of exchange rate changes on cash, cash equivalents and restricted cash</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(820)</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(1,218)</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902 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Net decrease in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(28,462)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(16,032)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Cash, cash equivalents and restricted cash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22,279 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50,741 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66,773 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Cash, cash equivalents and restricted cash at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20,442 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22,279 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50,741 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divId w:val="10354701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900"/>
        <w:gridCol w:w="36"/>
        <w:gridCol w:w="110"/>
        <w:gridCol w:w="893"/>
        <w:gridCol w:w="36"/>
        <w:gridCol w:w="36"/>
        <w:gridCol w:w="36"/>
        <w:gridCol w:w="36"/>
        <w:gridCol w:w="110"/>
        <w:gridCol w:w="893"/>
        <w:gridCol w:w="36"/>
        <w:gridCol w:w="36"/>
        <w:gridCol w:w="36"/>
        <w:gridCol w:w="36"/>
        <w:gridCol w:w="110"/>
        <w:gridCol w:w="893"/>
        <w:gridCol w:w="36"/>
      </w:tblGrid>
      <w:tr w:rsidR="00000000">
        <w:trPr>
          <w:divId w:val="1035470187"/>
        </w:trPr>
        <w:tc>
          <w:tcPr>
            <w:tcW w:w="50" w:type="pct"/>
            <w:vAlign w:val="center"/>
            <w:hideMark/>
          </w:tcPr>
          <w:p w:rsidR="00000000" w:rsidRDefault="00971A12">
            <w:pPr>
              <w:jc w:val="center"/>
              <w:rPr>
                <w:rFonts w:eastAsia="Times New Roman"/>
              </w:rPr>
            </w:pPr>
          </w:p>
        </w:tc>
        <w:tc>
          <w:tcPr>
            <w:tcW w:w="2998"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035470187"/>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As of December 31,</w:t>
            </w:r>
          </w:p>
        </w:tc>
      </w:tr>
      <w:tr w:rsidR="00000000">
        <w:trPr>
          <w:divId w:val="1035470187"/>
        </w:trPr>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r>
      <w:tr w:rsidR="00000000">
        <w:trPr>
          <w:divId w:val="1035470187"/>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Cash and cash equivalents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20,044 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21,854 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31,126 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035470187"/>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398 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425 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19,615 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035470187"/>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 xml:space="preserve">Total cash, cash equivalents and restricted cash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20,442 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22,279 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50,741 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center"/>
        <w:divId w:val="1807963701"/>
        <w:rPr>
          <w:rFonts w:eastAsia="Times New Roman"/>
        </w:rPr>
      </w:pPr>
      <w:r>
        <w:rPr>
          <w:rFonts w:eastAsia="Times New Roman"/>
          <w:color w:val="000000"/>
          <w:sz w:val="20"/>
          <w:szCs w:val="20"/>
        </w:rPr>
        <w:t>51</w:t>
      </w:r>
    </w:p>
    <w:p w:rsidR="00000000" w:rsidRDefault="00971A12">
      <w:pPr>
        <w:rPr>
          <w:rFonts w:eastAsia="Times New Roman"/>
        </w:rPr>
      </w:pPr>
      <w:r>
        <w:rPr>
          <w:rFonts w:eastAsia="Times New Roman"/>
        </w:rPr>
        <w:pict>
          <v:rect id="_x0000_i1079" style="width:0;height:1.5pt" o:hralign="center" o:hrstd="t" o:hr="t" fillcolor="#a0a0a0" stroked="f"/>
        </w:pict>
      </w:r>
    </w:p>
    <w:p w:rsidR="00000000" w:rsidRDefault="00971A12">
      <w:pPr>
        <w:divId w:val="271791642"/>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758916111"/>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898"/>
        <w:gridCol w:w="36"/>
        <w:gridCol w:w="112"/>
        <w:gridCol w:w="893"/>
        <w:gridCol w:w="36"/>
        <w:gridCol w:w="36"/>
        <w:gridCol w:w="36"/>
        <w:gridCol w:w="36"/>
        <w:gridCol w:w="110"/>
        <w:gridCol w:w="893"/>
        <w:gridCol w:w="36"/>
        <w:gridCol w:w="36"/>
        <w:gridCol w:w="36"/>
        <w:gridCol w:w="36"/>
        <w:gridCol w:w="110"/>
        <w:gridCol w:w="893"/>
        <w:gridCol w:w="36"/>
      </w:tblGrid>
      <w:tr w:rsidR="00000000">
        <w:trPr>
          <w:divId w:val="83192187"/>
          <w:jc w:val="center"/>
        </w:trPr>
        <w:tc>
          <w:tcPr>
            <w:tcW w:w="50" w:type="pct"/>
            <w:vAlign w:val="center"/>
            <w:hideMark/>
          </w:tcPr>
          <w:p w:rsidR="00000000" w:rsidRDefault="00971A12">
            <w:pPr>
              <w:rPr>
                <w:rFonts w:eastAsia="Times New Roman"/>
              </w:rPr>
            </w:pPr>
          </w:p>
        </w:tc>
        <w:tc>
          <w:tcPr>
            <w:tcW w:w="2998"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83192187"/>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Years Ended December 31,</w:t>
            </w:r>
          </w:p>
        </w:tc>
      </w:tr>
      <w:tr w:rsidR="00000000">
        <w:trPr>
          <w:divId w:val="83192187"/>
          <w:jc w:val="center"/>
        </w:trPr>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r>
      <w:tr w:rsidR="00000000">
        <w:trPr>
          <w:divId w:val="83192187"/>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2026440007"/>
              <w:rPr>
                <w:rFonts w:eastAsia="Times New Roman"/>
              </w:rPr>
            </w:pPr>
            <w:r>
              <w:rPr>
                <w:rFonts w:eastAsia="Times New Roman"/>
                <w:b/>
                <w:bCs/>
                <w:color w:val="000000"/>
                <w:sz w:val="18"/>
                <w:szCs w:val="18"/>
              </w:rPr>
              <w:t>Supplemental cash flow disclosures</w:t>
            </w:r>
            <w:r>
              <w:rPr>
                <w:rFonts w:eastAsia="Times New Roman"/>
                <w:color w:val="000000"/>
                <w:sz w:val="18"/>
                <w:szCs w:val="18"/>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83192187"/>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divId w:val="175854416"/>
              <w:rPr>
                <w:rFonts w:eastAsia="Times New Roman"/>
              </w:rPr>
            </w:pPr>
            <w:r>
              <w:rPr>
                <w:rFonts w:eastAsia="Times New Roman"/>
                <w:color w:val="000000"/>
                <w:sz w:val="18"/>
                <w:szCs w:val="18"/>
              </w:rPr>
              <w:t>Interest paid ($—, $— and $21,420 in 2022, 2021, and 2020 attributable to related party, respectively)</w:t>
            </w: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652 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1,009 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23,792 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192187"/>
          <w:jc w:val="center"/>
        </w:trPr>
        <w:tc>
          <w:tcPr>
            <w:tcW w:w="0" w:type="auto"/>
            <w:gridSpan w:val="3"/>
            <w:shd w:val="clear" w:color="auto" w:fill="CCEEFF"/>
            <w:tcMar>
              <w:top w:w="30" w:type="dxa"/>
              <w:left w:w="3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Income taxes paid, net of refunds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1,804 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1,831 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1,182 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192187"/>
          <w:jc w:val="center"/>
        </w:trPr>
        <w:tc>
          <w:tcPr>
            <w:tcW w:w="0" w:type="auto"/>
            <w:gridSpan w:val="3"/>
            <w:shd w:val="clear" w:color="auto" w:fill="FFFFFF"/>
            <w:tcMar>
              <w:top w:w="30" w:type="dxa"/>
              <w:left w:w="3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Operating cash flows from operating leases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10,364 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9,623 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11,170 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192187"/>
          <w:jc w:val="center"/>
        </w:trPr>
        <w:tc>
          <w:tcPr>
            <w:tcW w:w="0" w:type="auto"/>
            <w:gridSpan w:val="3"/>
            <w:shd w:val="clear" w:color="auto" w:fill="CCEEFF"/>
            <w:tcMar>
              <w:top w:w="30" w:type="dxa"/>
              <w:left w:w="3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Operating cash flows from finance leases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338 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440 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493 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192187"/>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83192187"/>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1299342654"/>
              <w:rPr>
                <w:rFonts w:eastAsia="Times New Roman"/>
              </w:rPr>
            </w:pPr>
            <w:r>
              <w:rPr>
                <w:rFonts w:eastAsia="Times New Roman"/>
                <w:b/>
                <w:bCs/>
                <w:color w:val="000000"/>
                <w:sz w:val="18"/>
                <w:szCs w:val="18"/>
              </w:rPr>
              <w:t>Supplemental non-cash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83192187"/>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divId w:val="859197057"/>
              <w:rPr>
                <w:rFonts w:eastAsia="Times New Roman"/>
              </w:rPr>
            </w:pPr>
            <w:r>
              <w:rPr>
                <w:rFonts w:eastAsia="Times New Roman"/>
                <w:color w:val="000000"/>
                <w:sz w:val="18"/>
                <w:szCs w:val="18"/>
              </w:rPr>
              <w:t>Convertible redeemable preferred stock dividends accrued but not yet paid</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7,863 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7,863 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192187"/>
          <w:jc w:val="center"/>
        </w:trPr>
        <w:tc>
          <w:tcPr>
            <w:tcW w:w="0" w:type="auto"/>
            <w:gridSpan w:val="3"/>
            <w:shd w:val="clear" w:color="auto" w:fill="CCEEFF"/>
            <w:tcMar>
              <w:top w:w="30" w:type="dxa"/>
              <w:left w:w="3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Settlement of restricted stock unit liability</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1,718 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7,117 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3,065 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192187"/>
          <w:jc w:val="center"/>
        </w:trPr>
        <w:tc>
          <w:tcPr>
            <w:tcW w:w="0" w:type="auto"/>
            <w:gridSpan w:val="3"/>
            <w:shd w:val="clear" w:color="auto" w:fill="FFFFFF"/>
            <w:tcMar>
              <w:top w:w="30" w:type="dxa"/>
              <w:left w:w="3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Change in accounts payable and accrued expenses related to capital expenditures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1,162 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479 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395 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192187"/>
          <w:jc w:val="center"/>
        </w:trPr>
        <w:tc>
          <w:tcPr>
            <w:tcW w:w="0" w:type="auto"/>
            <w:gridSpan w:val="3"/>
            <w:shd w:val="clear" w:color="auto" w:fill="CCEEFF"/>
            <w:tcMar>
              <w:top w:w="30" w:type="dxa"/>
              <w:left w:w="3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Right-of-use assets obtained in exchange for finance lease liabilities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1,106 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3,345 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754 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192187"/>
          <w:jc w:val="center"/>
        </w:trPr>
        <w:tc>
          <w:tcPr>
            <w:tcW w:w="0" w:type="auto"/>
            <w:gridSpan w:val="3"/>
            <w:shd w:val="clear" w:color="auto" w:fill="FFFFFF"/>
            <w:tcMar>
              <w:top w:w="30" w:type="dxa"/>
              <w:left w:w="3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Right-of-use assets obtained in exchange for new 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908 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5,211 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669 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192187"/>
          <w:jc w:val="center"/>
        </w:trPr>
        <w:tc>
          <w:tcPr>
            <w:tcW w:w="0" w:type="auto"/>
            <w:gridSpan w:val="3"/>
            <w:shd w:val="clear" w:color="auto" w:fill="CCEEFF"/>
            <w:tcMar>
              <w:top w:w="30" w:type="dxa"/>
              <w:left w:w="3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Fair value of Common Stock issued in connection with acquisition</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25,774 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192187"/>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divId w:val="950161902"/>
              <w:rPr>
                <w:rFonts w:eastAsia="Times New Roman"/>
              </w:rPr>
            </w:pPr>
            <w:r>
              <w:rPr>
                <w:rFonts w:eastAsia="Times New Roman"/>
                <w:color w:val="000000"/>
                <w:sz w:val="18"/>
                <w:szCs w:val="18"/>
              </w:rPr>
              <w:t>Interest paid in Common Stock</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10,812 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192187"/>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793328823"/>
              <w:rPr>
                <w:rFonts w:eastAsia="Times New Roman"/>
              </w:rPr>
            </w:pPr>
            <w:r>
              <w:rPr>
                <w:rFonts w:eastAsia="Times New Roman"/>
                <w:color w:val="000000"/>
                <w:sz w:val="18"/>
                <w:szCs w:val="18"/>
              </w:rPr>
              <w:t>Conversion shares issued as extinguishment cost on senior secured convertible notes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9,608 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192187"/>
          <w:jc w:val="center"/>
        </w:trPr>
        <w:tc>
          <w:tcPr>
            <w:tcW w:w="0" w:type="auto"/>
            <w:gridSpan w:val="3"/>
            <w:shd w:val="clear" w:color="auto" w:fill="FFFFFF"/>
            <w:tcMar>
              <w:top w:w="30" w:type="dxa"/>
              <w:left w:w="3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Fair value of contingent consideration recognized upon closing of acquisition</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5,600 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192187"/>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3192187"/>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3192187"/>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3192187"/>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3192187"/>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3192187"/>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3192187"/>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3192187"/>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3192187"/>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bl>
    <w:p w:rsidR="00000000" w:rsidRDefault="00971A12">
      <w:pPr>
        <w:jc w:val="both"/>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Transactions for these line items were exclusively with related parties (refer to </w:t>
      </w:r>
      <w:hyperlink w:anchor="i0047531bd13046b986557e31951e34f8_115" w:history="1">
        <w:r>
          <w:rPr>
            <w:rStyle w:val="a3"/>
            <w:rFonts w:eastAsia="Times New Roman"/>
            <w:sz w:val="18"/>
            <w:szCs w:val="18"/>
          </w:rPr>
          <w:t>Footnote 5</w:t>
        </w:r>
      </w:hyperlink>
      <w:r>
        <w:rPr>
          <w:rFonts w:eastAsia="Times New Roman"/>
          <w:color w:val="000000"/>
          <w:sz w:val="18"/>
          <w:szCs w:val="18"/>
        </w:rPr>
        <w:t xml:space="preserve">, </w:t>
      </w:r>
      <w:r>
        <w:rPr>
          <w:rFonts w:eastAsia="Times New Roman"/>
          <w:i/>
          <w:iCs/>
          <w:color w:val="000000"/>
          <w:sz w:val="18"/>
          <w:szCs w:val="18"/>
        </w:rPr>
        <w:t>Convertible Redeemable Preferred Stock and Stockholders' Equity</w:t>
      </w:r>
      <w:r>
        <w:rPr>
          <w:rFonts w:eastAsia="Times New Roman"/>
          <w:color w:val="000000"/>
          <w:sz w:val="18"/>
          <w:szCs w:val="18"/>
        </w:rPr>
        <w:t xml:space="preserve">, </w:t>
      </w:r>
      <w:hyperlink w:anchor="i0047531bd13046b986557e31951e34f8_124" w:history="1">
        <w:r>
          <w:rPr>
            <w:rStyle w:val="a3"/>
            <w:rFonts w:eastAsia="Times New Roman"/>
            <w:sz w:val="18"/>
            <w:szCs w:val="18"/>
          </w:rPr>
          <w:t>Footnote 6</w:t>
        </w:r>
      </w:hyperlink>
      <w:r>
        <w:rPr>
          <w:rFonts w:eastAsia="Times New Roman"/>
          <w:color w:val="000000"/>
          <w:sz w:val="18"/>
          <w:szCs w:val="18"/>
        </w:rPr>
        <w:t xml:space="preserve">, </w:t>
      </w:r>
      <w:r>
        <w:rPr>
          <w:rFonts w:eastAsia="Times New Roman"/>
          <w:i/>
          <w:iCs/>
          <w:color w:val="000000"/>
          <w:sz w:val="18"/>
          <w:szCs w:val="18"/>
        </w:rPr>
        <w:t>Debt</w:t>
      </w:r>
      <w:r>
        <w:rPr>
          <w:rFonts w:eastAsia="Times New Roman"/>
          <w:color w:val="000000"/>
          <w:sz w:val="18"/>
          <w:szCs w:val="18"/>
        </w:rPr>
        <w:t>, and </w:t>
      </w:r>
      <w:hyperlink w:anchor="i0047531bd13046b986557e31951e34f8_157" w:history="1">
        <w:r>
          <w:rPr>
            <w:rStyle w:val="a3"/>
            <w:rFonts w:eastAsia="Times New Roman"/>
            <w:sz w:val="18"/>
            <w:szCs w:val="18"/>
          </w:rPr>
          <w:t>Footnote 14</w:t>
        </w:r>
      </w:hyperlink>
      <w:r>
        <w:rPr>
          <w:rFonts w:eastAsia="Times New Roman"/>
          <w:color w:val="000000"/>
          <w:sz w:val="18"/>
          <w:szCs w:val="18"/>
        </w:rPr>
        <w:t xml:space="preserve">, </w:t>
      </w:r>
      <w:r>
        <w:rPr>
          <w:rFonts w:eastAsia="Times New Roman"/>
          <w:i/>
          <w:iCs/>
          <w:color w:val="000000"/>
          <w:sz w:val="18"/>
          <w:szCs w:val="18"/>
        </w:rPr>
        <w:t>Related Party Transactions</w:t>
      </w:r>
      <w:r>
        <w:rPr>
          <w:rFonts w:eastAsia="Times New Roman"/>
          <w:color w:val="000000"/>
          <w:sz w:val="18"/>
          <w:szCs w:val="18"/>
        </w:rPr>
        <w:t>, of the N</w:t>
      </w:r>
      <w:r>
        <w:rPr>
          <w:rFonts w:eastAsia="Times New Roman"/>
          <w:color w:val="000000"/>
          <w:sz w:val="18"/>
          <w:szCs w:val="18"/>
        </w:rPr>
        <w:t>otes to Consolidated Financial Statements for additional information). Gross proceeds from related parties for the issuance of convertible redeemable preferred stock were $204.0 million.</w:t>
      </w:r>
    </w:p>
    <w:p w:rsidR="00000000" w:rsidRDefault="00971A12">
      <w:pPr>
        <w:jc w:val="center"/>
        <w:divId w:val="924415028"/>
        <w:rPr>
          <w:rFonts w:eastAsia="Times New Roman"/>
        </w:rPr>
      </w:pPr>
      <w:r>
        <w:rPr>
          <w:rFonts w:eastAsia="Times New Roman"/>
          <w:color w:val="000000"/>
          <w:sz w:val="18"/>
          <w:szCs w:val="18"/>
        </w:rPr>
        <w:t>See accompanying Notes to Consolidated Financial Statements.</w:t>
      </w:r>
    </w:p>
    <w:p w:rsidR="00000000" w:rsidRDefault="00971A12">
      <w:pPr>
        <w:jc w:val="center"/>
        <w:divId w:val="558706745"/>
        <w:rPr>
          <w:rFonts w:eastAsia="Times New Roman"/>
        </w:rPr>
      </w:pPr>
      <w:r>
        <w:rPr>
          <w:rFonts w:eastAsia="Times New Roman"/>
          <w:color w:val="000000"/>
          <w:sz w:val="20"/>
          <w:szCs w:val="20"/>
        </w:rPr>
        <w:t>52</w:t>
      </w:r>
    </w:p>
    <w:p w:rsidR="00000000" w:rsidRDefault="00971A12">
      <w:pPr>
        <w:rPr>
          <w:rFonts w:eastAsia="Times New Roman"/>
        </w:rPr>
      </w:pPr>
      <w:r>
        <w:rPr>
          <w:rFonts w:eastAsia="Times New Roman"/>
        </w:rPr>
        <w:pict>
          <v:rect id="_x0000_i1080" style="width:0;height:1.5pt" o:hralign="center" o:hrstd="t" o:hr="t" fillcolor="#a0a0a0" stroked="f"/>
        </w:pict>
      </w:r>
    </w:p>
    <w:p w:rsidR="00000000" w:rsidRDefault="00971A12">
      <w:pPr>
        <w:divId w:val="407381598"/>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821772479"/>
        <w:rPr>
          <w:rFonts w:eastAsia="Times New Roman"/>
        </w:rPr>
      </w:pPr>
    </w:p>
    <w:p w:rsidR="00000000" w:rsidRDefault="00971A12">
      <w:pPr>
        <w:jc w:val="center"/>
        <w:rPr>
          <w:rFonts w:eastAsia="Times New Roman"/>
        </w:rPr>
      </w:pPr>
      <w:r>
        <w:rPr>
          <w:rFonts w:eastAsia="Times New Roman"/>
          <w:b/>
          <w:bCs/>
          <w:color w:val="000000"/>
          <w:sz w:val="20"/>
          <w:szCs w:val="20"/>
        </w:rPr>
        <w:t>COMSCORE, INC.</w:t>
      </w:r>
    </w:p>
    <w:p w:rsidR="00000000" w:rsidRDefault="00971A12">
      <w:pPr>
        <w:jc w:val="center"/>
        <w:rPr>
          <w:rFonts w:eastAsia="Times New Roman"/>
        </w:rPr>
      </w:pPr>
      <w:r>
        <w:rPr>
          <w:rFonts w:eastAsia="Times New Roman"/>
          <w:b/>
          <w:bCs/>
          <w:color w:val="000000"/>
          <w:sz w:val="20"/>
          <w:szCs w:val="20"/>
        </w:rPr>
        <w:t>NOTES </w:t>
      </w:r>
      <w:r>
        <w:rPr>
          <w:rFonts w:eastAsia="Times New Roman"/>
          <w:b/>
          <w:bCs/>
          <w:color w:val="000000"/>
          <w:sz w:val="20"/>
          <w:szCs w:val="20"/>
        </w:rPr>
        <w:t>TO CONSOLIDATED FINANCIAL STATEMENTS</w:t>
      </w:r>
    </w:p>
    <w:p w:rsidR="00000000" w:rsidRDefault="00971A12">
      <w:pPr>
        <w:ind w:hanging="360"/>
        <w:divId w:val="304046368"/>
        <w:rPr>
          <w:rFonts w:eastAsia="Times New Roman"/>
        </w:rPr>
      </w:pPr>
      <w:r>
        <w:rPr>
          <w:rFonts w:eastAsia="Times New Roman"/>
          <w:b/>
          <w:bCs/>
          <w:color w:val="000000"/>
          <w:sz w:val="20"/>
          <w:szCs w:val="20"/>
        </w:rPr>
        <w:t>1.Organization</w:t>
      </w:r>
    </w:p>
    <w:p w:rsidR="00000000" w:rsidRDefault="00971A12">
      <w:pPr>
        <w:jc w:val="both"/>
        <w:divId w:val="981230741"/>
        <w:rPr>
          <w:rFonts w:eastAsia="Times New Roman"/>
        </w:rPr>
      </w:pPr>
      <w:r>
        <w:rPr>
          <w:rFonts w:eastAsia="Times New Roman"/>
          <w:color w:val="000000"/>
          <w:sz w:val="20"/>
          <w:szCs w:val="20"/>
        </w:rPr>
        <w:t>comScore, Inc., together with its consolidated subsidiaries (collectively, "Comscore" or the "Company"), headquartered in Reston, Virginia, is a global information and analytics company that measures audi</w:t>
      </w:r>
      <w:r>
        <w:rPr>
          <w:rFonts w:eastAsia="Times New Roman"/>
          <w:color w:val="000000"/>
          <w:sz w:val="20"/>
          <w:szCs w:val="20"/>
        </w:rPr>
        <w:t>ences, consumer behavior and advertising across media platforms. On December 16, 2021, the Company and two newly formed, wholly owned subsidiaries of the Company entered into an Agreement and Plan of Merger (the "Merger Agreement") with Shareablee, Inc. ("</w:t>
      </w:r>
      <w:r>
        <w:rPr>
          <w:rFonts w:eastAsia="Times New Roman"/>
          <w:color w:val="000000"/>
          <w:sz w:val="20"/>
          <w:szCs w:val="20"/>
        </w:rPr>
        <w:t xml:space="preserve">Shareablee"), to acquire Shareablee in exchange for shares of the Company's Common Stock and contingent consideration payable subject to the achievement of certain conditions set forth in the Merger Agreement. Refer to </w:t>
      </w:r>
      <w:hyperlink w:anchor="i0047531bd13046b986557e31951e34f8_103" w:history="1">
        <w:r>
          <w:rPr>
            <w:rStyle w:val="a3"/>
            <w:rFonts w:eastAsia="Times New Roman"/>
            <w:sz w:val="20"/>
            <w:szCs w:val="20"/>
          </w:rPr>
          <w:t>Footnote 3</w:t>
        </w:r>
      </w:hyperlink>
      <w:r>
        <w:rPr>
          <w:rFonts w:eastAsia="Times New Roman"/>
          <w:color w:val="000000"/>
          <w:sz w:val="20"/>
          <w:szCs w:val="20"/>
        </w:rPr>
        <w:t xml:space="preserve">, </w:t>
      </w:r>
      <w:r>
        <w:rPr>
          <w:rFonts w:eastAsia="Times New Roman"/>
          <w:i/>
          <w:iCs/>
          <w:color w:val="000000"/>
          <w:sz w:val="20"/>
          <w:szCs w:val="20"/>
        </w:rPr>
        <w:t>Business Combination.</w:t>
      </w:r>
    </w:p>
    <w:p w:rsidR="00000000" w:rsidRDefault="00971A12">
      <w:pPr>
        <w:jc w:val="both"/>
        <w:divId w:val="1271665418"/>
        <w:rPr>
          <w:rFonts w:eastAsia="Times New Roman"/>
        </w:rPr>
      </w:pPr>
      <w:r>
        <w:rPr>
          <w:rFonts w:eastAsia="Times New Roman"/>
          <w:color w:val="000000"/>
          <w:sz w:val="20"/>
          <w:szCs w:val="20"/>
        </w:rPr>
        <w:t xml:space="preserve">Operating segments are defined as components of a business that can earn revenues and incur expenses for which discrete financial information is available that is evaluated on a regular basis by the </w:t>
      </w:r>
      <w:r>
        <w:rPr>
          <w:rFonts w:eastAsia="Times New Roman"/>
          <w:color w:val="000000"/>
          <w:sz w:val="20"/>
          <w:szCs w:val="20"/>
        </w:rPr>
        <w:t>chief operating decision maker ("CODM"). The Company's CODM is its Chief Executive Officer, who decides how to allocate resources and assess performance. The Company has one operating segment. A single management team reports to the CODM, who manages the e</w:t>
      </w:r>
      <w:r>
        <w:rPr>
          <w:rFonts w:eastAsia="Times New Roman"/>
          <w:color w:val="000000"/>
          <w:sz w:val="20"/>
          <w:szCs w:val="20"/>
        </w:rPr>
        <w:t>ntire business. The Company's CODM reviews consolidated results of operations to make decisions, allocate resources and assess performance and does not evaluate the profit or loss from any separate geography or product line.</w:t>
      </w:r>
    </w:p>
    <w:p w:rsidR="00000000" w:rsidRDefault="00971A12">
      <w:pPr>
        <w:ind w:hanging="360"/>
        <w:divId w:val="1736782108"/>
        <w:rPr>
          <w:rFonts w:eastAsia="Times New Roman"/>
        </w:rPr>
      </w:pPr>
      <w:r>
        <w:rPr>
          <w:rFonts w:eastAsia="Times New Roman"/>
          <w:b/>
          <w:bCs/>
          <w:color w:val="000000"/>
          <w:sz w:val="20"/>
          <w:szCs w:val="20"/>
        </w:rPr>
        <w:t>2.Summary of Significant Accoun</w:t>
      </w:r>
      <w:r>
        <w:rPr>
          <w:rFonts w:eastAsia="Times New Roman"/>
          <w:b/>
          <w:bCs/>
          <w:color w:val="000000"/>
          <w:sz w:val="20"/>
          <w:szCs w:val="20"/>
        </w:rPr>
        <w:t>ting Policies</w:t>
      </w:r>
    </w:p>
    <w:p w:rsidR="00000000" w:rsidRDefault="00971A12">
      <w:pPr>
        <w:divId w:val="662977178"/>
        <w:rPr>
          <w:rFonts w:eastAsia="Times New Roman"/>
        </w:rPr>
      </w:pPr>
      <w:r>
        <w:rPr>
          <w:rFonts w:eastAsia="Times New Roman"/>
          <w:b/>
          <w:bCs/>
          <w:i/>
          <w:iCs/>
          <w:color w:val="000000"/>
          <w:sz w:val="20"/>
          <w:szCs w:val="20"/>
        </w:rPr>
        <w:t>Basis of Presentation and Consolidation</w:t>
      </w:r>
    </w:p>
    <w:p w:rsidR="00000000" w:rsidRDefault="00971A12">
      <w:pPr>
        <w:jc w:val="both"/>
        <w:divId w:val="797185553"/>
        <w:rPr>
          <w:rFonts w:eastAsia="Times New Roman"/>
        </w:rPr>
      </w:pPr>
      <w:r>
        <w:rPr>
          <w:rFonts w:eastAsia="Times New Roman"/>
          <w:color w:val="000000"/>
          <w:sz w:val="20"/>
          <w:szCs w:val="20"/>
        </w:rPr>
        <w:t>The accompanying Consolidated Financial Statements include the accounts of the Company and its wholly-owned domestic and foreign subsidiaries. All intercompany transactions and balances are eliminated upon consolidation.</w:t>
      </w:r>
    </w:p>
    <w:p w:rsidR="00000000" w:rsidRDefault="00971A12">
      <w:pPr>
        <w:jc w:val="both"/>
        <w:divId w:val="141509782"/>
        <w:rPr>
          <w:rFonts w:eastAsia="Times New Roman"/>
        </w:rPr>
      </w:pPr>
      <w:r>
        <w:rPr>
          <w:rFonts w:eastAsia="Times New Roman"/>
          <w:b/>
          <w:bCs/>
          <w:i/>
          <w:iCs/>
          <w:color w:val="000000"/>
          <w:sz w:val="20"/>
          <w:szCs w:val="20"/>
        </w:rPr>
        <w:t>Reclassification</w:t>
      </w:r>
    </w:p>
    <w:p w:rsidR="00000000" w:rsidRDefault="00971A12">
      <w:pPr>
        <w:jc w:val="both"/>
        <w:divId w:val="1568497225"/>
        <w:rPr>
          <w:rFonts w:eastAsia="Times New Roman"/>
        </w:rPr>
      </w:pPr>
      <w:r>
        <w:rPr>
          <w:rFonts w:eastAsia="Times New Roman"/>
          <w:color w:val="000000"/>
          <w:sz w:val="20"/>
          <w:szCs w:val="20"/>
        </w:rPr>
        <w:t>Certain amounts in</w:t>
      </w:r>
      <w:r>
        <w:rPr>
          <w:rFonts w:eastAsia="Times New Roman"/>
          <w:color w:val="000000"/>
          <w:sz w:val="20"/>
          <w:szCs w:val="20"/>
        </w:rPr>
        <w:t xml:space="preserve"> the prior year financial statements have been reclassified to conform to the current year presentation. Specifically, principal payments on capital lease and software license arrangements, payments for taxes related to net share settlement of equity award</w:t>
      </w:r>
      <w:r>
        <w:rPr>
          <w:rFonts w:eastAsia="Times New Roman"/>
          <w:color w:val="000000"/>
          <w:sz w:val="20"/>
          <w:szCs w:val="20"/>
        </w:rPr>
        <w:t>s, and proceeds from the exercise of stock options have been aggregated within other financing activities on the Consolidated Statements of Cash Flows.</w:t>
      </w:r>
    </w:p>
    <w:p w:rsidR="00000000" w:rsidRDefault="00971A12">
      <w:pPr>
        <w:jc w:val="both"/>
        <w:divId w:val="1220509615"/>
        <w:rPr>
          <w:rFonts w:eastAsia="Times New Roman"/>
        </w:rPr>
      </w:pPr>
      <w:r>
        <w:rPr>
          <w:rFonts w:eastAsia="Times New Roman"/>
          <w:b/>
          <w:bCs/>
          <w:i/>
          <w:iCs/>
          <w:color w:val="000000"/>
          <w:sz w:val="20"/>
          <w:szCs w:val="20"/>
        </w:rPr>
        <w:t>Use of Estimates and Judgments in the Preparation of the Consolidated Financial Statements</w:t>
      </w:r>
    </w:p>
    <w:p w:rsidR="00000000" w:rsidRDefault="00971A12">
      <w:pPr>
        <w:jc w:val="both"/>
        <w:divId w:val="159928577"/>
        <w:rPr>
          <w:rFonts w:eastAsia="Times New Roman"/>
        </w:rPr>
      </w:pPr>
      <w:r>
        <w:rPr>
          <w:rFonts w:eastAsia="Times New Roman"/>
          <w:color w:val="000000"/>
          <w:sz w:val="20"/>
          <w:szCs w:val="20"/>
        </w:rPr>
        <w:t>The preparati</w:t>
      </w:r>
      <w:r>
        <w:rPr>
          <w:rFonts w:eastAsia="Times New Roman"/>
          <w:color w:val="000000"/>
          <w:sz w:val="20"/>
          <w:szCs w:val="20"/>
        </w:rPr>
        <w:t>on of financial statements in conformity with GAAP requires management to make estimates and assumptions that affect the reported amounts of assets and liabilities and the reported amounts of revenue and expense during the reporting periods. Significant es</w:t>
      </w:r>
      <w:r>
        <w:rPr>
          <w:rFonts w:eastAsia="Times New Roman"/>
          <w:color w:val="000000"/>
          <w:sz w:val="20"/>
          <w:szCs w:val="20"/>
        </w:rPr>
        <w:t>timates and judgments are inherent in the analysis and the measurement of management's SSP, principal versus agent revenue recognition, determination of performance obligations, determination of transaction price, including the determination of variable co</w:t>
      </w:r>
      <w:r>
        <w:rPr>
          <w:rFonts w:eastAsia="Times New Roman"/>
          <w:color w:val="000000"/>
          <w:sz w:val="20"/>
          <w:szCs w:val="20"/>
        </w:rPr>
        <w:t>nsideration and allocation of transaction price to performance obligations, deferred tax assets and liabilities, including the identification and quantification of income tax liabilities due to uncertain tax positions, the valuation and recoverability of g</w:t>
      </w:r>
      <w:r>
        <w:rPr>
          <w:rFonts w:eastAsia="Times New Roman"/>
          <w:color w:val="000000"/>
          <w:sz w:val="20"/>
          <w:szCs w:val="20"/>
        </w:rPr>
        <w:t xml:space="preserve">oodwill, intangible and other long-lived assets, the determination of appropriate discount rates for lease accounting, the probability of exercising either lease renewal or termination clauses, the assessment of potential loss from contingencies, the fair </w:t>
      </w:r>
      <w:r>
        <w:rPr>
          <w:rFonts w:eastAsia="Times New Roman"/>
          <w:color w:val="000000"/>
          <w:sz w:val="20"/>
          <w:szCs w:val="20"/>
        </w:rPr>
        <w:t>value determination of contingent consideration from business combinations, financing-related liabilities and warrants, and the valuation of options, performance-based and market-based stock awards. Management bases its estimates and assumptions on histori</w:t>
      </w:r>
      <w:r>
        <w:rPr>
          <w:rFonts w:eastAsia="Times New Roman"/>
          <w:color w:val="000000"/>
          <w:sz w:val="20"/>
          <w:szCs w:val="20"/>
        </w:rPr>
        <w:t>cal experience and on various other factors that are believed to be reasonable under the circumstances. Due to the inherent uncertainty involved in making estimates, actual results reported in future periods may be affected by changes in those estimates. T</w:t>
      </w:r>
      <w:r>
        <w:rPr>
          <w:rFonts w:eastAsia="Times New Roman"/>
          <w:color w:val="000000"/>
          <w:sz w:val="20"/>
          <w:szCs w:val="20"/>
        </w:rPr>
        <w:t>he Company evaluates its estimates and assumptions on an ongoing basis.</w:t>
      </w:r>
    </w:p>
    <w:p w:rsidR="00000000" w:rsidRDefault="00971A12">
      <w:pPr>
        <w:divId w:val="908148814"/>
        <w:rPr>
          <w:rFonts w:eastAsia="Times New Roman"/>
        </w:rPr>
      </w:pPr>
      <w:r>
        <w:rPr>
          <w:rFonts w:eastAsia="Times New Roman"/>
          <w:b/>
          <w:bCs/>
          <w:i/>
          <w:iCs/>
          <w:color w:val="000000"/>
          <w:sz w:val="20"/>
          <w:szCs w:val="20"/>
        </w:rPr>
        <w:t>Fair Value Measurements</w:t>
      </w:r>
    </w:p>
    <w:p w:rsidR="00000000" w:rsidRDefault="00971A12">
      <w:pPr>
        <w:jc w:val="both"/>
        <w:divId w:val="313530076"/>
        <w:rPr>
          <w:rFonts w:eastAsia="Times New Roman"/>
        </w:rPr>
      </w:pPr>
      <w:r>
        <w:rPr>
          <w:rFonts w:eastAsia="Times New Roman"/>
          <w:color w:val="000000"/>
          <w:sz w:val="20"/>
          <w:szCs w:val="20"/>
        </w:rPr>
        <w:t xml:space="preserve">The Company evaluates the fair value of certain assets and liabilities using the fair value hierarchy. Fair value is an exit price representing the amount that </w:t>
      </w:r>
      <w:r>
        <w:rPr>
          <w:rFonts w:eastAsia="Times New Roman"/>
          <w:color w:val="000000"/>
          <w:sz w:val="20"/>
          <w:szCs w:val="20"/>
        </w:rPr>
        <w:t>would be received to sell an asset or paid to transfer a liability in an orderly transaction between market participants. As such, fair value is a market-based measurement that should be determined based on assumptions that market participants would use in</w:t>
      </w:r>
      <w:r>
        <w:rPr>
          <w:rFonts w:eastAsia="Times New Roman"/>
          <w:color w:val="000000"/>
          <w:sz w:val="20"/>
          <w:szCs w:val="20"/>
        </w:rPr>
        <w:t xml:space="preserve"> pricing an asset or liability. As a basis for considering such assumptions, the Company applies the three-tier GAAP value hierarchy which prioritizes the inputs used in measuring fair value as follows:</w:t>
      </w:r>
    </w:p>
    <w:p w:rsidR="00000000" w:rsidRDefault="00971A12">
      <w:pPr>
        <w:jc w:val="both"/>
        <w:divId w:val="316032061"/>
        <w:rPr>
          <w:rFonts w:eastAsia="Times New Roman"/>
        </w:rPr>
      </w:pPr>
      <w:r>
        <w:rPr>
          <w:rFonts w:eastAsia="Times New Roman"/>
          <w:color w:val="000000"/>
          <w:sz w:val="20"/>
          <w:szCs w:val="20"/>
        </w:rPr>
        <w:t xml:space="preserve">Level 1 - observable inputs such as quoted prices in </w:t>
      </w:r>
      <w:r>
        <w:rPr>
          <w:rFonts w:eastAsia="Times New Roman"/>
          <w:color w:val="000000"/>
          <w:sz w:val="20"/>
          <w:szCs w:val="20"/>
        </w:rPr>
        <w:t>active markets;</w:t>
      </w:r>
    </w:p>
    <w:p w:rsidR="00000000" w:rsidRDefault="00971A12">
      <w:pPr>
        <w:jc w:val="both"/>
        <w:divId w:val="1664626243"/>
        <w:rPr>
          <w:rFonts w:eastAsia="Times New Roman"/>
        </w:rPr>
      </w:pPr>
      <w:r>
        <w:rPr>
          <w:rFonts w:eastAsia="Times New Roman"/>
          <w:color w:val="000000"/>
          <w:sz w:val="20"/>
          <w:szCs w:val="20"/>
        </w:rPr>
        <w:t>Level 2 - inputs other than the quoted prices in active markets that are observable either directly or indirectly;</w:t>
      </w:r>
    </w:p>
    <w:p w:rsidR="00000000" w:rsidRDefault="00971A12">
      <w:pPr>
        <w:jc w:val="both"/>
        <w:divId w:val="1500539209"/>
        <w:rPr>
          <w:rFonts w:eastAsia="Times New Roman"/>
        </w:rPr>
      </w:pPr>
      <w:r>
        <w:rPr>
          <w:rFonts w:eastAsia="Times New Roman"/>
          <w:color w:val="000000"/>
          <w:sz w:val="20"/>
          <w:szCs w:val="20"/>
        </w:rPr>
        <w:t>Level 3 - unobservable inputs of which there is little or no market data, which require the Company to develop its own assumptions.</w:t>
      </w:r>
    </w:p>
    <w:p w:rsidR="00000000" w:rsidRDefault="00971A12">
      <w:pPr>
        <w:jc w:val="both"/>
        <w:divId w:val="1330521871"/>
        <w:rPr>
          <w:rFonts w:eastAsia="Times New Roman"/>
        </w:rPr>
      </w:pPr>
      <w:r>
        <w:rPr>
          <w:rFonts w:eastAsia="Times New Roman"/>
          <w:color w:val="000000"/>
          <w:sz w:val="20"/>
          <w:szCs w:val="20"/>
        </w:rPr>
        <w:t xml:space="preserve">Financial assets and liabilities are classified in their entirety based on the lowest level of input that is significant to </w:t>
      </w:r>
      <w:r>
        <w:rPr>
          <w:rFonts w:eastAsia="Times New Roman"/>
          <w:color w:val="000000"/>
          <w:sz w:val="20"/>
          <w:szCs w:val="20"/>
        </w:rPr>
        <w:t xml:space="preserve">the fair value measure. The Company's assessment of the significance of a particular input to the fair value measurements requires judgment and may affect the valuation of the assets and liabilities being measured and their placement within the fair value </w:t>
      </w:r>
      <w:r>
        <w:rPr>
          <w:rFonts w:eastAsia="Times New Roman"/>
          <w:color w:val="000000"/>
          <w:sz w:val="20"/>
          <w:szCs w:val="20"/>
        </w:rPr>
        <w:t>hierarchy.</w:t>
      </w:r>
    </w:p>
    <w:p w:rsidR="00000000" w:rsidRDefault="00971A12">
      <w:pPr>
        <w:jc w:val="both"/>
        <w:divId w:val="2096122800"/>
        <w:rPr>
          <w:rFonts w:eastAsia="Times New Roman"/>
        </w:rPr>
      </w:pPr>
      <w:r>
        <w:rPr>
          <w:rFonts w:eastAsia="Times New Roman"/>
          <w:color w:val="000000"/>
          <w:sz w:val="20"/>
          <w:szCs w:val="20"/>
        </w:rPr>
        <w:t>Assets that are measured at fair value on a non-recurring basis include property and equipment, operating right-of-use assets, intangible assets and goodwill. The Company measures these items at fair value when they are considered to be impaired</w:t>
      </w:r>
      <w:r>
        <w:rPr>
          <w:rFonts w:eastAsia="Times New Roman"/>
          <w:color w:val="000000"/>
          <w:sz w:val="20"/>
          <w:szCs w:val="20"/>
        </w:rPr>
        <w:t xml:space="preserve"> or, in certain cases, upon initial </w:t>
      </w:r>
    </w:p>
    <w:p w:rsidR="00000000" w:rsidRDefault="00971A12">
      <w:pPr>
        <w:jc w:val="center"/>
        <w:divId w:val="860125076"/>
        <w:rPr>
          <w:rFonts w:eastAsia="Times New Roman"/>
        </w:rPr>
      </w:pPr>
      <w:r>
        <w:rPr>
          <w:rFonts w:eastAsia="Times New Roman"/>
          <w:color w:val="000000"/>
          <w:sz w:val="20"/>
          <w:szCs w:val="20"/>
        </w:rPr>
        <w:t>53</w:t>
      </w:r>
    </w:p>
    <w:p w:rsidR="00000000" w:rsidRDefault="00971A12">
      <w:pPr>
        <w:rPr>
          <w:rFonts w:eastAsia="Times New Roman"/>
        </w:rPr>
      </w:pPr>
      <w:r>
        <w:rPr>
          <w:rFonts w:eastAsia="Times New Roman"/>
        </w:rPr>
        <w:pict>
          <v:rect id="_x0000_i1081" style="width:0;height:1.5pt" o:hralign="center" o:hrstd="t" o:hr="t" fillcolor="#a0a0a0" stroked="f"/>
        </w:pict>
      </w:r>
    </w:p>
    <w:p w:rsidR="00000000" w:rsidRDefault="00971A12">
      <w:pPr>
        <w:divId w:val="1989285965"/>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555653568"/>
        <w:rPr>
          <w:rFonts w:eastAsia="Times New Roman"/>
        </w:rPr>
      </w:pPr>
    </w:p>
    <w:p w:rsidR="00000000" w:rsidRDefault="00971A12">
      <w:pPr>
        <w:jc w:val="both"/>
        <w:divId w:val="883173422"/>
        <w:rPr>
          <w:rFonts w:eastAsia="Times New Roman"/>
        </w:rPr>
      </w:pPr>
      <w:r>
        <w:rPr>
          <w:rFonts w:eastAsia="Times New Roman"/>
          <w:color w:val="000000"/>
          <w:sz w:val="20"/>
          <w:szCs w:val="20"/>
        </w:rPr>
        <w:t xml:space="preserve">recognition. The fair value of these assets </w:t>
      </w:r>
      <w:r>
        <w:rPr>
          <w:rFonts w:eastAsia="Times New Roman"/>
          <w:color w:val="000000"/>
          <w:sz w:val="20"/>
          <w:szCs w:val="20"/>
        </w:rPr>
        <w:t>are determined with valuation techniques using the best information available and may include market comparable information, discounted cash flow models, or a combination thereof.</w:t>
      </w:r>
    </w:p>
    <w:p w:rsidR="00000000" w:rsidRDefault="00971A12">
      <w:pPr>
        <w:jc w:val="both"/>
        <w:divId w:val="1883056123"/>
        <w:rPr>
          <w:rFonts w:eastAsia="Times New Roman"/>
        </w:rPr>
      </w:pPr>
      <w:r>
        <w:rPr>
          <w:rFonts w:eastAsia="Times New Roman"/>
          <w:color w:val="000000"/>
          <w:sz w:val="20"/>
          <w:szCs w:val="20"/>
        </w:rPr>
        <w:t>The carrying amounts of cash and cash equivalents, restricted cash, accounts</w:t>
      </w:r>
      <w:r>
        <w:rPr>
          <w:rFonts w:eastAsia="Times New Roman"/>
          <w:color w:val="000000"/>
          <w:sz w:val="20"/>
          <w:szCs w:val="20"/>
        </w:rPr>
        <w:t xml:space="preserve"> receivable, accounts payable and accrued expenses, and the current portion of contract liabilities and customer advances reported in the Consolidated Balance Sheets approximate fair value due to the short-term nature of these instruments. The carrying amo</w:t>
      </w:r>
      <w:r>
        <w:rPr>
          <w:rFonts w:eastAsia="Times New Roman"/>
          <w:color w:val="000000"/>
          <w:sz w:val="20"/>
          <w:szCs w:val="20"/>
        </w:rPr>
        <w:t>unt of the revolving line of credit approximates fair value due to the variable rate nature of the debt.</w:t>
      </w:r>
    </w:p>
    <w:p w:rsidR="00000000" w:rsidRDefault="00971A12">
      <w:pPr>
        <w:jc w:val="both"/>
        <w:divId w:val="1827355393"/>
        <w:rPr>
          <w:rFonts w:eastAsia="Times New Roman"/>
        </w:rPr>
      </w:pPr>
      <w:r>
        <w:rPr>
          <w:rFonts w:eastAsia="Times New Roman"/>
          <w:b/>
          <w:bCs/>
          <w:i/>
          <w:iCs/>
          <w:color w:val="000000"/>
          <w:sz w:val="20"/>
          <w:szCs w:val="20"/>
        </w:rPr>
        <w:t>Preferred Stock</w:t>
      </w:r>
    </w:p>
    <w:p w:rsidR="00000000" w:rsidRDefault="00971A12">
      <w:pPr>
        <w:jc w:val="both"/>
        <w:divId w:val="725180193"/>
        <w:rPr>
          <w:rFonts w:eastAsia="Times New Roman"/>
        </w:rPr>
      </w:pPr>
      <w:r>
        <w:rPr>
          <w:rFonts w:eastAsia="Times New Roman"/>
          <w:color w:val="000000"/>
          <w:sz w:val="20"/>
          <w:szCs w:val="20"/>
        </w:rPr>
        <w:t>In 2021, the Company entered into separate Securities Purchase Agreements with each of Charter Communications Holding Company, LLC ("Ch</w:t>
      </w:r>
      <w:r>
        <w:rPr>
          <w:rFonts w:eastAsia="Times New Roman"/>
          <w:color w:val="000000"/>
          <w:sz w:val="20"/>
          <w:szCs w:val="20"/>
        </w:rPr>
        <w:t xml:space="preserve">arter"), Qurate Retail, Inc. ("Qurate") and Pine Investor, LLC ("Pine") (the "Securities Purchase Agreements") for the issuance and sale of shares of Series B Convertible Preferred Stock, par value $0.001 ("Preferred Stock") as described in </w:t>
      </w:r>
      <w:hyperlink w:anchor="i0047531bd13046b986557e31951e34f8_115" w:history="1">
        <w:r>
          <w:rPr>
            <w:rStyle w:val="a3"/>
            <w:rFonts w:eastAsia="Times New Roman"/>
            <w:sz w:val="20"/>
            <w:szCs w:val="20"/>
          </w:rPr>
          <w:t xml:space="preserve">Footnote </w:t>
        </w:r>
      </w:hyperlink>
      <w:hyperlink w:anchor="i0047531bd13046b986557e31951e34f8_115" w:history="1">
        <w:r>
          <w:rPr>
            <w:rStyle w:val="a3"/>
            <w:rFonts w:eastAsia="Times New Roman"/>
            <w:sz w:val="20"/>
            <w:szCs w:val="20"/>
          </w:rPr>
          <w:t>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The issuance of the Preferred Stock pursuant to the Securities Purchase Ag</w:t>
      </w:r>
      <w:r>
        <w:rPr>
          <w:rFonts w:eastAsia="Times New Roman"/>
          <w:color w:val="000000"/>
          <w:sz w:val="20"/>
          <w:szCs w:val="20"/>
        </w:rPr>
        <w:t>reements (the "Transactions") and related matters were approved by the Company's stockholders on March 9, 2021 and completed on March 10, 2021.</w:t>
      </w:r>
    </w:p>
    <w:p w:rsidR="00000000" w:rsidRDefault="00971A12">
      <w:pPr>
        <w:jc w:val="both"/>
        <w:divId w:val="123743418"/>
        <w:rPr>
          <w:rFonts w:eastAsia="Times New Roman"/>
        </w:rPr>
      </w:pPr>
      <w:r>
        <w:rPr>
          <w:rFonts w:eastAsia="Times New Roman"/>
          <w:color w:val="000000"/>
          <w:sz w:val="20"/>
          <w:szCs w:val="20"/>
        </w:rPr>
        <w:t>The Preferred Stock is contingently redeemable upon certain deemed liquidation events, such as a change in contr</w:t>
      </w:r>
      <w:r>
        <w:rPr>
          <w:rFonts w:eastAsia="Times New Roman"/>
          <w:color w:val="000000"/>
          <w:sz w:val="20"/>
          <w:szCs w:val="20"/>
        </w:rPr>
        <w:t>ol. Because a deemed liquidation event could constitute a redemption event outside of the Company's control, all shares of Preferred Stock have been presented outside of permanent equity in mezzanine equity on the Consolidated Balance Sheets. The instrumen</w:t>
      </w:r>
      <w:r>
        <w:rPr>
          <w:rFonts w:eastAsia="Times New Roman"/>
          <w:color w:val="000000"/>
          <w:sz w:val="20"/>
          <w:szCs w:val="20"/>
        </w:rPr>
        <w:t>t is initially recognized at fair value net of issuance costs. The Company reassesses whether the Preferred Stock is currently redeemable, or probable to become redeemable in the future, as of each reporting date. If the instrument meets either of these cr</w:t>
      </w:r>
      <w:r>
        <w:rPr>
          <w:rFonts w:eastAsia="Times New Roman"/>
          <w:color w:val="000000"/>
          <w:sz w:val="20"/>
          <w:szCs w:val="20"/>
        </w:rPr>
        <w:t>iteria, the Company will accrete the carrying value to the redemption value. The Preferred Stock has not been adjusted to its redemption amount as of December 31, 2022 because a deemed liquidation event is not considered probable.</w:t>
      </w:r>
    </w:p>
    <w:p w:rsidR="00000000" w:rsidRDefault="00971A12">
      <w:pPr>
        <w:jc w:val="both"/>
        <w:divId w:val="1674607228"/>
        <w:rPr>
          <w:rFonts w:eastAsia="Times New Roman"/>
        </w:rPr>
      </w:pPr>
      <w:r>
        <w:rPr>
          <w:rFonts w:eastAsia="Times New Roman"/>
          <w:color w:val="000000"/>
          <w:sz w:val="20"/>
          <w:szCs w:val="20"/>
        </w:rPr>
        <w:t>All financial instruments</w:t>
      </w:r>
      <w:r>
        <w:rPr>
          <w:rFonts w:eastAsia="Times New Roman"/>
          <w:color w:val="000000"/>
          <w:sz w:val="20"/>
          <w:szCs w:val="20"/>
        </w:rPr>
        <w:t xml:space="preserve"> that are classified as mezzanine equity are evaluated for embedded derivative features by evaluating each feature against the nature of the host instrument (for example, more equity-like or debt-like). Features identified as embedded derivatives that are </w:t>
      </w:r>
      <w:r>
        <w:rPr>
          <w:rFonts w:eastAsia="Times New Roman"/>
          <w:color w:val="000000"/>
          <w:sz w:val="20"/>
          <w:szCs w:val="20"/>
        </w:rPr>
        <w:t xml:space="preserve">material are recognized separately as a derivative asset or liability in the financial statements. </w:t>
      </w:r>
    </w:p>
    <w:p w:rsidR="00000000" w:rsidRDefault="00971A12">
      <w:pPr>
        <w:jc w:val="both"/>
        <w:divId w:val="383725301"/>
        <w:rPr>
          <w:rFonts w:eastAsia="Times New Roman"/>
        </w:rPr>
      </w:pPr>
      <w:r>
        <w:rPr>
          <w:rFonts w:eastAsia="Times New Roman"/>
          <w:color w:val="000000"/>
          <w:sz w:val="20"/>
          <w:szCs w:val="20"/>
        </w:rPr>
        <w:t xml:space="preserve">Effective January 1, 2021, the Company early adopted Accounting Standards Update ("ASU") 2020-06, </w:t>
      </w:r>
      <w:r>
        <w:rPr>
          <w:rFonts w:eastAsia="Times New Roman"/>
          <w:i/>
          <w:iCs/>
          <w:color w:val="000000"/>
          <w:sz w:val="20"/>
          <w:szCs w:val="20"/>
        </w:rPr>
        <w:t>Debt—</w:t>
      </w:r>
      <w:r>
        <w:rPr>
          <w:rFonts w:eastAsia="Times New Roman"/>
          <w:i/>
          <w:iCs/>
          <w:color w:val="000000"/>
          <w:sz w:val="20"/>
          <w:szCs w:val="20"/>
        </w:rPr>
        <w:t>Debt with Conversion and Other Options</w:t>
      </w:r>
      <w:r>
        <w:rPr>
          <w:rFonts w:eastAsia="Times New Roman"/>
          <w:color w:val="000000"/>
          <w:sz w:val="20"/>
          <w:szCs w:val="20"/>
        </w:rPr>
        <w:t xml:space="preserve"> (Subtopic 470-20) and </w:t>
      </w:r>
      <w:r>
        <w:rPr>
          <w:rFonts w:eastAsia="Times New Roman"/>
          <w:i/>
          <w:iCs/>
          <w:color w:val="000000"/>
          <w:sz w:val="20"/>
          <w:szCs w:val="20"/>
        </w:rPr>
        <w:t>Derivatives and Hedging—Contracts in Entity's Own Equity</w:t>
      </w:r>
      <w:r>
        <w:rPr>
          <w:rFonts w:eastAsia="Times New Roman"/>
          <w:color w:val="000000"/>
          <w:sz w:val="20"/>
          <w:szCs w:val="20"/>
        </w:rPr>
        <w:t xml:space="preserve"> (Subtopic 815-40). This ASU simplifies accounting for convertible instruments, enhances disclosure requirements related to the terms and f</w:t>
      </w:r>
      <w:r>
        <w:rPr>
          <w:rFonts w:eastAsia="Times New Roman"/>
          <w:color w:val="000000"/>
          <w:sz w:val="20"/>
          <w:szCs w:val="20"/>
        </w:rPr>
        <w:t>eatures of convertible instruments, and amends the guidance for the derivatives scope exception for contracts settled in an entity's own equity. This ASU removes from GAAP the separation models for (1) convertible debt with a Cash Conversion Feature and (2</w:t>
      </w:r>
      <w:r>
        <w:rPr>
          <w:rFonts w:eastAsia="Times New Roman"/>
          <w:color w:val="000000"/>
          <w:sz w:val="20"/>
          <w:szCs w:val="20"/>
        </w:rPr>
        <w:t>) convertible instruments with a Beneficial Conversion Feature. Upon adoption of this new ASU, entities will account for a convertible debt instrument wholly as debt, and for convertible preferred stock wholly as preferred stock, unless (1) a convertible i</w:t>
      </w:r>
      <w:r>
        <w:rPr>
          <w:rFonts w:eastAsia="Times New Roman"/>
          <w:color w:val="000000"/>
          <w:sz w:val="20"/>
          <w:szCs w:val="20"/>
        </w:rPr>
        <w:t xml:space="preserve">nstrument contains features that require bifurcation as a derivative, or (2) a convertible debt instrument was issued at a substantial premium. </w:t>
      </w:r>
    </w:p>
    <w:p w:rsidR="00000000" w:rsidRDefault="00971A12">
      <w:pPr>
        <w:jc w:val="both"/>
        <w:divId w:val="2018846267"/>
        <w:rPr>
          <w:rFonts w:eastAsia="Times New Roman"/>
        </w:rPr>
      </w:pPr>
      <w:r>
        <w:rPr>
          <w:rFonts w:eastAsia="Times New Roman"/>
          <w:color w:val="000000"/>
          <w:sz w:val="20"/>
          <w:szCs w:val="20"/>
        </w:rPr>
        <w:t>As a result of the adoption, no embedded features were identified requiring bifurcation under the new model, ot</w:t>
      </w:r>
      <w:r>
        <w:rPr>
          <w:rFonts w:eastAsia="Times New Roman"/>
          <w:color w:val="000000"/>
          <w:sz w:val="20"/>
          <w:szCs w:val="20"/>
        </w:rPr>
        <w:t xml:space="preserve">her than the change of control redemption feature. The Company adopted the standard using the modified retrospective approach. The standard had no impact on the senior secured convertible notes (the "Notes") issued by the Company prior to adoption and, as </w:t>
      </w:r>
      <w:r>
        <w:rPr>
          <w:rFonts w:eastAsia="Times New Roman"/>
          <w:color w:val="000000"/>
          <w:sz w:val="20"/>
          <w:szCs w:val="20"/>
        </w:rPr>
        <w:t>a result, there was no cumulative adjustment recorded upon adoption.</w:t>
      </w:r>
    </w:p>
    <w:p w:rsidR="00000000" w:rsidRDefault="00971A12">
      <w:pPr>
        <w:divId w:val="1195076962"/>
        <w:rPr>
          <w:rFonts w:eastAsia="Times New Roman"/>
        </w:rPr>
      </w:pPr>
      <w:r>
        <w:rPr>
          <w:rFonts w:eastAsia="Times New Roman"/>
          <w:b/>
          <w:bCs/>
          <w:i/>
          <w:iCs/>
          <w:color w:val="000000"/>
          <w:sz w:val="20"/>
          <w:szCs w:val="20"/>
        </w:rPr>
        <w:t>Loss on Extinguishment of Debt</w:t>
      </w:r>
    </w:p>
    <w:p w:rsidR="00000000" w:rsidRDefault="00971A12">
      <w:pPr>
        <w:jc w:val="both"/>
        <w:divId w:val="1777363231"/>
        <w:rPr>
          <w:rFonts w:eastAsia="Times New Roman"/>
        </w:rPr>
      </w:pPr>
      <w:r>
        <w:rPr>
          <w:rFonts w:eastAsia="Times New Roman"/>
          <w:color w:val="000000"/>
          <w:sz w:val="20"/>
          <w:szCs w:val="20"/>
        </w:rPr>
        <w:t>In 2021, the Company recorded a $9.6 million loss on debt extinguishment related to the payoff of the Notes and a foreign secured promissory note (the "Secu</w:t>
      </w:r>
      <w:r>
        <w:rPr>
          <w:rFonts w:eastAsia="Times New Roman"/>
          <w:color w:val="000000"/>
          <w:sz w:val="20"/>
          <w:szCs w:val="20"/>
        </w:rPr>
        <w:t>red Term Note"). Loss on extinguishment of debt represents the difference between the carrying value of the Company's debt instruments and any consideration paid to its creditors in the form of cash or shares of the Company's Common Stock on the extinguish</w:t>
      </w:r>
      <w:r>
        <w:rPr>
          <w:rFonts w:eastAsia="Times New Roman"/>
          <w:color w:val="000000"/>
          <w:sz w:val="20"/>
          <w:szCs w:val="20"/>
        </w:rPr>
        <w:t xml:space="preserve">ment date. These transactions are described in </w:t>
      </w:r>
      <w:hyperlink w:anchor="i0047531bd13046b986557e31951e34f8_124"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rsidR="00000000" w:rsidRDefault="00971A12">
      <w:pPr>
        <w:jc w:val="both"/>
        <w:divId w:val="2016570569"/>
        <w:rPr>
          <w:rFonts w:eastAsia="Times New Roman"/>
        </w:rPr>
      </w:pPr>
      <w:r>
        <w:rPr>
          <w:rFonts w:eastAsia="Times New Roman"/>
          <w:b/>
          <w:bCs/>
          <w:i/>
          <w:iCs/>
          <w:color w:val="000000"/>
          <w:sz w:val="20"/>
          <w:szCs w:val="20"/>
        </w:rPr>
        <w:t>Financing Derivatives</w:t>
      </w:r>
      <w:r>
        <w:rPr>
          <w:rFonts w:eastAsia="Times New Roman"/>
          <w:color w:val="000000"/>
          <w:sz w:val="20"/>
          <w:szCs w:val="20"/>
        </w:rPr>
        <w:t xml:space="preserve"> </w:t>
      </w:r>
    </w:p>
    <w:p w:rsidR="00000000" w:rsidRDefault="00971A12">
      <w:pPr>
        <w:jc w:val="both"/>
        <w:divId w:val="378087786"/>
        <w:rPr>
          <w:rFonts w:eastAsia="Times New Roman"/>
        </w:rPr>
      </w:pPr>
      <w:r>
        <w:rPr>
          <w:rFonts w:eastAsia="Times New Roman"/>
          <w:color w:val="000000"/>
          <w:sz w:val="20"/>
          <w:szCs w:val="20"/>
        </w:rPr>
        <w:t>The Company's derivative financial instruments are not hedges and do not qualify for hedge accounting. Changes in the fair value of these instruments are recorded in other income (expense), net in the Consolidated Statements of Operations and Comprehensive</w:t>
      </w:r>
      <w:r>
        <w:rPr>
          <w:rFonts w:eastAsia="Times New Roman"/>
          <w:color w:val="000000"/>
          <w:sz w:val="20"/>
          <w:szCs w:val="20"/>
        </w:rPr>
        <w:t xml:space="preserve"> Loss.</w:t>
      </w:r>
    </w:p>
    <w:p w:rsidR="00000000" w:rsidRDefault="00971A12">
      <w:pPr>
        <w:jc w:val="both"/>
        <w:divId w:val="1318531436"/>
        <w:rPr>
          <w:rFonts w:eastAsia="Times New Roman"/>
        </w:rPr>
      </w:pPr>
      <w:r>
        <w:rPr>
          <w:rFonts w:eastAsia="Times New Roman"/>
          <w:color w:val="000000"/>
          <w:sz w:val="20"/>
          <w:szCs w:val="20"/>
        </w:rPr>
        <w:t>The fair values of the financing derivatives were estimated using forward projections and were discounted back at rates commensurate with the remaining term of the related derivatives. Significant valuation inputs included the Company's credit ratin</w:t>
      </w:r>
      <w:r>
        <w:rPr>
          <w:rFonts w:eastAsia="Times New Roman"/>
          <w:color w:val="000000"/>
          <w:sz w:val="20"/>
          <w:szCs w:val="20"/>
        </w:rPr>
        <w:t>g, the premium attributable to the payment-in-kind feature of the Notes, and premium estimates for company-specific risk factors (together, the "credit-adjusted discount rate"), the price and expected volatility of the Company's Common Stock, probability o</w:t>
      </w:r>
      <w:r>
        <w:rPr>
          <w:rFonts w:eastAsia="Times New Roman"/>
          <w:color w:val="000000"/>
          <w:sz w:val="20"/>
          <w:szCs w:val="20"/>
        </w:rPr>
        <w:t>f change of control, and forward projections of estimated cash payments.</w:t>
      </w:r>
    </w:p>
    <w:p w:rsidR="00000000" w:rsidRDefault="00971A12">
      <w:pPr>
        <w:jc w:val="both"/>
        <w:divId w:val="138420819"/>
        <w:rPr>
          <w:rFonts w:eastAsia="Times New Roman"/>
        </w:rPr>
      </w:pPr>
      <w:r>
        <w:rPr>
          <w:rFonts w:eastAsia="Times New Roman"/>
          <w:color w:val="000000"/>
          <w:sz w:val="20"/>
          <w:szCs w:val="20"/>
        </w:rPr>
        <w:t xml:space="preserve">Extinguishment of the Notes on March 10, 2021 resulted in derecognition of the remaining financing derivatives. Refer to </w:t>
      </w:r>
      <w:hyperlink w:anchor="i0047531bd13046b986557e31951e34f8_124" w:history="1">
        <w:r>
          <w:rPr>
            <w:rStyle w:val="a3"/>
            <w:rFonts w:eastAsia="Times New Roman"/>
            <w:sz w:val="20"/>
            <w:szCs w:val="20"/>
          </w:rPr>
          <w:t>Fo</w:t>
        </w:r>
        <w:r>
          <w:rPr>
            <w:rStyle w:val="a3"/>
            <w:rFonts w:eastAsia="Times New Roman"/>
            <w:sz w:val="20"/>
            <w:szCs w:val="20"/>
          </w:rPr>
          <w:t>otnote 6</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xml:space="preserve"> for additional information.</w:t>
      </w:r>
    </w:p>
    <w:p w:rsidR="00000000" w:rsidRDefault="00971A12">
      <w:pPr>
        <w:jc w:val="center"/>
        <w:divId w:val="1365060128"/>
        <w:rPr>
          <w:rFonts w:eastAsia="Times New Roman"/>
        </w:rPr>
      </w:pPr>
      <w:r>
        <w:rPr>
          <w:rFonts w:eastAsia="Times New Roman"/>
          <w:color w:val="000000"/>
          <w:sz w:val="20"/>
          <w:szCs w:val="20"/>
        </w:rPr>
        <w:t>54</w:t>
      </w:r>
    </w:p>
    <w:p w:rsidR="00000000" w:rsidRDefault="00971A12">
      <w:pPr>
        <w:rPr>
          <w:rFonts w:eastAsia="Times New Roman"/>
        </w:rPr>
      </w:pPr>
      <w:r>
        <w:rPr>
          <w:rFonts w:eastAsia="Times New Roman"/>
        </w:rPr>
        <w:pict>
          <v:rect id="_x0000_i1082" style="width:0;height:1.5pt" o:hralign="center" o:hrstd="t" o:hr="t" fillcolor="#a0a0a0" stroked="f"/>
        </w:pict>
      </w:r>
    </w:p>
    <w:p w:rsidR="00000000" w:rsidRDefault="00971A12">
      <w:pPr>
        <w:divId w:val="1704358633"/>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2098015424"/>
        <w:rPr>
          <w:rFonts w:eastAsia="Times New Roman"/>
        </w:rPr>
      </w:pPr>
    </w:p>
    <w:p w:rsidR="00000000" w:rsidRDefault="00971A12">
      <w:pPr>
        <w:divId w:val="1912735552"/>
        <w:rPr>
          <w:rFonts w:eastAsia="Times New Roman"/>
        </w:rPr>
      </w:pPr>
      <w:r>
        <w:rPr>
          <w:rFonts w:eastAsia="Times New Roman"/>
          <w:b/>
          <w:bCs/>
          <w:i/>
          <w:iCs/>
          <w:color w:val="000000"/>
          <w:sz w:val="20"/>
          <w:szCs w:val="20"/>
        </w:rPr>
        <w:t>Cash, Cash Equivalents and Restricted Cash</w:t>
      </w:r>
    </w:p>
    <w:p w:rsidR="00000000" w:rsidRDefault="00971A12">
      <w:pPr>
        <w:jc w:val="both"/>
        <w:divId w:val="514807314"/>
        <w:rPr>
          <w:rFonts w:eastAsia="Times New Roman"/>
        </w:rPr>
      </w:pPr>
      <w:r>
        <w:rPr>
          <w:rFonts w:eastAsia="Times New Roman"/>
          <w:color w:val="000000"/>
          <w:sz w:val="20"/>
          <w:szCs w:val="20"/>
        </w:rPr>
        <w:t>Cash and cash equivalents are maintained with several financial institutions domestically and internationally. The combined account balances held on deposit at each institution typically exceed Federal Deposit Ins</w:t>
      </w:r>
      <w:r>
        <w:rPr>
          <w:rFonts w:eastAsia="Times New Roman"/>
          <w:color w:val="000000"/>
          <w:sz w:val="20"/>
          <w:szCs w:val="20"/>
        </w:rPr>
        <w:t>urance Corporation ("FDIC") insurance coverage and, as a result, there is a concentration of credit risk related to amounts on deposit in excess of FDIC insurance coverage. The Company reduces this risk by maintaining such deposits with high quality financ</w:t>
      </w:r>
      <w:r>
        <w:rPr>
          <w:rFonts w:eastAsia="Times New Roman"/>
          <w:color w:val="000000"/>
          <w:sz w:val="20"/>
          <w:szCs w:val="20"/>
        </w:rPr>
        <w:t>ial institutions that management believes are creditworthy, and by monitoring this credit risk and making adjustments as necessary.</w:t>
      </w:r>
    </w:p>
    <w:p w:rsidR="00000000" w:rsidRDefault="00971A12">
      <w:pPr>
        <w:jc w:val="both"/>
        <w:divId w:val="20253278"/>
        <w:rPr>
          <w:rFonts w:eastAsia="Times New Roman"/>
        </w:rPr>
      </w:pPr>
      <w:r>
        <w:rPr>
          <w:rFonts w:eastAsia="Times New Roman"/>
          <w:color w:val="000000"/>
          <w:sz w:val="20"/>
          <w:szCs w:val="20"/>
        </w:rPr>
        <w:t>The Company considers highly liquid investments with an original maturity of three months or less at the time of purchase an</w:t>
      </w:r>
      <w:r>
        <w:rPr>
          <w:rFonts w:eastAsia="Times New Roman"/>
          <w:color w:val="000000"/>
          <w:sz w:val="20"/>
          <w:szCs w:val="20"/>
        </w:rPr>
        <w:t xml:space="preserve">d qualifying money-market funds as cash equivalents. </w:t>
      </w:r>
    </w:p>
    <w:p w:rsidR="00000000" w:rsidRDefault="00971A12">
      <w:pPr>
        <w:jc w:val="both"/>
        <w:divId w:val="1119685220"/>
        <w:rPr>
          <w:rFonts w:eastAsia="Times New Roman"/>
        </w:rPr>
      </w:pPr>
      <w:r>
        <w:rPr>
          <w:rFonts w:eastAsia="Times New Roman"/>
          <w:color w:val="000000"/>
          <w:sz w:val="20"/>
          <w:szCs w:val="20"/>
        </w:rPr>
        <w:t xml:space="preserve">As of December 31, 2022 and December 31, 2021, restricted cash represents security deposits for subleased office space. </w:t>
      </w:r>
    </w:p>
    <w:p w:rsidR="00000000" w:rsidRDefault="00971A12">
      <w:pPr>
        <w:divId w:val="925187791"/>
        <w:rPr>
          <w:rFonts w:eastAsia="Times New Roman"/>
        </w:rPr>
      </w:pPr>
      <w:r>
        <w:rPr>
          <w:rFonts w:eastAsia="Times New Roman"/>
          <w:b/>
          <w:bCs/>
          <w:i/>
          <w:iCs/>
          <w:color w:val="000000"/>
          <w:sz w:val="20"/>
          <w:szCs w:val="20"/>
        </w:rPr>
        <w:t>Allowance for Doubtful Accounts</w:t>
      </w:r>
    </w:p>
    <w:p w:rsidR="00000000" w:rsidRDefault="00971A12">
      <w:pPr>
        <w:jc w:val="both"/>
        <w:divId w:val="923688843"/>
        <w:rPr>
          <w:rFonts w:eastAsia="Times New Roman"/>
        </w:rPr>
      </w:pPr>
      <w:r>
        <w:rPr>
          <w:rFonts w:eastAsia="Times New Roman"/>
          <w:color w:val="000000"/>
          <w:sz w:val="20"/>
          <w:szCs w:val="20"/>
        </w:rPr>
        <w:t>The Company generally grants uncollateralized cre</w:t>
      </w:r>
      <w:r>
        <w:rPr>
          <w:rFonts w:eastAsia="Times New Roman"/>
          <w:color w:val="000000"/>
          <w:sz w:val="20"/>
          <w:szCs w:val="20"/>
        </w:rPr>
        <w:t>dit terms to its customers. Credit risk associated with accounts receivable is mitigated by the Company's ongoing credit evaluation of its customers' financial condition. An allowance for doubtful accounts is maintained to reserve for uncollectible receiva</w:t>
      </w:r>
      <w:r>
        <w:rPr>
          <w:rFonts w:eastAsia="Times New Roman"/>
          <w:color w:val="000000"/>
          <w:sz w:val="20"/>
          <w:szCs w:val="20"/>
        </w:rPr>
        <w:t>bles. Allowances are based on management's judgment, which considers historical collection experience adjusted for current conditions or expected future conditions based on reasonable and supportable forecasts, a specific review of all significant outstand</w:t>
      </w:r>
      <w:r>
        <w:rPr>
          <w:rFonts w:eastAsia="Times New Roman"/>
          <w:color w:val="000000"/>
          <w:sz w:val="20"/>
          <w:szCs w:val="20"/>
        </w:rPr>
        <w:t>ing receivables, an assessment of company-specific credit conditions and general economic conditions. Management considered the impact of the COVID-19 pandemic, including customer payment delays and requests from customers to revise contractual payment ter</w:t>
      </w:r>
      <w:r>
        <w:rPr>
          <w:rFonts w:eastAsia="Times New Roman"/>
          <w:color w:val="000000"/>
          <w:sz w:val="20"/>
          <w:szCs w:val="20"/>
        </w:rPr>
        <w:t>ms, in determining the Company's allowance for doubtful accounts.</w:t>
      </w:r>
    </w:p>
    <w:p w:rsidR="00000000" w:rsidRDefault="00971A12">
      <w:pPr>
        <w:divId w:val="1811166686"/>
        <w:rPr>
          <w:rFonts w:eastAsia="Times New Roman"/>
        </w:rPr>
      </w:pPr>
      <w:r>
        <w:rPr>
          <w:rFonts w:eastAsia="Times New Roman"/>
          <w:color w:val="000000"/>
          <w:sz w:val="20"/>
          <w:szCs w:val="20"/>
        </w:rPr>
        <w:t>The following is a summary of the activity within the allowance for doubtful accounts: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896"/>
        <w:gridCol w:w="38"/>
        <w:gridCol w:w="110"/>
        <w:gridCol w:w="893"/>
        <w:gridCol w:w="36"/>
        <w:gridCol w:w="36"/>
        <w:gridCol w:w="36"/>
        <w:gridCol w:w="36"/>
        <w:gridCol w:w="110"/>
        <w:gridCol w:w="893"/>
        <w:gridCol w:w="36"/>
        <w:gridCol w:w="36"/>
        <w:gridCol w:w="36"/>
        <w:gridCol w:w="36"/>
        <w:gridCol w:w="110"/>
        <w:gridCol w:w="893"/>
        <w:gridCol w:w="36"/>
      </w:tblGrid>
      <w:tr w:rsidR="00000000">
        <w:trPr>
          <w:divId w:val="2058355294"/>
          <w:jc w:val="center"/>
        </w:trPr>
        <w:tc>
          <w:tcPr>
            <w:tcW w:w="50" w:type="pct"/>
            <w:vAlign w:val="center"/>
            <w:hideMark/>
          </w:tcPr>
          <w:p w:rsidR="00000000" w:rsidRDefault="00971A12">
            <w:pPr>
              <w:rPr>
                <w:rFonts w:eastAsia="Times New Roman"/>
              </w:rPr>
            </w:pPr>
          </w:p>
        </w:tc>
        <w:tc>
          <w:tcPr>
            <w:tcW w:w="2998"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2058355294"/>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971A12">
            <w:pPr>
              <w:spacing w:after="100"/>
              <w:jc w:val="center"/>
              <w:rPr>
                <w:rFonts w:eastAsia="Times New Roman"/>
              </w:rPr>
            </w:pPr>
            <w:r>
              <w:rPr>
                <w:rFonts w:eastAsia="Times New Roman"/>
                <w:b/>
                <w:bCs/>
                <w:color w:val="000000"/>
                <w:sz w:val="16"/>
                <w:szCs w:val="16"/>
              </w:rPr>
              <w:t>Years Ended December 31,</w:t>
            </w:r>
          </w:p>
        </w:tc>
      </w:tr>
      <w:tr w:rsidR="00000000">
        <w:trPr>
          <w:divId w:val="2058355294"/>
          <w:jc w:val="center"/>
        </w:trPr>
        <w:tc>
          <w:tcPr>
            <w:tcW w:w="0" w:type="auto"/>
            <w:gridSpan w:val="3"/>
            <w:tcMar>
              <w:top w:w="30" w:type="dxa"/>
              <w:left w:w="20" w:type="dxa"/>
              <w:bottom w:w="30" w:type="dxa"/>
              <w:right w:w="20" w:type="dxa"/>
            </w:tcMar>
            <w:vAlign w:val="bottom"/>
            <w:hideMark/>
          </w:tcPr>
          <w:p w:rsidR="00000000" w:rsidRDefault="00971A12">
            <w:pPr>
              <w:spacing w:after="100"/>
              <w:jc w:val="both"/>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971A12">
            <w:pPr>
              <w:spacing w:after="100"/>
              <w:jc w:val="center"/>
              <w:rPr>
                <w:rFonts w:eastAsia="Times New Roman"/>
              </w:rPr>
            </w:pPr>
            <w:r>
              <w:rPr>
                <w:rFonts w:eastAsia="Times New Roman"/>
                <w:b/>
                <w:bCs/>
                <w:color w:val="000000"/>
                <w:sz w:val="16"/>
                <w:szCs w:val="16"/>
              </w:rPr>
              <w:t>2020</w:t>
            </w:r>
          </w:p>
        </w:tc>
      </w:tr>
      <w:tr w:rsidR="00000000">
        <w:trPr>
          <w:divId w:val="2058355294"/>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18"/>
                <w:szCs w:val="18"/>
              </w:rPr>
              <w:t>Beginning Balance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(2,757)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(1,919)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58355294"/>
          <w:jc w:val="center"/>
        </w:trPr>
        <w:tc>
          <w:tcPr>
            <w:tcW w:w="0" w:type="auto"/>
            <w:gridSpan w:val="3"/>
            <w:shd w:val="clear" w:color="auto" w:fill="FFFFFF"/>
            <w:tcMar>
              <w:top w:w="30" w:type="dxa"/>
              <w:left w:w="155" w:type="dxa"/>
              <w:bottom w:w="30" w:type="dxa"/>
              <w:right w:w="20" w:type="dxa"/>
            </w:tcMar>
            <w:hideMark/>
          </w:tcPr>
          <w:p w:rsidR="00000000" w:rsidRDefault="00971A12">
            <w:pPr>
              <w:spacing w:after="100"/>
              <w:rPr>
                <w:rFonts w:eastAsia="Times New Roman"/>
              </w:rPr>
            </w:pPr>
            <w:r>
              <w:rPr>
                <w:rFonts w:eastAsia="Times New Roman"/>
                <w:color w:val="000000"/>
                <w:sz w:val="18"/>
                <w:szCs w:val="18"/>
              </w:rPr>
              <w:t>Bad debt (expense) benefit</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(312)</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(1,693)</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58355294"/>
          <w:jc w:val="center"/>
        </w:trPr>
        <w:tc>
          <w:tcPr>
            <w:tcW w:w="0" w:type="auto"/>
            <w:gridSpan w:val="3"/>
            <w:shd w:val="clear" w:color="auto" w:fill="CCEEFF"/>
            <w:tcMar>
              <w:top w:w="30" w:type="dxa"/>
              <w:left w:w="155" w:type="dxa"/>
              <w:bottom w:w="30" w:type="dxa"/>
              <w:right w:w="20" w:type="dxa"/>
            </w:tcMar>
            <w:hideMark/>
          </w:tcPr>
          <w:p w:rsidR="00000000" w:rsidRDefault="00971A12">
            <w:pPr>
              <w:spacing w:after="100"/>
              <w:rPr>
                <w:rFonts w:eastAsia="Times New Roman"/>
              </w:rPr>
            </w:pPr>
            <w:r>
              <w:rPr>
                <w:rFonts w:eastAsia="Times New Roman"/>
                <w:color w:val="000000"/>
                <w:sz w:val="18"/>
                <w:szCs w:val="18"/>
              </w:rPr>
              <w:t>Recoveries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(126)</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(161)</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(300)</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58355294"/>
          <w:jc w:val="center"/>
        </w:trPr>
        <w:tc>
          <w:tcPr>
            <w:tcW w:w="0" w:type="auto"/>
            <w:gridSpan w:val="3"/>
            <w:shd w:val="clear" w:color="auto" w:fill="FFFFFF"/>
            <w:tcMar>
              <w:top w:w="30" w:type="dxa"/>
              <w:left w:w="155" w:type="dxa"/>
              <w:bottom w:w="30" w:type="dxa"/>
              <w:right w:w="20" w:type="dxa"/>
            </w:tcMar>
            <w:hideMark/>
          </w:tcPr>
          <w:p w:rsidR="00000000" w:rsidRDefault="00971A12">
            <w:pPr>
              <w:spacing w:after="100"/>
              <w:rPr>
                <w:rFonts w:eastAsia="Times New Roman"/>
              </w:rPr>
            </w:pPr>
            <w:r>
              <w:rPr>
                <w:rFonts w:eastAsia="Times New Roman"/>
                <w:color w:val="000000"/>
                <w:sz w:val="18"/>
                <w:szCs w:val="18"/>
              </w:rPr>
              <w:t>Write-offs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813 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1,665 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1,155 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58355294"/>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18"/>
                <w:szCs w:val="18"/>
              </w:rPr>
              <w:t>Ending Balance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(798)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w:t>
            </w:r>
            <w:r>
              <w:rPr>
                <w:rFonts w:eastAsia="Times New Roman"/>
                <w:color w:val="000000"/>
                <w:sz w:val="18"/>
                <w:szCs w:val="18"/>
              </w:rPr>
              <w:t>1,173)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(2,757)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divId w:val="1454441273"/>
        <w:rPr>
          <w:rFonts w:eastAsia="Times New Roman"/>
        </w:rPr>
      </w:pPr>
      <w:r>
        <w:rPr>
          <w:rFonts w:eastAsia="Times New Roman"/>
          <w:b/>
          <w:bCs/>
          <w:i/>
          <w:iCs/>
          <w:color w:val="000000"/>
          <w:sz w:val="20"/>
          <w:szCs w:val="20"/>
        </w:rPr>
        <w:t>Property and Equipment, net</w:t>
      </w:r>
    </w:p>
    <w:p w:rsidR="00000000" w:rsidRDefault="00971A12">
      <w:pPr>
        <w:jc w:val="both"/>
        <w:divId w:val="681124028"/>
        <w:rPr>
          <w:rFonts w:eastAsia="Times New Roman"/>
        </w:rPr>
      </w:pPr>
      <w:r>
        <w:rPr>
          <w:rFonts w:eastAsia="Times New Roman"/>
          <w:color w:val="000000"/>
          <w:sz w:val="20"/>
          <w:szCs w:val="20"/>
        </w:rPr>
        <w:t>Property and equipment is recorded at cost, net of accumulated depreciation, and is depreciated on a straight-line basis over the estimated useful lives of the assets, ranging from 2 to 10 years. Finance lease assets are recorded at their net present value</w:t>
      </w:r>
      <w:r>
        <w:rPr>
          <w:rFonts w:eastAsia="Times New Roman"/>
          <w:color w:val="000000"/>
          <w:sz w:val="20"/>
          <w:szCs w:val="20"/>
        </w:rPr>
        <w:t xml:space="preserve"> at the commencement of the lease. Both finance lease assets and leasehold improvements are amortized on a straight-line basis over the shorter of the related lease terms or their useful lives. Replacements and major improvements are capitalized; maintenan</w:t>
      </w:r>
      <w:r>
        <w:rPr>
          <w:rFonts w:eastAsia="Times New Roman"/>
          <w:color w:val="000000"/>
          <w:sz w:val="20"/>
          <w:szCs w:val="20"/>
        </w:rPr>
        <w:t>ce and repairs are expensed as incurred.</w:t>
      </w:r>
    </w:p>
    <w:p w:rsidR="00000000" w:rsidRDefault="00971A12">
      <w:pPr>
        <w:jc w:val="both"/>
        <w:divId w:val="1814446045"/>
        <w:rPr>
          <w:rFonts w:eastAsia="Times New Roman"/>
        </w:rPr>
      </w:pPr>
      <w:r>
        <w:rPr>
          <w:rFonts w:eastAsia="Times New Roman"/>
          <w:color w:val="000000"/>
          <w:sz w:val="20"/>
          <w:szCs w:val="20"/>
        </w:rPr>
        <w:t>Included in property and equipment, net, are capitalized software costs to purchase and develop internal-use software, which the Company uses to provide services to its clients. The costs to purchase and develop int</w:t>
      </w:r>
      <w:r>
        <w:rPr>
          <w:rFonts w:eastAsia="Times New Roman"/>
          <w:color w:val="000000"/>
          <w:sz w:val="20"/>
          <w:szCs w:val="20"/>
        </w:rPr>
        <w:t>ernal-use software are capitalized from the time that the preliminary project stage is completed, and it is considered probable that the software will be used to perform the function intended, until the time the software is placed in service for its intend</w:t>
      </w:r>
      <w:r>
        <w:rPr>
          <w:rFonts w:eastAsia="Times New Roman"/>
          <w:color w:val="000000"/>
          <w:sz w:val="20"/>
          <w:szCs w:val="20"/>
        </w:rPr>
        <w:t>ed use. Any costs incurred during subsequent efforts to upgrade and enhance the functionality of the software are also capitalized. Once this software is ready for use in the Company's products, these costs are amortized on a straight-line basis over the e</w:t>
      </w:r>
      <w:r>
        <w:rPr>
          <w:rFonts w:eastAsia="Times New Roman"/>
          <w:color w:val="000000"/>
          <w:sz w:val="20"/>
          <w:szCs w:val="20"/>
        </w:rPr>
        <w:t xml:space="preserve">stimated useful life of the software, which is typically assessed to be 2 to 3 years. During the years ended December 31, 2022, 2021 and 2020, the Company capitalized $17.2 million, $18.9 million (including $4.6 million recorded as part of the acquisition </w:t>
      </w:r>
      <w:r>
        <w:rPr>
          <w:rFonts w:eastAsia="Times New Roman"/>
          <w:color w:val="000000"/>
          <w:sz w:val="20"/>
          <w:szCs w:val="20"/>
        </w:rPr>
        <w:t>of Shareablee), and $15.0 million in internal-use software costs, respectively. The Company depreciated $15.1 million, $12.8 million and $9.1 million in capitalized internal-use software costs during the years ended December 31, 2022, 2021 and 2020, respec</w:t>
      </w:r>
      <w:r>
        <w:rPr>
          <w:rFonts w:eastAsia="Times New Roman"/>
          <w:color w:val="000000"/>
          <w:sz w:val="20"/>
          <w:szCs w:val="20"/>
        </w:rPr>
        <w:t>tively.</w:t>
      </w:r>
    </w:p>
    <w:p w:rsidR="00000000" w:rsidRDefault="00971A12">
      <w:pPr>
        <w:divId w:val="243606751"/>
        <w:rPr>
          <w:rFonts w:eastAsia="Times New Roman"/>
        </w:rPr>
      </w:pPr>
      <w:r>
        <w:rPr>
          <w:rFonts w:eastAsia="Times New Roman"/>
          <w:b/>
          <w:bCs/>
          <w:i/>
          <w:iCs/>
          <w:color w:val="000000"/>
          <w:sz w:val="20"/>
          <w:szCs w:val="20"/>
        </w:rPr>
        <w:t>Business Combination</w:t>
      </w:r>
    </w:p>
    <w:p w:rsidR="00000000" w:rsidRDefault="00971A12">
      <w:pPr>
        <w:jc w:val="both"/>
        <w:divId w:val="251084970"/>
        <w:rPr>
          <w:rFonts w:eastAsia="Times New Roman"/>
        </w:rPr>
      </w:pPr>
      <w:r>
        <w:rPr>
          <w:rFonts w:eastAsia="Times New Roman"/>
          <w:color w:val="000000"/>
          <w:sz w:val="20"/>
          <w:szCs w:val="20"/>
        </w:rPr>
        <w:t>In December 2021, the Company and two newly formed, wholly owned subsidiaries of the Company entered into the Merger Agreement with Shareablee, pursuant to which the Company</w:t>
      </w:r>
      <w:r>
        <w:rPr>
          <w:rFonts w:eastAsia="Times New Roman"/>
          <w:color w:val="008080"/>
        </w:rPr>
        <w:t xml:space="preserve"> </w:t>
      </w:r>
      <w:r>
        <w:rPr>
          <w:rFonts w:eastAsia="Times New Roman"/>
          <w:color w:val="000000"/>
          <w:sz w:val="20"/>
          <w:szCs w:val="20"/>
        </w:rPr>
        <w:t xml:space="preserve">acquired Shareablee (the "Merger") as described in </w:t>
      </w:r>
      <w:hyperlink w:anchor="i0047531bd13046b986557e31951e34f8_103" w:history="1">
        <w:r>
          <w:rPr>
            <w:rStyle w:val="a3"/>
            <w:rFonts w:eastAsia="Times New Roman"/>
            <w:sz w:val="20"/>
            <w:szCs w:val="20"/>
          </w:rPr>
          <w:t>Footnote 3</w:t>
        </w:r>
      </w:hyperlink>
      <w:r>
        <w:rPr>
          <w:rFonts w:eastAsia="Times New Roman"/>
          <w:color w:val="000000"/>
          <w:sz w:val="20"/>
          <w:szCs w:val="20"/>
        </w:rPr>
        <w:t xml:space="preserve">, </w:t>
      </w:r>
      <w:r>
        <w:rPr>
          <w:rFonts w:eastAsia="Times New Roman"/>
          <w:i/>
          <w:iCs/>
          <w:color w:val="000000"/>
          <w:sz w:val="20"/>
          <w:szCs w:val="20"/>
        </w:rPr>
        <w:t>Business Combination</w:t>
      </w:r>
      <w:r>
        <w:rPr>
          <w:rFonts w:eastAsia="Times New Roman"/>
          <w:color w:val="000000"/>
          <w:sz w:val="20"/>
          <w:szCs w:val="20"/>
        </w:rPr>
        <w:t>. Total consideration paid or payable by the Company related to the Merger (valued as of the closing date of the Merger) was $31.4 million, which included $5.6 million for the fair value of contingent consideration payable based on the achievement of certa</w:t>
      </w:r>
      <w:r>
        <w:rPr>
          <w:rFonts w:eastAsia="Times New Roman"/>
          <w:color w:val="000000"/>
          <w:sz w:val="20"/>
          <w:szCs w:val="20"/>
        </w:rPr>
        <w:t>in contractual milestones or future revenue performance. The maximum amount of contingent consideration payable under the Merger is $8.6 million.</w:t>
      </w:r>
    </w:p>
    <w:p w:rsidR="00000000" w:rsidRDefault="00971A12">
      <w:pPr>
        <w:jc w:val="both"/>
        <w:divId w:val="1346207191"/>
        <w:rPr>
          <w:rFonts w:eastAsia="Times New Roman"/>
        </w:rPr>
      </w:pPr>
      <w:r>
        <w:rPr>
          <w:rFonts w:eastAsia="Times New Roman"/>
          <w:color w:val="000000"/>
          <w:sz w:val="20"/>
          <w:szCs w:val="20"/>
        </w:rPr>
        <w:t>The contingent consideration is classified as a liability due to the fact it will be settled in cash or a vari</w:t>
      </w:r>
      <w:r>
        <w:rPr>
          <w:rFonts w:eastAsia="Times New Roman"/>
          <w:color w:val="000000"/>
          <w:sz w:val="20"/>
          <w:szCs w:val="20"/>
        </w:rPr>
        <w:t>able number of shares of the Company's common stock, par value $0.001 (the "Common Stock") (or a combination thereof), and the amount of the payment is not dependent upon the fair value of the Common Stock. The contingent consideration liability is measure</w:t>
      </w:r>
      <w:r>
        <w:rPr>
          <w:rFonts w:eastAsia="Times New Roman"/>
          <w:color w:val="000000"/>
          <w:sz w:val="20"/>
          <w:szCs w:val="20"/>
        </w:rPr>
        <w:t>d at fair value on a recurring basis until the contingency is resolved.</w:t>
      </w:r>
    </w:p>
    <w:p w:rsidR="00000000" w:rsidRDefault="00971A12">
      <w:pPr>
        <w:jc w:val="both"/>
        <w:divId w:val="1607349161"/>
        <w:rPr>
          <w:rFonts w:eastAsia="Times New Roman"/>
        </w:rPr>
      </w:pPr>
      <w:r>
        <w:rPr>
          <w:rFonts w:eastAsia="Times New Roman"/>
          <w:color w:val="000000"/>
          <w:sz w:val="20"/>
          <w:szCs w:val="20"/>
        </w:rPr>
        <w:t>The fair value of the contingent consideration liability is estimated using a combination of valuation techniques. One technique is an option pricing model within a Monte Carlo simulat</w:t>
      </w:r>
      <w:r>
        <w:rPr>
          <w:rFonts w:eastAsia="Times New Roman"/>
          <w:color w:val="000000"/>
          <w:sz w:val="20"/>
          <w:szCs w:val="20"/>
        </w:rPr>
        <w:t xml:space="preserve">ion that determines an average projected payment value across numerous iterations. This technique </w:t>
      </w:r>
    </w:p>
    <w:p w:rsidR="00000000" w:rsidRDefault="00971A12">
      <w:pPr>
        <w:jc w:val="center"/>
        <w:divId w:val="1626497197"/>
        <w:rPr>
          <w:rFonts w:eastAsia="Times New Roman"/>
        </w:rPr>
      </w:pPr>
      <w:r>
        <w:rPr>
          <w:rFonts w:eastAsia="Times New Roman"/>
          <w:color w:val="000000"/>
          <w:sz w:val="20"/>
          <w:szCs w:val="20"/>
        </w:rPr>
        <w:t>55</w:t>
      </w:r>
    </w:p>
    <w:p w:rsidR="00000000" w:rsidRDefault="00971A12">
      <w:pPr>
        <w:rPr>
          <w:rFonts w:eastAsia="Times New Roman"/>
        </w:rPr>
      </w:pPr>
      <w:r>
        <w:rPr>
          <w:rFonts w:eastAsia="Times New Roman"/>
        </w:rPr>
        <w:pict>
          <v:rect id="_x0000_i1083" style="width:0;height:1.5pt" o:hralign="center" o:hrstd="t" o:hr="t" fillcolor="#a0a0a0" stroked="f"/>
        </w:pict>
      </w:r>
    </w:p>
    <w:p w:rsidR="00000000" w:rsidRDefault="00971A12">
      <w:pPr>
        <w:divId w:val="1452748039"/>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923372936"/>
        <w:rPr>
          <w:rFonts w:eastAsia="Times New Roman"/>
        </w:rPr>
      </w:pPr>
    </w:p>
    <w:p w:rsidR="00000000" w:rsidRDefault="00971A12">
      <w:pPr>
        <w:jc w:val="both"/>
        <w:divId w:val="1494762659"/>
        <w:rPr>
          <w:rFonts w:eastAsia="Times New Roman"/>
        </w:rPr>
      </w:pPr>
      <w:r>
        <w:rPr>
          <w:rFonts w:eastAsia="Times New Roman"/>
          <w:color w:val="000000"/>
          <w:sz w:val="20"/>
          <w:szCs w:val="20"/>
        </w:rPr>
        <w:t>determines projected payments based on simulated revenues derived from an internal forecast, adjusted for a selected revenue volatility and risk premium based on market data for comparable guideline public companies. The other technique i</w:t>
      </w:r>
      <w:r>
        <w:rPr>
          <w:rFonts w:eastAsia="Times New Roman"/>
          <w:color w:val="000000"/>
          <w:sz w:val="20"/>
          <w:szCs w:val="20"/>
        </w:rPr>
        <w:t>s a discounted cash flow model that assumes achievement of the contractual milestones, resulting in payment of the full deferred amount. In both techniques, the projected payments are then discounted back to the valuation date at the Company's cost of debt</w:t>
      </w:r>
      <w:r>
        <w:rPr>
          <w:rFonts w:eastAsia="Times New Roman"/>
          <w:color w:val="000000"/>
          <w:sz w:val="20"/>
          <w:szCs w:val="20"/>
        </w:rPr>
        <w:t xml:space="preserve"> using a term commensurate with the contractual payment dates.</w:t>
      </w:r>
    </w:p>
    <w:p w:rsidR="00000000" w:rsidRDefault="00971A12">
      <w:pPr>
        <w:jc w:val="both"/>
        <w:divId w:val="1264343876"/>
        <w:rPr>
          <w:rFonts w:eastAsia="Times New Roman"/>
        </w:rPr>
      </w:pPr>
      <w:r>
        <w:rPr>
          <w:rFonts w:eastAsia="Times New Roman"/>
          <w:color w:val="000000"/>
          <w:sz w:val="20"/>
          <w:szCs w:val="20"/>
        </w:rPr>
        <w:t>In April 2022, the contingency was resolved and the full amount was deemed payable, subject to reduction for any pending indemnification claims and other terms set forth in the Merger Agreement</w:t>
      </w:r>
      <w:r>
        <w:rPr>
          <w:rFonts w:eastAsia="Times New Roman"/>
          <w:color w:val="000000"/>
          <w:sz w:val="20"/>
          <w:szCs w:val="20"/>
        </w:rPr>
        <w:t>. The resolution of this contingency eliminated the option pricing model as a valuation technique, and the fair value was remeasured using only the discounted cash flow model. In December 2022, the Company elected to settle the first installment of $3.7 mi</w:t>
      </w:r>
      <w:r>
        <w:rPr>
          <w:rFonts w:eastAsia="Times New Roman"/>
          <w:color w:val="000000"/>
          <w:sz w:val="20"/>
          <w:szCs w:val="20"/>
        </w:rPr>
        <w:t xml:space="preserve">llion in cash. This amount remained outstanding as of December 31, 2022 and is scheduled to be paid in the first quarter of 2023. The Company expects to settle the remaining liability in two additional installments of $3.7 million and $1.2 million payable </w:t>
      </w:r>
      <w:r>
        <w:rPr>
          <w:rFonts w:eastAsia="Times New Roman"/>
          <w:color w:val="000000"/>
          <w:sz w:val="20"/>
          <w:szCs w:val="20"/>
        </w:rPr>
        <w:t>in any combination of cash and Common Stock (at the Company's election) in December 2023 and 2024, respectively.</w:t>
      </w:r>
    </w:p>
    <w:p w:rsidR="00000000" w:rsidRDefault="00971A12">
      <w:pPr>
        <w:jc w:val="both"/>
        <w:divId w:val="1591306467"/>
        <w:rPr>
          <w:rFonts w:eastAsia="Times New Roman"/>
        </w:rPr>
      </w:pPr>
      <w:r>
        <w:rPr>
          <w:rFonts w:eastAsia="Times New Roman"/>
          <w:color w:val="000000"/>
          <w:sz w:val="20"/>
          <w:szCs w:val="20"/>
        </w:rPr>
        <w:t>The estimated fair value of the contingent consideration liability as of December 31, 2022 was $8.2 million. The loss due to change in fair val</w:t>
      </w:r>
      <w:r>
        <w:rPr>
          <w:rFonts w:eastAsia="Times New Roman"/>
          <w:color w:val="000000"/>
          <w:sz w:val="20"/>
          <w:szCs w:val="20"/>
        </w:rPr>
        <w:t xml:space="preserve">ue of $2.6 million for the year ended December 31, 2022 was classified within general and administrative expense in the Consolidated Statements of Operations and Comprehensive Loss. Refer to </w:t>
      </w:r>
      <w:hyperlink w:anchor="i0047531bd13046b986557e31951e34f8_130" w:history="1">
        <w:r>
          <w:rPr>
            <w:rStyle w:val="a3"/>
            <w:rFonts w:eastAsia="Times New Roman"/>
            <w:sz w:val="20"/>
            <w:szCs w:val="20"/>
          </w:rPr>
          <w:t>Footn</w:t>
        </w:r>
        <w:r>
          <w:rPr>
            <w:rStyle w:val="a3"/>
            <w:rFonts w:eastAsia="Times New Roman"/>
            <w:sz w:val="20"/>
            <w:szCs w:val="20"/>
          </w:rPr>
          <w:t>ote</w:t>
        </w:r>
      </w:hyperlink>
      <w:hyperlink w:anchor="i0047531bd13046b986557e31951e34f8_130" w:history="1">
        <w:r>
          <w:rPr>
            <w:rStyle w:val="a3"/>
            <w:rFonts w:eastAsia="Times New Roman"/>
            <w:sz w:val="20"/>
            <w:szCs w:val="20"/>
          </w:rPr>
          <w:t xml:space="preserve"> </w:t>
        </w:r>
      </w:hyperlink>
      <w:hyperlink w:anchor="i0047531bd13046b986557e31951e34f8_130" w:history="1">
        <w:r>
          <w:rPr>
            <w:rStyle w:val="a3"/>
            <w:rFonts w:eastAsia="Times New Roman"/>
            <w:sz w:val="20"/>
            <w:szCs w:val="20"/>
          </w:rPr>
          <w:t>7</w:t>
        </w:r>
      </w:hyperlink>
      <w:r>
        <w:rPr>
          <w:rFonts w:eastAsia="Times New Roman"/>
          <w:color w:val="000000"/>
          <w:sz w:val="20"/>
          <w:szCs w:val="20"/>
        </w:rPr>
        <w:t xml:space="preserve">, </w:t>
      </w:r>
      <w:r>
        <w:rPr>
          <w:rFonts w:eastAsia="Times New Roman"/>
          <w:i/>
          <w:iCs/>
          <w:color w:val="000000"/>
          <w:sz w:val="20"/>
          <w:szCs w:val="20"/>
        </w:rPr>
        <w:t>Fair Value Measurements</w:t>
      </w:r>
      <w:r>
        <w:rPr>
          <w:rFonts w:eastAsia="Times New Roman"/>
          <w:color w:val="000000"/>
          <w:sz w:val="20"/>
          <w:szCs w:val="20"/>
        </w:rPr>
        <w:t>, for additional information on the fair value of the contingent consideration.</w:t>
      </w:r>
    </w:p>
    <w:p w:rsidR="00000000" w:rsidRDefault="00971A12">
      <w:pPr>
        <w:jc w:val="both"/>
        <w:divId w:val="1862085428"/>
        <w:rPr>
          <w:rFonts w:eastAsia="Times New Roman"/>
        </w:rPr>
      </w:pPr>
      <w:r>
        <w:rPr>
          <w:rFonts w:eastAsia="Times New Roman"/>
          <w:b/>
          <w:bCs/>
          <w:i/>
          <w:iCs/>
          <w:color w:val="000000"/>
          <w:sz w:val="20"/>
          <w:szCs w:val="20"/>
        </w:rPr>
        <w:t>Cloud Computing Implementa</w:t>
      </w:r>
      <w:r>
        <w:rPr>
          <w:rFonts w:eastAsia="Times New Roman"/>
          <w:b/>
          <w:bCs/>
          <w:i/>
          <w:iCs/>
          <w:color w:val="000000"/>
          <w:sz w:val="20"/>
          <w:szCs w:val="20"/>
        </w:rPr>
        <w:t>tion Costs</w:t>
      </w:r>
    </w:p>
    <w:p w:rsidR="00000000" w:rsidRDefault="00971A12">
      <w:pPr>
        <w:jc w:val="both"/>
        <w:divId w:val="1820683630"/>
        <w:rPr>
          <w:rFonts w:eastAsia="Times New Roman"/>
        </w:rPr>
      </w:pPr>
      <w:r>
        <w:rPr>
          <w:rFonts w:eastAsia="Times New Roman"/>
          <w:color w:val="000000"/>
          <w:sz w:val="20"/>
          <w:szCs w:val="20"/>
        </w:rPr>
        <w:t>Certain costs incurred for implementation, setup, and other upfront activities in a hosting arrangement that is a service contract are capitalized during the application development stage. Upgrades and enhancements are capitalized if they will result in ad</w:t>
      </w:r>
      <w:r>
        <w:rPr>
          <w:rFonts w:eastAsia="Times New Roman"/>
          <w:color w:val="000000"/>
          <w:sz w:val="20"/>
          <w:szCs w:val="20"/>
        </w:rPr>
        <w:t>ditional functionality. Amortization of capitalized costs is recorded on a straight-line basis over the term of the associated hosting arrangement, inclusive of reasonably certain renewal periods.</w:t>
      </w:r>
    </w:p>
    <w:p w:rsidR="00000000" w:rsidRDefault="00971A12">
      <w:pPr>
        <w:jc w:val="both"/>
        <w:divId w:val="955521012"/>
        <w:rPr>
          <w:rFonts w:eastAsia="Times New Roman"/>
        </w:rPr>
      </w:pPr>
      <w:r>
        <w:rPr>
          <w:rFonts w:eastAsia="Times New Roman"/>
          <w:color w:val="000000"/>
          <w:sz w:val="20"/>
          <w:szCs w:val="20"/>
        </w:rPr>
        <w:t>During the third quarter of 2021, the Company completed its</w:t>
      </w:r>
      <w:r>
        <w:rPr>
          <w:rFonts w:eastAsia="Times New Roman"/>
          <w:color w:val="000000"/>
          <w:sz w:val="20"/>
          <w:szCs w:val="20"/>
        </w:rPr>
        <w:t xml:space="preserve"> implementation of a new cloud-based Enterprise Resource Planning ("ERP") system. The Company capitalized $6.8 million of eligible implementation costs in connection with its development and testing of the ERP system. These capitalized implementation costs</w:t>
      </w:r>
      <w:r>
        <w:rPr>
          <w:rFonts w:eastAsia="Times New Roman"/>
          <w:color w:val="000000"/>
          <w:sz w:val="20"/>
          <w:szCs w:val="20"/>
        </w:rPr>
        <w:t xml:space="preserve"> are classified within other non-current assets in the Consolidated Balance Sheets. As of December 31, 2022, 2021 and 2020, capitalized implementation costs, net of accumulated amortization, were $5.0 million, $6.4 million, and $3.2 million, respectively.</w:t>
      </w:r>
    </w:p>
    <w:p w:rsidR="00000000" w:rsidRDefault="00971A12">
      <w:pPr>
        <w:jc w:val="both"/>
        <w:divId w:val="46804879"/>
        <w:rPr>
          <w:rFonts w:eastAsia="Times New Roman"/>
        </w:rPr>
      </w:pPr>
      <w:r>
        <w:rPr>
          <w:rFonts w:eastAsia="Times New Roman"/>
          <w:color w:val="000000"/>
          <w:sz w:val="20"/>
          <w:szCs w:val="20"/>
        </w:rPr>
        <w:t>The Company determined the expected period of benefit of the capitalized implementation costs was five years. Amortization costs are classified within general and administrative expense in the Consolidated Statements of Operations and Comprehensive Loss. T</w:t>
      </w:r>
      <w:r>
        <w:rPr>
          <w:rFonts w:eastAsia="Times New Roman"/>
          <w:color w:val="000000"/>
          <w:sz w:val="20"/>
          <w:szCs w:val="20"/>
        </w:rPr>
        <w:t>he Company recorded $1.4 million and $0.7 million of amortization expense for the years ended December 31, 2022 and 2021, respectively.</w:t>
      </w:r>
    </w:p>
    <w:p w:rsidR="00000000" w:rsidRDefault="00971A12">
      <w:pPr>
        <w:divId w:val="506287548"/>
        <w:rPr>
          <w:rFonts w:eastAsia="Times New Roman"/>
        </w:rPr>
      </w:pPr>
      <w:r>
        <w:rPr>
          <w:rFonts w:eastAsia="Times New Roman"/>
          <w:b/>
          <w:bCs/>
          <w:i/>
          <w:iCs/>
          <w:color w:val="000000"/>
          <w:sz w:val="20"/>
          <w:szCs w:val="20"/>
        </w:rPr>
        <w:t xml:space="preserve">Goodwill and Intangible Assets </w:t>
      </w:r>
    </w:p>
    <w:p w:rsidR="00000000" w:rsidRDefault="00971A12">
      <w:pPr>
        <w:jc w:val="both"/>
        <w:divId w:val="801384111"/>
        <w:rPr>
          <w:rFonts w:eastAsia="Times New Roman"/>
        </w:rPr>
      </w:pPr>
      <w:r>
        <w:rPr>
          <w:rFonts w:eastAsia="Times New Roman"/>
          <w:color w:val="000000"/>
          <w:sz w:val="20"/>
          <w:szCs w:val="20"/>
        </w:rPr>
        <w:t>Goodwill represents the excess of the purchase consideration over the fair value of iden</w:t>
      </w:r>
      <w:r>
        <w:rPr>
          <w:rFonts w:eastAsia="Times New Roman"/>
          <w:color w:val="000000"/>
          <w:sz w:val="20"/>
          <w:szCs w:val="20"/>
        </w:rPr>
        <w:t>tifiable assets acquired and liabilities assumed when a business is acquired. The valuation of intangible assets and goodwill involves the use of management's estimates and assumptions and can have a significant impact on future operating results. The Comp</w:t>
      </w:r>
      <w:r>
        <w:rPr>
          <w:rFonts w:eastAsia="Times New Roman"/>
          <w:color w:val="000000"/>
          <w:sz w:val="20"/>
          <w:szCs w:val="20"/>
        </w:rPr>
        <w:t>any initially records its intangible assets at fair value. Definite-lived intangible assets are amortized over their estimated useful lives while goodwill is not amortized but is evaluated for impairment at least annually, as of October 1, by comparing the</w:t>
      </w:r>
      <w:r>
        <w:rPr>
          <w:rFonts w:eastAsia="Times New Roman"/>
          <w:color w:val="000000"/>
          <w:sz w:val="20"/>
          <w:szCs w:val="20"/>
        </w:rPr>
        <w:t xml:space="preserve"> fair value of a reporting unit to its carrying value including goodwill recorded by the reporting unit.</w:t>
      </w:r>
    </w:p>
    <w:p w:rsidR="00000000" w:rsidRDefault="00971A12">
      <w:pPr>
        <w:jc w:val="both"/>
        <w:divId w:val="293679409"/>
        <w:rPr>
          <w:rFonts w:eastAsia="Times New Roman"/>
        </w:rPr>
      </w:pPr>
      <w:r>
        <w:rPr>
          <w:rFonts w:eastAsia="Times New Roman"/>
          <w:color w:val="000000"/>
          <w:sz w:val="20"/>
          <w:szCs w:val="20"/>
        </w:rPr>
        <w:t>The Company has a single reporting unit. Accordingly, the impairment assessment for goodwill is performed at the enterprise level. Goodwill is reviewed</w:t>
      </w:r>
      <w:r>
        <w:rPr>
          <w:rFonts w:eastAsia="Times New Roman"/>
          <w:color w:val="000000"/>
          <w:sz w:val="20"/>
          <w:szCs w:val="20"/>
        </w:rPr>
        <w:t xml:space="preserve"> for possible impairment between annual tests if an event occurs or circumstances change that would more likely than not reduce the fair value of the reporting unit below its carrying value. The Company initially assesses qualitative factors to determine i</w:t>
      </w:r>
      <w:r>
        <w:rPr>
          <w:rFonts w:eastAsia="Times New Roman"/>
          <w:color w:val="000000"/>
          <w:sz w:val="20"/>
          <w:szCs w:val="20"/>
        </w:rPr>
        <w:t xml:space="preserve">f it is necessary to perform the goodwill impairment review. Goodwill is reviewed for impairment if, based on an assessment of the qualitative factors, it is determined that it is more likely than not that the fair value of the reporting unit is less than </w:t>
      </w:r>
      <w:r>
        <w:rPr>
          <w:rFonts w:eastAsia="Times New Roman"/>
          <w:color w:val="000000"/>
          <w:sz w:val="20"/>
          <w:szCs w:val="20"/>
        </w:rPr>
        <w:t>its carrying value, or the Company decides to bypass the qualitative assessment. The carrying value of the reporting unit is reviewed utilizing a combination of the discounted cash flow model and a market value approach. The estimated fair value of a repor</w:t>
      </w:r>
      <w:r>
        <w:rPr>
          <w:rFonts w:eastAsia="Times New Roman"/>
          <w:color w:val="000000"/>
          <w:sz w:val="20"/>
          <w:szCs w:val="20"/>
        </w:rPr>
        <w:t xml:space="preserve">ting unit is determined based on assumptions regarding estimated future cash flows, discount rates, long-term growth rates and market values. Additionally, the Company considers income tax effects from any tax-deductible goodwill on the carrying amount of </w:t>
      </w:r>
      <w:r>
        <w:rPr>
          <w:rFonts w:eastAsia="Times New Roman"/>
          <w:color w:val="000000"/>
          <w:sz w:val="20"/>
          <w:szCs w:val="20"/>
        </w:rPr>
        <w:t>the reporting unit when measuring the goodwill impairment loss.</w:t>
      </w:r>
    </w:p>
    <w:p w:rsidR="00000000" w:rsidRDefault="00971A12">
      <w:pPr>
        <w:jc w:val="both"/>
        <w:divId w:val="1224440455"/>
        <w:rPr>
          <w:rFonts w:eastAsia="Times New Roman"/>
        </w:rPr>
      </w:pPr>
      <w:r>
        <w:rPr>
          <w:rFonts w:eastAsia="Times New Roman"/>
          <w:color w:val="000000"/>
          <w:sz w:val="20"/>
          <w:szCs w:val="20"/>
        </w:rPr>
        <w:t>The Company monitors for events and circumstances that could negatively impact the key assumptions in determining fair value, including long-term growth projections, profitability, discount ra</w:t>
      </w:r>
      <w:r>
        <w:rPr>
          <w:rFonts w:eastAsia="Times New Roman"/>
          <w:color w:val="000000"/>
          <w:sz w:val="20"/>
          <w:szCs w:val="20"/>
        </w:rPr>
        <w:t xml:space="preserve">tes, volatility in the Company's market capitalization, general industry, and market and macro-economic conditions. It is possible that future changes in such circumstances, or in the variables associated with the judgments, assumptions and estimates used </w:t>
      </w:r>
      <w:r>
        <w:rPr>
          <w:rFonts w:eastAsia="Times New Roman"/>
          <w:color w:val="000000"/>
          <w:sz w:val="20"/>
          <w:szCs w:val="20"/>
        </w:rPr>
        <w:t>in assessing the fair value of the reporting unit, would require the Company to record a material non-cash impairment charge.</w:t>
      </w:r>
    </w:p>
    <w:p w:rsidR="00000000" w:rsidRDefault="00971A12">
      <w:pPr>
        <w:jc w:val="both"/>
        <w:divId w:val="691225055"/>
        <w:rPr>
          <w:rFonts w:eastAsia="Times New Roman"/>
        </w:rPr>
      </w:pPr>
      <w:r>
        <w:rPr>
          <w:rFonts w:eastAsia="Times New Roman"/>
          <w:color w:val="000000"/>
          <w:sz w:val="20"/>
          <w:szCs w:val="20"/>
        </w:rPr>
        <w:t>As of September 30, 2022, the Company concluded that it was more likely than not that the estimated fair value of its reporting un</w:t>
      </w:r>
      <w:r>
        <w:rPr>
          <w:rFonts w:eastAsia="Times New Roman"/>
          <w:color w:val="000000"/>
          <w:sz w:val="20"/>
          <w:szCs w:val="20"/>
        </w:rPr>
        <w:t>it was less than its carrying value. Accordingly, in conjunction with its annual test as of October 1, 2022, the Company completed its assessment, and concluded that it was more likely than not that the estimated fair value of its reporting unit was less t</w:t>
      </w:r>
      <w:r>
        <w:rPr>
          <w:rFonts w:eastAsia="Times New Roman"/>
          <w:color w:val="000000"/>
          <w:sz w:val="20"/>
          <w:szCs w:val="20"/>
        </w:rPr>
        <w:t>han its carrying value. In its assessment, the Company considered the decline in the Company's stock price and market capitalization among other factors. The Company performed a quantitative goodwill impairment test using a discounted cash flow model, supp</w:t>
      </w:r>
      <w:r>
        <w:rPr>
          <w:rFonts w:eastAsia="Times New Roman"/>
          <w:color w:val="000000"/>
          <w:sz w:val="20"/>
          <w:szCs w:val="20"/>
        </w:rPr>
        <w:t xml:space="preserve">orted by a market approach. The Company's reporting unit did not pass the goodwill impairment test, and as a result the Company recorded a $46.3 million non-cash impairment charge during the three </w:t>
      </w:r>
    </w:p>
    <w:p w:rsidR="00000000" w:rsidRDefault="00971A12">
      <w:pPr>
        <w:jc w:val="center"/>
        <w:divId w:val="484325354"/>
        <w:rPr>
          <w:rFonts w:eastAsia="Times New Roman"/>
        </w:rPr>
      </w:pPr>
      <w:r>
        <w:rPr>
          <w:rFonts w:eastAsia="Times New Roman"/>
          <w:color w:val="000000"/>
          <w:sz w:val="20"/>
          <w:szCs w:val="20"/>
        </w:rPr>
        <w:t>56</w:t>
      </w:r>
    </w:p>
    <w:p w:rsidR="00000000" w:rsidRDefault="00971A12">
      <w:pPr>
        <w:rPr>
          <w:rFonts w:eastAsia="Times New Roman"/>
        </w:rPr>
      </w:pPr>
      <w:r>
        <w:rPr>
          <w:rFonts w:eastAsia="Times New Roman"/>
        </w:rPr>
        <w:pict>
          <v:rect id="_x0000_i1084" style="width:0;height:1.5pt" o:hralign="center" o:hrstd="t" o:hr="t" fillcolor="#a0a0a0" stroked="f"/>
        </w:pict>
      </w:r>
    </w:p>
    <w:p w:rsidR="00000000" w:rsidRDefault="00971A12">
      <w:pPr>
        <w:divId w:val="1121925646"/>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433554132"/>
        <w:rPr>
          <w:rFonts w:eastAsia="Times New Roman"/>
        </w:rPr>
      </w:pPr>
    </w:p>
    <w:p w:rsidR="00000000" w:rsidRDefault="00971A12">
      <w:pPr>
        <w:jc w:val="both"/>
        <w:divId w:val="1476411675"/>
        <w:rPr>
          <w:rFonts w:eastAsia="Times New Roman"/>
        </w:rPr>
      </w:pPr>
      <w:r>
        <w:rPr>
          <w:rFonts w:eastAsia="Times New Roman"/>
          <w:color w:val="000000"/>
          <w:sz w:val="20"/>
          <w:szCs w:val="20"/>
        </w:rPr>
        <w:t xml:space="preserve">months ended September 30, 2022 and year ended December 31, 2022. Refer to </w:t>
      </w:r>
      <w:hyperlink w:anchor="i0047531bd13046b986557e31951e34f8_142" w:history="1">
        <w:r>
          <w:rPr>
            <w:rStyle w:val="a3"/>
            <w:rFonts w:eastAsia="Times New Roman"/>
            <w:sz w:val="20"/>
            <w:szCs w:val="20"/>
          </w:rPr>
          <w:t>Footnote 10</w:t>
        </w:r>
      </w:hyperlink>
      <w:r>
        <w:rPr>
          <w:rFonts w:eastAsia="Times New Roman"/>
          <w:color w:val="000000"/>
          <w:sz w:val="20"/>
          <w:szCs w:val="20"/>
        </w:rPr>
        <w:t xml:space="preserve">, </w:t>
      </w:r>
      <w:r>
        <w:rPr>
          <w:rFonts w:eastAsia="Times New Roman"/>
          <w:i/>
          <w:iCs/>
          <w:color w:val="000000"/>
          <w:sz w:val="20"/>
          <w:szCs w:val="20"/>
        </w:rPr>
        <w:t>Goodwill and Intangible Assets</w:t>
      </w:r>
      <w:r>
        <w:rPr>
          <w:rFonts w:eastAsia="Times New Roman"/>
          <w:color w:val="000000"/>
          <w:sz w:val="20"/>
          <w:szCs w:val="20"/>
        </w:rPr>
        <w:t xml:space="preserve"> for further information. No goodwill impairment charges were recognized during the years ended December 31, 2021 and 2020.</w:t>
      </w:r>
    </w:p>
    <w:p w:rsidR="00000000" w:rsidRDefault="00971A12">
      <w:pPr>
        <w:jc w:val="both"/>
        <w:divId w:val="1266108578"/>
        <w:rPr>
          <w:rFonts w:eastAsia="Times New Roman"/>
        </w:rPr>
      </w:pPr>
      <w:r>
        <w:rPr>
          <w:rFonts w:eastAsia="Times New Roman"/>
          <w:color w:val="000000"/>
          <w:sz w:val="20"/>
          <w:szCs w:val="20"/>
        </w:rPr>
        <w:t>Intangible assets with finite</w:t>
      </w:r>
      <w:r>
        <w:rPr>
          <w:rFonts w:eastAsia="Times New Roman"/>
          <w:color w:val="000000"/>
          <w:sz w:val="20"/>
          <w:szCs w:val="20"/>
        </w:rPr>
        <w:t xml:space="preserve"> lives are generally amortized using the straight-line method over the following useful lives: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152"/>
        <w:gridCol w:w="36"/>
        <w:gridCol w:w="69"/>
        <w:gridCol w:w="944"/>
        <w:gridCol w:w="36"/>
      </w:tblGrid>
      <w:tr w:rsidR="00000000">
        <w:trPr>
          <w:divId w:val="390736331"/>
          <w:jc w:val="center"/>
        </w:trPr>
        <w:tc>
          <w:tcPr>
            <w:tcW w:w="50" w:type="pct"/>
            <w:vAlign w:val="center"/>
            <w:hideMark/>
          </w:tcPr>
          <w:p w:rsidR="00000000" w:rsidRDefault="00971A12">
            <w:pPr>
              <w:jc w:val="both"/>
              <w:rPr>
                <w:rFonts w:eastAsia="Times New Roman"/>
              </w:rPr>
            </w:pPr>
          </w:p>
        </w:tc>
        <w:tc>
          <w:tcPr>
            <w:tcW w:w="431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390736331"/>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Useful Lives (Years)</w:t>
            </w:r>
          </w:p>
        </w:tc>
      </w:tr>
      <w:tr w:rsidR="00000000">
        <w:trPr>
          <w:divId w:val="390736331"/>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Acquired methodologies and technology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5 to 7</w:t>
            </w:r>
          </w:p>
        </w:tc>
      </w:tr>
      <w:tr w:rsidR="00000000">
        <w:trPr>
          <w:divId w:val="390736331"/>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Acquired software</w:t>
            </w: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2</w:t>
            </w:r>
          </w:p>
        </w:tc>
      </w:tr>
      <w:tr w:rsidR="00000000">
        <w:trPr>
          <w:divId w:val="390736331"/>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Customer relationships</w:t>
            </w:r>
          </w:p>
        </w:tc>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6 to 11</w:t>
            </w:r>
          </w:p>
        </w:tc>
      </w:tr>
      <w:tr w:rsidR="00000000">
        <w:trPr>
          <w:divId w:val="390736331"/>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Intellectual property</w:t>
            </w: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16</w:t>
            </w:r>
          </w:p>
        </w:tc>
      </w:tr>
      <w:tr w:rsidR="00000000">
        <w:trPr>
          <w:divId w:val="390736331"/>
          <w:jc w:val="center"/>
        </w:trPr>
        <w:tc>
          <w:tcPr>
            <w:tcW w:w="0" w:type="auto"/>
            <w:gridSpan w:val="3"/>
            <w:vAlign w:val="center"/>
            <w:hideMark/>
          </w:tcPr>
          <w:p w:rsidR="00000000" w:rsidRDefault="00971A12">
            <w:pPr>
              <w:spacing w:after="100"/>
              <w:jc w:val="center"/>
              <w:rPr>
                <w:rFonts w:eastAsia="Times New Roman"/>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390736331"/>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390736331"/>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Other</w:t>
            </w:r>
          </w:p>
        </w:tc>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7</w:t>
            </w:r>
          </w:p>
        </w:tc>
      </w:tr>
    </w:tbl>
    <w:p w:rsidR="00000000" w:rsidRDefault="00971A12">
      <w:pPr>
        <w:jc w:val="both"/>
        <w:divId w:val="1917588845"/>
        <w:rPr>
          <w:rFonts w:eastAsia="Times New Roman"/>
        </w:rPr>
      </w:pPr>
      <w:r>
        <w:rPr>
          <w:rFonts w:eastAsia="Times New Roman"/>
          <w:color w:val="000000"/>
          <w:sz w:val="20"/>
          <w:szCs w:val="20"/>
        </w:rPr>
        <w:t xml:space="preserve">The Company evaluates its definite-lived intangible assets for impairment whenever </w:t>
      </w:r>
      <w:r>
        <w:rPr>
          <w:rFonts w:eastAsia="Times New Roman"/>
          <w:color w:val="000000"/>
          <w:sz w:val="20"/>
          <w:szCs w:val="20"/>
        </w:rPr>
        <w:t>events or changes in circumstances indicate the carrying value of such assets may not be recoverable. If an indication of impairment is present, the Company compares the estimated undiscounted future cash flows to be generated by the asset group to its car</w:t>
      </w:r>
      <w:r>
        <w:rPr>
          <w:rFonts w:eastAsia="Times New Roman"/>
          <w:color w:val="000000"/>
          <w:sz w:val="20"/>
          <w:szCs w:val="20"/>
        </w:rPr>
        <w:t xml:space="preserve">rying amount. Recoverability measurement and estimation of undiscounted cash flows are grouped at the lowest level for which identifiable cash flows are largely independent of the cash flows of other assets and liabilities. If the undiscounted future cash </w:t>
      </w:r>
      <w:r>
        <w:rPr>
          <w:rFonts w:eastAsia="Times New Roman"/>
          <w:color w:val="000000"/>
          <w:sz w:val="20"/>
          <w:szCs w:val="20"/>
        </w:rPr>
        <w:t>flows are less than the carrying amount of the asset group, the Company records an impairment loss equal to the excess of the asset group's carrying amount over its fair value. The fair value is determined based on valuation techniques such as a comparison</w:t>
      </w:r>
      <w:r>
        <w:rPr>
          <w:rFonts w:eastAsia="Times New Roman"/>
          <w:color w:val="000000"/>
          <w:sz w:val="20"/>
          <w:szCs w:val="20"/>
        </w:rPr>
        <w:t xml:space="preserve"> to fair values of similar assets or using a discounted cash flow analysis.</w:t>
      </w:r>
    </w:p>
    <w:p w:rsidR="00000000" w:rsidRDefault="00971A12">
      <w:pPr>
        <w:jc w:val="both"/>
        <w:divId w:val="82189044"/>
        <w:rPr>
          <w:rFonts w:eastAsia="Times New Roman"/>
        </w:rPr>
      </w:pPr>
      <w:r>
        <w:rPr>
          <w:rFonts w:eastAsia="Times New Roman"/>
          <w:color w:val="000000"/>
          <w:sz w:val="20"/>
          <w:szCs w:val="20"/>
        </w:rPr>
        <w:t>Although the Company believes that the carrying values of its goodwill and definite-lived intangible assets are appropriately stated as of December 31, 2022, changes in strategy or</w:t>
      </w:r>
      <w:r>
        <w:rPr>
          <w:rFonts w:eastAsia="Times New Roman"/>
          <w:color w:val="000000"/>
          <w:sz w:val="20"/>
          <w:szCs w:val="20"/>
        </w:rPr>
        <w:t xml:space="preserve"> market conditions, significant technological developments or significant changes in legal or regulatory factors could significantly impact these judgments and require adjustments to recorded asset balances. </w:t>
      </w:r>
    </w:p>
    <w:p w:rsidR="00000000" w:rsidRDefault="00971A12">
      <w:pPr>
        <w:jc w:val="both"/>
        <w:divId w:val="559949210"/>
        <w:rPr>
          <w:rFonts w:eastAsia="Times New Roman"/>
        </w:rPr>
      </w:pPr>
      <w:r>
        <w:rPr>
          <w:rFonts w:eastAsia="Times New Roman"/>
          <w:b/>
          <w:bCs/>
          <w:i/>
          <w:iCs/>
          <w:color w:val="000000"/>
          <w:sz w:val="20"/>
          <w:szCs w:val="20"/>
        </w:rPr>
        <w:t>Recoverability of Other Long-Lived Assets</w:t>
      </w:r>
    </w:p>
    <w:p w:rsidR="00000000" w:rsidRDefault="00971A12">
      <w:pPr>
        <w:jc w:val="both"/>
        <w:divId w:val="266011810"/>
        <w:rPr>
          <w:rFonts w:eastAsia="Times New Roman"/>
        </w:rPr>
      </w:pPr>
      <w:r>
        <w:rPr>
          <w:rFonts w:eastAsia="Times New Roman"/>
          <w:color w:val="000000"/>
          <w:sz w:val="20"/>
          <w:szCs w:val="20"/>
        </w:rPr>
        <w:t>The Company's other long-lived assets consist primarily of property and equipment and right-of-use ("ROU") assets. The Company evaluates its ROU and long-lived assets for impairment whenever events or changes in circumstances indicate the carrying value of</w:t>
      </w:r>
      <w:r>
        <w:rPr>
          <w:rFonts w:eastAsia="Times New Roman"/>
          <w:color w:val="000000"/>
          <w:sz w:val="20"/>
          <w:szCs w:val="20"/>
        </w:rPr>
        <w:t xml:space="preserve"> such assets may not be recoverable. For facility lease ROU and related long-lived assets, the Company compares the estimated undiscounted cash flows generated by a sublease to the current carrying value of the ROU and related long-lived assets. The Compan</w:t>
      </w:r>
      <w:r>
        <w:rPr>
          <w:rFonts w:eastAsia="Times New Roman"/>
          <w:color w:val="000000"/>
          <w:sz w:val="20"/>
          <w:szCs w:val="20"/>
        </w:rPr>
        <w:t>y treats operating lease ROU assets as financing transactions, thereby excluding the operating lease liability and related lease payments from the head lease, for purposes of testing recoverability. If the undiscounted cash flows are less than the carrying</w:t>
      </w:r>
      <w:r>
        <w:rPr>
          <w:rFonts w:eastAsia="Times New Roman"/>
          <w:color w:val="000000"/>
          <w:sz w:val="20"/>
          <w:szCs w:val="20"/>
        </w:rPr>
        <w:t xml:space="preserve"> value of the ROU and related long-lived assets, the Company records an impairment loss equal to the excess of the ROU and long-lived assets' carrying value over their fair value.</w:t>
      </w:r>
    </w:p>
    <w:p w:rsidR="00000000" w:rsidRDefault="00971A12">
      <w:pPr>
        <w:jc w:val="both"/>
        <w:divId w:val="1447432074"/>
        <w:rPr>
          <w:rFonts w:eastAsia="Times New Roman"/>
        </w:rPr>
      </w:pPr>
      <w:r>
        <w:rPr>
          <w:rFonts w:eastAsia="Times New Roman"/>
          <w:color w:val="000000"/>
          <w:sz w:val="20"/>
          <w:szCs w:val="20"/>
        </w:rPr>
        <w:t>The Company performed an interim analysis as of March 31, 2020, as changes i</w:t>
      </w:r>
      <w:r>
        <w:rPr>
          <w:rFonts w:eastAsia="Times New Roman"/>
          <w:color w:val="000000"/>
          <w:sz w:val="20"/>
          <w:szCs w:val="20"/>
        </w:rPr>
        <w:t>n market conditions indicated the carrying value of certain facility lease ROU and other long-lived assets may not be recoverable, and determined that certain ROU assets, and related leasehold improvements, were impaired. The Company recorded a $4.7 millio</w:t>
      </w:r>
      <w:r>
        <w:rPr>
          <w:rFonts w:eastAsia="Times New Roman"/>
          <w:color w:val="000000"/>
          <w:sz w:val="20"/>
          <w:szCs w:val="20"/>
        </w:rPr>
        <w:t>n non-cash impairment charge related to its ROU assets and related leasehold improvements in 2020. The impairment charge was driven by changes in the Company's projected undiscounted cash flows for certain properties, primarily as a result of changes in th</w:t>
      </w:r>
      <w:r>
        <w:rPr>
          <w:rFonts w:eastAsia="Times New Roman"/>
          <w:color w:val="000000"/>
          <w:sz w:val="20"/>
          <w:szCs w:val="20"/>
        </w:rPr>
        <w:t>e real estate market related to the COVID-19 pandemic, that led to an increase in the estimated marketing time, and a reduction of expected receipts, for properties on the market for sublease. The fair value of these ROU assets, and related leasehold impro</w:t>
      </w:r>
      <w:r>
        <w:rPr>
          <w:rFonts w:eastAsia="Times New Roman"/>
          <w:color w:val="000000"/>
          <w:sz w:val="20"/>
          <w:szCs w:val="20"/>
        </w:rPr>
        <w:t>vements, was estimated using an income approach and a discount rate of 12.0%.</w:t>
      </w:r>
    </w:p>
    <w:p w:rsidR="00000000" w:rsidRDefault="00971A12">
      <w:pPr>
        <w:jc w:val="both"/>
        <w:divId w:val="1058675908"/>
        <w:rPr>
          <w:rFonts w:eastAsia="Times New Roman"/>
        </w:rPr>
      </w:pPr>
      <w:r>
        <w:rPr>
          <w:rFonts w:eastAsia="Times New Roman"/>
          <w:color w:val="000000"/>
          <w:sz w:val="20"/>
          <w:szCs w:val="20"/>
        </w:rPr>
        <w:t>The Company performed an analysis in the fourth quarter of 2022 related to the execution of a sublease for a property for which expected cash receipts were less than the disburse</w:t>
      </w:r>
      <w:r>
        <w:rPr>
          <w:rFonts w:eastAsia="Times New Roman"/>
          <w:color w:val="000000"/>
          <w:sz w:val="20"/>
          <w:szCs w:val="20"/>
        </w:rPr>
        <w:t>ments for the lease. The Company recorded a $0.2 million non-cash impairment charge related to the ROU asset in 2022. The fair value of the ROU asset was estimated using an income approach and a discount rate of 7.4%.</w:t>
      </w:r>
    </w:p>
    <w:p w:rsidR="00000000" w:rsidRDefault="00971A12">
      <w:pPr>
        <w:jc w:val="both"/>
        <w:divId w:val="299238290"/>
        <w:rPr>
          <w:rFonts w:eastAsia="Times New Roman"/>
        </w:rPr>
      </w:pPr>
      <w:r>
        <w:rPr>
          <w:rFonts w:eastAsia="Times New Roman"/>
          <w:color w:val="000000"/>
          <w:sz w:val="20"/>
          <w:szCs w:val="20"/>
        </w:rPr>
        <w:t>Although the Company believes that the</w:t>
      </w:r>
      <w:r>
        <w:rPr>
          <w:rFonts w:eastAsia="Times New Roman"/>
          <w:color w:val="000000"/>
          <w:sz w:val="20"/>
          <w:szCs w:val="20"/>
        </w:rPr>
        <w:t xml:space="preserve"> carrying values of its other long-lived assets are appropriately stated as of December 31, 2022, changes in strategy or market conditions, significant technological developments or significant changes in legal or regulatory factors could significantly imp</w:t>
      </w:r>
      <w:r>
        <w:rPr>
          <w:rFonts w:eastAsia="Times New Roman"/>
          <w:color w:val="000000"/>
          <w:sz w:val="20"/>
          <w:szCs w:val="20"/>
        </w:rPr>
        <w:t>act these judgments and require adjustments to recorded asset balances.</w:t>
      </w:r>
    </w:p>
    <w:p w:rsidR="00000000" w:rsidRDefault="00971A12">
      <w:pPr>
        <w:jc w:val="both"/>
        <w:divId w:val="327245455"/>
        <w:rPr>
          <w:rFonts w:eastAsia="Times New Roman"/>
        </w:rPr>
      </w:pPr>
      <w:r>
        <w:rPr>
          <w:rFonts w:eastAsia="Times New Roman"/>
          <w:b/>
          <w:bCs/>
          <w:i/>
          <w:iCs/>
          <w:color w:val="000000"/>
          <w:sz w:val="20"/>
          <w:szCs w:val="20"/>
        </w:rPr>
        <w:t>Warrants Liability</w:t>
      </w:r>
    </w:p>
    <w:p w:rsidR="00000000" w:rsidRDefault="00971A12">
      <w:pPr>
        <w:jc w:val="both"/>
        <w:divId w:val="1151093815"/>
        <w:rPr>
          <w:rFonts w:eastAsia="Times New Roman"/>
        </w:rPr>
      </w:pPr>
      <w:r>
        <w:rPr>
          <w:rFonts w:eastAsia="Times New Roman"/>
          <w:color w:val="000000"/>
          <w:sz w:val="20"/>
          <w:szCs w:val="20"/>
        </w:rPr>
        <w:t xml:space="preserve">In 2019, the Company issued warrants to CVI in connection with the private placement described in </w:t>
      </w:r>
      <w:hyperlink w:anchor="i0047531bd13046b986557e31951e34f8_115" w:history="1">
        <w:r>
          <w:rPr>
            <w:rStyle w:val="a3"/>
            <w:rFonts w:eastAsia="Times New Roman"/>
            <w:sz w:val="20"/>
            <w:szCs w:val="20"/>
          </w:rPr>
          <w:t>Footnot</w:t>
        </w:r>
        <w:r>
          <w:rPr>
            <w:rStyle w:val="a3"/>
            <w:rFonts w:eastAsia="Times New Roman"/>
            <w:sz w:val="20"/>
            <w:szCs w:val="20"/>
          </w:rPr>
          <w: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The warrants were determined to be freestanding financial instruments that qualify for liability treatment as a result of net cash settlement features associated with a cap on the issuance of shares, under certain circumstances, or upon a change of contr</w:t>
      </w:r>
      <w:r>
        <w:rPr>
          <w:rFonts w:eastAsia="Times New Roman"/>
          <w:color w:val="000000"/>
          <w:sz w:val="20"/>
          <w:szCs w:val="20"/>
        </w:rPr>
        <w:t xml:space="preserve">ol. Changes in the fair value of these instruments are recorded in other income (expense), net in the Consolidated Statements of Operations and Comprehensive Loss. </w:t>
      </w:r>
    </w:p>
    <w:p w:rsidR="00000000" w:rsidRDefault="00971A12">
      <w:pPr>
        <w:jc w:val="both"/>
        <w:divId w:val="2043748310"/>
        <w:rPr>
          <w:rFonts w:eastAsia="Times New Roman"/>
        </w:rPr>
      </w:pPr>
      <w:r>
        <w:rPr>
          <w:rFonts w:eastAsia="Times New Roman"/>
          <w:color w:val="000000"/>
          <w:sz w:val="20"/>
          <w:szCs w:val="20"/>
        </w:rPr>
        <w:t xml:space="preserve">The fair value of each warrant is estimated utilizing an option pricing model supplemented </w:t>
      </w:r>
      <w:r>
        <w:rPr>
          <w:rFonts w:eastAsia="Times New Roman"/>
          <w:color w:val="000000"/>
          <w:sz w:val="20"/>
          <w:szCs w:val="20"/>
        </w:rPr>
        <w:t>with a Monte Carlo simulation in periods with multiple warrants outstanding where certain features resulted in additional valuation complexity. Significant valuation inputs include the price and expected volatility of the Company's Common Stock, cost of de</w:t>
      </w:r>
      <w:r>
        <w:rPr>
          <w:rFonts w:eastAsia="Times New Roman"/>
          <w:color w:val="000000"/>
          <w:sz w:val="20"/>
          <w:szCs w:val="20"/>
        </w:rPr>
        <w:t xml:space="preserve">bt, risk-free rate, remaining term of the warrants, and probability of change of control. In situations where a change of control was assumed, the fair values of the warrants are based on estimated cash payments at each payment date discounted back to the </w:t>
      </w:r>
      <w:r>
        <w:rPr>
          <w:rFonts w:eastAsia="Times New Roman"/>
          <w:color w:val="000000"/>
          <w:sz w:val="20"/>
          <w:szCs w:val="20"/>
        </w:rPr>
        <w:t>valuation date using the cost of debt.</w:t>
      </w:r>
    </w:p>
    <w:p w:rsidR="00000000" w:rsidRDefault="00971A12">
      <w:pPr>
        <w:jc w:val="center"/>
        <w:divId w:val="2027056463"/>
        <w:rPr>
          <w:rFonts w:eastAsia="Times New Roman"/>
        </w:rPr>
      </w:pPr>
      <w:r>
        <w:rPr>
          <w:rFonts w:eastAsia="Times New Roman"/>
          <w:color w:val="000000"/>
          <w:sz w:val="20"/>
          <w:szCs w:val="20"/>
        </w:rPr>
        <w:t>57</w:t>
      </w:r>
    </w:p>
    <w:p w:rsidR="00000000" w:rsidRDefault="00971A12">
      <w:pPr>
        <w:rPr>
          <w:rFonts w:eastAsia="Times New Roman"/>
        </w:rPr>
      </w:pPr>
      <w:r>
        <w:rPr>
          <w:rFonts w:eastAsia="Times New Roman"/>
        </w:rPr>
        <w:pict>
          <v:rect id="_x0000_i1085" style="width:0;height:1.5pt" o:hralign="center" o:hrstd="t" o:hr="t" fillcolor="#a0a0a0" stroked="f"/>
        </w:pict>
      </w:r>
    </w:p>
    <w:p w:rsidR="00000000" w:rsidRDefault="00971A12">
      <w:pPr>
        <w:divId w:val="278688670"/>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832837581"/>
        <w:rPr>
          <w:rFonts w:eastAsia="Times New Roman"/>
        </w:rPr>
      </w:pPr>
    </w:p>
    <w:p w:rsidR="00000000" w:rsidRDefault="00971A12">
      <w:pPr>
        <w:jc w:val="both"/>
        <w:divId w:val="3636243"/>
        <w:rPr>
          <w:rFonts w:eastAsia="Times New Roman"/>
        </w:rPr>
      </w:pPr>
      <w:r>
        <w:rPr>
          <w:rFonts w:eastAsia="Times New Roman"/>
          <w:b/>
          <w:bCs/>
          <w:i/>
          <w:iCs/>
          <w:color w:val="000000"/>
          <w:sz w:val="20"/>
          <w:szCs w:val="20"/>
        </w:rPr>
        <w:t>Leases</w:t>
      </w:r>
    </w:p>
    <w:p w:rsidR="00000000" w:rsidRDefault="00971A12">
      <w:pPr>
        <w:jc w:val="both"/>
        <w:divId w:val="453719558"/>
        <w:rPr>
          <w:rFonts w:eastAsia="Times New Roman"/>
        </w:rPr>
      </w:pPr>
      <w:r>
        <w:rPr>
          <w:rFonts w:eastAsia="Times New Roman"/>
          <w:color w:val="000000"/>
          <w:sz w:val="20"/>
          <w:szCs w:val="20"/>
        </w:rPr>
        <w:t>The Company's lease portfolio is co</w:t>
      </w:r>
      <w:r>
        <w:rPr>
          <w:rFonts w:eastAsia="Times New Roman"/>
          <w:color w:val="000000"/>
          <w:sz w:val="20"/>
          <w:szCs w:val="20"/>
        </w:rPr>
        <w:t xml:space="preserve">mprised of two major classes. Real estate leases, which are the majority of the Company's leased assets, are accounted for as operating leases. Computer equipment leases are generally accounted for as finance leases. </w:t>
      </w:r>
    </w:p>
    <w:p w:rsidR="00000000" w:rsidRDefault="00971A12">
      <w:pPr>
        <w:jc w:val="both"/>
        <w:divId w:val="722102248"/>
        <w:rPr>
          <w:rFonts w:eastAsia="Times New Roman"/>
        </w:rPr>
      </w:pPr>
      <w:r>
        <w:rPr>
          <w:rFonts w:eastAsia="Times New Roman"/>
          <w:color w:val="000000"/>
          <w:sz w:val="20"/>
          <w:szCs w:val="20"/>
        </w:rPr>
        <w:t>The Company determines if an arrangeme</w:t>
      </w:r>
      <w:r>
        <w:rPr>
          <w:rFonts w:eastAsia="Times New Roman"/>
          <w:color w:val="000000"/>
          <w:sz w:val="20"/>
          <w:szCs w:val="20"/>
        </w:rPr>
        <w:t>nt is or contains a lease at inception and whether the lease should be classified as an operating or finance lease. ROU assets and lease liabilities are recognized at the lease commencement date based on the present value of the future minimum lease paymen</w:t>
      </w:r>
      <w:r>
        <w:rPr>
          <w:rFonts w:eastAsia="Times New Roman"/>
          <w:color w:val="000000"/>
          <w:sz w:val="20"/>
          <w:szCs w:val="20"/>
        </w:rPr>
        <w:t>ts over the lease term. Operating ROU assets also include the impact of any lease incentives. An ROU asset and lease liability are not recorded for short-term leases with an initial term of 12 months of less.</w:t>
      </w:r>
    </w:p>
    <w:p w:rsidR="00000000" w:rsidRDefault="00971A12">
      <w:pPr>
        <w:jc w:val="both"/>
        <w:divId w:val="1713193286"/>
        <w:rPr>
          <w:rFonts w:eastAsia="Times New Roman"/>
        </w:rPr>
      </w:pPr>
      <w:r>
        <w:rPr>
          <w:rFonts w:eastAsia="Times New Roman"/>
          <w:color w:val="000000"/>
          <w:sz w:val="20"/>
          <w:szCs w:val="20"/>
        </w:rPr>
        <w:t>The Company has elected to combine lease and no</w:t>
      </w:r>
      <w:r>
        <w:rPr>
          <w:rFonts w:eastAsia="Times New Roman"/>
          <w:color w:val="000000"/>
          <w:sz w:val="20"/>
          <w:szCs w:val="20"/>
        </w:rPr>
        <w:t>n-lease components and account for them together as a single lease component, which increases the carrying amount of the ROU assets and lease liabilities. Non-lease components primarily include payments for common-area maintenance, utilities and other pass</w:t>
      </w:r>
      <w:r>
        <w:rPr>
          <w:rFonts w:eastAsia="Times New Roman"/>
          <w:color w:val="000000"/>
          <w:sz w:val="20"/>
          <w:szCs w:val="20"/>
        </w:rPr>
        <w:t xml:space="preserve">-through charges. </w:t>
      </w:r>
    </w:p>
    <w:p w:rsidR="00000000" w:rsidRDefault="00971A12">
      <w:pPr>
        <w:jc w:val="both"/>
        <w:divId w:val="957637967"/>
        <w:rPr>
          <w:rFonts w:eastAsia="Times New Roman"/>
        </w:rPr>
      </w:pPr>
      <w:r>
        <w:rPr>
          <w:rFonts w:eastAsia="Times New Roman"/>
          <w:color w:val="000000"/>
          <w:sz w:val="20"/>
          <w:szCs w:val="20"/>
        </w:rPr>
        <w:t>The Company uses its incremental borrowing rate to determine the present value of the future lease payments. The incremental borrowing rate is estimated to approximate the interest rate on a collateralized basis with similar terms and pa</w:t>
      </w:r>
      <w:r>
        <w:rPr>
          <w:rFonts w:eastAsia="Times New Roman"/>
          <w:color w:val="000000"/>
          <w:sz w:val="20"/>
          <w:szCs w:val="20"/>
        </w:rPr>
        <w:t>yments, and in economic environments where the leased asset is located.</w:t>
      </w:r>
    </w:p>
    <w:p w:rsidR="00000000" w:rsidRDefault="00971A12">
      <w:pPr>
        <w:jc w:val="both"/>
        <w:divId w:val="812528354"/>
        <w:rPr>
          <w:rFonts w:eastAsia="Times New Roman"/>
        </w:rPr>
      </w:pPr>
      <w:r>
        <w:rPr>
          <w:rFonts w:eastAsia="Times New Roman"/>
          <w:color w:val="000000"/>
          <w:sz w:val="20"/>
          <w:szCs w:val="20"/>
        </w:rPr>
        <w:t>The Company's lease terms include periods under options to extend or terminate the lease when it is reasonably certain that the Company will exercise that option. The Company considers</w:t>
      </w:r>
      <w:r>
        <w:rPr>
          <w:rFonts w:eastAsia="Times New Roman"/>
          <w:color w:val="000000"/>
          <w:sz w:val="20"/>
          <w:szCs w:val="20"/>
        </w:rPr>
        <w:t xml:space="preserve"> contractual-based factors such as the nature and terms of the renewal or termination, asset-based factors such as physical location of the asset and entity-based factors such as the importance of the leased asset to the Company's operations to determine t</w:t>
      </w:r>
      <w:r>
        <w:rPr>
          <w:rFonts w:eastAsia="Times New Roman"/>
          <w:color w:val="000000"/>
          <w:sz w:val="20"/>
          <w:szCs w:val="20"/>
        </w:rPr>
        <w:t>he lease term. The Company generally uses the non-cancelable lease term when measuring its ROU assets and lease liabilities.</w:t>
      </w:r>
    </w:p>
    <w:p w:rsidR="00000000" w:rsidRDefault="00971A12">
      <w:pPr>
        <w:jc w:val="both"/>
        <w:divId w:val="801115252"/>
        <w:rPr>
          <w:rFonts w:eastAsia="Times New Roman"/>
        </w:rPr>
      </w:pPr>
      <w:r>
        <w:rPr>
          <w:rFonts w:eastAsia="Times New Roman"/>
          <w:color w:val="000000"/>
          <w:sz w:val="20"/>
          <w:szCs w:val="20"/>
        </w:rPr>
        <w:t>Payments under the Company's lease arrangements are primarily fixed; however, certain lease agreements contain variable payments, w</w:t>
      </w:r>
      <w:r>
        <w:rPr>
          <w:rFonts w:eastAsia="Times New Roman"/>
          <w:color w:val="000000"/>
          <w:sz w:val="20"/>
          <w:szCs w:val="20"/>
        </w:rPr>
        <w:t>hich are expensed as incurred and excluded from the measurement of ROU assets and lease liabilities. These payment amounts are affected by changes in market indices and costs for common-area maintenance, utilities and other pass-through charges that are ba</w:t>
      </w:r>
      <w:r>
        <w:rPr>
          <w:rFonts w:eastAsia="Times New Roman"/>
          <w:color w:val="000000"/>
          <w:sz w:val="20"/>
          <w:szCs w:val="20"/>
        </w:rPr>
        <w:t>sed on usage or performance.</w:t>
      </w:r>
    </w:p>
    <w:p w:rsidR="00000000" w:rsidRDefault="00971A12">
      <w:pPr>
        <w:jc w:val="both"/>
        <w:divId w:val="1524585988"/>
        <w:rPr>
          <w:rFonts w:eastAsia="Times New Roman"/>
        </w:rPr>
      </w:pPr>
      <w:r>
        <w:rPr>
          <w:rFonts w:eastAsia="Times New Roman"/>
          <w:color w:val="000000"/>
          <w:sz w:val="20"/>
          <w:szCs w:val="20"/>
        </w:rPr>
        <w:t>Operating leases are included in operating ROU assets, current operating lease liability, and non-current operating lease liability in the Consolidated Balance Sheets. The Company recognizes lease expense (excluding variable le</w:t>
      </w:r>
      <w:r>
        <w:rPr>
          <w:rFonts w:eastAsia="Times New Roman"/>
          <w:color w:val="000000"/>
          <w:sz w:val="20"/>
          <w:szCs w:val="20"/>
        </w:rPr>
        <w:t>ase costs) for its operating leases on a straight-line basis over the term of the lease. Finance lease assets are included in property and equipment, net; current finance lease liabilities are aggregated into other current liabilities; and non-current fina</w:t>
      </w:r>
      <w:r>
        <w:rPr>
          <w:rFonts w:eastAsia="Times New Roman"/>
          <w:color w:val="000000"/>
          <w:sz w:val="20"/>
          <w:szCs w:val="20"/>
        </w:rPr>
        <w:t>nce lease obligations are aggregated in other non-current liabilities in the Consolidated Balance Sheets.</w:t>
      </w:r>
    </w:p>
    <w:p w:rsidR="00000000" w:rsidRDefault="00971A12">
      <w:pPr>
        <w:jc w:val="both"/>
        <w:divId w:val="1735884507"/>
        <w:rPr>
          <w:rFonts w:eastAsia="Times New Roman"/>
        </w:rPr>
      </w:pPr>
      <w:r>
        <w:rPr>
          <w:rFonts w:eastAsia="Times New Roman"/>
          <w:color w:val="000000"/>
          <w:sz w:val="20"/>
          <w:szCs w:val="20"/>
        </w:rPr>
        <w:t>Income from subleased properties is recognized and presented as a reduction of costs, allocated among operating expense line items, in the Consolidate</w:t>
      </w:r>
      <w:r>
        <w:rPr>
          <w:rFonts w:eastAsia="Times New Roman"/>
          <w:color w:val="000000"/>
          <w:sz w:val="20"/>
          <w:szCs w:val="20"/>
        </w:rPr>
        <w:t>d Statements of Operations and Comprehensive Loss.</w:t>
      </w:r>
    </w:p>
    <w:p w:rsidR="00000000" w:rsidRDefault="00971A12">
      <w:pPr>
        <w:jc w:val="both"/>
        <w:divId w:val="881291086"/>
        <w:rPr>
          <w:rFonts w:eastAsia="Times New Roman"/>
        </w:rPr>
      </w:pPr>
      <w:r>
        <w:rPr>
          <w:rFonts w:eastAsia="Times New Roman"/>
          <w:b/>
          <w:bCs/>
          <w:i/>
          <w:iCs/>
          <w:color w:val="000000"/>
          <w:sz w:val="20"/>
          <w:szCs w:val="20"/>
        </w:rPr>
        <w:t>Foreign Currency</w:t>
      </w:r>
    </w:p>
    <w:p w:rsidR="00000000" w:rsidRDefault="00971A12">
      <w:pPr>
        <w:jc w:val="both"/>
        <w:divId w:val="433088390"/>
        <w:rPr>
          <w:rFonts w:eastAsia="Times New Roman"/>
        </w:rPr>
      </w:pPr>
      <w:r>
        <w:rPr>
          <w:rFonts w:eastAsia="Times New Roman"/>
          <w:color w:val="000000"/>
          <w:sz w:val="20"/>
          <w:szCs w:val="20"/>
        </w:rPr>
        <w:t>Generally, the functional currency of the Company's foreign subsidiaries is the local currency. In those cases where the transaction is not denominated in the functional currency, the Comp</w:t>
      </w:r>
      <w:r>
        <w:rPr>
          <w:rFonts w:eastAsia="Times New Roman"/>
          <w:color w:val="000000"/>
          <w:sz w:val="20"/>
          <w:szCs w:val="20"/>
        </w:rPr>
        <w:t>any revalues the transaction to the functional currency and records the translation gain or loss in the Company's Statements of Operations and Comprehensive Loss. Assets and liabilities are translated at the current exchange rate as of the end of the year,</w:t>
      </w:r>
      <w:r>
        <w:rPr>
          <w:rFonts w:eastAsia="Times New Roman"/>
          <w:color w:val="000000"/>
          <w:sz w:val="20"/>
          <w:szCs w:val="20"/>
        </w:rPr>
        <w:t xml:space="preserve"> and revenues and expenses are translated at average exchange rates in effect during the year. The gain or loss resulting from the process of translating a foreign subsidiary's functional currency financial statements into U.S. Dollars ("USD") is reflected</w:t>
      </w:r>
      <w:r>
        <w:rPr>
          <w:rFonts w:eastAsia="Times New Roman"/>
          <w:color w:val="000000"/>
          <w:sz w:val="20"/>
          <w:szCs w:val="20"/>
        </w:rPr>
        <w:t xml:space="preserve"> as foreign currency cumulative translation adjustment and reported as a component of accumulated other comprehensive loss. The translation adjustment for intercompany foreign currency loans that are permanent in nature are also recorded as accumulated oth</w:t>
      </w:r>
      <w:r>
        <w:rPr>
          <w:rFonts w:eastAsia="Times New Roman"/>
          <w:color w:val="000000"/>
          <w:sz w:val="20"/>
          <w:szCs w:val="20"/>
        </w:rPr>
        <w:t>er comprehensive loss. Translation adjustments on intercompany accounts that are short term in nature are recorded as gain (loss) from foreign currency transactions. For foreign entities where USD is the functional currency, re-measurement of gains and los</w:t>
      </w:r>
      <w:r>
        <w:rPr>
          <w:rFonts w:eastAsia="Times New Roman"/>
          <w:color w:val="000000"/>
          <w:sz w:val="20"/>
          <w:szCs w:val="20"/>
        </w:rPr>
        <w:t xml:space="preserve">ses related to deferred tax assets and liabilities are reflected in income tax provision in the Consolidated Statements of Operations and Comprehensive Loss. </w:t>
      </w:r>
    </w:p>
    <w:p w:rsidR="00000000" w:rsidRDefault="00971A12">
      <w:pPr>
        <w:jc w:val="both"/>
        <w:divId w:val="347489478"/>
        <w:rPr>
          <w:rFonts w:eastAsia="Times New Roman"/>
        </w:rPr>
      </w:pPr>
      <w:r>
        <w:rPr>
          <w:rFonts w:eastAsia="Times New Roman"/>
          <w:b/>
          <w:bCs/>
          <w:i/>
          <w:iCs/>
          <w:color w:val="000000"/>
          <w:sz w:val="20"/>
          <w:szCs w:val="20"/>
        </w:rPr>
        <w:t>Revenue Recognition</w:t>
      </w:r>
    </w:p>
    <w:p w:rsidR="00000000" w:rsidRDefault="00971A12">
      <w:pPr>
        <w:jc w:val="both"/>
        <w:divId w:val="2111274393"/>
        <w:rPr>
          <w:rFonts w:eastAsia="Times New Roman"/>
        </w:rPr>
      </w:pPr>
      <w:r>
        <w:rPr>
          <w:rFonts w:eastAsia="Times New Roman"/>
          <w:color w:val="000000"/>
          <w:sz w:val="20"/>
          <w:szCs w:val="20"/>
        </w:rPr>
        <w:t>The Company recognizes revenue under the core principle to depict the transfe</w:t>
      </w:r>
      <w:r>
        <w:rPr>
          <w:rFonts w:eastAsia="Times New Roman"/>
          <w:color w:val="000000"/>
          <w:sz w:val="20"/>
          <w:szCs w:val="20"/>
        </w:rPr>
        <w:t>r of control to its customers in an amount reflecting the consideration to which it expects to be entitled.</w:t>
      </w:r>
    </w:p>
    <w:p w:rsidR="00000000" w:rsidRDefault="00971A12">
      <w:pPr>
        <w:jc w:val="both"/>
        <w:divId w:val="1980382801"/>
        <w:rPr>
          <w:rFonts w:eastAsia="Times New Roman"/>
        </w:rPr>
      </w:pPr>
      <w:r>
        <w:rPr>
          <w:rFonts w:eastAsia="Times New Roman"/>
          <w:color w:val="000000"/>
          <w:sz w:val="20"/>
          <w:szCs w:val="20"/>
        </w:rPr>
        <w:t>The Company's contracts with customers may include multiple promised goods and services. Contracts with multiple performance obligations typically c</w:t>
      </w:r>
      <w:r>
        <w:rPr>
          <w:rFonts w:eastAsia="Times New Roman"/>
          <w:color w:val="000000"/>
          <w:sz w:val="20"/>
          <w:szCs w:val="20"/>
        </w:rPr>
        <w:t>onsist of a mix of subscriptions to the Company's online database, customized data services, and delivery of periodic custom reports based on information obtained from the database. In such cases, the Company identifies performance obligations by evaluatin</w:t>
      </w:r>
      <w:r>
        <w:rPr>
          <w:rFonts w:eastAsia="Times New Roman"/>
          <w:color w:val="000000"/>
          <w:sz w:val="20"/>
          <w:szCs w:val="20"/>
        </w:rPr>
        <w:t>g whether the promised goods and services are capable of being distinct and distinct within the context of the contract at contract inception. Promised goods and services that are not distinct at contract inception are combined as one performance obligatio</w:t>
      </w:r>
      <w:r>
        <w:rPr>
          <w:rFonts w:eastAsia="Times New Roman"/>
          <w:color w:val="000000"/>
          <w:sz w:val="20"/>
          <w:szCs w:val="20"/>
        </w:rPr>
        <w:t>n.</w:t>
      </w:r>
    </w:p>
    <w:p w:rsidR="00000000" w:rsidRDefault="00971A12">
      <w:pPr>
        <w:jc w:val="both"/>
        <w:divId w:val="1185900023"/>
        <w:rPr>
          <w:rFonts w:eastAsia="Times New Roman"/>
        </w:rPr>
      </w:pPr>
      <w:r>
        <w:rPr>
          <w:rFonts w:eastAsia="Times New Roman"/>
          <w:color w:val="000000"/>
          <w:sz w:val="20"/>
          <w:szCs w:val="20"/>
        </w:rPr>
        <w:t>Once the Company identifies the performance obligations, the Company will determine the transaction price based on contractually fixed amounts and an estimate of variable consideration. In general, the transaction price is determined by estimating the fixe</w:t>
      </w:r>
      <w:r>
        <w:rPr>
          <w:rFonts w:eastAsia="Times New Roman"/>
          <w:color w:val="000000"/>
          <w:sz w:val="20"/>
          <w:szCs w:val="20"/>
        </w:rPr>
        <w:t>d amount of consideration to which the Company is entitled for transfer of goods and services and all relevant sources and components of variable consideration. Variable consideration is estimated based on the most likely amount or expected value approach,</w:t>
      </w:r>
      <w:r>
        <w:rPr>
          <w:rFonts w:eastAsia="Times New Roman"/>
          <w:color w:val="000000"/>
          <w:sz w:val="20"/>
          <w:szCs w:val="20"/>
        </w:rPr>
        <w:t xml:space="preserve"> depending on which method the Company expects to better predict the amount of consideration to which it will be entitled. Once the Company elects one of the methods to estimate variable consideration for a particular type of performance obligation, the Co</w:t>
      </w:r>
      <w:r>
        <w:rPr>
          <w:rFonts w:eastAsia="Times New Roman"/>
          <w:color w:val="000000"/>
          <w:sz w:val="20"/>
          <w:szCs w:val="20"/>
        </w:rPr>
        <w:t xml:space="preserve">mpany will apply that method consistently. Estimates of </w:t>
      </w:r>
    </w:p>
    <w:p w:rsidR="00000000" w:rsidRDefault="00971A12">
      <w:pPr>
        <w:jc w:val="center"/>
        <w:divId w:val="1554387138"/>
        <w:rPr>
          <w:rFonts w:eastAsia="Times New Roman"/>
        </w:rPr>
      </w:pPr>
      <w:r>
        <w:rPr>
          <w:rFonts w:eastAsia="Times New Roman"/>
          <w:color w:val="000000"/>
          <w:sz w:val="20"/>
          <w:szCs w:val="20"/>
        </w:rPr>
        <w:t>58</w:t>
      </w:r>
    </w:p>
    <w:p w:rsidR="00000000" w:rsidRDefault="00971A12">
      <w:pPr>
        <w:rPr>
          <w:rFonts w:eastAsia="Times New Roman"/>
        </w:rPr>
      </w:pPr>
      <w:r>
        <w:rPr>
          <w:rFonts w:eastAsia="Times New Roman"/>
        </w:rPr>
        <w:pict>
          <v:rect id="_x0000_i1086" style="width:0;height:1.5pt" o:hralign="center" o:hrstd="t" o:hr="t" fillcolor="#a0a0a0" stroked="f"/>
        </w:pict>
      </w:r>
    </w:p>
    <w:p w:rsidR="00000000" w:rsidRDefault="00971A12">
      <w:pPr>
        <w:divId w:val="413671999"/>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367872432"/>
        <w:rPr>
          <w:rFonts w:eastAsia="Times New Roman"/>
        </w:rPr>
      </w:pPr>
    </w:p>
    <w:p w:rsidR="00000000" w:rsidRDefault="00971A12">
      <w:pPr>
        <w:jc w:val="both"/>
        <w:divId w:val="411853735"/>
        <w:rPr>
          <w:rFonts w:eastAsia="Times New Roman"/>
        </w:rPr>
      </w:pPr>
      <w:r>
        <w:rPr>
          <w:rFonts w:eastAsia="Times New Roman"/>
          <w:color w:val="000000"/>
          <w:sz w:val="20"/>
          <w:szCs w:val="20"/>
        </w:rPr>
        <w:t>variable consideration are subject to constraint based on expected recovery from the customer. Sales taxes remitted to government authorities are excluded from the transaction price.</w:t>
      </w:r>
    </w:p>
    <w:p w:rsidR="00000000" w:rsidRDefault="00971A12">
      <w:pPr>
        <w:jc w:val="both"/>
        <w:divId w:val="704411206"/>
        <w:rPr>
          <w:rFonts w:eastAsia="Times New Roman"/>
        </w:rPr>
      </w:pPr>
      <w:r>
        <w:rPr>
          <w:rFonts w:eastAsia="Times New Roman"/>
          <w:color w:val="000000"/>
          <w:sz w:val="20"/>
          <w:szCs w:val="20"/>
        </w:rPr>
        <w:t>The Compa</w:t>
      </w:r>
      <w:r>
        <w:rPr>
          <w:rFonts w:eastAsia="Times New Roman"/>
          <w:color w:val="000000"/>
          <w:sz w:val="20"/>
          <w:szCs w:val="20"/>
        </w:rPr>
        <w:t>ny allocates the transaction price to each performance obligation based on relative SSP. Judgment is exercised to determine the SSP of each distinct performance obligation. In most cases, the Company bundles multiple products and very few are sold on a sta</w:t>
      </w:r>
      <w:r>
        <w:rPr>
          <w:rFonts w:eastAsia="Times New Roman"/>
          <w:color w:val="000000"/>
          <w:sz w:val="20"/>
          <w:szCs w:val="20"/>
        </w:rPr>
        <w:t>ndalone basis. The Company primarily applies an adjusted market assessment approach for the determination of the SSP, which is supported by rate cards and pricing calculators that are periodically reviewed and updated to reflect the latest sales data and o</w:t>
      </w:r>
      <w:r>
        <w:rPr>
          <w:rFonts w:eastAsia="Times New Roman"/>
          <w:color w:val="000000"/>
          <w:sz w:val="20"/>
          <w:szCs w:val="20"/>
        </w:rPr>
        <w:t>bservable inputs by industry, channel, geography, customer size, and other relevant groupings.</w:t>
      </w:r>
    </w:p>
    <w:p w:rsidR="00000000" w:rsidRDefault="00971A12">
      <w:pPr>
        <w:jc w:val="both"/>
        <w:divId w:val="1944995491"/>
        <w:rPr>
          <w:rFonts w:eastAsia="Times New Roman"/>
        </w:rPr>
      </w:pPr>
      <w:r>
        <w:rPr>
          <w:rFonts w:eastAsia="Times New Roman"/>
          <w:color w:val="000000"/>
          <w:sz w:val="20"/>
          <w:szCs w:val="20"/>
        </w:rPr>
        <w:t xml:space="preserve">The Company recognizes revenue when (or as) it satisfies a performance obligation by transferring promised goods or services to a customer. Customers may obtain </w:t>
      </w:r>
      <w:r>
        <w:rPr>
          <w:rFonts w:eastAsia="Times New Roman"/>
          <w:color w:val="000000"/>
          <w:sz w:val="20"/>
          <w:szCs w:val="20"/>
        </w:rPr>
        <w:t>the control of promised goods or services over time or at a point in time. Subscription-based revenues, and other products delivered continuously through a user interface, are recognized on a straight-line basis over an access period specified within the r</w:t>
      </w:r>
      <w:r>
        <w:rPr>
          <w:rFonts w:eastAsia="Times New Roman"/>
          <w:color w:val="000000"/>
          <w:sz w:val="20"/>
          <w:szCs w:val="20"/>
        </w:rPr>
        <w:t>espective contract. Revenues for impression-based products are typically recognized over time, on a time-elapsed basis, as the customer is continuously consuming and receiving the benefits of campaign measurement, or an output method, such as volume of imp</w:t>
      </w:r>
      <w:r>
        <w:rPr>
          <w:rFonts w:eastAsia="Times New Roman"/>
          <w:color w:val="000000"/>
          <w:sz w:val="20"/>
          <w:szCs w:val="20"/>
        </w:rPr>
        <w:t>ressions processed during a discrete period. Report-based revenues are recognized at a point in time, which is generally once the product has been delivered to the customer. The Company also considers whether there is a present right to payment, and whethe</w:t>
      </w:r>
      <w:r>
        <w:rPr>
          <w:rFonts w:eastAsia="Times New Roman"/>
          <w:color w:val="000000"/>
          <w:sz w:val="20"/>
          <w:szCs w:val="20"/>
        </w:rPr>
        <w:t>r the customer has accepted the product if such acceptance provisions are substantive.</w:t>
      </w:r>
    </w:p>
    <w:p w:rsidR="00000000" w:rsidRDefault="00971A12">
      <w:pPr>
        <w:jc w:val="both"/>
        <w:divId w:val="44499432"/>
        <w:rPr>
          <w:rFonts w:eastAsia="Times New Roman"/>
        </w:rPr>
      </w:pPr>
      <w:r>
        <w:rPr>
          <w:rFonts w:eastAsia="Times New Roman"/>
          <w:color w:val="000000"/>
          <w:sz w:val="20"/>
          <w:szCs w:val="20"/>
        </w:rPr>
        <w:t>Customers may have the right to cancel their contracts by providing a written notice of cancellation, although most subscription-based contracts are non-cancelable. If a</w:t>
      </w:r>
      <w:r>
        <w:rPr>
          <w:rFonts w:eastAsia="Times New Roman"/>
          <w:color w:val="000000"/>
          <w:sz w:val="20"/>
          <w:szCs w:val="20"/>
        </w:rPr>
        <w:t xml:space="preserve"> customer cancels its contract, the customer is generally not entitled to a refund for prior services. In the event a portion of a contract is refundable, revenue recognition is delayed until the refund provision lapses. For multi-year contracts with annua</w:t>
      </w:r>
      <w:r>
        <w:rPr>
          <w:rFonts w:eastAsia="Times New Roman"/>
          <w:color w:val="000000"/>
          <w:sz w:val="20"/>
          <w:szCs w:val="20"/>
        </w:rPr>
        <w:t>l price increases, the total consideration for each of the years included in the contract term will be combined and recognized on a straight-line basis.</w:t>
      </w:r>
    </w:p>
    <w:p w:rsidR="00000000" w:rsidRDefault="00971A12">
      <w:pPr>
        <w:jc w:val="both"/>
        <w:divId w:val="1020935617"/>
        <w:rPr>
          <w:rFonts w:eastAsia="Times New Roman"/>
        </w:rPr>
      </w:pPr>
      <w:r>
        <w:rPr>
          <w:rFonts w:eastAsia="Times New Roman"/>
          <w:color w:val="000000"/>
          <w:sz w:val="20"/>
          <w:szCs w:val="20"/>
        </w:rPr>
        <w:t>For transactions that involve third parties, the Company evaluates whether it is the principal, in whic</w:t>
      </w:r>
      <w:r>
        <w:rPr>
          <w:rFonts w:eastAsia="Times New Roman"/>
          <w:color w:val="000000"/>
          <w:sz w:val="20"/>
          <w:szCs w:val="20"/>
        </w:rPr>
        <w:t>h case it recognizes revenue on a gross basis. If the Company is an agent, it recognizes revenue on a net basis. This determination can require significant judgment for certain revenue share arrangements that involve the use of partner data in the Company'</w:t>
      </w:r>
      <w:r>
        <w:rPr>
          <w:rFonts w:eastAsia="Times New Roman"/>
          <w:color w:val="000000"/>
          <w:sz w:val="20"/>
          <w:szCs w:val="20"/>
        </w:rPr>
        <w:t>s sales to end users or the use of its data in partner sales to end users. In these arrangements, the Company assesses which party controls the specified goods or services before they are transferred to the customer, as well as other indicators such as the</w:t>
      </w:r>
      <w:r>
        <w:rPr>
          <w:rFonts w:eastAsia="Times New Roman"/>
          <w:color w:val="000000"/>
          <w:sz w:val="20"/>
          <w:szCs w:val="20"/>
        </w:rPr>
        <w:t xml:space="preserve"> party primarily responsible for fulfillment, inventory risk, and discretion in establishing price. </w:t>
      </w:r>
    </w:p>
    <w:p w:rsidR="00000000" w:rsidRDefault="00971A12">
      <w:pPr>
        <w:jc w:val="both"/>
        <w:divId w:val="928930590"/>
        <w:rPr>
          <w:rFonts w:eastAsia="Times New Roman"/>
        </w:rPr>
      </w:pPr>
      <w:r>
        <w:rPr>
          <w:rFonts w:eastAsia="Times New Roman"/>
          <w:color w:val="000000"/>
          <w:sz w:val="20"/>
          <w:szCs w:val="20"/>
        </w:rPr>
        <w:t>The Company enters into a limited number of monetary contracts with MVPDs that involve both the purchase and sale of services with a single counterparty. E</w:t>
      </w:r>
      <w:r>
        <w:rPr>
          <w:rFonts w:eastAsia="Times New Roman"/>
          <w:color w:val="000000"/>
          <w:sz w:val="20"/>
          <w:szCs w:val="20"/>
        </w:rPr>
        <w:t>ach contract is assessed to determine if the revenue and expense should be presented gross or net. In some instances, the Company may provide free distinct goods or services as a form of non-cash consideration to the counterparty. Revenue is recognized for</w:t>
      </w:r>
      <w:r>
        <w:rPr>
          <w:rFonts w:eastAsia="Times New Roman"/>
          <w:color w:val="000000"/>
          <w:sz w:val="20"/>
          <w:szCs w:val="20"/>
        </w:rPr>
        <w:t xml:space="preserve"> these contracts to the extent SSP is established for distinct services provided. Any excess consideration above the established SSP of services is presented as a reduction to cost of revenues in the Consolidated Statements of Operations and Comprehensive </w:t>
      </w:r>
      <w:r>
        <w:rPr>
          <w:rFonts w:eastAsia="Times New Roman"/>
          <w:color w:val="000000"/>
          <w:sz w:val="20"/>
          <w:szCs w:val="20"/>
        </w:rPr>
        <w:t>Loss. The fair value of non-cash consideration included in revenues during the years ended December 31, 2022, 2021and 2020 totaled $3.9 million, $4.0 million, and $0.9 million, respectively. The fair value of non-cash consideration included in cost of reve</w:t>
      </w:r>
      <w:r>
        <w:rPr>
          <w:rFonts w:eastAsia="Times New Roman"/>
          <w:color w:val="000000"/>
          <w:sz w:val="20"/>
          <w:szCs w:val="20"/>
        </w:rPr>
        <w:t xml:space="preserve">nues during the years ended December 31, 2022, 2021 and 2020 totaled $4.1 million, $3.9 million and $1.6 million, respectively. </w:t>
      </w:r>
    </w:p>
    <w:p w:rsidR="00000000" w:rsidRDefault="00971A12">
      <w:pPr>
        <w:jc w:val="both"/>
        <w:divId w:val="939023666"/>
        <w:rPr>
          <w:rFonts w:eastAsia="Times New Roman"/>
        </w:rPr>
      </w:pPr>
      <w:r>
        <w:rPr>
          <w:rFonts w:eastAsia="Times New Roman"/>
          <w:b/>
          <w:bCs/>
          <w:i/>
          <w:iCs/>
          <w:color w:val="000000"/>
          <w:sz w:val="20"/>
          <w:szCs w:val="20"/>
        </w:rPr>
        <w:t>Contract Balances</w:t>
      </w:r>
    </w:p>
    <w:p w:rsidR="00000000" w:rsidRDefault="00971A12">
      <w:pPr>
        <w:jc w:val="both"/>
        <w:divId w:val="1794981927"/>
        <w:rPr>
          <w:rFonts w:eastAsia="Times New Roman"/>
        </w:rPr>
      </w:pPr>
      <w:r>
        <w:rPr>
          <w:rFonts w:eastAsia="Times New Roman"/>
          <w:color w:val="000000"/>
          <w:sz w:val="20"/>
          <w:szCs w:val="20"/>
        </w:rPr>
        <w:t>Accounts receivable are billed and unbilled amounts where the right to payment from the customer is unconditi</w:t>
      </w:r>
      <w:r>
        <w:rPr>
          <w:rFonts w:eastAsia="Times New Roman"/>
          <w:color w:val="000000"/>
          <w:sz w:val="20"/>
          <w:szCs w:val="20"/>
        </w:rPr>
        <w:t>onal but for the passage of time. Contract assets represent amounts where the right to payment in exchange for goods or services transferred is conditioned on future events, such as the entity's continued performance. The portion of contract assets to be b</w:t>
      </w:r>
      <w:r>
        <w:rPr>
          <w:rFonts w:eastAsia="Times New Roman"/>
          <w:color w:val="000000"/>
          <w:sz w:val="20"/>
          <w:szCs w:val="20"/>
        </w:rPr>
        <w:t>illed in the succeeding twelve-month period are included in prepaid expenses and other current assets, and the remaining amounts are included in other assets within the Consolidated Balance Sheets.</w:t>
      </w:r>
    </w:p>
    <w:p w:rsidR="00000000" w:rsidRDefault="00971A12">
      <w:pPr>
        <w:jc w:val="both"/>
        <w:divId w:val="588579551"/>
        <w:rPr>
          <w:rFonts w:eastAsia="Times New Roman"/>
        </w:rPr>
      </w:pPr>
      <w:r>
        <w:rPr>
          <w:rFonts w:eastAsia="Times New Roman"/>
          <w:color w:val="000000"/>
          <w:sz w:val="20"/>
          <w:szCs w:val="20"/>
        </w:rPr>
        <w:t xml:space="preserve">Contract liabilities relate to amounts billed in advance, </w:t>
      </w:r>
      <w:r>
        <w:rPr>
          <w:rFonts w:eastAsia="Times New Roman"/>
          <w:color w:val="000000"/>
          <w:sz w:val="20"/>
          <w:szCs w:val="20"/>
        </w:rPr>
        <w:t>or advance consideration received from customers, under non-cancelable contracts for which exchange of goods or services will occur in the future. Customer advances relate to amounts billed in advance, or advance considerations received from customers, for</w:t>
      </w:r>
      <w:r>
        <w:rPr>
          <w:rFonts w:eastAsia="Times New Roman"/>
          <w:color w:val="000000"/>
          <w:sz w:val="20"/>
          <w:szCs w:val="20"/>
        </w:rPr>
        <w:t xml:space="preserve"> contracts with termination rights for which exchange of goods or services will occur in the future. The portion of contract liabilities and customer advances to be recognized in the succeeding twelve-month period are presented separately within current li</w:t>
      </w:r>
      <w:r>
        <w:rPr>
          <w:rFonts w:eastAsia="Times New Roman"/>
          <w:color w:val="000000"/>
          <w:sz w:val="20"/>
          <w:szCs w:val="20"/>
        </w:rPr>
        <w:t>abilities, and the remaining amounts are included in other non-current liabilities within the Consolidated Balance Sheets.</w:t>
      </w:r>
    </w:p>
    <w:p w:rsidR="00000000" w:rsidRDefault="00971A12">
      <w:pPr>
        <w:jc w:val="both"/>
        <w:divId w:val="1040013397"/>
        <w:rPr>
          <w:rFonts w:eastAsia="Times New Roman"/>
        </w:rPr>
      </w:pPr>
      <w:r>
        <w:rPr>
          <w:rFonts w:eastAsia="Times New Roman"/>
          <w:b/>
          <w:bCs/>
          <w:i/>
          <w:iCs/>
          <w:color w:val="000000"/>
          <w:sz w:val="20"/>
          <w:szCs w:val="20"/>
        </w:rPr>
        <w:t>Remaining Performance Obligations</w:t>
      </w:r>
    </w:p>
    <w:p w:rsidR="00000000" w:rsidRDefault="00971A12">
      <w:pPr>
        <w:jc w:val="both"/>
        <w:divId w:val="1154377158"/>
        <w:rPr>
          <w:rFonts w:eastAsia="Times New Roman"/>
        </w:rPr>
      </w:pPr>
      <w:r>
        <w:rPr>
          <w:rFonts w:eastAsia="Times New Roman"/>
          <w:color w:val="000000"/>
          <w:sz w:val="20"/>
          <w:szCs w:val="20"/>
        </w:rPr>
        <w:t>The Company elected an optional exemption to not disclose information about the amount of the trans</w:t>
      </w:r>
      <w:r>
        <w:rPr>
          <w:rFonts w:eastAsia="Times New Roman"/>
          <w:color w:val="000000"/>
          <w:sz w:val="20"/>
          <w:szCs w:val="20"/>
        </w:rPr>
        <w:t>action price allocated to remaining performance obligations for contracts that have an original expected duration of one year or less. The amount disclosed for remaining performance obligations also excludes variable consideration from unsatisfied performa</w:t>
      </w:r>
      <w:r>
        <w:rPr>
          <w:rFonts w:eastAsia="Times New Roman"/>
          <w:color w:val="000000"/>
          <w:sz w:val="20"/>
          <w:szCs w:val="20"/>
        </w:rPr>
        <w:t>nce obligations within a series where revenue is recognized using an output method, such as volume of impressions processed.</w:t>
      </w:r>
    </w:p>
    <w:p w:rsidR="00000000" w:rsidRDefault="00971A12">
      <w:pPr>
        <w:jc w:val="both"/>
        <w:divId w:val="256793369"/>
        <w:rPr>
          <w:rFonts w:eastAsia="Times New Roman"/>
        </w:rPr>
      </w:pPr>
      <w:r>
        <w:rPr>
          <w:rFonts w:eastAsia="Times New Roman"/>
          <w:b/>
          <w:bCs/>
          <w:i/>
          <w:iCs/>
          <w:color w:val="000000"/>
          <w:sz w:val="20"/>
          <w:szCs w:val="20"/>
        </w:rPr>
        <w:t>Costs to Fulfill a Contract</w:t>
      </w:r>
    </w:p>
    <w:p w:rsidR="00000000" w:rsidRDefault="00971A12">
      <w:pPr>
        <w:jc w:val="both"/>
        <w:divId w:val="1781874230"/>
        <w:rPr>
          <w:rFonts w:eastAsia="Times New Roman"/>
        </w:rPr>
      </w:pPr>
      <w:r>
        <w:rPr>
          <w:rFonts w:eastAsia="Times New Roman"/>
          <w:color w:val="000000"/>
          <w:sz w:val="20"/>
          <w:szCs w:val="20"/>
        </w:rPr>
        <w:t>Certain costs to fulfill are capitalized for contracts where the transfer of goods and services will oc</w:t>
      </w:r>
      <w:r>
        <w:rPr>
          <w:rFonts w:eastAsia="Times New Roman"/>
          <w:color w:val="000000"/>
          <w:sz w:val="20"/>
          <w:szCs w:val="20"/>
        </w:rPr>
        <w:t>cur in the future. Typically, these capitalized costs are incurred during a setup period prior to transferring control of the good or service over time. These costs include dedicated employees, subcontractors, and other third-party costs. Capitalized costs</w:t>
      </w:r>
      <w:r>
        <w:rPr>
          <w:rFonts w:eastAsia="Times New Roman"/>
          <w:color w:val="000000"/>
          <w:sz w:val="20"/>
          <w:szCs w:val="20"/>
        </w:rPr>
        <w:t xml:space="preserve"> are assessed for recoverability at each reporting period. These costs are included in cost of revenues and are recognized in the same manner as the corresponding performance obligation. For the years ended December 31, 2022, 2021 and 2020, amortized and e</w:t>
      </w:r>
      <w:r>
        <w:rPr>
          <w:rFonts w:eastAsia="Times New Roman"/>
          <w:color w:val="000000"/>
          <w:sz w:val="20"/>
          <w:szCs w:val="20"/>
        </w:rPr>
        <w:t>xpensed contract costs were zero, $2.7 million and $1.4 million, respectively.</w:t>
      </w:r>
    </w:p>
    <w:p w:rsidR="00000000" w:rsidRDefault="00971A12">
      <w:pPr>
        <w:jc w:val="center"/>
        <w:divId w:val="1068963878"/>
        <w:rPr>
          <w:rFonts w:eastAsia="Times New Roman"/>
        </w:rPr>
      </w:pPr>
      <w:r>
        <w:rPr>
          <w:rFonts w:eastAsia="Times New Roman"/>
          <w:color w:val="000000"/>
          <w:sz w:val="20"/>
          <w:szCs w:val="20"/>
        </w:rPr>
        <w:t>59</w:t>
      </w:r>
    </w:p>
    <w:p w:rsidR="00000000" w:rsidRDefault="00971A12">
      <w:pPr>
        <w:rPr>
          <w:rFonts w:eastAsia="Times New Roman"/>
        </w:rPr>
      </w:pPr>
      <w:r>
        <w:rPr>
          <w:rFonts w:eastAsia="Times New Roman"/>
        </w:rPr>
        <w:pict>
          <v:rect id="_x0000_i1087" style="width:0;height:1.5pt" o:hralign="center" o:hrstd="t" o:hr="t" fillcolor="#a0a0a0" stroked="f"/>
        </w:pict>
      </w:r>
    </w:p>
    <w:p w:rsidR="00000000" w:rsidRDefault="00971A12">
      <w:pPr>
        <w:divId w:val="1246694824"/>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957759253"/>
        <w:rPr>
          <w:rFonts w:eastAsia="Times New Roman"/>
        </w:rPr>
      </w:pPr>
    </w:p>
    <w:p w:rsidR="00000000" w:rsidRDefault="00971A12">
      <w:pPr>
        <w:jc w:val="both"/>
        <w:divId w:val="1567955967"/>
        <w:rPr>
          <w:rFonts w:eastAsia="Times New Roman"/>
        </w:rPr>
      </w:pPr>
      <w:r>
        <w:rPr>
          <w:rFonts w:eastAsia="Times New Roman"/>
          <w:b/>
          <w:bCs/>
          <w:i/>
          <w:iCs/>
          <w:color w:val="000000"/>
          <w:sz w:val="20"/>
          <w:szCs w:val="20"/>
        </w:rPr>
        <w:t>Cost of Revenues</w:t>
      </w:r>
    </w:p>
    <w:p w:rsidR="00000000" w:rsidRDefault="00971A12">
      <w:pPr>
        <w:jc w:val="both"/>
        <w:divId w:val="147403852"/>
        <w:rPr>
          <w:rFonts w:eastAsia="Times New Roman"/>
        </w:rPr>
      </w:pPr>
      <w:r>
        <w:rPr>
          <w:rFonts w:eastAsia="Times New Roman"/>
          <w:color w:val="000000"/>
          <w:sz w:val="20"/>
          <w:szCs w:val="20"/>
        </w:rPr>
        <w:t>Cost of revenues consists primarily of costs to produce the Company's products including viewing data from MVPDs, census-based, panel and other third-party data as well as cos</w:t>
      </w:r>
      <w:r>
        <w:rPr>
          <w:rFonts w:eastAsia="Times New Roman"/>
          <w:color w:val="000000"/>
          <w:sz w:val="20"/>
          <w:szCs w:val="20"/>
        </w:rPr>
        <w:t xml:space="preserve">ts to operate its network infrastructure including data center, data storage and compliance costs. Other costs include amortization of capitalized fulfillment costs, employee costs including stock-based compensation, depreciation related to assets used to </w:t>
      </w:r>
      <w:r>
        <w:rPr>
          <w:rFonts w:eastAsia="Times New Roman"/>
          <w:color w:val="000000"/>
          <w:sz w:val="20"/>
          <w:szCs w:val="20"/>
        </w:rPr>
        <w:t xml:space="preserve">maintain the network and produce products and allocated overhead, including rent and depreciation expenses generated by general purpose equipment and software. </w:t>
      </w:r>
    </w:p>
    <w:p w:rsidR="00000000" w:rsidRDefault="00971A12">
      <w:pPr>
        <w:jc w:val="both"/>
        <w:divId w:val="1515652695"/>
        <w:rPr>
          <w:rFonts w:eastAsia="Times New Roman"/>
        </w:rPr>
      </w:pPr>
      <w:r>
        <w:rPr>
          <w:rFonts w:eastAsia="Times New Roman"/>
          <w:b/>
          <w:bCs/>
          <w:i/>
          <w:iCs/>
          <w:color w:val="000000"/>
          <w:sz w:val="20"/>
          <w:szCs w:val="20"/>
        </w:rPr>
        <w:t>Selling and Marketing</w:t>
      </w:r>
    </w:p>
    <w:p w:rsidR="00000000" w:rsidRDefault="00971A12">
      <w:pPr>
        <w:jc w:val="both"/>
        <w:divId w:val="879979177"/>
        <w:rPr>
          <w:rFonts w:eastAsia="Times New Roman"/>
        </w:rPr>
      </w:pPr>
      <w:r>
        <w:rPr>
          <w:rFonts w:eastAsia="Times New Roman"/>
          <w:color w:val="000000"/>
          <w:sz w:val="20"/>
          <w:szCs w:val="20"/>
        </w:rPr>
        <w:t>Selling and marketing expenses consist primarily of salaries, commissions</w:t>
      </w:r>
      <w:r>
        <w:rPr>
          <w:rFonts w:eastAsia="Times New Roman"/>
          <w:color w:val="000000"/>
          <w:sz w:val="20"/>
          <w:szCs w:val="20"/>
        </w:rPr>
        <w:t>, stock-based compensation, benefits and bonuses for personnel associated with sales and marketing activities, as well as costs related to online and offline advertising, product management, seminars, promotional materials, public relations, other sales an</w:t>
      </w:r>
      <w:r>
        <w:rPr>
          <w:rFonts w:eastAsia="Times New Roman"/>
          <w:color w:val="000000"/>
          <w:sz w:val="20"/>
          <w:szCs w:val="20"/>
        </w:rPr>
        <w:t>d marketing programs, and allocated overhead, including rent and other facilities related costs, and depreciation.</w:t>
      </w:r>
    </w:p>
    <w:p w:rsidR="00000000" w:rsidRDefault="00971A12">
      <w:pPr>
        <w:jc w:val="both"/>
        <w:divId w:val="194393177"/>
        <w:rPr>
          <w:rFonts w:eastAsia="Times New Roman"/>
        </w:rPr>
      </w:pPr>
      <w:r>
        <w:rPr>
          <w:rFonts w:eastAsia="Times New Roman"/>
          <w:b/>
          <w:bCs/>
          <w:i/>
          <w:iCs/>
          <w:color w:val="000000"/>
          <w:sz w:val="20"/>
          <w:szCs w:val="20"/>
        </w:rPr>
        <w:t>General and Administrative</w:t>
      </w:r>
    </w:p>
    <w:p w:rsidR="00000000" w:rsidRDefault="00971A12">
      <w:pPr>
        <w:jc w:val="both"/>
        <w:divId w:val="1330477046"/>
        <w:rPr>
          <w:rFonts w:eastAsia="Times New Roman"/>
        </w:rPr>
      </w:pPr>
      <w:r>
        <w:rPr>
          <w:rFonts w:eastAsia="Times New Roman"/>
          <w:color w:val="000000"/>
          <w:sz w:val="20"/>
          <w:szCs w:val="20"/>
        </w:rPr>
        <w:t xml:space="preserve">General and administrative expenses consist primarily of salaries, stock-based compensation, benefits and related </w:t>
      </w:r>
      <w:r>
        <w:rPr>
          <w:rFonts w:eastAsia="Times New Roman"/>
          <w:color w:val="000000"/>
          <w:sz w:val="20"/>
          <w:szCs w:val="20"/>
        </w:rPr>
        <w:t>costs for executive management, finance, accounting, human capital, legal, information technology and other administrative functions, as well as professional fees and allocated overhead, including rent and other facilities related costs, depreciation and e</w:t>
      </w:r>
      <w:r>
        <w:rPr>
          <w:rFonts w:eastAsia="Times New Roman"/>
          <w:color w:val="000000"/>
          <w:sz w:val="20"/>
          <w:szCs w:val="20"/>
        </w:rPr>
        <w:t>xpenses incurred for other general corporate purposes.</w:t>
      </w:r>
    </w:p>
    <w:p w:rsidR="00000000" w:rsidRDefault="00971A12">
      <w:pPr>
        <w:jc w:val="both"/>
        <w:divId w:val="975648751"/>
        <w:rPr>
          <w:rFonts w:eastAsia="Times New Roman"/>
        </w:rPr>
      </w:pPr>
      <w:r>
        <w:rPr>
          <w:rFonts w:eastAsia="Times New Roman"/>
          <w:b/>
          <w:bCs/>
          <w:i/>
          <w:iCs/>
          <w:color w:val="000000"/>
          <w:sz w:val="20"/>
          <w:szCs w:val="20"/>
        </w:rPr>
        <w:t>Research and Development</w:t>
      </w:r>
    </w:p>
    <w:p w:rsidR="00000000" w:rsidRDefault="00971A12">
      <w:pPr>
        <w:jc w:val="both"/>
        <w:divId w:val="1783959066"/>
        <w:rPr>
          <w:rFonts w:eastAsia="Times New Roman"/>
        </w:rPr>
      </w:pPr>
      <w:r>
        <w:rPr>
          <w:rFonts w:eastAsia="Times New Roman"/>
          <w:color w:val="000000"/>
          <w:sz w:val="20"/>
          <w:szCs w:val="20"/>
        </w:rPr>
        <w:t>Research and development expenses consist primarily of salaries, stock-based compensation, benefits and related costs for personnel associated with research and development act</w:t>
      </w:r>
      <w:r>
        <w:rPr>
          <w:rFonts w:eastAsia="Times New Roman"/>
          <w:color w:val="000000"/>
          <w:sz w:val="20"/>
          <w:szCs w:val="20"/>
        </w:rPr>
        <w:t>ivities, as well as allocated overhead, including rent and other facilities related costs, and depreciation.</w:t>
      </w:r>
    </w:p>
    <w:p w:rsidR="00000000" w:rsidRDefault="00971A12">
      <w:pPr>
        <w:jc w:val="both"/>
        <w:divId w:val="303241111"/>
        <w:rPr>
          <w:rFonts w:eastAsia="Times New Roman"/>
        </w:rPr>
      </w:pPr>
      <w:r>
        <w:rPr>
          <w:rFonts w:eastAsia="Times New Roman"/>
          <w:b/>
          <w:bCs/>
          <w:i/>
          <w:iCs/>
          <w:color w:val="000000"/>
          <w:sz w:val="20"/>
          <w:szCs w:val="20"/>
        </w:rPr>
        <w:t>Other Income (Expense), Net</w:t>
      </w:r>
    </w:p>
    <w:p w:rsidR="00000000" w:rsidRDefault="00971A12">
      <w:pPr>
        <w:jc w:val="both"/>
        <w:divId w:val="487983134"/>
        <w:rPr>
          <w:rFonts w:eastAsia="Times New Roman"/>
        </w:rPr>
      </w:pPr>
      <w:r>
        <w:rPr>
          <w:rFonts w:eastAsia="Times New Roman"/>
          <w:color w:val="000000"/>
          <w:sz w:val="20"/>
          <w:szCs w:val="20"/>
        </w:rPr>
        <w:t>Other income (expense), net represents income and expenses incurred that are generally not recurring in nature or are not part of the Company's normal operations. The following is a summary of the significant components of other income (expense), net: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899"/>
        <w:gridCol w:w="36"/>
        <w:gridCol w:w="110"/>
        <w:gridCol w:w="893"/>
        <w:gridCol w:w="36"/>
        <w:gridCol w:w="36"/>
        <w:gridCol w:w="36"/>
        <w:gridCol w:w="36"/>
        <w:gridCol w:w="110"/>
        <w:gridCol w:w="893"/>
        <w:gridCol w:w="36"/>
        <w:gridCol w:w="36"/>
        <w:gridCol w:w="36"/>
        <w:gridCol w:w="36"/>
        <w:gridCol w:w="110"/>
        <w:gridCol w:w="893"/>
        <w:gridCol w:w="36"/>
      </w:tblGrid>
      <w:tr w:rsidR="00000000">
        <w:trPr>
          <w:divId w:val="1653100993"/>
          <w:jc w:val="center"/>
        </w:trPr>
        <w:tc>
          <w:tcPr>
            <w:tcW w:w="50" w:type="pct"/>
            <w:vAlign w:val="center"/>
            <w:hideMark/>
          </w:tcPr>
          <w:p w:rsidR="00000000" w:rsidRDefault="00971A12">
            <w:pPr>
              <w:jc w:val="both"/>
              <w:rPr>
                <w:rFonts w:eastAsia="Times New Roman"/>
              </w:rPr>
            </w:pPr>
          </w:p>
        </w:tc>
        <w:tc>
          <w:tcPr>
            <w:tcW w:w="2998"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653100993"/>
          <w:jc w:val="center"/>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Years Ended December 31,</w:t>
            </w:r>
          </w:p>
        </w:tc>
      </w:tr>
      <w:tr w:rsidR="00000000">
        <w:trPr>
          <w:divId w:val="1653100993"/>
          <w:jc w:val="center"/>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r>
      <w:tr w:rsidR="00000000">
        <w:trPr>
          <w:divId w:val="1653100993"/>
          <w:jc w:val="center"/>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Change in fair value of financing derivatives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10,287 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653100993"/>
          <w:jc w:val="center"/>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Change in fair value of warrants liability</w:t>
            </w:r>
          </w:p>
        </w:tc>
        <w:tc>
          <w:tcPr>
            <w:tcW w:w="0" w:type="auto"/>
            <w:gridSpan w:val="2"/>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9,802 </w:t>
            </w:r>
          </w:p>
        </w:tc>
        <w:tc>
          <w:tcPr>
            <w:tcW w:w="0" w:type="auto"/>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(7,689)</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4,894 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653100993"/>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653100993"/>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653100993"/>
          <w:jc w:val="center"/>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 xml:space="preserve">Other </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(627)</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653100993"/>
          <w:jc w:val="center"/>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Total other income (expense),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9,785 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(5,778)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14,554 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both"/>
        <w:divId w:val="1737389754"/>
        <w:rPr>
          <w:rFonts w:eastAsia="Times New Roman"/>
        </w:rPr>
      </w:pPr>
      <w:r>
        <w:rPr>
          <w:rFonts w:eastAsia="Times New Roman"/>
          <w:b/>
          <w:bCs/>
          <w:i/>
          <w:iCs/>
          <w:color w:val="000000"/>
          <w:sz w:val="20"/>
          <w:szCs w:val="20"/>
        </w:rPr>
        <w:t>Debt Issuance Costs</w:t>
      </w:r>
    </w:p>
    <w:p w:rsidR="00000000" w:rsidRDefault="00971A12">
      <w:pPr>
        <w:jc w:val="both"/>
        <w:divId w:val="1745492307"/>
        <w:rPr>
          <w:rFonts w:eastAsia="Times New Roman"/>
        </w:rPr>
      </w:pPr>
      <w:r>
        <w:rPr>
          <w:rFonts w:eastAsia="Times New Roman"/>
          <w:color w:val="000000"/>
          <w:sz w:val="20"/>
          <w:szCs w:val="20"/>
        </w:rPr>
        <w:t>The Company reflects debt issuance costs in the Consolidated Balance Sheets as a direct deduction from the gross amount of debt, consistent with the presentation of a debt discount. Debt issuance costs are amortized to interest expense, net over the term o</w:t>
      </w:r>
      <w:r>
        <w:rPr>
          <w:rFonts w:eastAsia="Times New Roman"/>
          <w:color w:val="000000"/>
          <w:sz w:val="20"/>
          <w:szCs w:val="20"/>
        </w:rPr>
        <w:t>f the underlying debt instrument, utilizing the effective interest method.</w:t>
      </w:r>
    </w:p>
    <w:p w:rsidR="00000000" w:rsidRDefault="00971A12">
      <w:pPr>
        <w:jc w:val="both"/>
        <w:divId w:val="235282233"/>
        <w:rPr>
          <w:rFonts w:eastAsia="Times New Roman"/>
        </w:rPr>
      </w:pPr>
      <w:r>
        <w:rPr>
          <w:rFonts w:eastAsia="Times New Roman"/>
          <w:b/>
          <w:bCs/>
          <w:i/>
          <w:iCs/>
          <w:color w:val="000000"/>
          <w:sz w:val="20"/>
          <w:szCs w:val="20"/>
        </w:rPr>
        <w:t>Stock-Based Compensation</w:t>
      </w:r>
    </w:p>
    <w:p w:rsidR="00000000" w:rsidRDefault="00971A12">
      <w:pPr>
        <w:jc w:val="both"/>
        <w:divId w:val="1539009515"/>
        <w:rPr>
          <w:rFonts w:eastAsia="Times New Roman"/>
        </w:rPr>
      </w:pPr>
      <w:r>
        <w:rPr>
          <w:rFonts w:eastAsia="Times New Roman"/>
          <w:color w:val="000000"/>
          <w:sz w:val="20"/>
          <w:szCs w:val="20"/>
        </w:rPr>
        <w:t>The Company estimates the fair value of stock-based awards on their grant date. The fair value of stock options with only service conditions is determined using the Black-Scholes option pricing model. The fair value of restricted stock units ("RSUs") is ba</w:t>
      </w:r>
      <w:r>
        <w:rPr>
          <w:rFonts w:eastAsia="Times New Roman"/>
          <w:color w:val="000000"/>
          <w:sz w:val="20"/>
          <w:szCs w:val="20"/>
        </w:rPr>
        <w:t>sed on the closing price of the Company's Common Stock on the grant date. The Company amortizes the fair value of awards expected to vest on a straight-line basis over the requisite service periods of the awards, which is generally the period from the gran</w:t>
      </w:r>
      <w:r>
        <w:rPr>
          <w:rFonts w:eastAsia="Times New Roman"/>
          <w:color w:val="000000"/>
          <w:sz w:val="20"/>
          <w:szCs w:val="20"/>
        </w:rPr>
        <w:t>t date to the end of the vesting period. The determination of the fair value of the Company's stock option awards is based on a variety of factors, including, but not limited to, the Company's Common Stock price, risk-free rate, expected stock price volati</w:t>
      </w:r>
      <w:r>
        <w:rPr>
          <w:rFonts w:eastAsia="Times New Roman"/>
          <w:color w:val="000000"/>
          <w:sz w:val="20"/>
          <w:szCs w:val="20"/>
        </w:rPr>
        <w:t>lity over the expected life of awards, and the expected term of the option.</w:t>
      </w:r>
    </w:p>
    <w:p w:rsidR="00000000" w:rsidRDefault="00971A12">
      <w:pPr>
        <w:jc w:val="both"/>
        <w:divId w:val="1141732540"/>
        <w:rPr>
          <w:rFonts w:eastAsia="Times New Roman"/>
        </w:rPr>
      </w:pPr>
      <w:r>
        <w:rPr>
          <w:rFonts w:eastAsia="Times New Roman"/>
          <w:color w:val="000000"/>
          <w:sz w:val="20"/>
          <w:szCs w:val="20"/>
        </w:rPr>
        <w:t>The Company issues stock options with a vesting period based solely upon the passage of time (service vesting). To determine the expected term of the option the Company applies the</w:t>
      </w:r>
      <w:r>
        <w:rPr>
          <w:rFonts w:eastAsia="Times New Roman"/>
          <w:color w:val="000000"/>
          <w:sz w:val="20"/>
          <w:szCs w:val="20"/>
        </w:rPr>
        <w:t xml:space="preserve"> simplified method for plain-vanilla options due to the lack of significant historical exercise experience. For non-employee options that do not qualify as plain-vanilla the Company has elected to apply the contractual term of the award.</w:t>
      </w:r>
    </w:p>
    <w:p w:rsidR="00000000" w:rsidRDefault="00971A12">
      <w:pPr>
        <w:jc w:val="both"/>
        <w:divId w:val="1912957535"/>
        <w:rPr>
          <w:rFonts w:eastAsia="Times New Roman"/>
        </w:rPr>
      </w:pPr>
      <w:r>
        <w:rPr>
          <w:rFonts w:eastAsia="Times New Roman"/>
          <w:color w:val="000000"/>
          <w:sz w:val="20"/>
          <w:szCs w:val="20"/>
        </w:rPr>
        <w:t>The Company issues</w:t>
      </w:r>
      <w:r>
        <w:rPr>
          <w:rFonts w:eastAsia="Times New Roman"/>
          <w:color w:val="000000"/>
          <w:sz w:val="20"/>
          <w:szCs w:val="20"/>
        </w:rPr>
        <w:t xml:space="preserve"> RSU awards with a vesting period based solely upon the passage of time (service vesting), achieving performance targets, fulfillment of market conditions, or a combination thereof. For those RSU awards with only service vesting, the Company recognizes com</w:t>
      </w:r>
      <w:r>
        <w:rPr>
          <w:rFonts w:eastAsia="Times New Roman"/>
          <w:color w:val="000000"/>
          <w:sz w:val="20"/>
          <w:szCs w:val="20"/>
        </w:rPr>
        <w:t>pensation cost on a straight-line basis over the service period. For awards with both service and performance conditions, the Company starts recognizing compensation cost over the remaining service period when it is probable the performance conditions will</w:t>
      </w:r>
      <w:r>
        <w:rPr>
          <w:rFonts w:eastAsia="Times New Roman"/>
          <w:color w:val="000000"/>
          <w:sz w:val="20"/>
          <w:szCs w:val="20"/>
        </w:rPr>
        <w:t xml:space="preserve"> be met. Stock awards that contain performance vesting conditions are excluded from diluted earnings per share ("EPS") computations until the contingency is met as of the end of that reporting period.</w:t>
      </w:r>
    </w:p>
    <w:p w:rsidR="00000000" w:rsidRDefault="00971A12">
      <w:pPr>
        <w:jc w:val="center"/>
        <w:divId w:val="1857226209"/>
        <w:rPr>
          <w:rFonts w:eastAsia="Times New Roman"/>
        </w:rPr>
      </w:pPr>
      <w:r>
        <w:rPr>
          <w:rFonts w:eastAsia="Times New Roman"/>
          <w:color w:val="000000"/>
          <w:sz w:val="20"/>
          <w:szCs w:val="20"/>
        </w:rPr>
        <w:t>60</w:t>
      </w:r>
    </w:p>
    <w:p w:rsidR="00000000" w:rsidRDefault="00971A12">
      <w:pPr>
        <w:rPr>
          <w:rFonts w:eastAsia="Times New Roman"/>
        </w:rPr>
      </w:pPr>
      <w:r>
        <w:rPr>
          <w:rFonts w:eastAsia="Times New Roman"/>
        </w:rPr>
        <w:pict>
          <v:rect id="_x0000_i1088" style="width:0;height:1.5pt" o:hralign="center" o:hrstd="t" o:hr="t" fillcolor="#a0a0a0" stroked="f"/>
        </w:pict>
      </w:r>
    </w:p>
    <w:p w:rsidR="00000000" w:rsidRDefault="00971A12">
      <w:pPr>
        <w:divId w:val="1659503734"/>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920678890"/>
        <w:rPr>
          <w:rFonts w:eastAsia="Times New Roman"/>
        </w:rPr>
      </w:pPr>
    </w:p>
    <w:p w:rsidR="00000000" w:rsidRDefault="00971A12">
      <w:pPr>
        <w:jc w:val="both"/>
        <w:divId w:val="897128868"/>
        <w:rPr>
          <w:rFonts w:eastAsia="Times New Roman"/>
        </w:rPr>
      </w:pPr>
      <w:r>
        <w:rPr>
          <w:rFonts w:eastAsia="Times New Roman"/>
          <w:color w:val="000000"/>
          <w:sz w:val="20"/>
          <w:szCs w:val="20"/>
        </w:rPr>
        <w:t>For awards with both service and market conditions, the Company recognizes compensation cost over the remaining service period, with the</w:t>
      </w:r>
      <w:r>
        <w:rPr>
          <w:rFonts w:eastAsia="Times New Roman"/>
          <w:color w:val="000000"/>
          <w:sz w:val="20"/>
          <w:szCs w:val="20"/>
        </w:rPr>
        <w:t xml:space="preserve"> effect of the market condition reflected in the determination of the award's fair value at the grant date. The Company values awards with market conditions using certain valuation techniques, such as a lattice model or Monte Carlo simulation analysis. The</w:t>
      </w:r>
      <w:r>
        <w:rPr>
          <w:rFonts w:eastAsia="Times New Roman"/>
          <w:color w:val="000000"/>
          <w:sz w:val="20"/>
          <w:szCs w:val="20"/>
        </w:rPr>
        <w:t xml:space="preserve"> Company determines the requisite service period based on the longer of the explicit service period and the derived service period. Stock awards that contain market vesting conditions are included in the computations of diluted EPS reflecting the number of</w:t>
      </w:r>
      <w:r>
        <w:rPr>
          <w:rFonts w:eastAsia="Times New Roman"/>
          <w:color w:val="000000"/>
          <w:sz w:val="20"/>
          <w:szCs w:val="20"/>
        </w:rPr>
        <w:t xml:space="preserve"> shares that would be issued based on the current market price at the end of the period being reported on, if their effect is dilutive.</w:t>
      </w:r>
    </w:p>
    <w:p w:rsidR="00000000" w:rsidRDefault="00971A12">
      <w:pPr>
        <w:jc w:val="both"/>
        <w:divId w:val="1093089244"/>
        <w:rPr>
          <w:rFonts w:eastAsia="Times New Roman"/>
        </w:rPr>
      </w:pPr>
      <w:r>
        <w:rPr>
          <w:rFonts w:eastAsia="Times New Roman"/>
          <w:color w:val="000000"/>
          <w:sz w:val="20"/>
          <w:szCs w:val="20"/>
        </w:rPr>
        <w:t>Under the Company's annual incentive compensation plan, the Company may grant immediately vested RSUs to certain employe</w:t>
      </w:r>
      <w:r>
        <w:rPr>
          <w:rFonts w:eastAsia="Times New Roman"/>
          <w:color w:val="000000"/>
          <w:sz w:val="20"/>
          <w:szCs w:val="20"/>
        </w:rPr>
        <w:t>es. For these awards, stock-based compensation expense is accrued commencing at the service inception date, which generally precedes the grant date, through the end of the requisite service period.</w:t>
      </w:r>
    </w:p>
    <w:p w:rsidR="00000000" w:rsidRDefault="00971A12">
      <w:pPr>
        <w:jc w:val="both"/>
        <w:divId w:val="64184518"/>
        <w:rPr>
          <w:rFonts w:eastAsia="Times New Roman"/>
        </w:rPr>
      </w:pPr>
      <w:r>
        <w:rPr>
          <w:rFonts w:eastAsia="Times New Roman"/>
          <w:color w:val="000000"/>
          <w:sz w:val="20"/>
          <w:szCs w:val="20"/>
        </w:rPr>
        <w:t>The Company estimates forfeitures for stock-based awards a</w:t>
      </w:r>
      <w:r>
        <w:rPr>
          <w:rFonts w:eastAsia="Times New Roman"/>
          <w:color w:val="000000"/>
          <w:sz w:val="20"/>
          <w:szCs w:val="20"/>
        </w:rPr>
        <w:t xml:space="preserve">t their grant date based on historical experience. The estimated forfeiture rate as of December 31, 2022, 2021 and 2020 was 10.0% for non-executive awards. Awards granted to senior executives have an estimated forfeiture rate of zero. The Company performs </w:t>
      </w:r>
      <w:r>
        <w:rPr>
          <w:rFonts w:eastAsia="Times New Roman"/>
          <w:color w:val="000000"/>
          <w:sz w:val="20"/>
          <w:szCs w:val="20"/>
        </w:rPr>
        <w:t xml:space="preserve">a review of its forfeiture rate assumption on a quarterly basis. Changes in the estimates and assumptions relating to forfeitures and subsequent grants may result in material changes to stock-based compensation expense in the future. </w:t>
      </w:r>
    </w:p>
    <w:p w:rsidR="00000000" w:rsidRDefault="00971A12">
      <w:pPr>
        <w:jc w:val="both"/>
        <w:divId w:val="911812952"/>
        <w:rPr>
          <w:rFonts w:eastAsia="Times New Roman"/>
        </w:rPr>
      </w:pPr>
      <w:r>
        <w:rPr>
          <w:rFonts w:eastAsia="Times New Roman"/>
          <w:b/>
          <w:bCs/>
          <w:i/>
          <w:iCs/>
          <w:color w:val="000000"/>
          <w:sz w:val="20"/>
          <w:szCs w:val="20"/>
        </w:rPr>
        <w:t>Income Taxes</w:t>
      </w:r>
    </w:p>
    <w:p w:rsidR="00000000" w:rsidRDefault="00971A12">
      <w:pPr>
        <w:jc w:val="both"/>
        <w:divId w:val="486631249"/>
        <w:rPr>
          <w:rFonts w:eastAsia="Times New Roman"/>
        </w:rPr>
      </w:pPr>
      <w:r>
        <w:rPr>
          <w:rFonts w:eastAsia="Times New Roman"/>
          <w:color w:val="000000"/>
          <w:sz w:val="20"/>
          <w:szCs w:val="20"/>
        </w:rPr>
        <w:t>Income t</w:t>
      </w:r>
      <w:r>
        <w:rPr>
          <w:rFonts w:eastAsia="Times New Roman"/>
          <w:color w:val="000000"/>
          <w:sz w:val="20"/>
          <w:szCs w:val="20"/>
        </w:rPr>
        <w:t>axes are accounted for using the asset and liability method. Deferred income taxes are provided for temporary differences in recognizing certain income, expense and credit items for financial reporting purposes and tax reporting purposes. Such deferred inc</w:t>
      </w:r>
      <w:r>
        <w:rPr>
          <w:rFonts w:eastAsia="Times New Roman"/>
          <w:color w:val="000000"/>
          <w:sz w:val="20"/>
          <w:szCs w:val="20"/>
        </w:rPr>
        <w:t>ome taxes primarily relate to the difference between the tax bases of assets and liabilities and their financial reporting amounts. Deferred tax assets and liabilities are measured by applying enacted statutory tax rates applicable to the future years in w</w:t>
      </w:r>
      <w:r>
        <w:rPr>
          <w:rFonts w:eastAsia="Times New Roman"/>
          <w:color w:val="000000"/>
          <w:sz w:val="20"/>
          <w:szCs w:val="20"/>
        </w:rPr>
        <w:t>hich deferred tax assets or liabilities are expected to be settled or realized. Excess tax benefits and tax deficiencies are recognized in the income tax provision in the period in which they occur.</w:t>
      </w:r>
    </w:p>
    <w:p w:rsidR="00000000" w:rsidRDefault="00971A12">
      <w:pPr>
        <w:jc w:val="both"/>
        <w:divId w:val="909929607"/>
        <w:rPr>
          <w:rFonts w:eastAsia="Times New Roman"/>
        </w:rPr>
      </w:pPr>
      <w:r>
        <w:rPr>
          <w:rFonts w:eastAsia="Times New Roman"/>
          <w:color w:val="000000"/>
          <w:sz w:val="20"/>
          <w:szCs w:val="20"/>
        </w:rPr>
        <w:t>The Company records a valuation allowance when it determi</w:t>
      </w:r>
      <w:r>
        <w:rPr>
          <w:rFonts w:eastAsia="Times New Roman"/>
          <w:color w:val="000000"/>
          <w:sz w:val="20"/>
          <w:szCs w:val="20"/>
        </w:rPr>
        <w:t>nes, based on available positive and negative evidence, that it is more-likely-than-not that some portion or all of its deferred tax assets will not be realized. The Company determines the realizability of its deferred tax assets primarily based on the rev</w:t>
      </w:r>
      <w:r>
        <w:rPr>
          <w:rFonts w:eastAsia="Times New Roman"/>
          <w:color w:val="000000"/>
          <w:sz w:val="20"/>
          <w:szCs w:val="20"/>
        </w:rPr>
        <w:t>ersal of existing taxable temporary differences and projections of future taxable income (exclusive of reversing temporary differences and carryforwards). In evaluating such projections, the Company considers its history of profitability, the competitive e</w:t>
      </w:r>
      <w:r>
        <w:rPr>
          <w:rFonts w:eastAsia="Times New Roman"/>
          <w:color w:val="000000"/>
          <w:sz w:val="20"/>
          <w:szCs w:val="20"/>
        </w:rPr>
        <w:t>nvironment, and general economic conditions. In addition, the Company considers the time frame over which it would take to utilize the deferred tax assets prior to their expiration.</w:t>
      </w:r>
    </w:p>
    <w:p w:rsidR="00000000" w:rsidRDefault="00971A12">
      <w:pPr>
        <w:jc w:val="both"/>
        <w:divId w:val="768232499"/>
        <w:rPr>
          <w:rFonts w:eastAsia="Times New Roman"/>
        </w:rPr>
      </w:pPr>
      <w:r>
        <w:rPr>
          <w:rFonts w:eastAsia="Times New Roman"/>
          <w:color w:val="000000"/>
          <w:sz w:val="20"/>
          <w:szCs w:val="20"/>
        </w:rPr>
        <w:t>For certain tax positions, the Company uses a more-likely-than-not thresho</w:t>
      </w:r>
      <w:r>
        <w:rPr>
          <w:rFonts w:eastAsia="Times New Roman"/>
          <w:color w:val="000000"/>
          <w:sz w:val="20"/>
          <w:szCs w:val="20"/>
        </w:rPr>
        <w:t>ld based on the technical merits of the tax position taken. Tax positions that meet the more-likely-than-not recognition threshold are measured at the largest amount of tax benefits determined on a cumulative probability basis, which are more-likely-than-n</w:t>
      </w:r>
      <w:r>
        <w:rPr>
          <w:rFonts w:eastAsia="Times New Roman"/>
          <w:color w:val="000000"/>
          <w:sz w:val="20"/>
          <w:szCs w:val="20"/>
        </w:rPr>
        <w:t>ot to be realized upon ultimate settlement in the financial statements. The Company's policy is to recognize interest and penalties related to income tax matters in income tax expense.</w:t>
      </w:r>
    </w:p>
    <w:p w:rsidR="00000000" w:rsidRDefault="00971A12">
      <w:pPr>
        <w:jc w:val="both"/>
        <w:divId w:val="1431386836"/>
        <w:rPr>
          <w:rFonts w:eastAsia="Times New Roman"/>
        </w:rPr>
      </w:pPr>
      <w:r>
        <w:rPr>
          <w:rFonts w:eastAsia="Times New Roman"/>
          <w:color w:val="000000"/>
          <w:sz w:val="20"/>
          <w:szCs w:val="20"/>
        </w:rPr>
        <w:t>In December 2017, U.S. tax reform legislation known as the Tax Cuts and</w:t>
      </w:r>
      <w:r>
        <w:rPr>
          <w:rFonts w:eastAsia="Times New Roman"/>
          <w:color w:val="000000"/>
          <w:sz w:val="20"/>
          <w:szCs w:val="20"/>
        </w:rPr>
        <w:t xml:space="preserve"> Jobs Act (the "TCJA") was signed into law. The Company determined the effects of certain provisions, including but not limited to: a reduction in the corporate tax rate from 35% to 21%, a limitation of the deductibility of certain officers' compensation, </w:t>
      </w:r>
      <w:r>
        <w:rPr>
          <w:rFonts w:eastAsia="Times New Roman"/>
          <w:color w:val="000000"/>
          <w:sz w:val="20"/>
          <w:szCs w:val="20"/>
        </w:rPr>
        <w:t>a limitation on the current deductibility of net interest expense in excess of 30% of adjusted taxable income, a limitation of net operating losses generated after 2018 to 80% of taxable income, an incremental tax (base erosion anti-abuse or "BEAT") on exc</w:t>
      </w:r>
      <w:r>
        <w:rPr>
          <w:rFonts w:eastAsia="Times New Roman"/>
          <w:color w:val="000000"/>
          <w:sz w:val="20"/>
          <w:szCs w:val="20"/>
        </w:rPr>
        <w:t>essive amounts paid to foreign related parties, and a minimum tax on certain foreign earnings in excess of 10% of the foreign subsidiaries' tangible assets (global intangible low-taxed income or "GILTI"). As part of its GILTI review, the Company has determ</w:t>
      </w:r>
      <w:r>
        <w:rPr>
          <w:rFonts w:eastAsia="Times New Roman"/>
          <w:color w:val="000000"/>
          <w:sz w:val="20"/>
          <w:szCs w:val="20"/>
        </w:rPr>
        <w:t>ined that it will account for GILTI income as it is generated (i.e., treat it as a period expense). Given the Company's loss position in the U.S. and the valuation allowance recorded against its U.S. net deferred tax assets, these provisions have not had a</w:t>
      </w:r>
      <w:r>
        <w:rPr>
          <w:rFonts w:eastAsia="Times New Roman"/>
          <w:color w:val="000000"/>
          <w:sz w:val="20"/>
          <w:szCs w:val="20"/>
        </w:rPr>
        <w:t xml:space="preserve"> material impact on the Company's consolidated financial statements.</w:t>
      </w:r>
    </w:p>
    <w:p w:rsidR="00000000" w:rsidRDefault="00971A12">
      <w:pPr>
        <w:jc w:val="both"/>
        <w:divId w:val="2092392163"/>
        <w:rPr>
          <w:rFonts w:eastAsia="Times New Roman"/>
        </w:rPr>
      </w:pPr>
      <w:r>
        <w:rPr>
          <w:rFonts w:eastAsia="Times New Roman"/>
          <w:color w:val="000000"/>
          <w:sz w:val="20"/>
          <w:szCs w:val="20"/>
        </w:rPr>
        <w:t>Beginning in 2022, the TCJA eliminated the option to immediately deduct research and experiment ("R&amp;E") expenditures in the year incurred pursuant to Internal Revenue Code Section 174 ("S</w:t>
      </w:r>
      <w:r>
        <w:rPr>
          <w:rFonts w:eastAsia="Times New Roman"/>
          <w:color w:val="000000"/>
          <w:sz w:val="20"/>
          <w:szCs w:val="20"/>
        </w:rPr>
        <w:t>ection 174"). The amended provision under Section 174 requires taxpayers to capitalize and amortize these expenditures over five years for research performed in the U.S. and over 15 years for research performed outside the U.S. While it is possible that Co</w:t>
      </w:r>
      <w:r>
        <w:rPr>
          <w:rFonts w:eastAsia="Times New Roman"/>
          <w:color w:val="000000"/>
          <w:sz w:val="20"/>
          <w:szCs w:val="20"/>
        </w:rPr>
        <w:t>ngress may defer, modify or repeal this provision, potentially with retroactive effect, it was not deferred, modified or repealed as of December 31, 2022. Due to the Company's federal and state net operating loss ("NOL") carryforwards, the amended provisio</w:t>
      </w:r>
      <w:r>
        <w:rPr>
          <w:rFonts w:eastAsia="Times New Roman"/>
          <w:color w:val="000000"/>
          <w:sz w:val="20"/>
          <w:szCs w:val="20"/>
        </w:rPr>
        <w:t>n under Section 174 only increased the Company's state cash taxes payable and reduced its cash flow from operating activities by an immaterial amount in 2022. The capitalized R&amp;E expenditure merely caused a reclassification between the NOL deferred tax ass</w:t>
      </w:r>
      <w:r>
        <w:rPr>
          <w:rFonts w:eastAsia="Times New Roman"/>
          <w:color w:val="000000"/>
          <w:sz w:val="20"/>
          <w:szCs w:val="20"/>
        </w:rPr>
        <w:t>et and capitalized R&amp;E deferred tax asset as of December 31, 2022. Because the Company's deferred tax assets have a full valuation allowance against them, the amended provision under Section 174 did not impact the Company's tax rate or results of operation</w:t>
      </w:r>
      <w:r>
        <w:rPr>
          <w:rFonts w:eastAsia="Times New Roman"/>
          <w:color w:val="000000"/>
          <w:sz w:val="20"/>
          <w:szCs w:val="20"/>
        </w:rPr>
        <w:t>s.</w:t>
      </w:r>
    </w:p>
    <w:p w:rsidR="00000000" w:rsidRDefault="00971A12">
      <w:pPr>
        <w:divId w:val="1188299505"/>
        <w:rPr>
          <w:rFonts w:eastAsia="Times New Roman"/>
        </w:rPr>
      </w:pPr>
      <w:r>
        <w:rPr>
          <w:rFonts w:eastAsia="Times New Roman"/>
          <w:b/>
          <w:bCs/>
          <w:i/>
          <w:iCs/>
          <w:color w:val="000000"/>
          <w:sz w:val="20"/>
          <w:szCs w:val="20"/>
        </w:rPr>
        <w:t xml:space="preserve">Loss Per Share </w:t>
      </w:r>
    </w:p>
    <w:p w:rsidR="00000000" w:rsidRDefault="00971A12">
      <w:pPr>
        <w:jc w:val="both"/>
        <w:divId w:val="1793666685"/>
        <w:rPr>
          <w:rFonts w:eastAsia="Times New Roman"/>
        </w:rPr>
      </w:pPr>
      <w:r>
        <w:rPr>
          <w:rFonts w:eastAsia="Times New Roman"/>
          <w:color w:val="000000"/>
          <w:sz w:val="20"/>
          <w:szCs w:val="20"/>
        </w:rPr>
        <w:t>The Company uses the two-class method to calculate net loss per share. The two-class method is an earnings allocation formula that treats a participating security as having rights to earnings that otherwise would have been available to c</w:t>
      </w:r>
      <w:r>
        <w:rPr>
          <w:rFonts w:eastAsia="Times New Roman"/>
          <w:color w:val="000000"/>
          <w:sz w:val="20"/>
          <w:szCs w:val="20"/>
        </w:rPr>
        <w:t xml:space="preserve">ommon stockholders. Under the two-class method, earnings for the period are allocated between common stockholders and participating security holders based on their respective rights to receive dividends as if all undistributed book earnings for the period </w:t>
      </w:r>
      <w:r>
        <w:rPr>
          <w:rFonts w:eastAsia="Times New Roman"/>
          <w:color w:val="000000"/>
          <w:sz w:val="20"/>
          <w:szCs w:val="20"/>
        </w:rPr>
        <w:t xml:space="preserve">were distributed. </w:t>
      </w:r>
    </w:p>
    <w:p w:rsidR="00000000" w:rsidRDefault="00971A12">
      <w:pPr>
        <w:jc w:val="center"/>
        <w:divId w:val="2100561110"/>
        <w:rPr>
          <w:rFonts w:eastAsia="Times New Roman"/>
        </w:rPr>
      </w:pPr>
      <w:r>
        <w:rPr>
          <w:rFonts w:eastAsia="Times New Roman"/>
          <w:color w:val="000000"/>
          <w:sz w:val="20"/>
          <w:szCs w:val="20"/>
        </w:rPr>
        <w:t>61</w:t>
      </w:r>
    </w:p>
    <w:p w:rsidR="00000000" w:rsidRDefault="00971A12">
      <w:pPr>
        <w:rPr>
          <w:rFonts w:eastAsia="Times New Roman"/>
        </w:rPr>
      </w:pPr>
      <w:r>
        <w:rPr>
          <w:rFonts w:eastAsia="Times New Roman"/>
        </w:rPr>
        <w:pict>
          <v:rect id="_x0000_i1089" style="width:0;height:1.5pt" o:hralign="center" o:hrstd="t" o:hr="t" fillcolor="#a0a0a0" stroked="f"/>
        </w:pict>
      </w:r>
    </w:p>
    <w:p w:rsidR="00000000" w:rsidRDefault="00971A12">
      <w:pPr>
        <w:divId w:val="1241404448"/>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859269064"/>
        <w:rPr>
          <w:rFonts w:eastAsia="Times New Roman"/>
        </w:rPr>
      </w:pPr>
    </w:p>
    <w:p w:rsidR="00000000" w:rsidRDefault="00971A12">
      <w:pPr>
        <w:jc w:val="both"/>
        <w:divId w:val="1187787058"/>
        <w:rPr>
          <w:rFonts w:eastAsia="Times New Roman"/>
        </w:rPr>
      </w:pPr>
      <w:r>
        <w:rPr>
          <w:rFonts w:eastAsia="Times New Roman"/>
          <w:color w:val="000000"/>
          <w:sz w:val="20"/>
          <w:szCs w:val="20"/>
        </w:rPr>
        <w:t>Basic loss per share is computed by dividing net loss available to only the common stockholders by the weighted-average number of common shares outstanding for the period. Diluted loss per share includes the effect of potential common shares, such as the C</w:t>
      </w:r>
      <w:r>
        <w:rPr>
          <w:rFonts w:eastAsia="Times New Roman"/>
          <w:color w:val="000000"/>
          <w:sz w:val="20"/>
          <w:szCs w:val="20"/>
        </w:rPr>
        <w:t>ompany's Preferred Stock, Notes, warrants, stock options, restricted stock units and deferred stock units, to the extent the effect is dilutive. In periods with a net loss available to common stockholders, the anti-dilutive effect of these potential common</w:t>
      </w:r>
      <w:r>
        <w:rPr>
          <w:rFonts w:eastAsia="Times New Roman"/>
          <w:color w:val="000000"/>
          <w:sz w:val="20"/>
          <w:szCs w:val="20"/>
        </w:rPr>
        <w:t xml:space="preserve"> shares is excluded and diluted net loss per share is equal to basic net loss per share. </w:t>
      </w:r>
    </w:p>
    <w:p w:rsidR="00000000" w:rsidRDefault="00971A12">
      <w:pPr>
        <w:jc w:val="both"/>
        <w:divId w:val="1471632492"/>
        <w:rPr>
          <w:rFonts w:eastAsia="Times New Roman"/>
        </w:rPr>
      </w:pPr>
      <w:r>
        <w:rPr>
          <w:rFonts w:eastAsia="Times New Roman"/>
          <w:color w:val="000000"/>
          <w:sz w:val="20"/>
          <w:szCs w:val="20"/>
        </w:rPr>
        <w:t>The following is a summary of the Common Stock equivalents for the securities outstanding during the respective periods that have been excluded from the computation o</w:t>
      </w:r>
      <w:r>
        <w:rPr>
          <w:rFonts w:eastAsia="Times New Roman"/>
          <w:color w:val="000000"/>
          <w:sz w:val="20"/>
          <w:szCs w:val="20"/>
        </w:rPr>
        <w:t>f diluted net loss per common share, as their effect would be anti-dilutive: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728"/>
        <w:gridCol w:w="37"/>
        <w:gridCol w:w="36"/>
        <w:gridCol w:w="36"/>
        <w:gridCol w:w="36"/>
        <w:gridCol w:w="78"/>
        <w:gridCol w:w="887"/>
        <w:gridCol w:w="38"/>
        <w:gridCol w:w="37"/>
        <w:gridCol w:w="37"/>
        <w:gridCol w:w="37"/>
        <w:gridCol w:w="70"/>
        <w:gridCol w:w="813"/>
        <w:gridCol w:w="38"/>
        <w:gridCol w:w="36"/>
        <w:gridCol w:w="36"/>
        <w:gridCol w:w="36"/>
        <w:gridCol w:w="70"/>
        <w:gridCol w:w="855"/>
        <w:gridCol w:w="37"/>
        <w:gridCol w:w="36"/>
        <w:gridCol w:w="36"/>
        <w:gridCol w:w="36"/>
        <w:gridCol w:w="36"/>
        <w:gridCol w:w="36"/>
        <w:gridCol w:w="36"/>
        <w:gridCol w:w="36"/>
        <w:gridCol w:w="36"/>
      </w:tblGrid>
      <w:tr w:rsidR="00000000">
        <w:trPr>
          <w:divId w:val="193932195"/>
          <w:jc w:val="center"/>
        </w:trPr>
        <w:tc>
          <w:tcPr>
            <w:tcW w:w="50" w:type="pct"/>
            <w:vAlign w:val="center"/>
            <w:hideMark/>
          </w:tcPr>
          <w:p w:rsidR="00000000" w:rsidRDefault="00971A12">
            <w:pPr>
              <w:jc w:val="both"/>
              <w:rPr>
                <w:rFonts w:eastAsia="Times New Roman"/>
              </w:rPr>
            </w:pPr>
          </w:p>
        </w:tc>
        <w:tc>
          <w:tcPr>
            <w:tcW w:w="2972"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93932195"/>
          <w:jc w:val="center"/>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15"/>
            <w:tcMar>
              <w:top w:w="30" w:type="dxa"/>
              <w:left w:w="20" w:type="dxa"/>
              <w:bottom w:w="30" w:type="dxa"/>
              <w:right w:w="20" w:type="dxa"/>
            </w:tcMar>
            <w:vAlign w:val="center"/>
            <w:hideMark/>
          </w:tcPr>
          <w:p w:rsidR="00000000" w:rsidRDefault="00971A12">
            <w:pPr>
              <w:spacing w:after="100"/>
              <w:jc w:val="center"/>
              <w:rPr>
                <w:rFonts w:eastAsia="Times New Roman"/>
              </w:rPr>
            </w:pPr>
            <w:r>
              <w:rPr>
                <w:rFonts w:eastAsia="Times New Roman"/>
                <w:b/>
                <w:bCs/>
                <w:color w:val="000000"/>
                <w:sz w:val="16"/>
                <w:szCs w:val="16"/>
              </w:rPr>
              <w:t>Years Ended December 31,</w:t>
            </w:r>
          </w:p>
        </w:tc>
        <w:tc>
          <w:tcPr>
            <w:tcW w:w="0" w:type="auto"/>
            <w:vAlign w:val="center"/>
            <w:hideMark/>
          </w:tcPr>
          <w:p w:rsidR="00000000" w:rsidRDefault="00971A12">
            <w:pPr>
              <w:spacing w:after="100"/>
              <w:jc w:val="center"/>
              <w:rPr>
                <w:rFonts w:eastAsia="Times New Roman"/>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93932195"/>
          <w:jc w:val="center"/>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971A12">
            <w:pPr>
              <w:spacing w:after="100"/>
              <w:jc w:val="center"/>
              <w:rPr>
                <w:rFonts w:eastAsia="Times New Roman"/>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93932195"/>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1160804782"/>
              <w:rPr>
                <w:rFonts w:eastAsia="Times New Roman"/>
              </w:rPr>
            </w:pPr>
            <w:r>
              <w:rPr>
                <w:rFonts w:eastAsia="Times New Roman"/>
                <w:color w:val="000000"/>
                <w:sz w:val="18"/>
                <w:szCs w:val="18"/>
              </w:rPr>
              <w:t>Preferred stock</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85,708,360 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66,926,499 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93932195"/>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Warrants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5,457,026 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5,457,026 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6,306,964 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93932195"/>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Stock options, restricted stock units and deferred stock units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4,981,624 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5,073,980 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3,898,327 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93932195"/>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divId w:val="873157637"/>
              <w:rPr>
                <w:rFonts w:eastAsia="Times New Roman"/>
              </w:rPr>
            </w:pPr>
            <w:r>
              <w:rPr>
                <w:rFonts w:eastAsia="Times New Roman"/>
                <w:color w:val="000000"/>
                <w:sz w:val="18"/>
                <w:szCs w:val="18"/>
              </w:rPr>
              <w:t>Contingent Consideration</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4,220,690 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93932195"/>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Senior secured convertible notes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1,232,483 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6,519,655 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93932195"/>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100,367,700 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78,689,988 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16,724,946 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bl>
    <w:p w:rsidR="00000000" w:rsidRDefault="00971A12">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Includes the effect of potential Common Stock that would be issued to settle unpaid dividends accrued to holders</w:t>
      </w:r>
      <w:r>
        <w:rPr>
          <w:rFonts w:eastAsia="Times New Roman"/>
          <w:color w:val="000000"/>
          <w:sz w:val="16"/>
          <w:szCs w:val="16"/>
        </w:rPr>
        <w:t xml:space="preserve"> of the Preferred Stock if they elected to convert their shares at the beginning of the period (or at the time of issuance, if later).</w:t>
      </w:r>
    </w:p>
    <w:p w:rsidR="00000000" w:rsidRDefault="00971A12">
      <w:pPr>
        <w:jc w:val="both"/>
        <w:rPr>
          <w:rFonts w:eastAsia="Times New Roman"/>
        </w:rPr>
      </w:pPr>
      <w:r>
        <w:rPr>
          <w:rFonts w:eastAsia="Times New Roman"/>
          <w:color w:val="000000"/>
          <w:sz w:val="10"/>
          <w:szCs w:val="10"/>
        </w:rPr>
        <w:t>(2)</w:t>
      </w:r>
      <w:r>
        <w:rPr>
          <w:rFonts w:eastAsia="Times New Roman"/>
          <w:color w:val="000000"/>
          <w:sz w:val="10"/>
          <w:szCs w:val="10"/>
        </w:rPr>
        <w:t xml:space="preserve"> </w:t>
      </w:r>
      <w:r>
        <w:rPr>
          <w:rFonts w:eastAsia="Times New Roman"/>
          <w:color w:val="000000"/>
          <w:sz w:val="16"/>
          <w:szCs w:val="16"/>
        </w:rPr>
        <w:t xml:space="preserve">A contingent consideration liability was recognized as part of the acquisition described in </w:t>
      </w:r>
      <w:hyperlink w:anchor="i0047531bd13046b986557e31951e34f8_103" w:history="1">
        <w:r>
          <w:rPr>
            <w:rStyle w:val="a3"/>
            <w:rFonts w:eastAsia="Times New Roman"/>
            <w:sz w:val="16"/>
            <w:szCs w:val="16"/>
          </w:rPr>
          <w:t>Footnote 3</w:t>
        </w:r>
      </w:hyperlink>
      <w:r>
        <w:rPr>
          <w:rFonts w:eastAsia="Times New Roman"/>
          <w:color w:val="000000"/>
          <w:sz w:val="16"/>
          <w:szCs w:val="16"/>
        </w:rPr>
        <w:t xml:space="preserve">, </w:t>
      </w:r>
      <w:r>
        <w:rPr>
          <w:rFonts w:eastAsia="Times New Roman"/>
          <w:i/>
          <w:iCs/>
          <w:color w:val="000000"/>
          <w:sz w:val="16"/>
          <w:szCs w:val="16"/>
        </w:rPr>
        <w:t>Business Combination.</w:t>
      </w:r>
      <w:r>
        <w:rPr>
          <w:rFonts w:eastAsia="Times New Roman"/>
          <w:color w:val="000000"/>
          <w:sz w:val="16"/>
          <w:szCs w:val="16"/>
        </w:rPr>
        <w:t xml:space="preserve"> </w:t>
      </w:r>
      <w:r>
        <w:rPr>
          <w:rFonts w:eastAsia="Times New Roman"/>
          <w:color w:val="000000"/>
          <w:sz w:val="16"/>
          <w:szCs w:val="16"/>
        </w:rPr>
        <w:t>The liability payments may be settled in any combination of cash or shares of Common Stock based on the volume-weighted average trading price of the Common Stock for the ten trading days prior to the date of each payment. Settlement of this liability in Co</w:t>
      </w:r>
      <w:r>
        <w:rPr>
          <w:rFonts w:eastAsia="Times New Roman"/>
          <w:color w:val="000000"/>
          <w:sz w:val="16"/>
          <w:szCs w:val="16"/>
        </w:rPr>
        <w:t>mmon Stock could potentially dilute basic earnings per share in future periods. The Company calculated a potential anti-dilutive share count based on the maximum contingent consideration as of December 31, 2022 of $4.9 million and the $1.16 per share closi</w:t>
      </w:r>
      <w:r>
        <w:rPr>
          <w:rFonts w:eastAsia="Times New Roman"/>
          <w:color w:val="000000"/>
          <w:sz w:val="16"/>
          <w:szCs w:val="16"/>
        </w:rPr>
        <w:t>ng price of the Company's Common Stock on the Nasdaq Global Select Market on December 30, 2022. The impact was determined to be negligible for 2021 based on the period the liability was outstanding.</w:t>
      </w:r>
    </w:p>
    <w:p w:rsidR="00000000" w:rsidRDefault="00971A12">
      <w:pPr>
        <w:jc w:val="both"/>
        <w:divId w:val="800853553"/>
        <w:rPr>
          <w:rFonts w:eastAsia="Times New Roman"/>
        </w:rPr>
      </w:pPr>
      <w:r>
        <w:rPr>
          <w:rFonts w:eastAsia="Times New Roman"/>
          <w:color w:val="000000"/>
          <w:sz w:val="20"/>
          <w:szCs w:val="20"/>
        </w:rPr>
        <w:t>For the year ended December 31, 2022, dividends paid to h</w:t>
      </w:r>
      <w:r>
        <w:rPr>
          <w:rFonts w:eastAsia="Times New Roman"/>
          <w:color w:val="000000"/>
          <w:sz w:val="20"/>
          <w:szCs w:val="20"/>
        </w:rPr>
        <w:t>olders of the Preferred Stock totaled $15.5 million. These dividends have been included in calculating the total loss available to common stockholders used in the calculation of basic and diluted loss per share.</w:t>
      </w:r>
    </w:p>
    <w:p w:rsidR="00000000" w:rsidRDefault="00971A12">
      <w:pPr>
        <w:ind w:hanging="360"/>
        <w:divId w:val="34280290"/>
        <w:rPr>
          <w:rFonts w:eastAsia="Times New Roman"/>
        </w:rPr>
      </w:pPr>
      <w:r>
        <w:rPr>
          <w:rFonts w:eastAsia="Times New Roman"/>
          <w:b/>
          <w:bCs/>
          <w:color w:val="000000"/>
          <w:sz w:val="20"/>
          <w:szCs w:val="20"/>
        </w:rPr>
        <w:t>3.Business Combination</w:t>
      </w:r>
    </w:p>
    <w:p w:rsidR="00000000" w:rsidRDefault="00971A12">
      <w:pPr>
        <w:jc w:val="both"/>
        <w:divId w:val="303899202"/>
        <w:rPr>
          <w:rFonts w:eastAsia="Times New Roman"/>
        </w:rPr>
      </w:pPr>
      <w:r>
        <w:rPr>
          <w:rFonts w:eastAsia="Times New Roman"/>
          <w:color w:val="000000"/>
          <w:sz w:val="20"/>
          <w:szCs w:val="20"/>
        </w:rPr>
        <w:t>On December 16, 2021,</w:t>
      </w:r>
      <w:r>
        <w:rPr>
          <w:rFonts w:eastAsia="Times New Roman"/>
          <w:color w:val="000000"/>
          <w:sz w:val="20"/>
          <w:szCs w:val="20"/>
        </w:rPr>
        <w:t xml:space="preserve"> the Company and two newly formed, wholly owned subsidiaries of the Company entered into the Merger Agreement with Shareablee, pursuant to which the Company acquired Shareablee. Total consideration payable to the former holders of Shareablee's capital stoc</w:t>
      </w:r>
      <w:r>
        <w:rPr>
          <w:rFonts w:eastAsia="Times New Roman"/>
          <w:color w:val="000000"/>
          <w:sz w:val="20"/>
          <w:szCs w:val="20"/>
        </w:rPr>
        <w:t>k and warrant, and certain underlying equity awards that were assumed by the Company, totaled 9,128,964 shares of Common Stock. This included 7,945,519 shares of Common Stock that were issuable at closing, 1,062,085 shares of Common Stock issuable pursuant</w:t>
      </w:r>
      <w:r>
        <w:rPr>
          <w:rFonts w:eastAsia="Times New Roman"/>
          <w:color w:val="000000"/>
          <w:sz w:val="20"/>
          <w:szCs w:val="20"/>
        </w:rPr>
        <w:t xml:space="preserve"> to replacement stock options and restricted stock unit awards, and 121,357 shares of Common Stock subject to holdback pending final working capital adjustments. In addition, certain holders of Shareablee's capital stock, warrant and equity awards may also</w:t>
      </w:r>
      <w:r>
        <w:rPr>
          <w:rFonts w:eastAsia="Times New Roman"/>
          <w:color w:val="000000"/>
          <w:sz w:val="20"/>
          <w:szCs w:val="20"/>
        </w:rPr>
        <w:t xml:space="preserve"> receive up to an aggregate of $8.6 million of contingent consideration over three years after the closing, subject to the satisfaction of certain conditions set forth in the Merger Agreement. The contingent consideration is payable in any combination of c</w:t>
      </w:r>
      <w:r>
        <w:rPr>
          <w:rFonts w:eastAsia="Times New Roman"/>
          <w:color w:val="000000"/>
          <w:sz w:val="20"/>
          <w:szCs w:val="20"/>
        </w:rPr>
        <w:t>ash and Common Stock, with any issuance of Common Stock to be based on the volume-weighted average trading price of the Common Stock for the ten full trading days ending on, and including the last business day prior to, the applicable date of the release o</w:t>
      </w:r>
      <w:r>
        <w:rPr>
          <w:rFonts w:eastAsia="Times New Roman"/>
          <w:color w:val="000000"/>
          <w:sz w:val="20"/>
          <w:szCs w:val="20"/>
        </w:rPr>
        <w:t>f the contingent payment. The amount of contingent consideration is based on the achievement of certain contractual milestones or a revenue target. Lastly, the Merger Agreement required a portion of cash held in escrow at closing to be paid to the former h</w:t>
      </w:r>
      <w:r>
        <w:rPr>
          <w:rFonts w:eastAsia="Times New Roman"/>
          <w:color w:val="000000"/>
          <w:sz w:val="20"/>
          <w:szCs w:val="20"/>
        </w:rPr>
        <w:t>olders of Shareablee securities.</w:t>
      </w:r>
    </w:p>
    <w:p w:rsidR="00000000" w:rsidRDefault="00971A12">
      <w:pPr>
        <w:jc w:val="both"/>
        <w:divId w:val="1325662510"/>
        <w:rPr>
          <w:rFonts w:eastAsia="Times New Roman"/>
        </w:rPr>
      </w:pPr>
      <w:r>
        <w:rPr>
          <w:rFonts w:eastAsia="Times New Roman"/>
          <w:color w:val="000000"/>
          <w:sz w:val="20"/>
          <w:szCs w:val="20"/>
        </w:rPr>
        <w:t>Itzhak Fisher, a member of the Company's Board, is a former director, stockholder and equity award holder of Shareablee. The fair value of Mr. Fisher's issuable Common Stock and replacement stock options totaled $0.7 millio</w:t>
      </w:r>
      <w:r>
        <w:rPr>
          <w:rFonts w:eastAsia="Times New Roman"/>
          <w:color w:val="000000"/>
          <w:sz w:val="20"/>
          <w:szCs w:val="20"/>
        </w:rPr>
        <w:t>n at closing, of which $0.4 million was recognized immediately as stock-based compensation expense and $0.3 million was classified as purchase consideration. Mr. Fisher is also eligible to receive $0.3 million in contingent consideration pursuant to the te</w:t>
      </w:r>
      <w:r>
        <w:rPr>
          <w:rFonts w:eastAsia="Times New Roman"/>
          <w:color w:val="000000"/>
          <w:sz w:val="20"/>
          <w:szCs w:val="20"/>
        </w:rPr>
        <w:t>rms described above.</w:t>
      </w:r>
    </w:p>
    <w:p w:rsidR="00000000" w:rsidRDefault="00971A12">
      <w:pPr>
        <w:jc w:val="both"/>
        <w:divId w:val="950479473"/>
        <w:rPr>
          <w:rFonts w:eastAsia="Times New Roman"/>
        </w:rPr>
      </w:pPr>
      <w:r>
        <w:rPr>
          <w:rFonts w:eastAsia="Times New Roman"/>
          <w:color w:val="000000"/>
          <w:sz w:val="20"/>
          <w:szCs w:val="20"/>
        </w:rPr>
        <w:t>The total consideration paid or payable by the Company related to the Merger was $31.4 million. A summary of the consideration is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7138"/>
        <w:gridCol w:w="38"/>
        <w:gridCol w:w="110"/>
        <w:gridCol w:w="929"/>
        <w:gridCol w:w="36"/>
      </w:tblGrid>
      <w:tr w:rsidR="00000000">
        <w:trPr>
          <w:divId w:val="286283849"/>
          <w:jc w:val="center"/>
        </w:trPr>
        <w:tc>
          <w:tcPr>
            <w:tcW w:w="50" w:type="pct"/>
            <w:vAlign w:val="center"/>
            <w:hideMark/>
          </w:tcPr>
          <w:p w:rsidR="00000000" w:rsidRDefault="00971A12">
            <w:pPr>
              <w:jc w:val="both"/>
              <w:rPr>
                <w:rFonts w:eastAsia="Times New Roman"/>
              </w:rPr>
            </w:pPr>
          </w:p>
        </w:tc>
        <w:tc>
          <w:tcPr>
            <w:tcW w:w="431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286283849"/>
          <w:jc w:val="center"/>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Fair Value</w:t>
            </w:r>
          </w:p>
        </w:tc>
      </w:tr>
      <w:tr w:rsidR="00000000">
        <w:trPr>
          <w:divId w:val="286283849"/>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divId w:val="1371028012"/>
              <w:rPr>
                <w:rFonts w:eastAsia="Times New Roman"/>
              </w:rPr>
            </w:pPr>
            <w:r>
              <w:rPr>
                <w:rFonts w:eastAsia="Times New Roman"/>
                <w:color w:val="000000"/>
                <w:sz w:val="18"/>
                <w:szCs w:val="18"/>
              </w:rPr>
              <w:t>Common Stock</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25,329 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86283849"/>
          <w:jc w:val="center"/>
        </w:trPr>
        <w:tc>
          <w:tcPr>
            <w:tcW w:w="0" w:type="auto"/>
            <w:gridSpan w:val="3"/>
            <w:shd w:val="clear" w:color="auto" w:fill="FFFFFF"/>
            <w:tcMar>
              <w:top w:w="30" w:type="dxa"/>
              <w:left w:w="20" w:type="dxa"/>
              <w:bottom w:w="30" w:type="dxa"/>
              <w:right w:w="20" w:type="dxa"/>
            </w:tcMar>
            <w:hideMark/>
          </w:tcPr>
          <w:p w:rsidR="00000000" w:rsidRDefault="00971A12">
            <w:pPr>
              <w:spacing w:after="100"/>
              <w:divId w:val="819931614"/>
              <w:rPr>
                <w:rFonts w:eastAsia="Times New Roman"/>
              </w:rPr>
            </w:pPr>
            <w:r>
              <w:rPr>
                <w:rFonts w:eastAsia="Times New Roman"/>
                <w:color w:val="000000"/>
                <w:sz w:val="18"/>
                <w:szCs w:val="18"/>
              </w:rPr>
              <w:t>Contingent consideration</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5,600 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86283849"/>
          <w:jc w:val="center"/>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Replacement stock options and restricted stock unit awards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260 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86283849"/>
          <w:jc w:val="center"/>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Escrow payable to former stockholders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86283849"/>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Total purchase consideration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31,373 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Calculated based on 7,945,519 </w:t>
      </w:r>
      <w:r>
        <w:rPr>
          <w:rFonts w:eastAsia="Times New Roman"/>
          <w:color w:val="000000"/>
          <w:sz w:val="16"/>
          <w:szCs w:val="16"/>
        </w:rPr>
        <w:t>shares of Common Stock issued upon closing, an estimated 121,360 shares of Common Stock to be issued upon completion of a final working capital assessment, and the $3.14 per share closing price of the Company's Common Stock on the Nasdaq Global Select Mark</w:t>
      </w:r>
      <w:r>
        <w:rPr>
          <w:rFonts w:eastAsia="Times New Roman"/>
          <w:color w:val="000000"/>
          <w:sz w:val="16"/>
          <w:szCs w:val="16"/>
        </w:rPr>
        <w:t>et on December 16, 2021.</w:t>
      </w:r>
    </w:p>
    <w:p w:rsidR="00000000" w:rsidRDefault="00971A12">
      <w:pPr>
        <w:jc w:val="both"/>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 Refer to </w:t>
      </w:r>
      <w:hyperlink w:anchor="i0047531bd13046b986557e31951e34f8_94" w:history="1">
        <w:r>
          <w:rPr>
            <w:rStyle w:val="a3"/>
            <w:rFonts w:eastAsia="Times New Roman"/>
            <w:sz w:val="16"/>
            <w:szCs w:val="16"/>
          </w:rPr>
          <w:t>Footnote 2</w:t>
        </w:r>
      </w:hyperlink>
      <w:r>
        <w:rPr>
          <w:rFonts w:eastAsia="Times New Roman"/>
          <w:color w:val="000000"/>
          <w:sz w:val="16"/>
          <w:szCs w:val="16"/>
        </w:rPr>
        <w:t xml:space="preserve">, </w:t>
      </w:r>
      <w:r>
        <w:rPr>
          <w:rFonts w:eastAsia="Times New Roman"/>
          <w:i/>
          <w:iCs/>
          <w:color w:val="000000"/>
          <w:sz w:val="16"/>
          <w:szCs w:val="16"/>
        </w:rPr>
        <w:t>Summary of Significant Accounting Policies</w:t>
      </w:r>
      <w:r>
        <w:rPr>
          <w:rFonts w:eastAsia="Times New Roman"/>
          <w:color w:val="000000"/>
          <w:sz w:val="16"/>
          <w:szCs w:val="16"/>
        </w:rPr>
        <w:t xml:space="preserve"> for additional information on the selected valuation technique, and </w:t>
      </w:r>
      <w:hyperlink w:anchor="i0047531bd13046b986557e31951e34f8_130" w:history="1">
        <w:r>
          <w:rPr>
            <w:rStyle w:val="a3"/>
            <w:rFonts w:eastAsia="Times New Roman"/>
            <w:sz w:val="16"/>
            <w:szCs w:val="16"/>
          </w:rPr>
          <w:t>Footnote 7</w:t>
        </w:r>
      </w:hyperlink>
      <w:r>
        <w:rPr>
          <w:rFonts w:eastAsia="Times New Roman"/>
          <w:color w:val="000000"/>
          <w:sz w:val="16"/>
          <w:szCs w:val="16"/>
        </w:rPr>
        <w:t xml:space="preserve">, </w:t>
      </w:r>
      <w:r>
        <w:rPr>
          <w:rFonts w:eastAsia="Times New Roman"/>
          <w:i/>
          <w:iCs/>
          <w:color w:val="000000"/>
          <w:sz w:val="16"/>
          <w:szCs w:val="16"/>
        </w:rPr>
        <w:t>Fair Value Measurements</w:t>
      </w:r>
      <w:r>
        <w:rPr>
          <w:rFonts w:eastAsia="Times New Roman"/>
          <w:color w:val="000000"/>
          <w:sz w:val="16"/>
          <w:szCs w:val="16"/>
        </w:rPr>
        <w:t xml:space="preserve"> for inputs in deriving the fair value as of December 16, 2021. The Company concluded any change in fair value between December 16, 2021 and December 31, 2021 was negligible. </w:t>
      </w:r>
    </w:p>
    <w:p w:rsidR="00000000" w:rsidRDefault="00971A12">
      <w:pPr>
        <w:jc w:val="center"/>
        <w:divId w:val="44765380"/>
        <w:rPr>
          <w:rFonts w:eastAsia="Times New Roman"/>
        </w:rPr>
      </w:pPr>
      <w:r>
        <w:rPr>
          <w:rFonts w:eastAsia="Times New Roman"/>
          <w:color w:val="000000"/>
          <w:sz w:val="20"/>
          <w:szCs w:val="20"/>
        </w:rPr>
        <w:t>62</w:t>
      </w:r>
    </w:p>
    <w:p w:rsidR="00000000" w:rsidRDefault="00971A12">
      <w:pPr>
        <w:rPr>
          <w:rFonts w:eastAsia="Times New Roman"/>
        </w:rPr>
      </w:pPr>
      <w:r>
        <w:rPr>
          <w:rFonts w:eastAsia="Times New Roman"/>
        </w:rPr>
        <w:pict>
          <v:rect id="_x0000_i1090" style="width:0;height:1.5pt" o:hralign="center" o:hrstd="t" o:hr="t" fillcolor="#a0a0a0" stroked="f"/>
        </w:pict>
      </w:r>
    </w:p>
    <w:p w:rsidR="00000000" w:rsidRDefault="00971A12">
      <w:pPr>
        <w:divId w:val="830172049"/>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387753337"/>
        <w:rPr>
          <w:rFonts w:eastAsia="Times New Roman"/>
        </w:rPr>
      </w:pPr>
    </w:p>
    <w:p w:rsidR="00000000" w:rsidRDefault="00971A12">
      <w:pPr>
        <w:jc w:val="both"/>
        <w:divId w:val="1116216498"/>
        <w:rPr>
          <w:rFonts w:eastAsia="Times New Roman"/>
        </w:rPr>
      </w:pPr>
      <w:r>
        <w:rPr>
          <w:rFonts w:eastAsia="Times New Roman"/>
          <w:color w:val="000000"/>
          <w:sz w:val="20"/>
          <w:szCs w:val="20"/>
        </w:rPr>
        <w:t>A summary of the total purchase consideration for Shareablee that was allocated to the acquired assets and liabilities based on their fair value as of the date of the Merger is as follows:</w:t>
      </w:r>
    </w:p>
    <w:tbl>
      <w:tblPr>
        <w:tblW w:w="5000" w:type="pct"/>
        <w:tblCellMar>
          <w:top w:w="15" w:type="dxa"/>
          <w:left w:w="15" w:type="dxa"/>
          <w:bottom w:w="15" w:type="dxa"/>
          <w:right w:w="15" w:type="dxa"/>
        </w:tblCellMar>
        <w:tblLook w:val="04A0" w:firstRow="1" w:lastRow="0" w:firstColumn="1" w:lastColumn="0" w:noHBand="0" w:noVBand="1"/>
      </w:tblPr>
      <w:tblGrid>
        <w:gridCol w:w="54"/>
        <w:gridCol w:w="7138"/>
        <w:gridCol w:w="38"/>
        <w:gridCol w:w="111"/>
        <w:gridCol w:w="929"/>
        <w:gridCol w:w="36"/>
      </w:tblGrid>
      <w:tr w:rsidR="00000000">
        <w:trPr>
          <w:divId w:val="1497107587"/>
        </w:trPr>
        <w:tc>
          <w:tcPr>
            <w:tcW w:w="50" w:type="pct"/>
            <w:vAlign w:val="center"/>
            <w:hideMark/>
          </w:tcPr>
          <w:p w:rsidR="00000000" w:rsidRDefault="00971A12">
            <w:pPr>
              <w:jc w:val="both"/>
              <w:rPr>
                <w:rFonts w:eastAsia="Times New Roman"/>
              </w:rPr>
            </w:pPr>
          </w:p>
        </w:tc>
        <w:tc>
          <w:tcPr>
            <w:tcW w:w="431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497107587"/>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center"/>
            <w:hideMark/>
          </w:tcPr>
          <w:p w:rsidR="00000000" w:rsidRDefault="00971A12">
            <w:pPr>
              <w:spacing w:after="100"/>
              <w:jc w:val="center"/>
              <w:rPr>
                <w:rFonts w:eastAsia="Times New Roman"/>
              </w:rPr>
            </w:pPr>
            <w:r>
              <w:rPr>
                <w:rFonts w:eastAsia="Times New Roman"/>
                <w:b/>
                <w:bCs/>
                <w:color w:val="000000"/>
                <w:sz w:val="16"/>
                <w:szCs w:val="16"/>
              </w:rPr>
              <w:t>December 16, 2021</w:t>
            </w:r>
          </w:p>
        </w:tc>
      </w:tr>
      <w:tr w:rsidR="00000000">
        <w:trPr>
          <w:divId w:val="1497107587"/>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Net working capital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497107587"/>
        </w:trPr>
        <w:tc>
          <w:tcPr>
            <w:tcW w:w="0" w:type="auto"/>
            <w:gridSpan w:val="3"/>
            <w:shd w:val="clear" w:color="auto" w:fill="FFFF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Property and equipment, net</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4,578 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497107587"/>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Deferred tax liabilities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(2,817)</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497107587"/>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Other assets and liabilities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497107587"/>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Definite-lived intangible assets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12,644 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497107587"/>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Goodwill</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19,202 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497107587"/>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Total purchase consideration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31,373 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both"/>
        <w:divId w:val="2029334789"/>
        <w:rPr>
          <w:rFonts w:eastAsia="Times New Roman"/>
        </w:rPr>
      </w:pPr>
      <w:r>
        <w:rPr>
          <w:rFonts w:eastAsia="Times New Roman"/>
          <w:color w:val="000000"/>
          <w:sz w:val="20"/>
          <w:szCs w:val="20"/>
        </w:rPr>
        <w:t xml:space="preserve">The goodwill and intangible assets recorded as a result of the Merger are not deductible for income tax purposes. The goodwill includes the value of the Shareablee acquired workforce, the expected cost synergies to be realized by the Company following the </w:t>
      </w:r>
      <w:r>
        <w:rPr>
          <w:rFonts w:eastAsia="Times New Roman"/>
          <w:color w:val="000000"/>
          <w:sz w:val="20"/>
          <w:szCs w:val="20"/>
        </w:rPr>
        <w:t>Merger, the opportunity to combine the Company's digital information with Shareablee's social data and insights to enhance the Company's syndicated product offerings, and the opportunity to sell Shareablee products to the Company's customer base.</w:t>
      </w:r>
    </w:p>
    <w:p w:rsidR="00000000" w:rsidRDefault="00971A12">
      <w:pPr>
        <w:jc w:val="both"/>
        <w:divId w:val="648292411"/>
        <w:rPr>
          <w:rFonts w:eastAsia="Times New Roman"/>
        </w:rPr>
      </w:pPr>
      <w:r>
        <w:rPr>
          <w:rFonts w:eastAsia="Times New Roman"/>
          <w:color w:val="000000"/>
          <w:sz w:val="20"/>
          <w:szCs w:val="20"/>
        </w:rPr>
        <w:t>The follo</w:t>
      </w:r>
      <w:r>
        <w:rPr>
          <w:rFonts w:eastAsia="Times New Roman"/>
          <w:color w:val="000000"/>
          <w:sz w:val="20"/>
          <w:szCs w:val="20"/>
        </w:rPr>
        <w:t>wing table outlines the fair value of the definite-lived intangible assets and the useful life for each type of intangible asset acquired. The intangible assets are amortized using a straight-line method over the respective useful life of the intangible as</w:t>
      </w:r>
      <w:r>
        <w:rPr>
          <w:rFonts w:eastAsia="Times New Roman"/>
          <w:color w:val="000000"/>
          <w:sz w:val="20"/>
          <w:szCs w:val="20"/>
        </w:rPr>
        <w:t>set.</w:t>
      </w: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6038"/>
        <w:gridCol w:w="38"/>
        <w:gridCol w:w="48"/>
        <w:gridCol w:w="922"/>
        <w:gridCol w:w="36"/>
        <w:gridCol w:w="36"/>
        <w:gridCol w:w="36"/>
        <w:gridCol w:w="36"/>
        <w:gridCol w:w="110"/>
        <w:gridCol w:w="922"/>
        <w:gridCol w:w="36"/>
      </w:tblGrid>
      <w:tr w:rsidR="00000000">
        <w:trPr>
          <w:divId w:val="472403678"/>
          <w:jc w:val="center"/>
        </w:trPr>
        <w:tc>
          <w:tcPr>
            <w:tcW w:w="50" w:type="pct"/>
            <w:vAlign w:val="center"/>
            <w:hideMark/>
          </w:tcPr>
          <w:p w:rsidR="00000000" w:rsidRDefault="00971A12">
            <w:pPr>
              <w:jc w:val="both"/>
              <w:rPr>
                <w:rFonts w:eastAsia="Times New Roman"/>
              </w:rPr>
            </w:pPr>
          </w:p>
        </w:tc>
        <w:tc>
          <w:tcPr>
            <w:tcW w:w="365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472403678"/>
          <w:jc w:val="center"/>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Useful Lives (Years)</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Fair Value</w:t>
            </w:r>
          </w:p>
        </w:tc>
      </w:tr>
      <w:tr w:rsidR="00000000">
        <w:trPr>
          <w:divId w:val="472403678"/>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divId w:val="2128045360"/>
              <w:rPr>
                <w:rFonts w:eastAsia="Times New Roman"/>
              </w:rPr>
            </w:pPr>
            <w:r>
              <w:rPr>
                <w:rFonts w:eastAsia="Times New Roman"/>
                <w:color w:val="000000"/>
                <w:sz w:val="18"/>
                <w:szCs w:val="18"/>
              </w:rPr>
              <w:t>Customer relationships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5</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472403678"/>
          <w:jc w:val="center"/>
        </w:trPr>
        <w:tc>
          <w:tcPr>
            <w:tcW w:w="0" w:type="auto"/>
            <w:gridSpan w:val="3"/>
            <w:shd w:val="clear" w:color="auto" w:fill="FFFFFF"/>
            <w:tcMar>
              <w:top w:w="30" w:type="dxa"/>
              <w:left w:w="20" w:type="dxa"/>
              <w:bottom w:w="30" w:type="dxa"/>
              <w:right w:w="20" w:type="dxa"/>
            </w:tcMar>
            <w:hideMark/>
          </w:tcPr>
          <w:p w:rsidR="00000000" w:rsidRDefault="00971A12">
            <w:pPr>
              <w:spacing w:after="100"/>
              <w:divId w:val="2077823872"/>
              <w:rPr>
                <w:rFonts w:eastAsia="Times New Roman"/>
              </w:rPr>
            </w:pPr>
            <w:r>
              <w:rPr>
                <w:rFonts w:eastAsia="Times New Roman"/>
                <w:color w:val="000000"/>
                <w:sz w:val="18"/>
                <w:szCs w:val="18"/>
              </w:rPr>
              <w:t>Acquired methodologies and technology</w:t>
            </w:r>
            <w:r>
              <w:rPr>
                <w:rFonts w:eastAsia="Times New Roman"/>
                <w:color w:val="000000"/>
                <w:sz w:val="18"/>
                <w:szCs w:val="18"/>
              </w:rPr>
              <w:t xml:space="preserve"> </w:t>
            </w:r>
            <w:r>
              <w:rPr>
                <w:rFonts w:eastAsia="Times New Roman"/>
                <w:color w:val="000000"/>
                <w:sz w:val="12"/>
                <w:szCs w:val="12"/>
              </w:rPr>
              <w:t>(1) (2</w:t>
            </w:r>
            <w:r>
              <w:rPr>
                <w:rFonts w:eastAsia="Times New Roman"/>
                <w:color w:val="000000"/>
                <w:sz w:val="12"/>
                <w:szCs w:val="12"/>
              </w:rPr>
              <w:t>)</w:t>
            </w: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5</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6,044 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472403678"/>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472403678"/>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Total definite-lived intangible assets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12,644 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w:t>
      </w:r>
      <w:r>
        <w:rPr>
          <w:rFonts w:eastAsia="Times New Roman"/>
          <w:color w:val="000000"/>
          <w:sz w:val="16"/>
          <w:szCs w:val="16"/>
        </w:rPr>
        <w:t xml:space="preserve">The fair values of these assets are derived from techniques which utilize inputs, certain of which are significant and unobservable, that result in classification as Level 3 fair value measurements. Refer to </w:t>
      </w:r>
      <w:hyperlink w:anchor="i0047531bd13046b986557e31951e34f8_94" w:history="1">
        <w:r>
          <w:rPr>
            <w:rStyle w:val="a3"/>
            <w:rFonts w:eastAsia="Times New Roman"/>
            <w:sz w:val="16"/>
            <w:szCs w:val="16"/>
          </w:rPr>
          <w:t>Footnote 2</w:t>
        </w:r>
      </w:hyperlink>
      <w:r>
        <w:rPr>
          <w:rFonts w:eastAsia="Times New Roman"/>
          <w:color w:val="000000"/>
          <w:sz w:val="16"/>
          <w:szCs w:val="16"/>
        </w:rPr>
        <w:t xml:space="preserve">, </w:t>
      </w:r>
      <w:r>
        <w:rPr>
          <w:rFonts w:eastAsia="Times New Roman"/>
          <w:i/>
          <w:iCs/>
          <w:color w:val="000000"/>
          <w:sz w:val="16"/>
          <w:szCs w:val="16"/>
        </w:rPr>
        <w:t>Summary of Significant Accounting Policies</w:t>
      </w:r>
      <w:r>
        <w:rPr>
          <w:rFonts w:eastAsia="Times New Roman"/>
          <w:color w:val="000000"/>
          <w:sz w:val="16"/>
          <w:szCs w:val="16"/>
        </w:rPr>
        <w:t xml:space="preserve"> for additional information on the selected valuation techniques.</w:t>
      </w:r>
    </w:p>
    <w:p w:rsidR="00000000" w:rsidRDefault="00971A12">
      <w:pPr>
        <w:jc w:val="both"/>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 </w:t>
      </w:r>
      <w:r>
        <w:rPr>
          <w:rFonts w:eastAsia="Times New Roman"/>
          <w:color w:val="000000"/>
          <w:sz w:val="16"/>
          <w:szCs w:val="16"/>
        </w:rPr>
        <w:t xml:space="preserve">The acquisition-date fair value of acquired methodologies and technology was $10.6 million. The $6.0 million recognized within intangible assets, net reflects the incremental fair value adjustment to $4.6 million of capitalized internal-use software costs </w:t>
      </w:r>
      <w:r>
        <w:rPr>
          <w:rFonts w:eastAsia="Times New Roman"/>
          <w:color w:val="000000"/>
          <w:sz w:val="16"/>
          <w:szCs w:val="16"/>
        </w:rPr>
        <w:t xml:space="preserve">recorded at net book value within property and equipment, net as of December 16, 2021. </w:t>
      </w:r>
    </w:p>
    <w:p w:rsidR="00000000" w:rsidRDefault="00971A12">
      <w:pPr>
        <w:jc w:val="both"/>
        <w:divId w:val="676269534"/>
        <w:rPr>
          <w:rFonts w:eastAsia="Times New Roman"/>
        </w:rPr>
      </w:pPr>
      <w:r>
        <w:rPr>
          <w:rFonts w:eastAsia="Times New Roman"/>
          <w:color w:val="000000"/>
          <w:sz w:val="20"/>
          <w:szCs w:val="20"/>
        </w:rPr>
        <w:t>The primary assets acquired were the developed methodologies and technology, which include a proprietary taxonomy and analytics platform that processes and repackages i</w:t>
      </w:r>
      <w:r>
        <w:rPr>
          <w:rFonts w:eastAsia="Times New Roman"/>
          <w:color w:val="000000"/>
          <w:sz w:val="20"/>
          <w:szCs w:val="20"/>
        </w:rPr>
        <w:t>nformation on social media data consumption across four large social media platforms.</w:t>
      </w:r>
    </w:p>
    <w:p w:rsidR="00000000" w:rsidRDefault="00971A12">
      <w:pPr>
        <w:jc w:val="both"/>
        <w:divId w:val="443187015"/>
        <w:rPr>
          <w:rFonts w:eastAsia="Times New Roman"/>
        </w:rPr>
      </w:pPr>
      <w:r>
        <w:rPr>
          <w:rFonts w:eastAsia="Times New Roman"/>
          <w:color w:val="000000"/>
          <w:sz w:val="20"/>
          <w:szCs w:val="20"/>
        </w:rPr>
        <w:t>The Company incurred professional fees directly attributable to the Merger, primarily consisting of legal fees totaling $0.5 million during 2021. These fees are reflected</w:t>
      </w:r>
      <w:r>
        <w:rPr>
          <w:rFonts w:eastAsia="Times New Roman"/>
          <w:color w:val="000000"/>
          <w:sz w:val="20"/>
          <w:szCs w:val="20"/>
        </w:rPr>
        <w:t xml:space="preserve"> in general and administrative expenses in the Consolidated Statements of Operations and Comprehensive Loss.</w:t>
      </w:r>
    </w:p>
    <w:p w:rsidR="00000000" w:rsidRDefault="00971A12">
      <w:pPr>
        <w:jc w:val="both"/>
        <w:divId w:val="2007441138"/>
        <w:rPr>
          <w:rFonts w:eastAsia="Times New Roman"/>
        </w:rPr>
      </w:pPr>
      <w:r>
        <w:rPr>
          <w:rFonts w:eastAsia="Times New Roman"/>
          <w:color w:val="000000"/>
          <w:sz w:val="20"/>
          <w:szCs w:val="20"/>
        </w:rPr>
        <w:t>The financial results of Shareablee were included in the Company's Consolidated Financial Statements from the date of the Merger, December 16, 2021</w:t>
      </w:r>
      <w:r>
        <w:rPr>
          <w:rFonts w:eastAsia="Times New Roman"/>
          <w:color w:val="000000"/>
          <w:sz w:val="20"/>
          <w:szCs w:val="20"/>
        </w:rPr>
        <w:t>. For the year ended December 31, 2021, Shareablee contributed revenues of $0.4 million and loss before income tax provision of $1.4 million. The loss includes $1.5 million in stock-based compensation recognized immediately following the closing date perta</w:t>
      </w:r>
      <w:r>
        <w:rPr>
          <w:rFonts w:eastAsia="Times New Roman"/>
          <w:color w:val="000000"/>
          <w:sz w:val="20"/>
          <w:szCs w:val="20"/>
        </w:rPr>
        <w:t>ining to replacement stock options and restricted stock unit awards issued to Shareablee equity award holders.</w:t>
      </w:r>
    </w:p>
    <w:p w:rsidR="00000000" w:rsidRDefault="00971A12">
      <w:pPr>
        <w:jc w:val="both"/>
        <w:divId w:val="852647949"/>
        <w:rPr>
          <w:rFonts w:eastAsia="Times New Roman"/>
        </w:rPr>
      </w:pPr>
      <w:r>
        <w:rPr>
          <w:rFonts w:eastAsia="Times New Roman"/>
          <w:color w:val="000000"/>
          <w:sz w:val="20"/>
          <w:szCs w:val="20"/>
        </w:rPr>
        <w:t>Pro forma results of operations for the Merger have not been presented because they are not material to the Company's consolidated results of ope</w:t>
      </w:r>
      <w:r>
        <w:rPr>
          <w:rFonts w:eastAsia="Times New Roman"/>
          <w:color w:val="000000"/>
          <w:sz w:val="20"/>
          <w:szCs w:val="20"/>
        </w:rPr>
        <w:t>rations.</w:t>
      </w:r>
    </w:p>
    <w:p w:rsidR="00000000" w:rsidRDefault="00971A12">
      <w:pPr>
        <w:jc w:val="center"/>
        <w:divId w:val="1712605809"/>
        <w:rPr>
          <w:rFonts w:eastAsia="Times New Roman"/>
        </w:rPr>
      </w:pPr>
      <w:r>
        <w:rPr>
          <w:rFonts w:eastAsia="Times New Roman"/>
          <w:color w:val="000000"/>
          <w:sz w:val="20"/>
          <w:szCs w:val="20"/>
        </w:rPr>
        <w:t>63</w:t>
      </w:r>
    </w:p>
    <w:p w:rsidR="00000000" w:rsidRDefault="00971A12">
      <w:pPr>
        <w:rPr>
          <w:rFonts w:eastAsia="Times New Roman"/>
        </w:rPr>
      </w:pPr>
      <w:r>
        <w:rPr>
          <w:rFonts w:eastAsia="Times New Roman"/>
        </w:rPr>
        <w:pict>
          <v:rect id="_x0000_i1091" style="width:0;height:1.5pt" o:hralign="center" o:hrstd="t" o:hr="t" fillcolor="#a0a0a0" stroked="f"/>
        </w:pict>
      </w:r>
    </w:p>
    <w:p w:rsidR="00000000" w:rsidRDefault="00971A12">
      <w:pPr>
        <w:divId w:val="1767992930"/>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583026969"/>
        <w:rPr>
          <w:rFonts w:eastAsia="Times New Roman"/>
        </w:rPr>
      </w:pPr>
    </w:p>
    <w:p w:rsidR="00000000" w:rsidRDefault="00971A12">
      <w:pPr>
        <w:ind w:hanging="360"/>
        <w:divId w:val="2016568439"/>
        <w:rPr>
          <w:rFonts w:eastAsia="Times New Roman"/>
        </w:rPr>
      </w:pPr>
      <w:r>
        <w:rPr>
          <w:rFonts w:eastAsia="Times New Roman"/>
          <w:b/>
          <w:bCs/>
          <w:color w:val="000000"/>
          <w:sz w:val="20"/>
          <w:szCs w:val="20"/>
        </w:rPr>
        <w:t>4.Revenue Recognition</w:t>
      </w:r>
    </w:p>
    <w:p w:rsidR="00000000" w:rsidRDefault="00971A12">
      <w:pPr>
        <w:jc w:val="both"/>
        <w:divId w:val="1547527131"/>
        <w:rPr>
          <w:rFonts w:eastAsia="Times New Roman"/>
        </w:rPr>
      </w:pPr>
      <w:r>
        <w:rPr>
          <w:rFonts w:eastAsia="Times New Roman"/>
          <w:color w:val="000000"/>
          <w:sz w:val="20"/>
          <w:szCs w:val="20"/>
        </w:rPr>
        <w:t>The following table presents the Company's revenue disaggregated by solution group, geographical market and timing of transfer of products and services. The Company attributes revenue to geographical markets based on the location of the customer. The Compa</w:t>
      </w:r>
      <w:r>
        <w:rPr>
          <w:rFonts w:eastAsia="Times New Roman"/>
          <w:color w:val="000000"/>
          <w:sz w:val="20"/>
          <w:szCs w:val="20"/>
        </w:rPr>
        <w:t xml:space="preserve">ny has one reportable segment in accordance with ASC 280, </w:t>
      </w:r>
      <w:r>
        <w:rPr>
          <w:rFonts w:eastAsia="Times New Roman"/>
          <w:i/>
          <w:iCs/>
          <w:color w:val="000000"/>
          <w:sz w:val="20"/>
          <w:szCs w:val="20"/>
        </w:rPr>
        <w:t>Segment Reporting</w:t>
      </w:r>
      <w:r>
        <w:rPr>
          <w:rFonts w:eastAsia="Times New Roman"/>
          <w:color w:val="000000"/>
          <w:sz w:val="20"/>
          <w:szCs w:val="20"/>
        </w:rPr>
        <w:t>; as such, the disaggregation of revenue below reconciles directly to its unique reportable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896"/>
        <w:gridCol w:w="38"/>
        <w:gridCol w:w="110"/>
        <w:gridCol w:w="893"/>
        <w:gridCol w:w="36"/>
        <w:gridCol w:w="36"/>
        <w:gridCol w:w="36"/>
        <w:gridCol w:w="36"/>
        <w:gridCol w:w="110"/>
        <w:gridCol w:w="893"/>
        <w:gridCol w:w="36"/>
        <w:gridCol w:w="36"/>
        <w:gridCol w:w="36"/>
        <w:gridCol w:w="36"/>
        <w:gridCol w:w="110"/>
        <w:gridCol w:w="893"/>
        <w:gridCol w:w="36"/>
      </w:tblGrid>
      <w:tr w:rsidR="00000000">
        <w:trPr>
          <w:divId w:val="575212684"/>
          <w:jc w:val="center"/>
        </w:trPr>
        <w:tc>
          <w:tcPr>
            <w:tcW w:w="50" w:type="pct"/>
            <w:vAlign w:val="center"/>
            <w:hideMark/>
          </w:tcPr>
          <w:p w:rsidR="00000000" w:rsidRDefault="00971A12">
            <w:pPr>
              <w:jc w:val="both"/>
              <w:rPr>
                <w:rFonts w:eastAsia="Times New Roman"/>
              </w:rPr>
            </w:pPr>
          </w:p>
        </w:tc>
        <w:tc>
          <w:tcPr>
            <w:tcW w:w="2998"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575212684"/>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Years Ended December 31,</w:t>
            </w:r>
          </w:p>
        </w:tc>
      </w:tr>
      <w:tr w:rsidR="00000000">
        <w:trPr>
          <w:divId w:val="575212684"/>
          <w:jc w:val="center"/>
        </w:trPr>
        <w:tc>
          <w:tcPr>
            <w:tcW w:w="0" w:type="auto"/>
            <w:gridSpan w:val="3"/>
            <w:tcMar>
              <w:top w:w="30" w:type="dxa"/>
              <w:left w:w="20" w:type="dxa"/>
              <w:bottom w:w="30" w:type="dxa"/>
              <w:right w:w="20" w:type="dxa"/>
            </w:tcMar>
            <w:vAlign w:val="bottom"/>
            <w:hideMark/>
          </w:tcPr>
          <w:p w:rsidR="00000000" w:rsidRDefault="00971A12">
            <w:pPr>
              <w:spacing w:after="100"/>
              <w:jc w:val="both"/>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r>
      <w:tr w:rsidR="00000000">
        <w:trPr>
          <w:divId w:val="575212684"/>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1693722315"/>
              <w:rPr>
                <w:rFonts w:eastAsia="Times New Roman"/>
              </w:rPr>
            </w:pPr>
            <w:r>
              <w:rPr>
                <w:rFonts w:eastAsia="Times New Roman"/>
                <w:b/>
                <w:bCs/>
                <w:color w:val="000000"/>
                <w:sz w:val="18"/>
                <w:szCs w:val="18"/>
              </w:rPr>
              <w:t>By solution group</w:t>
            </w:r>
            <w:r>
              <w:rPr>
                <w:rFonts w:eastAsia="Times New Roman"/>
                <w:color w:val="000000"/>
                <w:sz w:val="18"/>
                <w:szCs w:val="18"/>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575212684"/>
          <w:jc w:val="center"/>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Digital Ad Solutions</w:t>
            </w: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212,510 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221,979 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213,504 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575212684"/>
          <w:jc w:val="center"/>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Cross Platform Solutions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163,913 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145,034 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142,532 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575212684"/>
          <w:jc w:val="center"/>
        </w:trPr>
        <w:tc>
          <w:tcPr>
            <w:tcW w:w="0" w:type="auto"/>
            <w:gridSpan w:val="3"/>
            <w:shd w:val="clear" w:color="auto" w:fill="FFFFFF"/>
            <w:tcMar>
              <w:top w:w="30" w:type="dxa"/>
              <w:left w:w="155"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18"/>
                <w:szCs w:val="18"/>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376,423 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367,013 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356,036 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575212684"/>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1011570975"/>
              <w:rPr>
                <w:rFonts w:eastAsia="Times New Roman"/>
              </w:rPr>
            </w:pPr>
            <w:r>
              <w:rPr>
                <w:rFonts w:eastAsia="Times New Roman"/>
                <w:b/>
                <w:bCs/>
                <w:color w:val="000000"/>
                <w:sz w:val="18"/>
                <w:szCs w:val="18"/>
              </w:rPr>
              <w:t>By geographical market</w:t>
            </w:r>
            <w:r>
              <w:rPr>
                <w:rFonts w:eastAsia="Times New Roman"/>
                <w:color w:val="000000"/>
                <w:sz w:val="18"/>
                <w:szCs w:val="18"/>
              </w:rPr>
              <w:t>:</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575212684"/>
          <w:jc w:val="center"/>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 xml:space="preserve">United States </w:t>
            </w: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337,862 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321,891 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310,717 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575212684"/>
          <w:jc w:val="center"/>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Europe</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19,007 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26,250 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27,447 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575212684"/>
          <w:jc w:val="center"/>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Latin America</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7,843 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6,952 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6,275 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575212684"/>
          <w:jc w:val="center"/>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Canada</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7,604 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7,630 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7,046 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575212684"/>
          <w:jc w:val="center"/>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4,107 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4,290 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4,551 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575212684"/>
          <w:jc w:val="center"/>
        </w:trPr>
        <w:tc>
          <w:tcPr>
            <w:tcW w:w="0" w:type="auto"/>
            <w:gridSpan w:val="3"/>
            <w:shd w:val="clear" w:color="auto" w:fill="CCEEFF"/>
            <w:tcMar>
              <w:top w:w="30" w:type="dxa"/>
              <w:left w:w="155"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18"/>
                <w:szCs w:val="18"/>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376,423 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367,013 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356,036 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575212684"/>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divId w:val="618072539"/>
              <w:rPr>
                <w:rFonts w:eastAsia="Times New Roman"/>
              </w:rPr>
            </w:pPr>
            <w:r>
              <w:rPr>
                <w:rFonts w:eastAsia="Times New Roman"/>
                <w:b/>
                <w:bCs/>
                <w:color w:val="000000"/>
                <w:sz w:val="18"/>
                <w:szCs w:val="18"/>
              </w:rPr>
              <w:t>By timing of revenue recognition</w:t>
            </w:r>
            <w:r>
              <w:rPr>
                <w:rFonts w:eastAsia="Times New Roman"/>
                <w:color w:val="000000"/>
                <w:sz w:val="18"/>
                <w:szCs w:val="18"/>
              </w:rPr>
              <w: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575212684"/>
          <w:jc w:val="center"/>
        </w:trPr>
        <w:tc>
          <w:tcPr>
            <w:tcW w:w="0" w:type="auto"/>
            <w:gridSpan w:val="3"/>
            <w:shd w:val="clear" w:color="auto" w:fill="CCEE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Products and services transferred over time</w:t>
            </w: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312,723 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288,439 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278,638 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575212684"/>
          <w:jc w:val="center"/>
        </w:trPr>
        <w:tc>
          <w:tcPr>
            <w:tcW w:w="0" w:type="auto"/>
            <w:gridSpan w:val="3"/>
            <w:shd w:val="clear" w:color="auto" w:fill="FFFFFF"/>
            <w:tcMar>
              <w:top w:w="30" w:type="dxa"/>
              <w:left w:w="245"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Products and services transferred at a point in time</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63,700 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78,574 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77,398 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575212684"/>
          <w:jc w:val="center"/>
        </w:trPr>
        <w:tc>
          <w:tcPr>
            <w:tcW w:w="0" w:type="auto"/>
            <w:gridSpan w:val="3"/>
            <w:shd w:val="clear" w:color="auto" w:fill="CCEEFF"/>
            <w:tcMar>
              <w:top w:w="30" w:type="dxa"/>
              <w:left w:w="155"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18"/>
                <w:szCs w:val="18"/>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376,423 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367,013 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356,036 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both"/>
        <w:divId w:val="1883785272"/>
        <w:rPr>
          <w:rFonts w:eastAsia="Times New Roman"/>
        </w:rPr>
      </w:pPr>
      <w:r>
        <w:rPr>
          <w:rFonts w:eastAsia="Times New Roman"/>
          <w:b/>
          <w:bCs/>
          <w:i/>
          <w:iCs/>
          <w:color w:val="000000"/>
          <w:sz w:val="20"/>
          <w:szCs w:val="20"/>
        </w:rPr>
        <w:t>Contract Balances</w:t>
      </w:r>
    </w:p>
    <w:p w:rsidR="00000000" w:rsidRDefault="00971A12">
      <w:pPr>
        <w:jc w:val="both"/>
        <w:divId w:val="537278003"/>
        <w:rPr>
          <w:rFonts w:eastAsia="Times New Roman"/>
        </w:rPr>
      </w:pPr>
      <w:r>
        <w:rPr>
          <w:rFonts w:eastAsia="Times New Roman"/>
          <w:color w:val="000000"/>
          <w:sz w:val="20"/>
          <w:szCs w:val="20"/>
        </w:rPr>
        <w:t>The following table provides information about receivables, contract assets, contract liabilities and customer advances from contracts with customers: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941"/>
        <w:gridCol w:w="37"/>
        <w:gridCol w:w="36"/>
        <w:gridCol w:w="36"/>
        <w:gridCol w:w="36"/>
        <w:gridCol w:w="110"/>
        <w:gridCol w:w="891"/>
        <w:gridCol w:w="36"/>
        <w:gridCol w:w="36"/>
        <w:gridCol w:w="36"/>
        <w:gridCol w:w="36"/>
        <w:gridCol w:w="110"/>
        <w:gridCol w:w="891"/>
        <w:gridCol w:w="36"/>
      </w:tblGrid>
      <w:tr w:rsidR="00000000">
        <w:trPr>
          <w:divId w:val="615672405"/>
          <w:jc w:val="center"/>
        </w:trPr>
        <w:tc>
          <w:tcPr>
            <w:tcW w:w="50" w:type="pct"/>
            <w:vAlign w:val="center"/>
            <w:hideMark/>
          </w:tcPr>
          <w:p w:rsidR="00000000" w:rsidRDefault="00971A12">
            <w:pPr>
              <w:jc w:val="both"/>
              <w:rPr>
                <w:rFonts w:eastAsia="Times New Roman"/>
              </w:rPr>
            </w:pPr>
          </w:p>
        </w:tc>
        <w:tc>
          <w:tcPr>
            <w:tcW w:w="362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615672405"/>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As of December 31,</w:t>
            </w:r>
          </w:p>
        </w:tc>
      </w:tr>
      <w:tr w:rsidR="00000000">
        <w:trPr>
          <w:divId w:val="615672405"/>
          <w:jc w:val="center"/>
        </w:trPr>
        <w:tc>
          <w:tcPr>
            <w:tcW w:w="0" w:type="auto"/>
            <w:gridSpan w:val="3"/>
            <w:tcMar>
              <w:top w:w="30" w:type="dxa"/>
              <w:left w:w="20" w:type="dxa"/>
              <w:bottom w:w="30" w:type="dxa"/>
              <w:right w:w="20" w:type="dxa"/>
            </w:tcMar>
            <w:vAlign w:val="bottom"/>
            <w:hideMark/>
          </w:tcPr>
          <w:p w:rsidR="00000000" w:rsidRDefault="00971A12">
            <w:pPr>
              <w:spacing w:after="100"/>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r>
      <w:tr w:rsidR="00000000">
        <w:trPr>
          <w:divId w:val="615672405"/>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Accounts receivable, net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68,457 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72,059 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615672405"/>
          <w:jc w:val="center"/>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Current and non-current contract assets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6,736 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4,875 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615672405"/>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615672405"/>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Current contract liabilities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52,944 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54,011 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615672405"/>
          <w:jc w:val="center"/>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Current customer advances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11,527 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11,613 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615672405"/>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Non-current contract liabilities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887 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1,262 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both"/>
        <w:divId w:val="1408499968"/>
        <w:rPr>
          <w:rFonts w:eastAsia="Times New Roman"/>
        </w:rPr>
      </w:pPr>
      <w:r>
        <w:rPr>
          <w:rFonts w:eastAsia="Times New Roman"/>
          <w:color w:val="000000"/>
          <w:sz w:val="20"/>
          <w:szCs w:val="20"/>
        </w:rPr>
        <w:t>Current and non-current contract assets as of December </w:t>
      </w:r>
      <w:r>
        <w:rPr>
          <w:rFonts w:eastAsia="Times New Roman"/>
          <w:color w:val="000000"/>
          <w:sz w:val="20"/>
          <w:szCs w:val="20"/>
        </w:rPr>
        <w:t>31, 2022 increased from the prior year due primarily to up-front recognition of revenue pertaining to license fees in connection with a multi-year agreement that will be billed over the contract term.</w:t>
      </w:r>
    </w:p>
    <w:p w:rsidR="00000000" w:rsidRDefault="00971A12">
      <w:pPr>
        <w:jc w:val="both"/>
        <w:divId w:val="1967202113"/>
        <w:rPr>
          <w:rFonts w:eastAsia="Times New Roman"/>
        </w:rPr>
      </w:pPr>
      <w:r>
        <w:rPr>
          <w:rFonts w:eastAsia="Times New Roman"/>
          <w:color w:val="000000"/>
          <w:sz w:val="20"/>
          <w:szCs w:val="20"/>
        </w:rPr>
        <w:t>Significant changes in the current contract liabilities</w:t>
      </w:r>
      <w:r>
        <w:rPr>
          <w:rFonts w:eastAsia="Times New Roman"/>
          <w:color w:val="000000"/>
          <w:sz w:val="20"/>
          <w:szCs w:val="20"/>
        </w:rPr>
        <w:t xml:space="preserve"> balances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6021"/>
        <w:gridCol w:w="37"/>
        <w:gridCol w:w="36"/>
        <w:gridCol w:w="110"/>
        <w:gridCol w:w="881"/>
        <w:gridCol w:w="36"/>
        <w:gridCol w:w="36"/>
        <w:gridCol w:w="36"/>
        <w:gridCol w:w="36"/>
        <w:gridCol w:w="110"/>
        <w:gridCol w:w="893"/>
        <w:gridCol w:w="36"/>
      </w:tblGrid>
      <w:tr w:rsidR="00000000">
        <w:trPr>
          <w:divId w:val="1743526237"/>
          <w:jc w:val="center"/>
        </w:trPr>
        <w:tc>
          <w:tcPr>
            <w:tcW w:w="50" w:type="pct"/>
            <w:vAlign w:val="center"/>
            <w:hideMark/>
          </w:tcPr>
          <w:p w:rsidR="00000000" w:rsidRDefault="00971A12">
            <w:pPr>
              <w:jc w:val="both"/>
              <w:rPr>
                <w:rFonts w:eastAsia="Times New Roman"/>
              </w:rPr>
            </w:pPr>
          </w:p>
        </w:tc>
        <w:tc>
          <w:tcPr>
            <w:tcW w:w="367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6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0"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743526237"/>
          <w:jc w:val="center"/>
        </w:trPr>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743526237"/>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Years Ended December 31,</w:t>
            </w:r>
          </w:p>
        </w:tc>
      </w:tr>
      <w:tr w:rsidR="00000000">
        <w:trPr>
          <w:divId w:val="1743526237"/>
          <w:jc w:val="center"/>
        </w:trPr>
        <w:tc>
          <w:tcPr>
            <w:tcW w:w="0" w:type="auto"/>
            <w:gridSpan w:val="3"/>
            <w:tcMar>
              <w:top w:w="30" w:type="dxa"/>
              <w:left w:w="20" w:type="dxa"/>
              <w:bottom w:w="30" w:type="dxa"/>
              <w:right w:w="20" w:type="dxa"/>
            </w:tcMar>
            <w:vAlign w:val="bottom"/>
            <w:hideMark/>
          </w:tcPr>
          <w:p w:rsidR="00000000" w:rsidRDefault="00971A12">
            <w:pPr>
              <w:spacing w:after="100"/>
              <w:jc w:val="both"/>
              <w:rPr>
                <w:rFonts w:eastAsia="Times New Roman"/>
              </w:rPr>
            </w:pPr>
            <w:r>
              <w:rPr>
                <w:rFonts w:eastAsia="Times New Roman"/>
                <w:i/>
                <w:iCs/>
                <w:color w:val="000000"/>
                <w:sz w:val="16"/>
                <w:szCs w:val="16"/>
              </w:rPr>
              <w:t>(In thousands)</w:t>
            </w:r>
          </w:p>
        </w:tc>
        <w:tc>
          <w:tcPr>
            <w:tcW w:w="0" w:type="auto"/>
            <w:vAlign w:val="center"/>
            <w:hideMark/>
          </w:tcPr>
          <w:p w:rsidR="00000000" w:rsidRDefault="00971A12">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r>
      <w:tr w:rsidR="00000000">
        <w:trPr>
          <w:divId w:val="1743526237"/>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 xml:space="preserve">Revenue recognized that was included </w:t>
            </w:r>
            <w:r>
              <w:rPr>
                <w:rFonts w:eastAsia="Times New Roman"/>
                <w:color w:val="000000"/>
                <w:sz w:val="18"/>
                <w:szCs w:val="18"/>
              </w:rPr>
              <w:t>in the opening contract liabilities balance</w:t>
            </w:r>
          </w:p>
        </w:tc>
        <w:tc>
          <w:tcPr>
            <w:tcW w:w="0" w:type="auto"/>
            <w:vAlign w:val="center"/>
            <w:hideMark/>
          </w:tcPr>
          <w:p w:rsidR="00000000" w:rsidRDefault="00971A1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(49,265)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(52,232)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43526237"/>
          <w:jc w:val="center"/>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Cash received or amounts billed in advance and not recognized as revenue</w:t>
            </w:r>
          </w:p>
        </w:tc>
        <w:tc>
          <w:tcPr>
            <w:tcW w:w="0" w:type="auto"/>
            <w:vAlign w:val="center"/>
            <w:hideMark/>
          </w:tcPr>
          <w:p w:rsidR="00000000" w:rsidRDefault="00971A12">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48,705 </w:t>
            </w:r>
          </w:p>
        </w:tc>
        <w:tc>
          <w:tcPr>
            <w:tcW w:w="0" w:type="auto"/>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48,864 </w:t>
            </w:r>
          </w:p>
        </w:tc>
        <w:tc>
          <w:tcPr>
            <w:tcW w:w="0" w:type="auto"/>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43526237"/>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743526237"/>
          <w:jc w:val="center"/>
        </w:trPr>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743526237"/>
          <w:jc w:val="center"/>
        </w:trPr>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bl>
    <w:p w:rsidR="00000000" w:rsidRDefault="00971A12">
      <w:pPr>
        <w:jc w:val="both"/>
        <w:divId w:val="608197355"/>
        <w:rPr>
          <w:rFonts w:eastAsia="Times New Roman"/>
        </w:rPr>
      </w:pPr>
      <w:r>
        <w:rPr>
          <w:rFonts w:eastAsia="Times New Roman"/>
          <w:color w:val="000000"/>
          <w:sz w:val="20"/>
          <w:szCs w:val="20"/>
        </w:rPr>
        <w:t xml:space="preserve">Current contract liabilities as of December 31, 2021 included $2.5 million in contract balances recognized as part of the closing of the acquisition described in </w:t>
      </w:r>
      <w:hyperlink w:anchor="i0047531bd13046b986557e31951e34f8_103" w:history="1">
        <w:r>
          <w:rPr>
            <w:rStyle w:val="a3"/>
            <w:rFonts w:eastAsia="Times New Roman"/>
            <w:sz w:val="20"/>
            <w:szCs w:val="20"/>
          </w:rPr>
          <w:t>Footnote 3</w:t>
        </w:r>
      </w:hyperlink>
      <w:r>
        <w:rPr>
          <w:rFonts w:eastAsia="Times New Roman"/>
          <w:color w:val="000000"/>
          <w:sz w:val="20"/>
          <w:szCs w:val="20"/>
        </w:rPr>
        <w:t xml:space="preserve">, </w:t>
      </w:r>
      <w:r>
        <w:rPr>
          <w:rFonts w:eastAsia="Times New Roman"/>
          <w:i/>
          <w:iCs/>
          <w:color w:val="000000"/>
          <w:sz w:val="20"/>
          <w:szCs w:val="20"/>
        </w:rPr>
        <w:t>Business Combination</w:t>
      </w:r>
      <w:r>
        <w:rPr>
          <w:rFonts w:eastAsia="Times New Roman"/>
          <w:color w:val="000000"/>
          <w:sz w:val="20"/>
          <w:szCs w:val="20"/>
        </w:rPr>
        <w:t>.</w:t>
      </w:r>
    </w:p>
    <w:p w:rsidR="00000000" w:rsidRDefault="00971A12">
      <w:pPr>
        <w:jc w:val="both"/>
        <w:divId w:val="274025063"/>
        <w:rPr>
          <w:rFonts w:eastAsia="Times New Roman"/>
        </w:rPr>
      </w:pPr>
      <w:r>
        <w:rPr>
          <w:rFonts w:eastAsia="Times New Roman"/>
          <w:b/>
          <w:bCs/>
          <w:i/>
          <w:iCs/>
          <w:color w:val="000000"/>
          <w:sz w:val="20"/>
          <w:szCs w:val="20"/>
        </w:rPr>
        <w:t xml:space="preserve">Remaining Performance Obligations </w:t>
      </w:r>
    </w:p>
    <w:p w:rsidR="00000000" w:rsidRDefault="00971A12">
      <w:pPr>
        <w:jc w:val="both"/>
        <w:divId w:val="1982035669"/>
        <w:rPr>
          <w:rFonts w:eastAsia="Times New Roman"/>
        </w:rPr>
      </w:pPr>
      <w:r>
        <w:rPr>
          <w:rFonts w:eastAsia="Times New Roman"/>
          <w:color w:val="000000"/>
          <w:sz w:val="20"/>
          <w:szCs w:val="20"/>
        </w:rPr>
        <w:t>As of December 31, 2022, approximately $220 million of revenue is expected to be recognized from remaining performance obligations that are unsatisfied (or partially unsatisfied) for non-cancelable contracts with an origi</w:t>
      </w:r>
      <w:r>
        <w:rPr>
          <w:rFonts w:eastAsia="Times New Roman"/>
          <w:color w:val="000000"/>
          <w:sz w:val="20"/>
          <w:szCs w:val="20"/>
        </w:rPr>
        <w:t>nal expected duration of longer than one year. The Company expects to recognize revenue on approximately 50% of these remaining performance obligations in 2023, and approximately 25% in 2024, with the remainder recognized thereafter.</w:t>
      </w:r>
    </w:p>
    <w:p w:rsidR="00000000" w:rsidRDefault="00971A12">
      <w:pPr>
        <w:jc w:val="center"/>
        <w:divId w:val="1966084647"/>
        <w:rPr>
          <w:rFonts w:eastAsia="Times New Roman"/>
        </w:rPr>
      </w:pPr>
      <w:r>
        <w:rPr>
          <w:rFonts w:eastAsia="Times New Roman"/>
          <w:color w:val="000000"/>
          <w:sz w:val="20"/>
          <w:szCs w:val="20"/>
        </w:rPr>
        <w:t>64</w:t>
      </w:r>
    </w:p>
    <w:p w:rsidR="00000000" w:rsidRDefault="00971A12">
      <w:pPr>
        <w:rPr>
          <w:rFonts w:eastAsia="Times New Roman"/>
        </w:rPr>
      </w:pPr>
      <w:r>
        <w:rPr>
          <w:rFonts w:eastAsia="Times New Roman"/>
        </w:rPr>
        <w:pict>
          <v:rect id="_x0000_i1092" style="width:0;height:1.5pt" o:hralign="center" o:hrstd="t" o:hr="t" fillcolor="#a0a0a0" stroked="f"/>
        </w:pict>
      </w:r>
    </w:p>
    <w:p w:rsidR="00000000" w:rsidRDefault="00971A12">
      <w:pPr>
        <w:divId w:val="1911647832"/>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197043485"/>
        <w:rPr>
          <w:rFonts w:eastAsia="Times New Roman"/>
        </w:rPr>
      </w:pPr>
    </w:p>
    <w:p w:rsidR="00000000" w:rsidRDefault="00971A12">
      <w:pPr>
        <w:ind w:hanging="360"/>
        <w:divId w:val="709693640"/>
        <w:rPr>
          <w:rFonts w:eastAsia="Times New Roman"/>
        </w:rPr>
      </w:pPr>
      <w:r>
        <w:rPr>
          <w:rFonts w:eastAsia="Times New Roman"/>
          <w:b/>
          <w:bCs/>
          <w:color w:val="000000"/>
          <w:sz w:val="20"/>
          <w:szCs w:val="20"/>
        </w:rPr>
        <w:t>5.Convertible Redeemable Preferred Stock and Stockholders' Equity</w:t>
      </w:r>
    </w:p>
    <w:p w:rsidR="00000000" w:rsidRDefault="00971A12">
      <w:pPr>
        <w:jc w:val="both"/>
        <w:divId w:val="1334187956"/>
        <w:rPr>
          <w:rFonts w:eastAsia="Times New Roman"/>
        </w:rPr>
      </w:pPr>
      <w:r>
        <w:rPr>
          <w:rFonts w:eastAsia="Times New Roman"/>
          <w:b/>
          <w:bCs/>
          <w:i/>
          <w:iCs/>
          <w:color w:val="000000"/>
          <w:sz w:val="20"/>
          <w:szCs w:val="20"/>
        </w:rPr>
        <w:t>2021 Issuance of P</w:t>
      </w:r>
      <w:r>
        <w:rPr>
          <w:rFonts w:eastAsia="Times New Roman"/>
          <w:b/>
          <w:bCs/>
          <w:i/>
          <w:iCs/>
          <w:color w:val="000000"/>
          <w:sz w:val="20"/>
          <w:szCs w:val="20"/>
        </w:rPr>
        <w:t>referred Stock</w:t>
      </w:r>
    </w:p>
    <w:p w:rsidR="00000000" w:rsidRDefault="00971A12">
      <w:pPr>
        <w:jc w:val="both"/>
        <w:divId w:val="1755319064"/>
        <w:rPr>
          <w:rFonts w:eastAsia="Times New Roman"/>
        </w:rPr>
      </w:pPr>
      <w:r>
        <w:rPr>
          <w:rFonts w:eastAsia="Times New Roman"/>
          <w:color w:val="000000"/>
          <w:sz w:val="20"/>
          <w:szCs w:val="20"/>
        </w:rPr>
        <w:t>On March 10, 2021 (the "Closing Date"), the Company entered into separate Securities Purchase Agreements with each of Charter Communications Holding Company, LLC ("Charter"), Qurate Retail, Inc. ("Qurate") and Pine Investor, LLC ("Pine") (th</w:t>
      </w:r>
      <w:r>
        <w:rPr>
          <w:rFonts w:eastAsia="Times New Roman"/>
          <w:color w:val="000000"/>
          <w:sz w:val="20"/>
          <w:szCs w:val="20"/>
        </w:rPr>
        <w:t>e "Securities Purchase Agreements"). The issuance of securities pursuant to the Securities Purchase Agreements (the "Transactions") and related matters were approved by the Company's stockholders on March 9, 2021 and completed on March 10, 2021. At the clo</w:t>
      </w:r>
      <w:r>
        <w:rPr>
          <w:rFonts w:eastAsia="Times New Roman"/>
          <w:color w:val="000000"/>
          <w:sz w:val="20"/>
          <w:szCs w:val="20"/>
        </w:rPr>
        <w:t>sing of the Transactions, the Company issued and sold (a) to Charter, 27,509,203 shares of Preferred Stock in exchange for $68.0 million, (b) to Qurate, 27,509,203 shares of Preferred Stock in exchange for $68.0 million and (c) to Pine, 27,509,203 shares o</w:t>
      </w:r>
      <w:r>
        <w:rPr>
          <w:rFonts w:eastAsia="Times New Roman"/>
          <w:color w:val="000000"/>
          <w:sz w:val="20"/>
          <w:szCs w:val="20"/>
        </w:rPr>
        <w:t>f Preferred Stock in exchange for $68.0 million. The shares were issued at a par value of $0.001. Net proceeds from the Transactions totaled $187.9 million after deducting issuance costs.</w:t>
      </w:r>
    </w:p>
    <w:p w:rsidR="00000000" w:rsidRDefault="00971A12">
      <w:pPr>
        <w:jc w:val="both"/>
        <w:divId w:val="551769662"/>
        <w:rPr>
          <w:rFonts w:eastAsia="Times New Roman"/>
        </w:rPr>
      </w:pPr>
      <w:r>
        <w:rPr>
          <w:rFonts w:eastAsia="Times New Roman"/>
          <w:color w:val="000000"/>
          <w:sz w:val="20"/>
          <w:szCs w:val="20"/>
        </w:rPr>
        <w:t>The Transactions and related agreements include the following rights</w:t>
      </w:r>
      <w:r>
        <w:rPr>
          <w:rFonts w:eastAsia="Times New Roman"/>
          <w:color w:val="000000"/>
          <w:sz w:val="20"/>
          <w:szCs w:val="20"/>
        </w:rPr>
        <w:t>:</w:t>
      </w:r>
    </w:p>
    <w:p w:rsidR="00000000" w:rsidRDefault="00971A12">
      <w:pPr>
        <w:divId w:val="643120842"/>
        <w:rPr>
          <w:rFonts w:eastAsia="Times New Roman"/>
        </w:rPr>
      </w:pPr>
      <w:r>
        <w:rPr>
          <w:rFonts w:eastAsia="Times New Roman"/>
          <w:color w:val="000000"/>
          <w:sz w:val="20"/>
          <w:szCs w:val="20"/>
          <w:u w:val="single"/>
        </w:rPr>
        <w:t>Registration Rights</w:t>
      </w:r>
    </w:p>
    <w:p w:rsidR="00000000" w:rsidRDefault="00971A12">
      <w:pPr>
        <w:jc w:val="both"/>
        <w:divId w:val="1439713596"/>
        <w:rPr>
          <w:rFonts w:eastAsia="Times New Roman"/>
        </w:rPr>
      </w:pPr>
      <w:r>
        <w:rPr>
          <w:rFonts w:eastAsia="Times New Roman"/>
          <w:color w:val="000000"/>
          <w:sz w:val="20"/>
          <w:szCs w:val="20"/>
        </w:rPr>
        <w:t>On the Closing Date, the Company entered into a Registration Rights Agreement (the "RRA") with the holders of the Preferred Stock (together with any other party that may become a party to the RRA), pursuant to which, among other thing</w:t>
      </w:r>
      <w:r>
        <w:rPr>
          <w:rFonts w:eastAsia="Times New Roman"/>
          <w:color w:val="000000"/>
          <w:sz w:val="20"/>
          <w:szCs w:val="20"/>
        </w:rPr>
        <w:t xml:space="preserve">s, and on the terms and subject to certain limitations set forth therein, the Company was obligated to file a registration statement registering the sale or distribution of shares of Preferred Stock or Common Stock held by any holder, including any shares </w:t>
      </w:r>
      <w:r>
        <w:rPr>
          <w:rFonts w:eastAsia="Times New Roman"/>
          <w:color w:val="000000"/>
          <w:sz w:val="20"/>
          <w:szCs w:val="20"/>
        </w:rPr>
        <w:t>of Common Stock acquired by any holder pursuant to the conversion of the Preferred Stock, and any other securities issued or issuable with respect to any such shares of Common Stock or Preferred Stock by way of share split, share dividend, distribution, re</w:t>
      </w:r>
      <w:r>
        <w:rPr>
          <w:rFonts w:eastAsia="Times New Roman"/>
          <w:color w:val="000000"/>
          <w:sz w:val="20"/>
          <w:szCs w:val="20"/>
        </w:rPr>
        <w:t xml:space="preserve">capitalization, merger, exchange, replacement or similar event or otherwise (the "Registrable Securities"). In addition, pursuant to the RRA, the holders have the right to require the Company, subject to certain limitations, to effect a sale of any or all </w:t>
      </w:r>
      <w:r>
        <w:rPr>
          <w:rFonts w:eastAsia="Times New Roman"/>
          <w:color w:val="000000"/>
          <w:sz w:val="20"/>
          <w:szCs w:val="20"/>
        </w:rPr>
        <w:t>of their Registrable Securities by means of an underwritten offering or an underwritten block trade or bought deal.</w:t>
      </w:r>
    </w:p>
    <w:p w:rsidR="00000000" w:rsidRDefault="00971A12">
      <w:pPr>
        <w:jc w:val="both"/>
        <w:divId w:val="233928900"/>
        <w:rPr>
          <w:rFonts w:eastAsia="Times New Roman"/>
        </w:rPr>
      </w:pPr>
      <w:r>
        <w:rPr>
          <w:rFonts w:eastAsia="Times New Roman"/>
          <w:color w:val="000000"/>
          <w:sz w:val="20"/>
          <w:szCs w:val="20"/>
        </w:rPr>
        <w:t>On August 30, 2021, the Company filed a registration statement on Form S-3 with respect to the Registrable Securities. The registration stat</w:t>
      </w:r>
      <w:r>
        <w:rPr>
          <w:rFonts w:eastAsia="Times New Roman"/>
          <w:color w:val="000000"/>
          <w:sz w:val="20"/>
          <w:szCs w:val="20"/>
        </w:rPr>
        <w:t>ement on Form S-3 became effective on September 21, 2021.</w:t>
      </w:r>
    </w:p>
    <w:p w:rsidR="00000000" w:rsidRDefault="00971A12">
      <w:pPr>
        <w:jc w:val="both"/>
        <w:divId w:val="736367671"/>
        <w:rPr>
          <w:rFonts w:eastAsia="Times New Roman"/>
        </w:rPr>
      </w:pPr>
      <w:r>
        <w:rPr>
          <w:rFonts w:eastAsia="Times New Roman"/>
          <w:color w:val="000000"/>
          <w:sz w:val="20"/>
          <w:szCs w:val="20"/>
          <w:u w:val="single"/>
        </w:rPr>
        <w:t>Conversion Provisions</w:t>
      </w:r>
    </w:p>
    <w:p w:rsidR="00000000" w:rsidRDefault="00971A12">
      <w:pPr>
        <w:jc w:val="both"/>
        <w:divId w:val="262420685"/>
        <w:rPr>
          <w:rFonts w:eastAsia="Times New Roman"/>
        </w:rPr>
      </w:pPr>
      <w:r>
        <w:rPr>
          <w:rFonts w:eastAsia="Times New Roman"/>
          <w:color w:val="000000"/>
          <w:sz w:val="20"/>
          <w:szCs w:val="20"/>
        </w:rPr>
        <w:t>The Preferred Stock is convertible at the option of the holders at any time into a number of shares of Common Stock based on a conversion rate set in accordance with the Certif</w:t>
      </w:r>
      <w:r>
        <w:rPr>
          <w:rFonts w:eastAsia="Times New Roman"/>
          <w:color w:val="000000"/>
          <w:sz w:val="20"/>
          <w:szCs w:val="20"/>
        </w:rPr>
        <w:t>icate of Designations of the Preferred Stock. The conversion rate is calculated as the product of (i) the conversion factor and (ii) the quotient of (A) the sum of the initial purchase price and accrued dividends with respect to each share of Preferred Sto</w:t>
      </w:r>
      <w:r>
        <w:rPr>
          <w:rFonts w:eastAsia="Times New Roman"/>
          <w:color w:val="000000"/>
          <w:sz w:val="20"/>
          <w:szCs w:val="20"/>
        </w:rPr>
        <w:t>ck divided by (B) the initial purchase price. The conversion right is subject to certain anti-dilution adjustments and customary provisions related to partial dividend periods. As of December 31, 2022, each share of Preferred Stock was convertible into 1.0</w:t>
      </w:r>
      <w:r>
        <w:rPr>
          <w:rFonts w:eastAsia="Times New Roman"/>
          <w:color w:val="000000"/>
          <w:sz w:val="20"/>
          <w:szCs w:val="20"/>
        </w:rPr>
        <w:t>38542 shares of Common Stock, with such assumed conversion rate scheduled to return to 1.00 upon payment of accrued dividends on June 30, 2023.</w:t>
      </w:r>
    </w:p>
    <w:p w:rsidR="00000000" w:rsidRDefault="00971A12">
      <w:pPr>
        <w:jc w:val="both"/>
        <w:divId w:val="670526725"/>
        <w:rPr>
          <w:rFonts w:eastAsia="Times New Roman"/>
        </w:rPr>
      </w:pPr>
      <w:r>
        <w:rPr>
          <w:rFonts w:eastAsia="Times New Roman"/>
          <w:color w:val="000000"/>
          <w:sz w:val="20"/>
          <w:szCs w:val="20"/>
        </w:rPr>
        <w:t>At any time after the fifth anniversary of the Closing Date, the Company may elect to convert all of the outstan</w:t>
      </w:r>
      <w:r>
        <w:rPr>
          <w:rFonts w:eastAsia="Times New Roman"/>
          <w:color w:val="000000"/>
          <w:sz w:val="20"/>
          <w:szCs w:val="20"/>
        </w:rPr>
        <w:t>ding shares of Preferred Stock into shares of Common Stock if (i) the closing sale price of the Company's Common Stock is greater than 140% of the conversion price as of such time, as may be adjusted pursuant to the Certificate of Designations, for certain</w:t>
      </w:r>
      <w:r>
        <w:rPr>
          <w:rFonts w:eastAsia="Times New Roman"/>
          <w:color w:val="000000"/>
          <w:sz w:val="20"/>
          <w:szCs w:val="20"/>
        </w:rPr>
        <w:t xml:space="preserve"> periods, and (ii) the pro rata share of an aggregate of $100.0 million in dividends has been paid with respect to each share of Preferred Stock that was outstanding on the Closing Date and remains outstanding.</w:t>
      </w:r>
    </w:p>
    <w:p w:rsidR="00000000" w:rsidRDefault="00971A12">
      <w:pPr>
        <w:divId w:val="301080906"/>
        <w:rPr>
          <w:rFonts w:eastAsia="Times New Roman"/>
        </w:rPr>
      </w:pPr>
      <w:r>
        <w:rPr>
          <w:rFonts w:eastAsia="Times New Roman"/>
          <w:color w:val="000000"/>
          <w:sz w:val="20"/>
          <w:szCs w:val="20"/>
        </w:rPr>
        <w:t>As of December 31, 2022, no shares of Preferr</w:t>
      </w:r>
      <w:r>
        <w:rPr>
          <w:rFonts w:eastAsia="Times New Roman"/>
          <w:color w:val="000000"/>
          <w:sz w:val="20"/>
          <w:szCs w:val="20"/>
        </w:rPr>
        <w:t>ed Stock have been converted into Common Stock.</w:t>
      </w:r>
    </w:p>
    <w:p w:rsidR="00000000" w:rsidRDefault="00971A12">
      <w:pPr>
        <w:jc w:val="both"/>
        <w:divId w:val="539710890"/>
        <w:rPr>
          <w:rFonts w:eastAsia="Times New Roman"/>
        </w:rPr>
      </w:pPr>
      <w:r>
        <w:rPr>
          <w:rFonts w:eastAsia="Times New Roman"/>
          <w:color w:val="000000"/>
          <w:sz w:val="20"/>
          <w:szCs w:val="20"/>
          <w:u w:val="single"/>
        </w:rPr>
        <w:t>Voting Rights</w:t>
      </w:r>
    </w:p>
    <w:p w:rsidR="00000000" w:rsidRDefault="00971A12">
      <w:pPr>
        <w:jc w:val="both"/>
        <w:divId w:val="251088175"/>
        <w:rPr>
          <w:rFonts w:eastAsia="Times New Roman"/>
        </w:rPr>
      </w:pPr>
      <w:r>
        <w:rPr>
          <w:rFonts w:eastAsia="Times New Roman"/>
          <w:color w:val="000000"/>
          <w:sz w:val="20"/>
          <w:szCs w:val="20"/>
        </w:rPr>
        <w:t>The holders of the Preferred Stock are entitled to vote as a single class with the holders of the Common Stock, with a vote equal to the number of shares of Common Stock into which the Preferred</w:t>
      </w:r>
      <w:r>
        <w:rPr>
          <w:rFonts w:eastAsia="Times New Roman"/>
          <w:color w:val="000000"/>
          <w:sz w:val="20"/>
          <w:szCs w:val="20"/>
        </w:rPr>
        <w:t xml:space="preserve"> Stock could be converted, except that the conversion rate for this purpose will be equal to the product of the applicable conversion factor and 0.98091271. Each holder of Preferred Stock is subject to a voting threshold, which limits such holder's voting </w:t>
      </w:r>
      <w:r>
        <w:rPr>
          <w:rFonts w:eastAsia="Times New Roman"/>
          <w:color w:val="000000"/>
          <w:sz w:val="20"/>
          <w:szCs w:val="20"/>
        </w:rPr>
        <w:t>rights in the event that the holder's Preferred Stock represents voting rights that exceed 16.66% of the Company's Common Stock (including the Preferred Stock on an as-converted basis).</w:t>
      </w:r>
    </w:p>
    <w:p w:rsidR="00000000" w:rsidRDefault="00971A12">
      <w:pPr>
        <w:jc w:val="both"/>
        <w:divId w:val="831142969"/>
        <w:rPr>
          <w:rFonts w:eastAsia="Times New Roman"/>
        </w:rPr>
      </w:pPr>
      <w:r>
        <w:rPr>
          <w:rFonts w:eastAsia="Times New Roman"/>
          <w:color w:val="000000"/>
          <w:sz w:val="20"/>
          <w:szCs w:val="20"/>
          <w:u w:val="single"/>
        </w:rPr>
        <w:t>Dividend Rights</w:t>
      </w:r>
    </w:p>
    <w:p w:rsidR="00000000" w:rsidRDefault="00971A12">
      <w:pPr>
        <w:jc w:val="both"/>
        <w:divId w:val="1705448087"/>
        <w:rPr>
          <w:rFonts w:eastAsia="Times New Roman"/>
        </w:rPr>
      </w:pPr>
      <w:r>
        <w:rPr>
          <w:rFonts w:eastAsia="Times New Roman"/>
          <w:color w:val="000000"/>
          <w:sz w:val="20"/>
          <w:szCs w:val="20"/>
        </w:rPr>
        <w:t xml:space="preserve">The holders of Preferred Stock are entitled to participate in all dividends declared on the Common Stock on an as-converted basis and are also entitled to a cumulative dividend at the rate of 7.5% per annum, payable annually in arrears (on June 30 of each </w:t>
      </w:r>
      <w:r>
        <w:rPr>
          <w:rFonts w:eastAsia="Times New Roman"/>
          <w:color w:val="000000"/>
          <w:sz w:val="20"/>
          <w:szCs w:val="20"/>
        </w:rPr>
        <w:t>year) and subject to increase under certain specified circumstances. The annual dividend accrues on a daily basis from and including the issuance date of such shares, whether or not declared. In the event the annual dividends are not paid in cash on the an</w:t>
      </w:r>
      <w:r>
        <w:rPr>
          <w:rFonts w:eastAsia="Times New Roman"/>
          <w:color w:val="000000"/>
          <w:sz w:val="20"/>
          <w:szCs w:val="20"/>
        </w:rPr>
        <w:t xml:space="preserve">nual payment date, the dividends otherwise payable on such date shall continue to accrue and cumulate at a rate of 9.5% per annum, until such failure is cured. </w:t>
      </w:r>
    </w:p>
    <w:p w:rsidR="00000000" w:rsidRDefault="00971A12">
      <w:pPr>
        <w:jc w:val="both"/>
        <w:divId w:val="834148479"/>
        <w:rPr>
          <w:rFonts w:eastAsia="Times New Roman"/>
        </w:rPr>
      </w:pPr>
      <w:r>
        <w:rPr>
          <w:rFonts w:eastAsia="Times New Roman"/>
          <w:color w:val="000000"/>
          <w:sz w:val="20"/>
          <w:szCs w:val="20"/>
        </w:rPr>
        <w:t xml:space="preserve">In addition, the holders of Preferred Stock are entitled to request, and the Company will take </w:t>
      </w:r>
      <w:r>
        <w:rPr>
          <w:rFonts w:eastAsia="Times New Roman"/>
          <w:color w:val="000000"/>
          <w:sz w:val="20"/>
          <w:szCs w:val="20"/>
        </w:rPr>
        <w:t>all actions reasonably necessary to pay, a one-time dividend ("Special Dividend") equal to the highest dividend that the Company's Board determines can be paid at the applicable time (or a lesser amount agreed upon by the holders), subject to additional co</w:t>
      </w:r>
      <w:r>
        <w:rPr>
          <w:rFonts w:eastAsia="Times New Roman"/>
          <w:color w:val="000000"/>
          <w:sz w:val="20"/>
          <w:szCs w:val="20"/>
        </w:rPr>
        <w:t>nditions and limitations set forth in a Stockholders Agreement entered into by the Company and the holders on the Closing Date (the "Stockholders Agreement"). As set forth in the Stockholders Agreement, the Company may be obligated to obtain debt financing</w:t>
      </w:r>
      <w:r>
        <w:rPr>
          <w:rFonts w:eastAsia="Times New Roman"/>
          <w:color w:val="000000"/>
          <w:sz w:val="20"/>
          <w:szCs w:val="20"/>
        </w:rPr>
        <w:t xml:space="preserve"> in order to effectuate the Special Dividend.</w:t>
      </w:r>
    </w:p>
    <w:p w:rsidR="00000000" w:rsidRDefault="00971A12">
      <w:pPr>
        <w:jc w:val="center"/>
        <w:divId w:val="1433237796"/>
        <w:rPr>
          <w:rFonts w:eastAsia="Times New Roman"/>
        </w:rPr>
      </w:pPr>
      <w:r>
        <w:rPr>
          <w:rFonts w:eastAsia="Times New Roman"/>
          <w:color w:val="000000"/>
          <w:sz w:val="20"/>
          <w:szCs w:val="20"/>
        </w:rPr>
        <w:t>65</w:t>
      </w:r>
    </w:p>
    <w:p w:rsidR="00000000" w:rsidRDefault="00971A12">
      <w:pPr>
        <w:rPr>
          <w:rFonts w:eastAsia="Times New Roman"/>
        </w:rPr>
      </w:pPr>
      <w:r>
        <w:rPr>
          <w:rFonts w:eastAsia="Times New Roman"/>
        </w:rPr>
        <w:pict>
          <v:rect id="_x0000_i1093" style="width:0;height:1.5pt" o:hralign="center" o:hrstd="t" o:hr="t" fillcolor="#a0a0a0" stroked="f"/>
        </w:pict>
      </w:r>
    </w:p>
    <w:p w:rsidR="00000000" w:rsidRDefault="00971A12">
      <w:pPr>
        <w:divId w:val="1370380256"/>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503819307"/>
        <w:rPr>
          <w:rFonts w:eastAsia="Times New Roman"/>
        </w:rPr>
      </w:pPr>
    </w:p>
    <w:p w:rsidR="00000000" w:rsidRDefault="00971A12">
      <w:pPr>
        <w:jc w:val="both"/>
        <w:divId w:val="1195773369"/>
        <w:rPr>
          <w:rFonts w:eastAsia="Times New Roman"/>
        </w:rPr>
      </w:pPr>
      <w:r>
        <w:rPr>
          <w:rFonts w:eastAsia="Times New Roman"/>
          <w:color w:val="000000"/>
          <w:sz w:val="20"/>
          <w:szCs w:val="20"/>
        </w:rPr>
        <w:t>On June 30, 2022, in accordance wi</w:t>
      </w:r>
      <w:r>
        <w:rPr>
          <w:rFonts w:eastAsia="Times New Roman"/>
          <w:color w:val="000000"/>
          <w:sz w:val="20"/>
          <w:szCs w:val="20"/>
        </w:rPr>
        <w:t>th the Certificate of Designations of the Preferred Stock, the Company paid cash dividends totaling $15.5 million to the holders of the Preferred Stock, representing dividends accrued for the period from June 30, 2021 through June 29, 2022. The next schedu</w:t>
      </w:r>
      <w:r>
        <w:rPr>
          <w:rFonts w:eastAsia="Times New Roman"/>
          <w:color w:val="000000"/>
          <w:sz w:val="20"/>
          <w:szCs w:val="20"/>
        </w:rPr>
        <w:t>led dividend payment date for the Preferred Stock is June 30, 2023. As of December 31, 2022, accrued dividends to holders of the Preferred Stock totaled $7.9 million.</w:t>
      </w:r>
    </w:p>
    <w:p w:rsidR="00000000" w:rsidRDefault="00971A12">
      <w:pPr>
        <w:jc w:val="both"/>
        <w:divId w:val="2077774597"/>
        <w:rPr>
          <w:rFonts w:eastAsia="Times New Roman"/>
        </w:rPr>
      </w:pPr>
      <w:r>
        <w:rPr>
          <w:rFonts w:eastAsia="Times New Roman"/>
          <w:color w:val="000000"/>
          <w:sz w:val="20"/>
          <w:szCs w:val="20"/>
          <w:u w:val="single"/>
        </w:rPr>
        <w:t>Anti-Dilution Adjustments</w:t>
      </w:r>
    </w:p>
    <w:p w:rsidR="00000000" w:rsidRDefault="00971A12">
      <w:pPr>
        <w:jc w:val="both"/>
        <w:divId w:val="2138791245"/>
        <w:rPr>
          <w:rFonts w:eastAsia="Times New Roman"/>
        </w:rPr>
      </w:pPr>
      <w:r>
        <w:rPr>
          <w:rFonts w:eastAsia="Times New Roman"/>
          <w:color w:val="000000"/>
          <w:sz w:val="20"/>
          <w:szCs w:val="20"/>
        </w:rPr>
        <w:t>The Preferred Stock is subject to anti-dilution adjustment upon the occurrence of certain events, including issuance of certain dividends or distributions to holders of Common Stock, split or combination of Common Stock, reclassification of Common Stock in</w:t>
      </w:r>
      <w:r>
        <w:rPr>
          <w:rFonts w:eastAsia="Times New Roman"/>
          <w:color w:val="000000"/>
          <w:sz w:val="20"/>
          <w:szCs w:val="20"/>
        </w:rPr>
        <w:t>to a greater or lesser number of shares, or certain repurchases of Common Stock, subject to limitations set forth in the Certificate of Designations.</w:t>
      </w:r>
    </w:p>
    <w:p w:rsidR="00000000" w:rsidRDefault="00971A12">
      <w:pPr>
        <w:jc w:val="both"/>
        <w:divId w:val="27222317"/>
        <w:rPr>
          <w:rFonts w:eastAsia="Times New Roman"/>
        </w:rPr>
      </w:pPr>
      <w:r>
        <w:rPr>
          <w:rFonts w:eastAsia="Times New Roman"/>
          <w:color w:val="000000"/>
          <w:sz w:val="20"/>
          <w:szCs w:val="20"/>
          <w:u w:val="single"/>
        </w:rPr>
        <w:t>Liquidation Preference and Change of Control Provisions</w:t>
      </w:r>
    </w:p>
    <w:p w:rsidR="00000000" w:rsidRDefault="00971A12">
      <w:pPr>
        <w:jc w:val="both"/>
        <w:divId w:val="590167609"/>
        <w:rPr>
          <w:rFonts w:eastAsia="Times New Roman"/>
        </w:rPr>
      </w:pPr>
      <w:r>
        <w:rPr>
          <w:rFonts w:eastAsia="Times New Roman"/>
          <w:color w:val="000000"/>
          <w:sz w:val="20"/>
          <w:szCs w:val="20"/>
        </w:rPr>
        <w:t>The Preferred Stock ranks senior to the Common Sto</w:t>
      </w:r>
      <w:r>
        <w:rPr>
          <w:rFonts w:eastAsia="Times New Roman"/>
          <w:color w:val="000000"/>
          <w:sz w:val="20"/>
          <w:szCs w:val="20"/>
        </w:rPr>
        <w:t>ck with respect to dividend rights and rights on the distribution of assets in the event of a liquidation, dissolution or winding up of the affairs of the Company, and ranks junior to secured and unsecured indebtedness. The Preferred Stock has a liquidatio</w:t>
      </w:r>
      <w:r>
        <w:rPr>
          <w:rFonts w:eastAsia="Times New Roman"/>
          <w:color w:val="000000"/>
          <w:sz w:val="20"/>
          <w:szCs w:val="20"/>
        </w:rPr>
        <w:t>n preference equal to the higher of (i) the initial purchase price, increased by accrued dividends per share, and (ii) the amount per share of Preferred Stock that a holder would have received if such holder, immediately prior to such liquidation, dissolut</w:t>
      </w:r>
      <w:r>
        <w:rPr>
          <w:rFonts w:eastAsia="Times New Roman"/>
          <w:color w:val="000000"/>
          <w:sz w:val="20"/>
          <w:szCs w:val="20"/>
        </w:rPr>
        <w:t>ion or winding up of the affairs of the Company, converted such share into Common Stock.</w:t>
      </w:r>
    </w:p>
    <w:p w:rsidR="00000000" w:rsidRDefault="00971A12">
      <w:pPr>
        <w:jc w:val="both"/>
        <w:divId w:val="486557093"/>
        <w:rPr>
          <w:rFonts w:eastAsia="Times New Roman"/>
        </w:rPr>
      </w:pPr>
      <w:r>
        <w:rPr>
          <w:rFonts w:eastAsia="Times New Roman"/>
          <w:color w:val="000000"/>
          <w:sz w:val="20"/>
          <w:szCs w:val="20"/>
        </w:rPr>
        <w:t>The Preferred Stock includes a change of control put option which allows the holders of the Preferred Stock to require the Company to repurchase such holders' shares a</w:t>
      </w:r>
      <w:r>
        <w:rPr>
          <w:rFonts w:eastAsia="Times New Roman"/>
          <w:color w:val="000000"/>
          <w:sz w:val="20"/>
          <w:szCs w:val="20"/>
        </w:rPr>
        <w:t xml:space="preserve">t a purchase price equal to the initial purchase price, increased by accrued dividends. The change of control put option was determined to be a derivative liability under ASC 815, </w:t>
      </w:r>
      <w:r>
        <w:rPr>
          <w:rFonts w:eastAsia="Times New Roman"/>
          <w:i/>
          <w:iCs/>
          <w:color w:val="000000"/>
          <w:sz w:val="20"/>
          <w:szCs w:val="20"/>
        </w:rPr>
        <w:t>Derivatives and Hedging</w:t>
      </w:r>
      <w:r>
        <w:rPr>
          <w:rFonts w:eastAsia="Times New Roman"/>
          <w:color w:val="000000"/>
          <w:sz w:val="20"/>
          <w:szCs w:val="20"/>
        </w:rPr>
        <w:t>. As of December 31, 2022, the probability of a chang</w:t>
      </w:r>
      <w:r>
        <w:rPr>
          <w:rFonts w:eastAsia="Times New Roman"/>
          <w:color w:val="000000"/>
          <w:sz w:val="20"/>
          <w:szCs w:val="20"/>
        </w:rPr>
        <w:t>e of control was determined to be remote, and the fair value of the change of control derivative was determined to be negligible. To the extent the holders of the Preferred Stock do not exercise the put option in a covered change of control, the Company ha</w:t>
      </w:r>
      <w:r>
        <w:rPr>
          <w:rFonts w:eastAsia="Times New Roman"/>
          <w:color w:val="000000"/>
          <w:sz w:val="20"/>
          <w:szCs w:val="20"/>
        </w:rPr>
        <w:t>s the right to redeem the remaining Preferred Stock at a redemption price equal to the initial purchase price, increased by accrued dividends.</w:t>
      </w:r>
    </w:p>
    <w:p w:rsidR="00000000" w:rsidRDefault="00971A12">
      <w:pPr>
        <w:jc w:val="both"/>
        <w:divId w:val="1573855173"/>
        <w:rPr>
          <w:rFonts w:eastAsia="Times New Roman"/>
        </w:rPr>
      </w:pPr>
      <w:r>
        <w:rPr>
          <w:rFonts w:eastAsia="Times New Roman"/>
          <w:color w:val="000000"/>
          <w:sz w:val="20"/>
          <w:szCs w:val="20"/>
        </w:rPr>
        <w:t>As described above, the Preferred Stock is contingently redeemable upon certain deemed liquidation events, such a</w:t>
      </w:r>
      <w:r>
        <w:rPr>
          <w:rFonts w:eastAsia="Times New Roman"/>
          <w:color w:val="000000"/>
          <w:sz w:val="20"/>
          <w:szCs w:val="20"/>
        </w:rPr>
        <w:t>s a change in control. Because a deemed liquidation event could constitute a redemption event outside of the Company's control, all shares of Preferred Stock have been presented outside of permanent equity in mezzanine equity on the Consolidated Balance Sh</w:t>
      </w:r>
      <w:r>
        <w:rPr>
          <w:rFonts w:eastAsia="Times New Roman"/>
          <w:color w:val="000000"/>
          <w:sz w:val="20"/>
          <w:szCs w:val="20"/>
        </w:rPr>
        <w:t>eets.</w:t>
      </w:r>
    </w:p>
    <w:p w:rsidR="00000000" w:rsidRDefault="00971A12">
      <w:pPr>
        <w:jc w:val="both"/>
        <w:divId w:val="1507283409"/>
        <w:rPr>
          <w:rFonts w:eastAsia="Times New Roman"/>
        </w:rPr>
      </w:pPr>
      <w:r>
        <w:rPr>
          <w:rFonts w:eastAsia="Times New Roman"/>
          <w:b/>
          <w:bCs/>
          <w:i/>
          <w:iCs/>
          <w:color w:val="000000"/>
          <w:sz w:val="20"/>
          <w:szCs w:val="20"/>
        </w:rPr>
        <w:t xml:space="preserve">2019 Issuance and Sale of Common Stock and Warrants </w:t>
      </w:r>
    </w:p>
    <w:p w:rsidR="00000000" w:rsidRDefault="00971A12">
      <w:pPr>
        <w:jc w:val="both"/>
        <w:divId w:val="1689596146"/>
        <w:rPr>
          <w:rFonts w:eastAsia="Times New Roman"/>
        </w:rPr>
      </w:pPr>
      <w:r>
        <w:rPr>
          <w:rFonts w:eastAsia="Times New Roman"/>
          <w:color w:val="000000"/>
          <w:sz w:val="20"/>
          <w:szCs w:val="20"/>
        </w:rPr>
        <w:t>On June 23, 2019, the Company entered into a Securities Purchase Agreement with CVI Investments, Inc. ("CVI"), pursuant to which CVI agreed to purchase (i) 2,728,513 shares of Common Stock (the "In</w:t>
      </w:r>
      <w:r>
        <w:rPr>
          <w:rFonts w:eastAsia="Times New Roman"/>
          <w:color w:val="000000"/>
          <w:sz w:val="20"/>
          <w:szCs w:val="20"/>
        </w:rPr>
        <w:t>itial Shares"), at a price of $7.33 per share and (ii) Series A Warrants, Series B-1 Warrants, Series B-2 Warrants and Series C Warrants, for aggregate gross proceeds of $20.0 million (the "Private Placement"). The Private Placement closed on June 26, 2019</w:t>
      </w:r>
      <w:r>
        <w:rPr>
          <w:rFonts w:eastAsia="Times New Roman"/>
          <w:color w:val="000000"/>
          <w:sz w:val="20"/>
          <w:szCs w:val="20"/>
        </w:rPr>
        <w:t xml:space="preserve"> (the "CVI Closing Date"). The Series B-1 Warrants and Series B-2 Warrants expired in 2020.</w:t>
      </w:r>
    </w:p>
    <w:p w:rsidR="00000000" w:rsidRDefault="00971A12">
      <w:pPr>
        <w:jc w:val="both"/>
        <w:divId w:val="1255744115"/>
        <w:rPr>
          <w:rFonts w:eastAsia="Times New Roman"/>
        </w:rPr>
      </w:pPr>
      <w:r>
        <w:rPr>
          <w:rFonts w:eastAsia="Times New Roman"/>
          <w:color w:val="000000"/>
          <w:sz w:val="20"/>
          <w:szCs w:val="20"/>
        </w:rPr>
        <w:t>The Series C Warrants were exercised on October 10, 2019. As a result of this exercise, the Company issued 2,728,513 shares of Common Stock to CVI on October 14, 20</w:t>
      </w:r>
      <w:r>
        <w:rPr>
          <w:rFonts w:eastAsia="Times New Roman"/>
          <w:color w:val="000000"/>
          <w:sz w:val="20"/>
          <w:szCs w:val="20"/>
        </w:rPr>
        <w:t>19. In addition, the number of shares issuable under the Series A Warrants was increased by 2,728,513.</w:t>
      </w:r>
    </w:p>
    <w:p w:rsidR="00000000" w:rsidRDefault="00971A12">
      <w:pPr>
        <w:jc w:val="both"/>
        <w:divId w:val="961881146"/>
        <w:rPr>
          <w:rFonts w:eastAsia="Times New Roman"/>
        </w:rPr>
      </w:pPr>
      <w:r>
        <w:rPr>
          <w:rFonts w:eastAsia="Times New Roman"/>
          <w:color w:val="000000"/>
          <w:sz w:val="20"/>
          <w:szCs w:val="20"/>
        </w:rPr>
        <w:t xml:space="preserve">The Series A Warrants are exercisable by the holders for a period of five years </w:t>
      </w:r>
      <w:r>
        <w:rPr>
          <w:rFonts w:eastAsia="Times New Roman"/>
          <w:color w:val="000000"/>
          <w:sz w:val="20"/>
          <w:szCs w:val="20"/>
        </w:rPr>
        <w:t>from the CVI Closing Date and are currently exercisable into 5,457,026 shares of Common Stock, which is equal to the Initial Shares plus the number of shares issued pursuant to the exercise of the Series C Warrants (described above). The exercise price for</w:t>
      </w:r>
      <w:r>
        <w:rPr>
          <w:rFonts w:eastAsia="Times New Roman"/>
          <w:color w:val="000000"/>
          <w:sz w:val="20"/>
          <w:szCs w:val="20"/>
        </w:rPr>
        <w:t xml:space="preserve"> the Series A Warrants was $12.00 upon issuance but was subsequently adjusted, as described below. The Series A Warrants may be exercised for cash or through a net settlement feature under certain circumstances.</w:t>
      </w:r>
    </w:p>
    <w:p w:rsidR="00000000" w:rsidRDefault="00971A12">
      <w:pPr>
        <w:jc w:val="both"/>
        <w:divId w:val="1418209450"/>
        <w:rPr>
          <w:rFonts w:eastAsia="Times New Roman"/>
        </w:rPr>
      </w:pPr>
      <w:r>
        <w:rPr>
          <w:rFonts w:eastAsia="Times New Roman"/>
          <w:color w:val="000000"/>
          <w:sz w:val="20"/>
          <w:szCs w:val="20"/>
        </w:rPr>
        <w:t>The exercise price for the Series A Warrants</w:t>
      </w:r>
      <w:r>
        <w:rPr>
          <w:rFonts w:eastAsia="Times New Roman"/>
          <w:color w:val="000000"/>
          <w:sz w:val="20"/>
          <w:szCs w:val="20"/>
        </w:rPr>
        <w:t xml:space="preserve"> is subject to anti-dilution adjustment in certain circumstances, including upon certain issuances of capital stock. Upon the issuance of the Preferred Stock, the Company adjusted the exercise price of the Series A Warrants from $12.00 to $2.4719 per share</w:t>
      </w:r>
      <w:r>
        <w:rPr>
          <w:rFonts w:eastAsia="Times New Roman"/>
          <w:color w:val="000000"/>
          <w:sz w:val="20"/>
          <w:szCs w:val="20"/>
        </w:rPr>
        <w:t>, the closing price of the Transactions.</w:t>
      </w:r>
    </w:p>
    <w:p w:rsidR="00000000" w:rsidRDefault="00971A12">
      <w:pPr>
        <w:jc w:val="both"/>
        <w:divId w:val="616527895"/>
        <w:rPr>
          <w:rFonts w:eastAsia="Times New Roman"/>
        </w:rPr>
      </w:pPr>
      <w:r>
        <w:rPr>
          <w:rFonts w:eastAsia="Times New Roman"/>
          <w:color w:val="000000"/>
          <w:sz w:val="20"/>
          <w:szCs w:val="20"/>
        </w:rPr>
        <w:t>CVI will not have the right to exercise any warrant that would result in CVI beneficially owning more than 4.99% of the outstanding Common Stock after giving effect to such exercise. CVI has the right, in its discre</w:t>
      </w:r>
      <w:r>
        <w:rPr>
          <w:rFonts w:eastAsia="Times New Roman"/>
          <w:color w:val="000000"/>
          <w:sz w:val="20"/>
          <w:szCs w:val="20"/>
        </w:rPr>
        <w:t>tion, to raise this threshold up to 9.99% with 60 days' notice to the Company. In addition, if and to the extent the exercise of any warrants would, together with the issuances of the Initial Shares and the shares issued pursuant to the exercise of any oth</w:t>
      </w:r>
      <w:r>
        <w:rPr>
          <w:rFonts w:eastAsia="Times New Roman"/>
          <w:color w:val="000000"/>
          <w:sz w:val="20"/>
          <w:szCs w:val="20"/>
        </w:rPr>
        <w:t>er warrants, result in the issuance of 20.0% or more of the outstanding Common Stock of the Company on the CVI Closing Date (the "Exchange Cap"), the Company intends to, in lieu of issuing such shares, settle the obligation to issue such shares in cash.</w:t>
      </w:r>
    </w:p>
    <w:p w:rsidR="00000000" w:rsidRDefault="00971A12">
      <w:pPr>
        <w:jc w:val="both"/>
        <w:divId w:val="1040285626"/>
        <w:rPr>
          <w:rFonts w:eastAsia="Times New Roman"/>
        </w:rPr>
      </w:pPr>
      <w:r>
        <w:rPr>
          <w:rFonts w:eastAsia="Times New Roman"/>
          <w:color w:val="000000"/>
          <w:sz w:val="20"/>
          <w:szCs w:val="20"/>
        </w:rPr>
        <w:t>Th</w:t>
      </w:r>
      <w:r>
        <w:rPr>
          <w:rFonts w:eastAsia="Times New Roman"/>
          <w:color w:val="000000"/>
          <w:sz w:val="20"/>
          <w:szCs w:val="20"/>
        </w:rPr>
        <w:t xml:space="preserve">e estimated fair value of the warrants as of December 31, 2022 was $0.7 million. Refer to </w:t>
      </w:r>
      <w:hyperlink w:anchor="i0047531bd13046b986557e31951e34f8_130" w:history="1">
        <w:r>
          <w:rPr>
            <w:rStyle w:val="a3"/>
            <w:rFonts w:eastAsia="Times New Roman"/>
            <w:sz w:val="20"/>
            <w:szCs w:val="20"/>
          </w:rPr>
          <w:t>Footnote 7</w:t>
        </w:r>
      </w:hyperlink>
      <w:r>
        <w:rPr>
          <w:rFonts w:eastAsia="Times New Roman"/>
          <w:color w:val="000000"/>
          <w:sz w:val="20"/>
          <w:szCs w:val="20"/>
        </w:rPr>
        <w:t xml:space="preserve">, </w:t>
      </w:r>
      <w:r>
        <w:rPr>
          <w:rFonts w:eastAsia="Times New Roman"/>
          <w:i/>
          <w:iCs/>
          <w:color w:val="000000"/>
          <w:sz w:val="20"/>
          <w:szCs w:val="20"/>
        </w:rPr>
        <w:t>Fair Value Measurements</w:t>
      </w:r>
      <w:r>
        <w:rPr>
          <w:rFonts w:eastAsia="Times New Roman"/>
          <w:color w:val="000000"/>
          <w:sz w:val="20"/>
          <w:szCs w:val="20"/>
        </w:rPr>
        <w:t>, for further information.</w:t>
      </w:r>
    </w:p>
    <w:p w:rsidR="00000000" w:rsidRDefault="00971A12">
      <w:pPr>
        <w:jc w:val="both"/>
        <w:divId w:val="729770517"/>
        <w:rPr>
          <w:rFonts w:eastAsia="Times New Roman"/>
        </w:rPr>
      </w:pPr>
      <w:r>
        <w:rPr>
          <w:rFonts w:eastAsia="Times New Roman"/>
          <w:b/>
          <w:bCs/>
          <w:i/>
          <w:iCs/>
          <w:color w:val="000000"/>
          <w:sz w:val="20"/>
          <w:szCs w:val="20"/>
        </w:rPr>
        <w:t>2013 Stock Option/Issuance Plan</w:t>
      </w:r>
    </w:p>
    <w:p w:rsidR="00000000" w:rsidRDefault="00971A12">
      <w:pPr>
        <w:jc w:val="both"/>
        <w:divId w:val="1574391309"/>
        <w:rPr>
          <w:rFonts w:eastAsia="Times New Roman"/>
        </w:rPr>
      </w:pPr>
      <w:r>
        <w:rPr>
          <w:rFonts w:eastAsia="Times New Roman"/>
          <w:color w:val="000000"/>
          <w:sz w:val="20"/>
          <w:szCs w:val="20"/>
        </w:rPr>
        <w:t xml:space="preserve">On December </w:t>
      </w:r>
      <w:r>
        <w:rPr>
          <w:rFonts w:eastAsia="Times New Roman"/>
          <w:color w:val="000000"/>
          <w:sz w:val="20"/>
          <w:szCs w:val="20"/>
        </w:rPr>
        <w:t xml:space="preserve">16, 2021, the Company assumed certain equity awards outstanding under the Shareablee, Inc. 2013 Stock Option/Stock Issuance Plan (the "2013 Plan") in connection with the acquisition of Shareablee described in </w:t>
      </w:r>
      <w:hyperlink w:anchor="i0047531bd13046b986557e31951e34f8_103" w:history="1">
        <w:r>
          <w:rPr>
            <w:rStyle w:val="a3"/>
            <w:rFonts w:eastAsia="Times New Roman"/>
            <w:sz w:val="20"/>
            <w:szCs w:val="20"/>
          </w:rPr>
          <w:t>Footnote 3</w:t>
        </w:r>
      </w:hyperlink>
      <w:r>
        <w:rPr>
          <w:rFonts w:eastAsia="Times New Roman"/>
          <w:color w:val="000000"/>
          <w:sz w:val="20"/>
          <w:szCs w:val="20"/>
        </w:rPr>
        <w:t xml:space="preserve">, </w:t>
      </w:r>
      <w:r>
        <w:rPr>
          <w:rFonts w:eastAsia="Times New Roman"/>
          <w:i/>
          <w:iCs/>
          <w:color w:val="000000"/>
          <w:sz w:val="20"/>
          <w:szCs w:val="20"/>
        </w:rPr>
        <w:t>Business Combination</w:t>
      </w:r>
      <w:r>
        <w:rPr>
          <w:rFonts w:eastAsia="Times New Roman"/>
          <w:color w:val="000000"/>
          <w:sz w:val="20"/>
          <w:szCs w:val="20"/>
        </w:rPr>
        <w:t>. Under the 2013 Plan, as amended and restated, the Company may grant to certain eligible participants option rights and restricted stock units up to 4,500,000 shares of Shareablee common stock. These shares are</w:t>
      </w:r>
      <w:r>
        <w:rPr>
          <w:rFonts w:eastAsia="Times New Roman"/>
          <w:color w:val="000000"/>
          <w:sz w:val="20"/>
          <w:szCs w:val="20"/>
        </w:rPr>
        <w:t xml:space="preserve"> converted into shares of the Company's Common Stock at a conversion rate of one Shareablee share to 0.330437 shares of the Company. The aggregate number of shares of Common Stock available will be reduced by one share of Common Stock for every one share o</w:t>
      </w:r>
      <w:r>
        <w:rPr>
          <w:rFonts w:eastAsia="Times New Roman"/>
          <w:color w:val="000000"/>
          <w:sz w:val="20"/>
          <w:szCs w:val="20"/>
        </w:rPr>
        <w:t xml:space="preserve">f Common Stock subject to an award granted under the 2013 Plan. If any award granted under the 2013 </w:t>
      </w:r>
    </w:p>
    <w:p w:rsidR="00000000" w:rsidRDefault="00971A12">
      <w:pPr>
        <w:jc w:val="center"/>
        <w:divId w:val="1447119307"/>
        <w:rPr>
          <w:rFonts w:eastAsia="Times New Roman"/>
        </w:rPr>
      </w:pPr>
      <w:r>
        <w:rPr>
          <w:rFonts w:eastAsia="Times New Roman"/>
          <w:color w:val="000000"/>
          <w:sz w:val="20"/>
          <w:szCs w:val="20"/>
        </w:rPr>
        <w:t>66</w:t>
      </w:r>
    </w:p>
    <w:p w:rsidR="00000000" w:rsidRDefault="00971A12">
      <w:pPr>
        <w:rPr>
          <w:rFonts w:eastAsia="Times New Roman"/>
        </w:rPr>
      </w:pPr>
      <w:r>
        <w:rPr>
          <w:rFonts w:eastAsia="Times New Roman"/>
        </w:rPr>
        <w:pict>
          <v:rect id="_x0000_i1094" style="width:0;height:1.5pt" o:hralign="center" o:hrstd="t" o:hr="t" fillcolor="#a0a0a0" stroked="f"/>
        </w:pict>
      </w:r>
    </w:p>
    <w:p w:rsidR="00000000" w:rsidRDefault="00971A12">
      <w:pPr>
        <w:divId w:val="2138639284"/>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2038653787"/>
        <w:rPr>
          <w:rFonts w:eastAsia="Times New Roman"/>
        </w:rPr>
      </w:pPr>
    </w:p>
    <w:p w:rsidR="00000000" w:rsidRDefault="00971A12">
      <w:pPr>
        <w:jc w:val="both"/>
        <w:divId w:val="1621380191"/>
        <w:rPr>
          <w:rFonts w:eastAsia="Times New Roman"/>
        </w:rPr>
      </w:pPr>
      <w:r>
        <w:rPr>
          <w:rFonts w:eastAsia="Times New Roman"/>
          <w:color w:val="000000"/>
          <w:sz w:val="20"/>
          <w:szCs w:val="20"/>
        </w:rPr>
        <w:t>Plan (in whole or in part) is cancelled or forfeited, expires, is unvested and repurchased in cash, or otherwise unearned, the shares of Common Stock subject to such award will, to the extent of such cancellation, forfeiture, expiration</w:t>
      </w:r>
      <w:r>
        <w:rPr>
          <w:rFonts w:eastAsia="Times New Roman"/>
          <w:color w:val="000000"/>
          <w:sz w:val="20"/>
          <w:szCs w:val="20"/>
        </w:rPr>
        <w:t xml:space="preserve">, or repurchase in cash, again be available at a rate of one share of Common Stock for every one share of Common Stock subject to such award. The Company registered the securities issuable under the 2013 Plan with the SEC on December 23, 2021. The maximum </w:t>
      </w:r>
      <w:r>
        <w:rPr>
          <w:rFonts w:eastAsia="Times New Roman"/>
          <w:color w:val="000000"/>
          <w:sz w:val="20"/>
          <w:szCs w:val="20"/>
        </w:rPr>
        <w:t>number of shares of the Company's Common Stock available for future issuance under the 2013 Plan as of December 31, 2022 (excluding outstanding awards) is 176,435.</w:t>
      </w:r>
    </w:p>
    <w:p w:rsidR="00000000" w:rsidRDefault="00971A12">
      <w:pPr>
        <w:jc w:val="both"/>
        <w:divId w:val="1684741333"/>
        <w:rPr>
          <w:rFonts w:eastAsia="Times New Roman"/>
        </w:rPr>
      </w:pPr>
      <w:r>
        <w:rPr>
          <w:rFonts w:eastAsia="Times New Roman"/>
          <w:b/>
          <w:bCs/>
          <w:i/>
          <w:iCs/>
          <w:color w:val="000000"/>
          <w:sz w:val="20"/>
          <w:szCs w:val="20"/>
        </w:rPr>
        <w:t>2018 Equity and Incentive Compensation Plan</w:t>
      </w:r>
    </w:p>
    <w:p w:rsidR="00000000" w:rsidRDefault="00971A12">
      <w:pPr>
        <w:jc w:val="both"/>
        <w:divId w:val="853155047"/>
        <w:rPr>
          <w:rFonts w:eastAsia="Times New Roman"/>
        </w:rPr>
      </w:pPr>
      <w:r>
        <w:rPr>
          <w:rFonts w:eastAsia="Times New Roman"/>
          <w:color w:val="000000"/>
          <w:sz w:val="20"/>
          <w:szCs w:val="20"/>
        </w:rPr>
        <w:t xml:space="preserve">The Company's stockholders approved the 2018 Equity and Incentive Compensation Plan (the "2018 Plan") at the Company's 2018 Annual Meeting, approved an amendment and restatement of the 2018 Plan at the Company's 2020 Annual Meeting, and approved a further </w:t>
      </w:r>
      <w:r>
        <w:rPr>
          <w:rFonts w:eastAsia="Times New Roman"/>
          <w:color w:val="000000"/>
          <w:sz w:val="20"/>
          <w:szCs w:val="20"/>
        </w:rPr>
        <w:t>amendment of the 2018 Plan at the Company's 2022 Annual Meeting. Under the 2018 Plan, as amended, the Company may grant option rights, appreciation rights, restricted stock awards, restricted stock units, performance shares and performance units up to 27,8</w:t>
      </w:r>
      <w:r>
        <w:rPr>
          <w:rFonts w:eastAsia="Times New Roman"/>
          <w:color w:val="000000"/>
          <w:sz w:val="20"/>
          <w:szCs w:val="20"/>
        </w:rPr>
        <w:t>50,000 shares of Common Stock. The aggregate number of shares of Common Stock available will be reduced by: (i) one share of Common Stock for every one share of Common Stock subject to an award of option rights or appreciation rights granted under the 2018</w:t>
      </w:r>
      <w:r>
        <w:rPr>
          <w:rFonts w:eastAsia="Times New Roman"/>
          <w:color w:val="000000"/>
          <w:sz w:val="20"/>
          <w:szCs w:val="20"/>
        </w:rPr>
        <w:t xml:space="preserve"> Plan and (ii) two shares of Common Stock for every one share of Common Stock subject to an award other than option rights or appreciation rights granted under the 2018 Plan. If any award granted under the 2018 Plan (in whole or in part) is canceled or for</w:t>
      </w:r>
      <w:r>
        <w:rPr>
          <w:rFonts w:eastAsia="Times New Roman"/>
          <w:color w:val="000000"/>
          <w:sz w:val="20"/>
          <w:szCs w:val="20"/>
        </w:rPr>
        <w:t>feited, expires, is settled in cash, or is unearned, the shares of Common Stock subject to such award will, to the extent of such cancellation, forfeiture, expiration, cash settlement, or unearned amount, again be available at a rate of one share of Common</w:t>
      </w:r>
      <w:r>
        <w:rPr>
          <w:rFonts w:eastAsia="Times New Roman"/>
          <w:color w:val="000000"/>
          <w:sz w:val="20"/>
          <w:szCs w:val="20"/>
        </w:rPr>
        <w:t xml:space="preserve"> Stock for every one share of Common Stock subject to awards of option rights or appreciation rights and two shares of Common Stock for every one share of Common Stock subject to awards other than of option rights or appreciation rights. The Company regist</w:t>
      </w:r>
      <w:r>
        <w:rPr>
          <w:rFonts w:eastAsia="Times New Roman"/>
          <w:color w:val="000000"/>
          <w:sz w:val="20"/>
          <w:szCs w:val="20"/>
        </w:rPr>
        <w:t>ered the securities under the 2018 Plan with the SEC effective June 1, 2018. The maximum number of shares available for future issuance under the 2018 Plan as of December 31, 2022 (excluding outstanding awards) is 5,693,104.</w:t>
      </w:r>
    </w:p>
    <w:p w:rsidR="00000000" w:rsidRDefault="00971A12">
      <w:pPr>
        <w:divId w:val="1257135963"/>
        <w:rPr>
          <w:rFonts w:eastAsia="Times New Roman"/>
        </w:rPr>
      </w:pPr>
      <w:r>
        <w:rPr>
          <w:rFonts w:eastAsia="Times New Roman"/>
          <w:b/>
          <w:bCs/>
          <w:i/>
          <w:iCs/>
          <w:color w:val="000000"/>
          <w:sz w:val="20"/>
          <w:szCs w:val="20"/>
        </w:rPr>
        <w:t>Stock Options</w:t>
      </w:r>
    </w:p>
    <w:p w:rsidR="00000000" w:rsidRDefault="00971A12">
      <w:pPr>
        <w:jc w:val="both"/>
        <w:divId w:val="1388453247"/>
        <w:rPr>
          <w:rFonts w:eastAsia="Times New Roman"/>
        </w:rPr>
      </w:pPr>
      <w:r>
        <w:rPr>
          <w:rFonts w:eastAsia="Times New Roman"/>
          <w:color w:val="000000"/>
          <w:sz w:val="20"/>
          <w:szCs w:val="20"/>
        </w:rPr>
        <w:t>The Company's Com</w:t>
      </w:r>
      <w:r>
        <w:rPr>
          <w:rFonts w:eastAsia="Times New Roman"/>
          <w:color w:val="000000"/>
          <w:sz w:val="20"/>
          <w:szCs w:val="20"/>
        </w:rPr>
        <w:t>pensation Committee approved and awarded 948,000 and 50,000 options for the years ended December 31, 2022 and 2020 respectively, under the 2018 Plan to employees and consultants. No options were approved and awarded for the year ended December 31, 2021 und</w:t>
      </w:r>
      <w:r>
        <w:rPr>
          <w:rFonts w:eastAsia="Times New Roman"/>
          <w:color w:val="000000"/>
          <w:sz w:val="20"/>
          <w:szCs w:val="20"/>
        </w:rPr>
        <w:t>er the 2018 Plan.</w:t>
      </w:r>
    </w:p>
    <w:p w:rsidR="00000000" w:rsidRDefault="00971A12">
      <w:pPr>
        <w:jc w:val="both"/>
        <w:divId w:val="408502187"/>
        <w:rPr>
          <w:rFonts w:eastAsia="Times New Roman"/>
        </w:rPr>
      </w:pPr>
      <w:r>
        <w:rPr>
          <w:rFonts w:eastAsia="Times New Roman"/>
          <w:color w:val="000000"/>
          <w:sz w:val="20"/>
          <w:szCs w:val="20"/>
        </w:rPr>
        <w:t>The fair values of options at the date of grant, or when assumed by the Company, were estimated using the Black-Scholes option pricing model utilizing the following assumptions: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4917"/>
        <w:gridCol w:w="36"/>
        <w:gridCol w:w="51"/>
        <w:gridCol w:w="925"/>
        <w:gridCol w:w="40"/>
        <w:gridCol w:w="37"/>
        <w:gridCol w:w="37"/>
        <w:gridCol w:w="37"/>
        <w:gridCol w:w="51"/>
        <w:gridCol w:w="925"/>
        <w:gridCol w:w="40"/>
        <w:gridCol w:w="37"/>
        <w:gridCol w:w="37"/>
        <w:gridCol w:w="37"/>
        <w:gridCol w:w="51"/>
        <w:gridCol w:w="958"/>
        <w:gridCol w:w="39"/>
      </w:tblGrid>
      <w:tr w:rsidR="00000000">
        <w:trPr>
          <w:divId w:val="614334765"/>
          <w:jc w:val="center"/>
        </w:trPr>
        <w:tc>
          <w:tcPr>
            <w:tcW w:w="50" w:type="pct"/>
            <w:vAlign w:val="center"/>
            <w:hideMark/>
          </w:tcPr>
          <w:p w:rsidR="00000000" w:rsidRDefault="00971A12">
            <w:pPr>
              <w:jc w:val="both"/>
              <w:rPr>
                <w:rFonts w:eastAsia="Times New Roman"/>
              </w:rPr>
            </w:pPr>
          </w:p>
        </w:tc>
        <w:tc>
          <w:tcPr>
            <w:tcW w:w="2978"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9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614334765"/>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Years Ended December 31,</w:t>
            </w:r>
          </w:p>
        </w:tc>
      </w:tr>
      <w:tr w:rsidR="00000000">
        <w:trPr>
          <w:divId w:val="614334765"/>
          <w:jc w:val="center"/>
        </w:trPr>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r>
      <w:tr w:rsidR="00000000">
        <w:trPr>
          <w:divId w:val="614334765"/>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divId w:val="709185913"/>
              <w:rPr>
                <w:rFonts w:eastAsia="Times New Roman"/>
              </w:rPr>
            </w:pPr>
            <w:r>
              <w:rPr>
                <w:rFonts w:eastAsia="Times New Roman"/>
                <w:color w:val="000000"/>
                <w:sz w:val="18"/>
                <w:szCs w:val="18"/>
              </w:rPr>
              <w:t>Dividend yield</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0.0%</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0.0%</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0.0%</w:t>
            </w:r>
          </w:p>
        </w:tc>
      </w:tr>
      <w:tr w:rsidR="00000000">
        <w:trPr>
          <w:divId w:val="614334765"/>
          <w:jc w:val="center"/>
        </w:trPr>
        <w:tc>
          <w:tcPr>
            <w:tcW w:w="0" w:type="auto"/>
            <w:gridSpan w:val="3"/>
            <w:shd w:val="clear" w:color="auto" w:fill="FFFFFF"/>
            <w:tcMar>
              <w:top w:w="30" w:type="dxa"/>
              <w:left w:w="20" w:type="dxa"/>
              <w:bottom w:w="30" w:type="dxa"/>
              <w:right w:w="20" w:type="dxa"/>
            </w:tcMar>
            <w:hideMark/>
          </w:tcPr>
          <w:p w:rsidR="00000000" w:rsidRDefault="00971A12">
            <w:pPr>
              <w:spacing w:after="100"/>
              <w:divId w:val="710960629"/>
              <w:rPr>
                <w:rFonts w:eastAsia="Times New Roman"/>
              </w:rPr>
            </w:pPr>
            <w:r>
              <w:rPr>
                <w:rFonts w:eastAsia="Times New Roman"/>
                <w:color w:val="000000"/>
                <w:sz w:val="18"/>
                <w:szCs w:val="18"/>
              </w:rPr>
              <w:t>Expected volatility</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68.2% - 69.2%</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33.2 - 72.4%</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57.0%</w:t>
            </w:r>
          </w:p>
        </w:tc>
      </w:tr>
      <w:tr w:rsidR="00000000">
        <w:trPr>
          <w:divId w:val="614334765"/>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divId w:val="394395830"/>
              <w:rPr>
                <w:rFonts w:eastAsia="Times New Roman"/>
              </w:rPr>
            </w:pPr>
            <w:r>
              <w:rPr>
                <w:rFonts w:eastAsia="Times New Roman"/>
                <w:color w:val="000000"/>
                <w:sz w:val="18"/>
                <w:szCs w:val="18"/>
              </w:rPr>
              <w:t>Risk-free interest rate</w:t>
            </w:r>
            <w:r>
              <w:rPr>
                <w:rFonts w:eastAsia="Times New Roman"/>
                <w:color w:val="000000"/>
                <w:sz w:val="18"/>
                <w:szCs w:val="18"/>
              </w:rPr>
              <w:t xml:space="preserve"> </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3.2% - 4.2%</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0.1% -1.4%</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1.0%</w:t>
            </w:r>
          </w:p>
        </w:tc>
      </w:tr>
      <w:tr w:rsidR="00000000">
        <w:trPr>
          <w:divId w:val="614334765"/>
          <w:jc w:val="center"/>
        </w:trPr>
        <w:tc>
          <w:tcPr>
            <w:tcW w:w="0" w:type="auto"/>
            <w:gridSpan w:val="3"/>
            <w:shd w:val="clear" w:color="auto" w:fill="FFFFFF"/>
            <w:tcMar>
              <w:top w:w="30" w:type="dxa"/>
              <w:left w:w="20" w:type="dxa"/>
              <w:bottom w:w="30" w:type="dxa"/>
              <w:right w:w="20" w:type="dxa"/>
            </w:tcMar>
            <w:hideMark/>
          </w:tcPr>
          <w:p w:rsidR="00000000" w:rsidRDefault="00971A12">
            <w:pPr>
              <w:spacing w:after="100"/>
              <w:divId w:val="1135952623"/>
              <w:rPr>
                <w:rFonts w:eastAsia="Times New Roman"/>
              </w:rPr>
            </w:pPr>
            <w:r>
              <w:rPr>
                <w:rFonts w:eastAsia="Times New Roman"/>
                <w:color w:val="000000"/>
                <w:sz w:val="18"/>
                <w:szCs w:val="18"/>
              </w:rPr>
              <w:t>Expected life of options (in years)</w:t>
            </w:r>
            <w:r>
              <w:rPr>
                <w:rFonts w:eastAsia="Times New Roman"/>
                <w:color w:val="000000"/>
                <w:sz w:val="18"/>
                <w:szCs w:val="18"/>
              </w:rPr>
              <w:t xml:space="preserve"> </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6.18 - 6.25</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 xml:space="preserve">0.25 - 9.81 </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18"/>
                <w:szCs w:val="18"/>
              </w:rPr>
              <w:t>6.00</w:t>
            </w:r>
          </w:p>
        </w:tc>
      </w:tr>
    </w:tbl>
    <w:p w:rsidR="00000000" w:rsidRDefault="00971A12">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w:t>
      </w:r>
      <w:r>
        <w:rPr>
          <w:rFonts w:eastAsia="Times New Roman"/>
          <w:color w:val="000000"/>
          <w:sz w:val="16"/>
          <w:szCs w:val="16"/>
        </w:rPr>
        <w:t>The Company has never declared or paid a cash dividend on its Common Stock and has no plans to pay cash dividends on Common Stock in the foreseeable future.</w:t>
      </w:r>
    </w:p>
    <w:p w:rsidR="00000000" w:rsidRDefault="00971A12">
      <w:pPr>
        <w:jc w:val="both"/>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 Volatility is a measure of the amount by which a financial variable such as a share price has f</w:t>
      </w:r>
      <w:r>
        <w:rPr>
          <w:rFonts w:eastAsia="Times New Roman"/>
          <w:color w:val="000000"/>
          <w:sz w:val="16"/>
          <w:szCs w:val="16"/>
        </w:rPr>
        <w:t>luctuated (historical volatility) or is expected to fluctuate (expected volatility) during a period. The Company considered the historical volatility of its stock price over a term similar to the expected life of the options in determining expected volatil</w:t>
      </w:r>
      <w:r>
        <w:rPr>
          <w:rFonts w:eastAsia="Times New Roman"/>
          <w:color w:val="000000"/>
          <w:sz w:val="16"/>
          <w:szCs w:val="16"/>
        </w:rPr>
        <w:t xml:space="preserve">ity. </w:t>
      </w:r>
    </w:p>
    <w:p w:rsidR="00000000" w:rsidRDefault="00971A12">
      <w:pPr>
        <w:jc w:val="both"/>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i/>
          <w:iCs/>
          <w:color w:val="000000"/>
          <w:sz w:val="16"/>
          <w:szCs w:val="16"/>
        </w:rPr>
        <w:t xml:space="preserve"> </w:t>
      </w:r>
      <w:r>
        <w:rPr>
          <w:rFonts w:eastAsia="Times New Roman"/>
          <w:color w:val="000000"/>
          <w:sz w:val="16"/>
          <w:szCs w:val="16"/>
        </w:rPr>
        <w:t>The Company used rates on the grant date of zero-coupon government bonds with maturities over periods covering the term of the awards, converted to continuously compounded forward rates.</w:t>
      </w:r>
    </w:p>
    <w:p w:rsidR="00000000" w:rsidRDefault="00971A12">
      <w:pPr>
        <w:jc w:val="both"/>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 xml:space="preserve"> This is the period of time that the options granted are</w:t>
      </w:r>
      <w:r>
        <w:rPr>
          <w:rFonts w:eastAsia="Times New Roman"/>
          <w:color w:val="000000"/>
          <w:sz w:val="16"/>
          <w:szCs w:val="16"/>
        </w:rPr>
        <w:t xml:space="preserve"> expected to remain outstanding. Options under the Company's plans generally have a contractual term of 10 years and generally must be exercised within 30 to 90 days following termination of service.</w:t>
      </w:r>
    </w:p>
    <w:p w:rsidR="00000000" w:rsidRDefault="00971A12">
      <w:pPr>
        <w:jc w:val="center"/>
        <w:divId w:val="912276183"/>
        <w:rPr>
          <w:rFonts w:eastAsia="Times New Roman"/>
        </w:rPr>
      </w:pPr>
      <w:r>
        <w:rPr>
          <w:rFonts w:eastAsia="Times New Roman"/>
          <w:color w:val="000000"/>
          <w:sz w:val="20"/>
          <w:szCs w:val="20"/>
        </w:rPr>
        <w:t>67</w:t>
      </w:r>
    </w:p>
    <w:p w:rsidR="00000000" w:rsidRDefault="00971A12">
      <w:pPr>
        <w:rPr>
          <w:rFonts w:eastAsia="Times New Roman"/>
        </w:rPr>
      </w:pPr>
      <w:r>
        <w:rPr>
          <w:rFonts w:eastAsia="Times New Roman"/>
        </w:rPr>
        <w:pict>
          <v:rect id="_x0000_i1095" style="width:0;height:1.5pt" o:hralign="center" o:hrstd="t" o:hr="t" fillcolor="#a0a0a0" stroked="f"/>
        </w:pict>
      </w:r>
    </w:p>
    <w:p w:rsidR="00000000" w:rsidRDefault="00971A12">
      <w:pPr>
        <w:divId w:val="1859082215"/>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734891442"/>
        <w:rPr>
          <w:rFonts w:eastAsia="Times New Roman"/>
        </w:rPr>
      </w:pPr>
    </w:p>
    <w:p w:rsidR="00000000" w:rsidRDefault="00971A12">
      <w:pPr>
        <w:jc w:val="both"/>
        <w:divId w:val="189225935"/>
        <w:rPr>
          <w:rFonts w:eastAsia="Times New Roman"/>
        </w:rPr>
      </w:pPr>
      <w:r>
        <w:rPr>
          <w:rFonts w:eastAsia="Times New Roman"/>
          <w:color w:val="000000"/>
          <w:sz w:val="20"/>
          <w:szCs w:val="20"/>
        </w:rPr>
        <w:t>A summary of options granted, exercised, forfeited and expired during the years ended December 31, 2022, 2021 and 2020 is included below</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8"/>
        <w:gridCol w:w="6038"/>
        <w:gridCol w:w="37"/>
        <w:gridCol w:w="63"/>
        <w:gridCol w:w="907"/>
        <w:gridCol w:w="36"/>
        <w:gridCol w:w="36"/>
        <w:gridCol w:w="36"/>
        <w:gridCol w:w="36"/>
        <w:gridCol w:w="111"/>
        <w:gridCol w:w="922"/>
        <w:gridCol w:w="36"/>
      </w:tblGrid>
      <w:tr w:rsidR="00000000">
        <w:trPr>
          <w:divId w:val="1991976789"/>
        </w:trPr>
        <w:tc>
          <w:tcPr>
            <w:tcW w:w="50" w:type="pct"/>
            <w:vAlign w:val="center"/>
            <w:hideMark/>
          </w:tcPr>
          <w:p w:rsidR="00000000" w:rsidRDefault="00971A12">
            <w:pPr>
              <w:jc w:val="both"/>
              <w:rPr>
                <w:rFonts w:eastAsia="Times New Roman"/>
              </w:rPr>
            </w:pPr>
          </w:p>
        </w:tc>
        <w:tc>
          <w:tcPr>
            <w:tcW w:w="365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991976789"/>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Shares</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Weighted-Average</w:t>
            </w:r>
            <w:r>
              <w:rPr>
                <w:rFonts w:eastAsia="Times New Roman"/>
                <w:b/>
                <w:bCs/>
                <w:color w:val="000000"/>
                <w:sz w:val="16"/>
                <w:szCs w:val="16"/>
              </w:rPr>
              <w:br/>
              <w:t>Exercise Price</w:t>
            </w:r>
          </w:p>
        </w:tc>
      </w:tr>
      <w:tr w:rsidR="00000000">
        <w:trPr>
          <w:divId w:val="1991976789"/>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Options outstanding as of December 31,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1,538,967 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991976789"/>
        </w:trPr>
        <w:tc>
          <w:tcPr>
            <w:tcW w:w="0" w:type="auto"/>
            <w:gridSpan w:val="3"/>
            <w:shd w:val="clear" w:color="auto" w:fill="FFFFFF"/>
            <w:tcMar>
              <w:top w:w="30" w:type="dxa"/>
              <w:left w:w="29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Options granted</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50,000 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991976789"/>
        </w:trPr>
        <w:tc>
          <w:tcPr>
            <w:tcW w:w="0" w:type="auto"/>
            <w:gridSpan w:val="3"/>
            <w:shd w:val="clear" w:color="auto" w:fill="CCEEFF"/>
            <w:tcMar>
              <w:top w:w="30" w:type="dxa"/>
              <w:left w:w="29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Options exercised</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(75,000)</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991976789"/>
        </w:trPr>
        <w:tc>
          <w:tcPr>
            <w:tcW w:w="0" w:type="auto"/>
            <w:gridSpan w:val="3"/>
            <w:shd w:val="clear" w:color="auto" w:fill="FFFFFF"/>
            <w:tcMar>
              <w:top w:w="30" w:type="dxa"/>
              <w:left w:w="29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Options forfeited</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(60,000)</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5.38 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991976789"/>
        </w:trPr>
        <w:tc>
          <w:tcPr>
            <w:tcW w:w="0" w:type="auto"/>
            <w:gridSpan w:val="3"/>
            <w:shd w:val="clear" w:color="auto" w:fill="CCEEFF"/>
            <w:tcMar>
              <w:top w:w="30" w:type="dxa"/>
              <w:left w:w="29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Options expired</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(456,775)</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15.92 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991976789"/>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Options outstanding as of December 31,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997,192 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991976789"/>
        </w:trPr>
        <w:tc>
          <w:tcPr>
            <w:tcW w:w="0" w:type="auto"/>
            <w:gridSpan w:val="3"/>
            <w:shd w:val="clear" w:color="auto" w:fill="CCEEFF"/>
            <w:tcMar>
              <w:top w:w="30" w:type="dxa"/>
              <w:left w:w="20" w:type="dxa"/>
              <w:bottom w:w="30" w:type="dxa"/>
              <w:right w:w="20" w:type="dxa"/>
            </w:tcMar>
            <w:hideMark/>
          </w:tcPr>
          <w:p w:rsidR="00000000" w:rsidRDefault="00971A12">
            <w:pPr>
              <w:spacing w:after="100"/>
              <w:divId w:val="825901304"/>
              <w:rPr>
                <w:rFonts w:eastAsia="Times New Roman"/>
              </w:rPr>
            </w:pPr>
            <w:r>
              <w:rPr>
                <w:rFonts w:eastAsia="Times New Roman"/>
                <w:color w:val="000000"/>
                <w:sz w:val="18"/>
                <w:szCs w:val="18"/>
              </w:rPr>
              <w:t>Options assumed</w:t>
            </w:r>
            <w:r>
              <w:rPr>
                <w:rFonts w:eastAsia="Times New Roman"/>
                <w:color w:val="000000"/>
                <w:sz w:val="18"/>
                <w:szCs w:val="18"/>
              </w:rPr>
              <w:t xml:space="preserve"> </w:t>
            </w:r>
            <w:r>
              <w:rPr>
                <w:rFonts w:eastAsia="Times New Roman"/>
                <w:color w:val="000000"/>
                <w:sz w:val="10"/>
                <w:szCs w:val="10"/>
              </w:rPr>
              <w:t>(1</w:t>
            </w:r>
            <w:r>
              <w:rPr>
                <w:rFonts w:eastAsia="Times New Roman"/>
                <w:color w:val="000000"/>
                <w:sz w:val="10"/>
                <w:szCs w:val="10"/>
              </w:rPr>
              <w:t>)</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988,869 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991976789"/>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991976789"/>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991976789"/>
        </w:trPr>
        <w:tc>
          <w:tcPr>
            <w:tcW w:w="0" w:type="auto"/>
            <w:gridSpan w:val="3"/>
            <w:shd w:val="clear" w:color="auto" w:fill="FFFFFF"/>
            <w:tcMar>
              <w:top w:w="30" w:type="dxa"/>
              <w:left w:w="29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Options expired</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(203,006)</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14.83 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991976789"/>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Options outstanding as of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1,783,055 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991976789"/>
        </w:trPr>
        <w:tc>
          <w:tcPr>
            <w:tcW w:w="0" w:type="auto"/>
            <w:gridSpan w:val="3"/>
            <w:shd w:val="clear" w:color="auto" w:fill="FFFFFF"/>
            <w:tcMar>
              <w:top w:w="30" w:type="dxa"/>
              <w:left w:w="29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Options granted</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948,000 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991976789"/>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991976789"/>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991976789"/>
        </w:trPr>
        <w:tc>
          <w:tcPr>
            <w:tcW w:w="0" w:type="auto"/>
            <w:gridSpan w:val="3"/>
            <w:shd w:val="clear" w:color="auto" w:fill="CCEEFF"/>
            <w:tcMar>
              <w:top w:w="30" w:type="dxa"/>
              <w:left w:w="29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Options exercised</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(96,955)</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991976789"/>
        </w:trPr>
        <w:tc>
          <w:tcPr>
            <w:tcW w:w="0" w:type="auto"/>
            <w:gridSpan w:val="3"/>
            <w:shd w:val="clear" w:color="auto" w:fill="FFFFFF"/>
            <w:tcMar>
              <w:top w:w="30" w:type="dxa"/>
              <w:left w:w="29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Options forfeited</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(62,284)</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7.33 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991976789"/>
        </w:trPr>
        <w:tc>
          <w:tcPr>
            <w:tcW w:w="0" w:type="auto"/>
            <w:gridSpan w:val="3"/>
            <w:shd w:val="clear" w:color="auto" w:fill="CCEEFF"/>
            <w:tcMar>
              <w:top w:w="30" w:type="dxa"/>
              <w:left w:w="29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Options expired</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(287,829)</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14.57 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991976789"/>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Options outstanding as of December 31, 2022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2,283,987 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991976789"/>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Options exercisable as of December 31, 2022</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1,131,404 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w:t>
      </w:r>
      <w:r>
        <w:rPr>
          <w:rFonts w:eastAsia="Times New Roman"/>
          <w:color w:val="000000"/>
          <w:sz w:val="16"/>
          <w:szCs w:val="16"/>
        </w:rPr>
        <w:t xml:space="preserve">Excludes 17,514 stock options settled in cash in lieu of the issuance of Common Stock of the Company. </w:t>
      </w:r>
    </w:p>
    <w:p w:rsidR="00000000" w:rsidRDefault="00971A12">
      <w:pPr>
        <w:jc w:val="both"/>
        <w:divId w:val="2054651452"/>
        <w:rPr>
          <w:rFonts w:eastAsia="Times New Roman"/>
        </w:rPr>
      </w:pPr>
      <w:r>
        <w:rPr>
          <w:rFonts w:eastAsia="Times New Roman"/>
          <w:color w:val="000000"/>
          <w:sz w:val="20"/>
          <w:szCs w:val="20"/>
        </w:rPr>
        <w:t>The following table summarizes information about options outstanding, and exercisable, as of December 31, 2022:</w:t>
      </w:r>
    </w:p>
    <w:tbl>
      <w:tblPr>
        <w:tblW w:w="5000" w:type="pct"/>
        <w:tblCellMar>
          <w:top w:w="15" w:type="dxa"/>
          <w:left w:w="15" w:type="dxa"/>
          <w:bottom w:w="15" w:type="dxa"/>
          <w:right w:w="15" w:type="dxa"/>
        </w:tblCellMar>
        <w:tblLook w:val="04A0" w:firstRow="1" w:lastRow="0" w:firstColumn="1" w:lastColumn="0" w:noHBand="0" w:noVBand="1"/>
      </w:tblPr>
      <w:tblGrid>
        <w:gridCol w:w="37"/>
        <w:gridCol w:w="1601"/>
        <w:gridCol w:w="36"/>
        <w:gridCol w:w="36"/>
        <w:gridCol w:w="36"/>
        <w:gridCol w:w="36"/>
        <w:gridCol w:w="71"/>
        <w:gridCol w:w="863"/>
        <w:gridCol w:w="36"/>
        <w:gridCol w:w="36"/>
        <w:gridCol w:w="36"/>
        <w:gridCol w:w="36"/>
        <w:gridCol w:w="111"/>
        <w:gridCol w:w="904"/>
        <w:gridCol w:w="37"/>
        <w:gridCol w:w="36"/>
        <w:gridCol w:w="36"/>
        <w:gridCol w:w="36"/>
        <w:gridCol w:w="69"/>
        <w:gridCol w:w="865"/>
        <w:gridCol w:w="36"/>
        <w:gridCol w:w="36"/>
        <w:gridCol w:w="36"/>
        <w:gridCol w:w="36"/>
        <w:gridCol w:w="66"/>
        <w:gridCol w:w="868"/>
        <w:gridCol w:w="36"/>
        <w:gridCol w:w="36"/>
        <w:gridCol w:w="36"/>
        <w:gridCol w:w="36"/>
        <w:gridCol w:w="111"/>
        <w:gridCol w:w="904"/>
        <w:gridCol w:w="37"/>
        <w:gridCol w:w="36"/>
        <w:gridCol w:w="36"/>
        <w:gridCol w:w="36"/>
        <w:gridCol w:w="69"/>
        <w:gridCol w:w="865"/>
        <w:gridCol w:w="36"/>
      </w:tblGrid>
      <w:tr w:rsidR="00000000">
        <w:trPr>
          <w:divId w:val="1899703239"/>
        </w:trPr>
        <w:tc>
          <w:tcPr>
            <w:tcW w:w="50" w:type="pct"/>
            <w:vAlign w:val="center"/>
            <w:hideMark/>
          </w:tcPr>
          <w:p w:rsidR="00000000" w:rsidRDefault="00971A12">
            <w:pPr>
              <w:jc w:val="both"/>
              <w:rPr>
                <w:rFonts w:eastAsia="Times New Roman"/>
              </w:rPr>
            </w:pPr>
          </w:p>
        </w:tc>
        <w:tc>
          <w:tcPr>
            <w:tcW w:w="99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899703239"/>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Options Outstanding</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Options Exercisable</w:t>
            </w:r>
          </w:p>
        </w:tc>
      </w:tr>
      <w:tr w:rsidR="00000000">
        <w:trPr>
          <w:divId w:val="1899703239"/>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16"/>
                <w:szCs w:val="16"/>
              </w:rPr>
              <w:t>Range of Exercise Prices</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Options Outstanding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Remaining</w:t>
            </w:r>
            <w:r>
              <w:rPr>
                <w:rFonts w:eastAsia="Times New Roman"/>
                <w:b/>
                <w:bCs/>
                <w:color w:val="000000"/>
                <w:sz w:val="16"/>
                <w:szCs w:val="16"/>
              </w:rPr>
              <w:br/>
              <w:t>Contractual</w:t>
            </w:r>
            <w:r>
              <w:rPr>
                <w:rFonts w:eastAsia="Times New Roman"/>
                <w:b/>
                <w:bCs/>
                <w:color w:val="000000"/>
                <w:sz w:val="16"/>
                <w:szCs w:val="16"/>
              </w:rPr>
              <w:br/>
              <w:t>Life (Years)</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Options</w:t>
            </w:r>
            <w:r>
              <w:rPr>
                <w:rFonts w:eastAsia="Times New Roman"/>
                <w:b/>
                <w:bCs/>
                <w:color w:val="000000"/>
                <w:sz w:val="16"/>
                <w:szCs w:val="16"/>
              </w:rPr>
              <w:br/>
            </w:r>
            <w:r>
              <w:rPr>
                <w:rFonts w:eastAsia="Times New Roman"/>
                <w:b/>
                <w:bCs/>
                <w:color w:val="000000"/>
                <w:sz w:val="16"/>
                <w:szCs w:val="16"/>
              </w:rPr>
              <w:t>Exercisable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Remaining</w:t>
            </w:r>
            <w:r>
              <w:rPr>
                <w:rFonts w:eastAsia="Times New Roman"/>
                <w:b/>
                <w:bCs/>
                <w:color w:val="000000"/>
                <w:sz w:val="16"/>
                <w:szCs w:val="16"/>
              </w:rPr>
              <w:br/>
              <w:t>Contractual</w:t>
            </w:r>
            <w:r>
              <w:rPr>
                <w:rFonts w:eastAsia="Times New Roman"/>
                <w:b/>
                <w:bCs/>
                <w:color w:val="000000"/>
                <w:sz w:val="16"/>
                <w:szCs w:val="16"/>
              </w:rPr>
              <w:br/>
              <w:t>Life (Years)</w:t>
            </w:r>
          </w:p>
        </w:tc>
      </w:tr>
      <w:tr w:rsidR="00000000">
        <w:trPr>
          <w:divId w:val="1899703239"/>
        </w:trPr>
        <w:tc>
          <w:tcPr>
            <w:tcW w:w="0" w:type="auto"/>
            <w:gridSpan w:val="3"/>
            <w:shd w:val="clear" w:color="auto" w:fill="CCEEFF"/>
            <w:tcMar>
              <w:top w:w="30" w:type="dxa"/>
              <w:left w:w="20" w:type="dxa"/>
              <w:bottom w:w="30" w:type="dxa"/>
              <w:right w:w="20" w:type="dxa"/>
            </w:tcMar>
            <w:hideMark/>
          </w:tcPr>
          <w:p w:rsidR="00000000" w:rsidRDefault="00971A12">
            <w:pPr>
              <w:spacing w:after="100"/>
              <w:divId w:val="2007853822"/>
              <w:rPr>
                <w:rFonts w:eastAsia="Times New Roman"/>
              </w:rPr>
            </w:pPr>
            <w:r>
              <w:rPr>
                <w:rFonts w:eastAsia="Times New Roman"/>
                <w:color w:val="000000"/>
                <w:sz w:val="18"/>
                <w:szCs w:val="18"/>
              </w:rPr>
              <w:t>$0.57 - $2.50</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1,823,627 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7.98</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676,111 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5.83</w:t>
            </w:r>
          </w:p>
        </w:tc>
      </w:tr>
      <w:tr w:rsidR="00000000">
        <w:trPr>
          <w:divId w:val="1899703239"/>
        </w:trPr>
        <w:tc>
          <w:tcPr>
            <w:tcW w:w="0" w:type="auto"/>
            <w:gridSpan w:val="3"/>
            <w:shd w:val="clear" w:color="auto" w:fill="FFFFFF"/>
            <w:tcMar>
              <w:top w:w="30" w:type="dxa"/>
              <w:left w:w="20" w:type="dxa"/>
              <w:bottom w:w="30" w:type="dxa"/>
              <w:right w:w="20" w:type="dxa"/>
            </w:tcMar>
            <w:hideMark/>
          </w:tcPr>
          <w:p w:rsidR="00000000" w:rsidRDefault="00971A12">
            <w:pPr>
              <w:spacing w:after="100"/>
              <w:divId w:val="1006903445"/>
              <w:rPr>
                <w:rFonts w:eastAsia="Times New Roman"/>
              </w:rPr>
            </w:pPr>
            <w:r>
              <w:rPr>
                <w:rFonts w:eastAsia="Times New Roman"/>
                <w:color w:val="000000"/>
                <w:sz w:val="18"/>
                <w:szCs w:val="18"/>
              </w:rPr>
              <w:t>$3.21 - $5.38</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440,935 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3.76 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6.40</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435,868 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3.75 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6.37</w:t>
            </w:r>
          </w:p>
        </w:tc>
      </w:tr>
      <w:tr w:rsidR="00000000">
        <w:trPr>
          <w:divId w:val="1899703239"/>
        </w:trPr>
        <w:tc>
          <w:tcPr>
            <w:tcW w:w="0" w:type="auto"/>
            <w:gridSpan w:val="3"/>
            <w:vAlign w:val="center"/>
            <w:hideMark/>
          </w:tcPr>
          <w:p w:rsidR="00000000" w:rsidRDefault="00971A12">
            <w:pPr>
              <w:spacing w:after="100"/>
              <w:jc w:val="right"/>
              <w:rPr>
                <w:rFonts w:eastAsia="Times New Roman"/>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899703239"/>
        </w:trPr>
        <w:tc>
          <w:tcPr>
            <w:tcW w:w="0" w:type="auto"/>
            <w:gridSpan w:val="3"/>
            <w:shd w:val="clear" w:color="auto" w:fill="CCEEFF"/>
            <w:tcMar>
              <w:top w:w="30" w:type="dxa"/>
              <w:left w:w="20" w:type="dxa"/>
              <w:bottom w:w="30" w:type="dxa"/>
              <w:right w:w="20" w:type="dxa"/>
            </w:tcMar>
            <w:hideMark/>
          </w:tcPr>
          <w:p w:rsidR="00000000" w:rsidRDefault="00971A12">
            <w:pPr>
              <w:spacing w:after="100"/>
              <w:divId w:val="62608620"/>
              <w:rPr>
                <w:rFonts w:eastAsia="Times New Roman"/>
              </w:rPr>
            </w:pPr>
            <w:r>
              <w:rPr>
                <w:rFonts w:eastAsia="Times New Roman"/>
                <w:color w:val="000000"/>
                <w:sz w:val="18"/>
                <w:szCs w:val="18"/>
              </w:rPr>
              <w:t xml:space="preserve">$20.11 </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13,368 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20.11 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0.62</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13,368 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20.11 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0.62</w:t>
            </w:r>
          </w:p>
        </w:tc>
      </w:tr>
      <w:tr w:rsidR="00000000">
        <w:trPr>
          <w:divId w:val="1899703239"/>
        </w:trPr>
        <w:tc>
          <w:tcPr>
            <w:tcW w:w="0" w:type="auto"/>
            <w:gridSpan w:val="3"/>
            <w:shd w:val="clear" w:color="auto" w:fill="FFFFFF"/>
            <w:tcMar>
              <w:top w:w="30" w:type="dxa"/>
              <w:left w:w="20" w:type="dxa"/>
              <w:bottom w:w="30" w:type="dxa"/>
              <w:right w:w="20" w:type="dxa"/>
            </w:tcMar>
            <w:hideMark/>
          </w:tcPr>
          <w:p w:rsidR="00000000" w:rsidRDefault="00971A12">
            <w:pPr>
              <w:spacing w:after="100"/>
              <w:divId w:val="157304742"/>
              <w:rPr>
                <w:rFonts w:eastAsia="Times New Roman"/>
              </w:rPr>
            </w:pPr>
            <w:r>
              <w:rPr>
                <w:rFonts w:eastAsia="Times New Roman"/>
                <w:color w:val="000000"/>
                <w:sz w:val="18"/>
                <w:szCs w:val="18"/>
              </w:rPr>
              <w:t>$40.80</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6,057 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40.80 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1.62</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6,057 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40.80 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1.62</w:t>
            </w:r>
          </w:p>
        </w:tc>
      </w:tr>
      <w:tr w:rsidR="00000000">
        <w:trPr>
          <w:divId w:val="1899703239"/>
        </w:trPr>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2,283,987 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7.62</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1,131,404 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5.96</w:t>
            </w:r>
          </w:p>
        </w:tc>
      </w:tr>
    </w:tbl>
    <w:p w:rsidR="00000000" w:rsidRDefault="00971A12">
      <w:pPr>
        <w:jc w:val="both"/>
        <w:divId w:val="246693980"/>
        <w:rPr>
          <w:rFonts w:eastAsia="Times New Roman"/>
        </w:rPr>
      </w:pPr>
      <w:r>
        <w:rPr>
          <w:rFonts w:eastAsia="Times New Roman"/>
          <w:color w:val="000000"/>
          <w:sz w:val="20"/>
          <w:szCs w:val="20"/>
        </w:rPr>
        <w:t>The intrinsic value of exercised stock options is calculated based on the difference between the exercise price and the quoted market price of the Company's Common Stock as of the close of the exercise date. The aggregate int</w:t>
      </w:r>
      <w:r>
        <w:rPr>
          <w:rFonts w:eastAsia="Times New Roman"/>
          <w:color w:val="000000"/>
          <w:sz w:val="20"/>
          <w:szCs w:val="20"/>
        </w:rPr>
        <w:t>rinsic value for options exercised was $0.1 million, zero and $0.1 million for the years ended December 31, 2022, 2021 and 2020, respectively. The aggregate intrinsic value for all options exercisable was $0.1 million, $0.5 million and zero under the Compa</w:t>
      </w:r>
      <w:r>
        <w:rPr>
          <w:rFonts w:eastAsia="Times New Roman"/>
          <w:color w:val="000000"/>
          <w:sz w:val="20"/>
          <w:szCs w:val="20"/>
        </w:rPr>
        <w:t>ny's stock plans as of December 31, 2022, 2021 and 2020, respectively. The aggregate intrinsic value for all options outstanding was $0.1 million, $2.2 million and zero under the Company's stock plans as of December 31, 2022, 2021 and 2020, respectively.</w:t>
      </w:r>
    </w:p>
    <w:p w:rsidR="00000000" w:rsidRDefault="00971A12">
      <w:pPr>
        <w:jc w:val="both"/>
        <w:divId w:val="692725923"/>
        <w:rPr>
          <w:rFonts w:eastAsia="Times New Roman"/>
        </w:rPr>
      </w:pPr>
      <w:r>
        <w:rPr>
          <w:rFonts w:eastAsia="Times New Roman"/>
          <w:color w:val="000000"/>
          <w:sz w:val="20"/>
          <w:szCs w:val="20"/>
        </w:rPr>
        <w:t>A</w:t>
      </w:r>
      <w:r>
        <w:rPr>
          <w:rFonts w:eastAsia="Times New Roman"/>
          <w:color w:val="000000"/>
          <w:sz w:val="20"/>
          <w:szCs w:val="20"/>
        </w:rPr>
        <w:t>s of December 31, 2022, the total unrecognized compensation expense related to outstanding, but not yet exercisable, options is $1.7 million, which the Company expects to recognize over a weighted-average vesting period of approximately 3.4 years.</w:t>
      </w:r>
    </w:p>
    <w:p w:rsidR="00000000" w:rsidRDefault="00971A12">
      <w:pPr>
        <w:divId w:val="2043288072"/>
        <w:rPr>
          <w:rFonts w:eastAsia="Times New Roman"/>
        </w:rPr>
      </w:pPr>
      <w:r>
        <w:rPr>
          <w:rFonts w:eastAsia="Times New Roman"/>
          <w:b/>
          <w:bCs/>
          <w:i/>
          <w:iCs/>
          <w:color w:val="000000"/>
          <w:sz w:val="20"/>
          <w:szCs w:val="20"/>
        </w:rPr>
        <w:t>Stock Aw</w:t>
      </w:r>
      <w:r>
        <w:rPr>
          <w:rFonts w:eastAsia="Times New Roman"/>
          <w:b/>
          <w:bCs/>
          <w:i/>
          <w:iCs/>
          <w:color w:val="000000"/>
          <w:sz w:val="20"/>
          <w:szCs w:val="20"/>
        </w:rPr>
        <w:t>ards</w:t>
      </w:r>
    </w:p>
    <w:p w:rsidR="00000000" w:rsidRDefault="00971A12">
      <w:pPr>
        <w:jc w:val="both"/>
        <w:divId w:val="689257295"/>
        <w:rPr>
          <w:rFonts w:eastAsia="Times New Roman"/>
        </w:rPr>
      </w:pPr>
      <w:r>
        <w:rPr>
          <w:rFonts w:eastAsia="Times New Roman"/>
          <w:color w:val="000000"/>
          <w:sz w:val="20"/>
          <w:szCs w:val="20"/>
        </w:rPr>
        <w:t>The Company's outstanding stock awards are comprised of RSUs, including time-based, performance-based and market-based RSUs.</w:t>
      </w:r>
    </w:p>
    <w:p w:rsidR="00000000" w:rsidRDefault="00971A12">
      <w:pPr>
        <w:jc w:val="both"/>
        <w:divId w:val="1667127668"/>
        <w:rPr>
          <w:rFonts w:eastAsia="Times New Roman"/>
        </w:rPr>
      </w:pPr>
      <w:r>
        <w:rPr>
          <w:rFonts w:eastAsia="Times New Roman"/>
          <w:color w:val="000000"/>
          <w:sz w:val="20"/>
          <w:szCs w:val="20"/>
        </w:rPr>
        <w:t>During 2022, the Company's Compensation Committee (or Board of Directors, as applicable) approved and awarded 1,738,592 time-b</w:t>
      </w:r>
      <w:r>
        <w:rPr>
          <w:rFonts w:eastAsia="Times New Roman"/>
          <w:color w:val="000000"/>
          <w:sz w:val="20"/>
          <w:szCs w:val="20"/>
        </w:rPr>
        <w:t>ased RSUs (of which 679,304 RSUs related to the settlement of an accrued 2021 annual incentive plan liability and vested immediately) and 620,000 market-based RSUs under the 2018 Plan to employees of the Company. The market-based RSUs vest over 10 years an</w:t>
      </w:r>
      <w:r>
        <w:rPr>
          <w:rFonts w:eastAsia="Times New Roman"/>
          <w:color w:val="000000"/>
          <w:sz w:val="20"/>
          <w:szCs w:val="20"/>
        </w:rPr>
        <w:t xml:space="preserve">d are contingent on certain stock-price hurdles. </w:t>
      </w:r>
    </w:p>
    <w:p w:rsidR="00000000" w:rsidRDefault="00971A12">
      <w:pPr>
        <w:jc w:val="both"/>
        <w:divId w:val="1205143124"/>
        <w:rPr>
          <w:rFonts w:eastAsia="Times New Roman"/>
        </w:rPr>
      </w:pPr>
      <w:r>
        <w:rPr>
          <w:rFonts w:eastAsia="Times New Roman"/>
          <w:color w:val="000000"/>
          <w:sz w:val="20"/>
          <w:szCs w:val="20"/>
        </w:rPr>
        <w:t xml:space="preserve">During 2021, the Company's Compensation Committee (or Board of Directors, as applicable) approved and awarded 2,464,694 time-based RSUs (of which 1,413,290 RSUs related to the settlement of an accrued 2020 </w:t>
      </w:r>
      <w:r>
        <w:rPr>
          <w:rFonts w:eastAsia="Times New Roman"/>
          <w:color w:val="000000"/>
          <w:sz w:val="20"/>
          <w:szCs w:val="20"/>
        </w:rPr>
        <w:t xml:space="preserve">annual incentive plan liability and vested immediately) and 2,127,920 performance-based RSUs under the 2018 Plan to employees and directors of the Company. The performance-based RSUs pertained to awards approved by the Company's Board of Directors as part </w:t>
      </w:r>
      <w:r>
        <w:rPr>
          <w:rFonts w:eastAsia="Times New Roman"/>
          <w:color w:val="000000"/>
          <w:sz w:val="20"/>
          <w:szCs w:val="20"/>
        </w:rPr>
        <w:t>of the Transactions on January 7, 2021, which awards included the closing of the Transactions as an implied performance condition. Of these performance-based RSUs, 772,686 vested immediately upon the closing of the Transactions. The remaining performance-b</w:t>
      </w:r>
      <w:r>
        <w:rPr>
          <w:rFonts w:eastAsia="Times New Roman"/>
          <w:color w:val="000000"/>
          <w:sz w:val="20"/>
          <w:szCs w:val="20"/>
        </w:rPr>
        <w:t>ased RSUs generally vest after</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three years contingent on continued service.</w:t>
      </w:r>
    </w:p>
    <w:p w:rsidR="00000000" w:rsidRDefault="00971A12">
      <w:pPr>
        <w:jc w:val="both"/>
        <w:divId w:val="1006442206"/>
        <w:rPr>
          <w:rFonts w:eastAsia="Times New Roman"/>
        </w:rPr>
      </w:pPr>
      <w:r>
        <w:rPr>
          <w:rFonts w:eastAsia="Times New Roman"/>
          <w:color w:val="000000"/>
          <w:sz w:val="20"/>
          <w:szCs w:val="20"/>
        </w:rPr>
        <w:t>On December 16, 2021, the Company assumed all outstanding RSUs representing the right to receive shares of Shareablee common stock as part of the Merger. Each assumed Sharea</w:t>
      </w:r>
      <w:r>
        <w:rPr>
          <w:rFonts w:eastAsia="Times New Roman"/>
          <w:color w:val="000000"/>
          <w:sz w:val="20"/>
          <w:szCs w:val="20"/>
        </w:rPr>
        <w:t xml:space="preserve">blee RSU was converted into 0.330437 RSUs of the Company, resulting in 55,702 RSUs of the </w:t>
      </w:r>
    </w:p>
    <w:p w:rsidR="00000000" w:rsidRDefault="00971A12">
      <w:pPr>
        <w:jc w:val="center"/>
        <w:divId w:val="1351688834"/>
        <w:rPr>
          <w:rFonts w:eastAsia="Times New Roman"/>
        </w:rPr>
      </w:pPr>
      <w:r>
        <w:rPr>
          <w:rFonts w:eastAsia="Times New Roman"/>
          <w:color w:val="000000"/>
          <w:sz w:val="20"/>
          <w:szCs w:val="20"/>
        </w:rPr>
        <w:t>68</w:t>
      </w:r>
    </w:p>
    <w:p w:rsidR="00000000" w:rsidRDefault="00971A12">
      <w:pPr>
        <w:rPr>
          <w:rFonts w:eastAsia="Times New Roman"/>
        </w:rPr>
      </w:pPr>
      <w:r>
        <w:rPr>
          <w:rFonts w:eastAsia="Times New Roman"/>
        </w:rPr>
        <w:pict>
          <v:rect id="_x0000_i1096" style="width:0;height:1.5pt" o:hralign="center" o:hrstd="t" o:hr="t" fillcolor="#a0a0a0" stroked="f"/>
        </w:pict>
      </w:r>
    </w:p>
    <w:p w:rsidR="00000000" w:rsidRDefault="00971A12">
      <w:pPr>
        <w:divId w:val="1555583400"/>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894973916"/>
        <w:rPr>
          <w:rFonts w:eastAsia="Times New Roman"/>
        </w:rPr>
      </w:pPr>
    </w:p>
    <w:p w:rsidR="00000000" w:rsidRDefault="00971A12">
      <w:pPr>
        <w:jc w:val="both"/>
        <w:divId w:val="1608809678"/>
        <w:rPr>
          <w:rFonts w:eastAsia="Times New Roman"/>
        </w:rPr>
      </w:pPr>
      <w:r>
        <w:rPr>
          <w:rFonts w:eastAsia="Times New Roman"/>
          <w:color w:val="000000"/>
          <w:sz w:val="20"/>
          <w:szCs w:val="20"/>
        </w:rPr>
        <w:t>Company. Each assumed Shareablee RSU is otherwise subject to the same terms and conditions (including as to vesting and issuance) as were applicable under the respective Shareablee RSU immedia</w:t>
      </w:r>
      <w:r>
        <w:rPr>
          <w:rFonts w:eastAsia="Times New Roman"/>
          <w:color w:val="000000"/>
          <w:sz w:val="20"/>
          <w:szCs w:val="20"/>
        </w:rPr>
        <w:t>tely prior to the Merger.</w:t>
      </w:r>
    </w:p>
    <w:p w:rsidR="00000000" w:rsidRDefault="00971A12">
      <w:pPr>
        <w:jc w:val="both"/>
        <w:divId w:val="121964409"/>
        <w:rPr>
          <w:rFonts w:eastAsia="Times New Roman"/>
        </w:rPr>
      </w:pPr>
      <w:r>
        <w:rPr>
          <w:rFonts w:eastAsia="Times New Roman"/>
          <w:color w:val="000000"/>
          <w:sz w:val="20"/>
          <w:szCs w:val="20"/>
        </w:rPr>
        <w:t xml:space="preserve">During 2020, the Company's Compensation Committee approved and awarded 634,570 time-based RSUs (of which 610,590 RSUs related to the settlement of an accrued 2019 annual incentive plan liability and vested immediately). </w:t>
      </w:r>
    </w:p>
    <w:p w:rsidR="00000000" w:rsidRDefault="00971A12">
      <w:pPr>
        <w:jc w:val="both"/>
        <w:divId w:val="979573375"/>
        <w:rPr>
          <w:rFonts w:eastAsia="Times New Roman"/>
        </w:rPr>
      </w:pPr>
      <w:r>
        <w:rPr>
          <w:rFonts w:eastAsia="Times New Roman"/>
          <w:color w:val="000000"/>
          <w:sz w:val="20"/>
          <w:szCs w:val="20"/>
        </w:rPr>
        <w:t>A summary</w:t>
      </w:r>
      <w:r>
        <w:rPr>
          <w:rFonts w:eastAsia="Times New Roman"/>
          <w:color w:val="000000"/>
          <w:sz w:val="20"/>
          <w:szCs w:val="20"/>
        </w:rPr>
        <w:t xml:space="preserve"> of the stock awards granted, vested and forfeited during the years ended December 31, 2022, 2021 and 2020 is presented as follows. RSU awards with undelivered shares are classified as unvested until the date of delivery of the shares.</w:t>
      </w:r>
    </w:p>
    <w:tbl>
      <w:tblPr>
        <w:tblW w:w="5000" w:type="pct"/>
        <w:tblCellMar>
          <w:top w:w="15" w:type="dxa"/>
          <w:left w:w="15" w:type="dxa"/>
          <w:bottom w:w="15" w:type="dxa"/>
          <w:right w:w="15" w:type="dxa"/>
        </w:tblCellMar>
        <w:tblLook w:val="04A0" w:firstRow="1" w:lastRow="0" w:firstColumn="1" w:lastColumn="0" w:noHBand="0" w:noVBand="1"/>
      </w:tblPr>
      <w:tblGrid>
        <w:gridCol w:w="39"/>
        <w:gridCol w:w="5977"/>
        <w:gridCol w:w="38"/>
        <w:gridCol w:w="36"/>
        <w:gridCol w:w="36"/>
        <w:gridCol w:w="36"/>
        <w:gridCol w:w="77"/>
        <w:gridCol w:w="877"/>
        <w:gridCol w:w="36"/>
        <w:gridCol w:w="36"/>
        <w:gridCol w:w="36"/>
        <w:gridCol w:w="36"/>
        <w:gridCol w:w="111"/>
        <w:gridCol w:w="899"/>
        <w:gridCol w:w="36"/>
      </w:tblGrid>
      <w:tr w:rsidR="00000000">
        <w:trPr>
          <w:divId w:val="857960851"/>
        </w:trPr>
        <w:tc>
          <w:tcPr>
            <w:tcW w:w="50" w:type="pct"/>
            <w:vAlign w:val="center"/>
            <w:hideMark/>
          </w:tcPr>
          <w:p w:rsidR="00000000" w:rsidRDefault="00971A12">
            <w:pPr>
              <w:jc w:val="both"/>
              <w:rPr>
                <w:rFonts w:eastAsia="Times New Roman"/>
              </w:rPr>
            </w:pPr>
          </w:p>
        </w:tc>
        <w:tc>
          <w:tcPr>
            <w:tcW w:w="362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857960851"/>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18"/>
                <w:szCs w:val="18"/>
              </w:rPr>
              <w:t>Unvested Stock Awards</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8"/>
                <w:szCs w:val="18"/>
              </w:rPr>
              <w:t>Restricted</w:t>
            </w:r>
            <w:r>
              <w:rPr>
                <w:rFonts w:eastAsia="Times New Roman"/>
                <w:b/>
                <w:bCs/>
                <w:color w:val="000000"/>
                <w:sz w:val="18"/>
                <w:szCs w:val="18"/>
              </w:rPr>
              <w:br/>
              <w:t>Stock Units</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8"/>
                <w:szCs w:val="18"/>
              </w:rPr>
              <w:t>Weighted</w:t>
            </w:r>
            <w:r>
              <w:rPr>
                <w:rFonts w:eastAsia="Times New Roman"/>
                <w:b/>
                <w:bCs/>
                <w:color w:val="000000"/>
                <w:sz w:val="18"/>
                <w:szCs w:val="18"/>
              </w:rPr>
              <w:br/>
              <w:t>Average</w:t>
            </w:r>
            <w:r>
              <w:rPr>
                <w:rFonts w:eastAsia="Times New Roman"/>
                <w:b/>
                <w:bCs/>
                <w:color w:val="000000"/>
                <w:sz w:val="18"/>
                <w:szCs w:val="18"/>
              </w:rPr>
              <w:br/>
              <w:t>Grant-Date Fair Value</w:t>
            </w:r>
          </w:p>
        </w:tc>
      </w:tr>
      <w:tr w:rsidR="00000000">
        <w:trPr>
          <w:divId w:val="857960851"/>
        </w:trPr>
        <w:tc>
          <w:tcPr>
            <w:tcW w:w="0" w:type="auto"/>
            <w:gridSpan w:val="3"/>
            <w:vAlign w:val="center"/>
            <w:hideMark/>
          </w:tcPr>
          <w:p w:rsidR="00000000" w:rsidRDefault="00971A12">
            <w:pPr>
              <w:spacing w:after="100"/>
              <w:jc w:val="center"/>
              <w:rPr>
                <w:rFonts w:eastAsia="Times New Roman"/>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57960851"/>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57960851"/>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57960851"/>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57960851"/>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57960851"/>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57960851"/>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57960851"/>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57960851"/>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57960851"/>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57960851"/>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57960851"/>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57960851"/>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57960851"/>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57960851"/>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57960851"/>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57960851"/>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57960851"/>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857960851"/>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Unvested as of December 31, 2019</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2,660,236 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57960851"/>
        </w:trPr>
        <w:tc>
          <w:tcPr>
            <w:tcW w:w="0" w:type="auto"/>
            <w:gridSpan w:val="3"/>
            <w:shd w:val="clear" w:color="auto" w:fill="FFFFFF"/>
            <w:tcMar>
              <w:top w:w="30" w:type="dxa"/>
              <w:left w:w="245" w:type="dxa"/>
              <w:bottom w:w="30" w:type="dxa"/>
              <w:right w:w="20" w:type="dxa"/>
            </w:tcMar>
            <w:hideMark/>
          </w:tcPr>
          <w:p w:rsidR="00000000" w:rsidRDefault="00971A12">
            <w:pPr>
              <w:spacing w:after="100"/>
              <w:rPr>
                <w:rFonts w:eastAsia="Times New Roman"/>
              </w:rPr>
            </w:pPr>
            <w:r>
              <w:rPr>
                <w:rFonts w:eastAsia="Times New Roman"/>
                <w:color w:val="000000"/>
                <w:sz w:val="18"/>
                <w:szCs w:val="18"/>
              </w:rPr>
              <w:t>Granted</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634,570 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57960851"/>
        </w:trPr>
        <w:tc>
          <w:tcPr>
            <w:tcW w:w="0" w:type="auto"/>
            <w:gridSpan w:val="3"/>
            <w:shd w:val="clear" w:color="auto" w:fill="CCEEFF"/>
            <w:tcMar>
              <w:top w:w="30" w:type="dxa"/>
              <w:left w:w="245" w:type="dxa"/>
              <w:bottom w:w="30" w:type="dxa"/>
              <w:right w:w="20" w:type="dxa"/>
            </w:tcMar>
            <w:hideMark/>
          </w:tcPr>
          <w:p w:rsidR="00000000" w:rsidRDefault="00971A12">
            <w:pPr>
              <w:spacing w:after="100"/>
              <w:rPr>
                <w:rFonts w:eastAsia="Times New Roman"/>
              </w:rPr>
            </w:pPr>
            <w:r>
              <w:rPr>
                <w:rFonts w:eastAsia="Times New Roman"/>
                <w:color w:val="000000"/>
                <w:sz w:val="18"/>
                <w:szCs w:val="18"/>
              </w:rPr>
              <w:t>Vested</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w:t>
            </w:r>
            <w:r>
              <w:rPr>
                <w:rFonts w:eastAsia="Times New Roman"/>
                <w:color w:val="000000"/>
                <w:sz w:val="18"/>
                <w:szCs w:val="18"/>
              </w:rPr>
              <w:t>1,363,152)</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7.22 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57960851"/>
        </w:trPr>
        <w:tc>
          <w:tcPr>
            <w:tcW w:w="0" w:type="auto"/>
            <w:gridSpan w:val="3"/>
            <w:shd w:val="clear" w:color="auto" w:fill="FFFFFF"/>
            <w:tcMar>
              <w:top w:w="30" w:type="dxa"/>
              <w:left w:w="245" w:type="dxa"/>
              <w:bottom w:w="30" w:type="dxa"/>
              <w:right w:w="20" w:type="dxa"/>
            </w:tcMar>
            <w:hideMark/>
          </w:tcPr>
          <w:p w:rsidR="00000000" w:rsidRDefault="00971A12">
            <w:pPr>
              <w:spacing w:after="100"/>
              <w:rPr>
                <w:rFonts w:eastAsia="Times New Roman"/>
              </w:rPr>
            </w:pPr>
            <w:r>
              <w:rPr>
                <w:rFonts w:eastAsia="Times New Roman"/>
                <w:color w:val="000000"/>
                <w:sz w:val="18"/>
                <w:szCs w:val="18"/>
              </w:rPr>
              <w:t>Forfeited</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(106,417)</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20.02 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57960851"/>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Unvested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1,825,237 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57960851"/>
        </w:trPr>
        <w:tc>
          <w:tcPr>
            <w:tcW w:w="0" w:type="auto"/>
            <w:gridSpan w:val="3"/>
            <w:shd w:val="clear" w:color="auto" w:fill="FFFFFF"/>
            <w:tcMar>
              <w:top w:w="30" w:type="dxa"/>
              <w:left w:w="245" w:type="dxa"/>
              <w:bottom w:w="30" w:type="dxa"/>
              <w:right w:w="20" w:type="dxa"/>
            </w:tcMar>
            <w:hideMark/>
          </w:tcPr>
          <w:p w:rsidR="00000000" w:rsidRDefault="00971A12">
            <w:pPr>
              <w:spacing w:after="100"/>
              <w:rPr>
                <w:rFonts w:eastAsia="Times New Roman"/>
              </w:rPr>
            </w:pPr>
            <w:r>
              <w:rPr>
                <w:rFonts w:eastAsia="Times New Roman"/>
                <w:color w:val="000000"/>
                <w:sz w:val="18"/>
                <w:szCs w:val="18"/>
              </w:rPr>
              <w:t>Granted</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4,592,614 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3.13 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57960851"/>
        </w:trPr>
        <w:tc>
          <w:tcPr>
            <w:tcW w:w="0" w:type="auto"/>
            <w:gridSpan w:val="3"/>
            <w:shd w:val="clear" w:color="auto" w:fill="CCEEFF"/>
            <w:tcMar>
              <w:top w:w="30" w:type="dxa"/>
              <w:left w:w="245" w:type="dxa"/>
              <w:bottom w:w="30" w:type="dxa"/>
              <w:right w:w="20" w:type="dxa"/>
            </w:tcMar>
            <w:hideMark/>
          </w:tcPr>
          <w:p w:rsidR="00000000" w:rsidRDefault="00971A12">
            <w:pPr>
              <w:spacing w:after="100"/>
              <w:rPr>
                <w:rFonts w:eastAsia="Times New Roman"/>
              </w:rPr>
            </w:pPr>
            <w:r>
              <w:rPr>
                <w:rFonts w:eastAsia="Times New Roman"/>
                <w:color w:val="000000"/>
                <w:sz w:val="18"/>
                <w:szCs w:val="18"/>
              </w:rPr>
              <w:t>Assumed</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55,702 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20"/>
                <w:szCs w:val="20"/>
              </w:rPr>
              <w:t>3.14 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57960851"/>
        </w:trPr>
        <w:tc>
          <w:tcPr>
            <w:tcW w:w="0" w:type="auto"/>
            <w:gridSpan w:val="3"/>
            <w:shd w:val="clear" w:color="auto" w:fill="FFFFFF"/>
            <w:tcMar>
              <w:top w:w="30" w:type="dxa"/>
              <w:left w:w="245" w:type="dxa"/>
              <w:bottom w:w="30" w:type="dxa"/>
              <w:right w:w="20" w:type="dxa"/>
            </w:tcMar>
            <w:hideMark/>
          </w:tcPr>
          <w:p w:rsidR="00000000" w:rsidRDefault="00971A12">
            <w:pPr>
              <w:spacing w:after="100"/>
              <w:rPr>
                <w:rFonts w:eastAsia="Times New Roman"/>
              </w:rPr>
            </w:pPr>
            <w:r>
              <w:rPr>
                <w:rFonts w:eastAsia="Times New Roman"/>
                <w:color w:val="000000"/>
                <w:sz w:val="18"/>
                <w:szCs w:val="18"/>
              </w:rPr>
              <w:t>Vested</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(2,362,963)</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4.68 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57960851"/>
        </w:trPr>
        <w:tc>
          <w:tcPr>
            <w:tcW w:w="0" w:type="auto"/>
            <w:gridSpan w:val="3"/>
            <w:shd w:val="clear" w:color="auto" w:fill="CCEEFF"/>
            <w:tcMar>
              <w:top w:w="30" w:type="dxa"/>
              <w:left w:w="245" w:type="dxa"/>
              <w:bottom w:w="30" w:type="dxa"/>
              <w:right w:w="20" w:type="dxa"/>
            </w:tcMar>
            <w:hideMark/>
          </w:tcPr>
          <w:p w:rsidR="00000000" w:rsidRDefault="00971A12">
            <w:pPr>
              <w:spacing w:after="100"/>
              <w:rPr>
                <w:rFonts w:eastAsia="Times New Roman"/>
              </w:rPr>
            </w:pPr>
            <w:r>
              <w:rPr>
                <w:rFonts w:eastAsia="Times New Roman"/>
                <w:color w:val="000000"/>
                <w:sz w:val="18"/>
                <w:szCs w:val="18"/>
              </w:rPr>
              <w:t>Forfeited</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(80,347)</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13.53 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57960851"/>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Unvested as of December 31, 2021</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4,030,243 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57960851"/>
        </w:trPr>
        <w:tc>
          <w:tcPr>
            <w:tcW w:w="0" w:type="auto"/>
            <w:gridSpan w:val="3"/>
            <w:shd w:val="clear" w:color="auto" w:fill="CCEEFF"/>
            <w:tcMar>
              <w:top w:w="30" w:type="dxa"/>
              <w:left w:w="245" w:type="dxa"/>
              <w:bottom w:w="30" w:type="dxa"/>
              <w:right w:w="20" w:type="dxa"/>
            </w:tcMar>
            <w:hideMark/>
          </w:tcPr>
          <w:p w:rsidR="00000000" w:rsidRDefault="00971A12">
            <w:pPr>
              <w:spacing w:after="100"/>
              <w:rPr>
                <w:rFonts w:eastAsia="Times New Roman"/>
              </w:rPr>
            </w:pPr>
            <w:r>
              <w:rPr>
                <w:rFonts w:eastAsia="Times New Roman"/>
                <w:color w:val="000000"/>
                <w:sz w:val="18"/>
                <w:szCs w:val="18"/>
              </w:rPr>
              <w:t>Granted</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20"/>
                <w:szCs w:val="20"/>
              </w:rPr>
              <w:t>2,358,592 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20"/>
                <w:szCs w:val="20"/>
              </w:rPr>
              <w:t>2.04 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57960851"/>
        </w:trPr>
        <w:tc>
          <w:tcPr>
            <w:tcW w:w="0" w:type="auto"/>
            <w:gridSpan w:val="3"/>
            <w:shd w:val="clear" w:color="auto" w:fill="FFFFFF"/>
            <w:tcMar>
              <w:top w:w="30" w:type="dxa"/>
              <w:left w:w="245" w:type="dxa"/>
              <w:bottom w:w="30" w:type="dxa"/>
              <w:right w:w="20" w:type="dxa"/>
            </w:tcMar>
            <w:hideMark/>
          </w:tcPr>
          <w:p w:rsidR="00000000" w:rsidRDefault="00971A12">
            <w:pPr>
              <w:spacing w:after="100"/>
              <w:rPr>
                <w:rFonts w:eastAsia="Times New Roman"/>
              </w:rPr>
            </w:pPr>
            <w:r>
              <w:rPr>
                <w:rFonts w:eastAsia="Times New Roman"/>
                <w:color w:val="000000"/>
                <w:sz w:val="18"/>
                <w:szCs w:val="18"/>
              </w:rPr>
              <w:t>Vested</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20"/>
                <w:szCs w:val="20"/>
              </w:rPr>
              <w:t>(1,493,121)</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20"/>
                <w:szCs w:val="20"/>
              </w:rPr>
              <w:t>4.01 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57960851"/>
        </w:trPr>
        <w:tc>
          <w:tcPr>
            <w:tcW w:w="0" w:type="auto"/>
            <w:gridSpan w:val="3"/>
            <w:shd w:val="clear" w:color="auto" w:fill="CCEEFF"/>
            <w:tcMar>
              <w:top w:w="30" w:type="dxa"/>
              <w:left w:w="245" w:type="dxa"/>
              <w:bottom w:w="30" w:type="dxa"/>
              <w:right w:w="20" w:type="dxa"/>
            </w:tcMar>
            <w:hideMark/>
          </w:tcPr>
          <w:p w:rsidR="00000000" w:rsidRDefault="00971A12">
            <w:pPr>
              <w:spacing w:after="100"/>
              <w:rPr>
                <w:rFonts w:eastAsia="Times New Roman"/>
              </w:rPr>
            </w:pPr>
            <w:r>
              <w:rPr>
                <w:rFonts w:eastAsia="Times New Roman"/>
                <w:color w:val="000000"/>
                <w:sz w:val="18"/>
                <w:szCs w:val="18"/>
              </w:rPr>
              <w:t>Forfeited</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20"/>
                <w:szCs w:val="20"/>
              </w:rPr>
              <w:t>(251,095)</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20"/>
                <w:szCs w:val="20"/>
              </w:rPr>
              <w:t>6.04 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57960851"/>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Unvested as of December 31, 2022</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20"/>
                <w:szCs w:val="20"/>
              </w:rPr>
              <w:t>4,644,619 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57960851"/>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bl>
    <w:p w:rsidR="00000000" w:rsidRDefault="00971A12">
      <w:pPr>
        <w:jc w:val="both"/>
        <w:divId w:val="937445885"/>
        <w:rPr>
          <w:rFonts w:eastAsia="Times New Roman"/>
        </w:rPr>
      </w:pPr>
      <w:r>
        <w:rPr>
          <w:rFonts w:eastAsia="Times New Roman"/>
          <w:color w:val="000000"/>
          <w:sz w:val="20"/>
          <w:szCs w:val="20"/>
        </w:rPr>
        <w:t xml:space="preserve">The aggregate intrinsic value for all unvested RSUs outstanding was $5.4 million, $13.5 million, and $4.5 </w:t>
      </w:r>
      <w:r>
        <w:rPr>
          <w:rFonts w:eastAsia="Times New Roman"/>
          <w:color w:val="000000"/>
          <w:sz w:val="20"/>
          <w:szCs w:val="20"/>
        </w:rPr>
        <w:t>million as of December 31, 2022, 2021, and 2020, respectively.</w:t>
      </w:r>
    </w:p>
    <w:p w:rsidR="00000000" w:rsidRDefault="00971A12">
      <w:pPr>
        <w:jc w:val="both"/>
        <w:divId w:val="528950289"/>
        <w:rPr>
          <w:rFonts w:eastAsia="Times New Roman"/>
        </w:rPr>
      </w:pPr>
      <w:r>
        <w:rPr>
          <w:rFonts w:eastAsia="Times New Roman"/>
          <w:color w:val="000000"/>
          <w:sz w:val="20"/>
          <w:szCs w:val="20"/>
        </w:rPr>
        <w:t>As of December 31, 2022, total unrecognized compensation expense related to unvested RSUs was $3.6 million, which the Company expects to recognize over a weighted-average vesting period of appr</w:t>
      </w:r>
      <w:r>
        <w:rPr>
          <w:rFonts w:eastAsia="Times New Roman"/>
          <w:color w:val="000000"/>
          <w:sz w:val="20"/>
          <w:szCs w:val="20"/>
        </w:rPr>
        <w:t>oximately 3.9 years.</w:t>
      </w:r>
    </w:p>
    <w:p w:rsidR="00000000" w:rsidRDefault="00971A12">
      <w:pPr>
        <w:ind w:hanging="360"/>
        <w:divId w:val="848252201"/>
        <w:rPr>
          <w:rFonts w:eastAsia="Times New Roman"/>
        </w:rPr>
      </w:pPr>
      <w:r>
        <w:rPr>
          <w:rFonts w:eastAsia="Times New Roman"/>
          <w:b/>
          <w:bCs/>
          <w:color w:val="000000"/>
          <w:sz w:val="20"/>
          <w:szCs w:val="20"/>
        </w:rPr>
        <w:t>6.Debt</w:t>
      </w:r>
    </w:p>
    <w:p w:rsidR="00000000" w:rsidRDefault="00971A12">
      <w:pPr>
        <w:divId w:val="983973645"/>
        <w:rPr>
          <w:rFonts w:eastAsia="Times New Roman"/>
        </w:rPr>
      </w:pPr>
      <w:r>
        <w:rPr>
          <w:rFonts w:eastAsia="Times New Roman"/>
          <w:b/>
          <w:bCs/>
          <w:i/>
          <w:iCs/>
          <w:color w:val="000000"/>
          <w:sz w:val="20"/>
          <w:szCs w:val="20"/>
        </w:rPr>
        <w:t>Revolving Credit Agreement</w:t>
      </w:r>
    </w:p>
    <w:p w:rsidR="00000000" w:rsidRDefault="00971A12">
      <w:pPr>
        <w:jc w:val="both"/>
        <w:divId w:val="2032297653"/>
        <w:rPr>
          <w:rFonts w:eastAsia="Times New Roman"/>
        </w:rPr>
      </w:pPr>
      <w:r>
        <w:rPr>
          <w:rFonts w:eastAsia="Times New Roman"/>
          <w:color w:val="000000"/>
          <w:sz w:val="20"/>
          <w:szCs w:val="20"/>
        </w:rPr>
        <w:t>On May 5, 2021, the Company entered into a senior secured revolving credit agreement (the "Revolving Credit Agreement") among the Company, as borrower, certain subsidiaries of the Company, as guarantor</w:t>
      </w:r>
      <w:r>
        <w:rPr>
          <w:rFonts w:eastAsia="Times New Roman"/>
          <w:color w:val="000000"/>
          <w:sz w:val="20"/>
          <w:szCs w:val="20"/>
        </w:rPr>
        <w:t>s, Bank of America N.A., as administrative agent (in such capacity, the "Agent"), and the lenders from time to time party thereto.</w:t>
      </w:r>
    </w:p>
    <w:p w:rsidR="00000000" w:rsidRDefault="00971A12">
      <w:pPr>
        <w:jc w:val="both"/>
        <w:divId w:val="1417550883"/>
        <w:rPr>
          <w:rFonts w:eastAsia="Times New Roman"/>
        </w:rPr>
      </w:pPr>
      <w:r>
        <w:rPr>
          <w:rFonts w:eastAsia="Times New Roman"/>
          <w:color w:val="000000"/>
          <w:sz w:val="20"/>
          <w:szCs w:val="20"/>
        </w:rPr>
        <w:t>The Revolving Credit Agreement had an original borrowing capacity equal to $25.0 million and bore interest on borrowings at a</w:t>
      </w:r>
      <w:r>
        <w:rPr>
          <w:rFonts w:eastAsia="Times New Roman"/>
          <w:color w:val="000000"/>
          <w:sz w:val="20"/>
          <w:szCs w:val="20"/>
        </w:rPr>
        <w:t xml:space="preserve"> Eurodollar Rate (as defined in the Revolving Credit Agreement) that was based on LIBOR. The Company may also request the issuance of letters of credit under the Revolving Credit Agreement in an aggregate amount up to $5.0 million, which reduces the amount</w:t>
      </w:r>
      <w:r>
        <w:rPr>
          <w:rFonts w:eastAsia="Times New Roman"/>
          <w:color w:val="000000"/>
          <w:sz w:val="20"/>
          <w:szCs w:val="20"/>
        </w:rPr>
        <w:t xml:space="preserve"> of available borrowings by the amount of such issued and outstanding letters of credit. The facility has a maturity of three years from the closing date of the agreement.</w:t>
      </w:r>
    </w:p>
    <w:p w:rsidR="00000000" w:rsidRDefault="00971A12">
      <w:pPr>
        <w:jc w:val="both"/>
        <w:divId w:val="68432131"/>
        <w:rPr>
          <w:rFonts w:eastAsia="Times New Roman"/>
        </w:rPr>
      </w:pPr>
      <w:r>
        <w:rPr>
          <w:rFonts w:eastAsia="Times New Roman"/>
          <w:color w:val="000000"/>
          <w:sz w:val="20"/>
          <w:szCs w:val="20"/>
        </w:rPr>
        <w:t>On February 25, 2022, the Company entered into an amendment (the "2022 Amendment") t</w:t>
      </w:r>
      <w:r>
        <w:rPr>
          <w:rFonts w:eastAsia="Times New Roman"/>
          <w:color w:val="000000"/>
          <w:sz w:val="20"/>
          <w:szCs w:val="20"/>
        </w:rPr>
        <w:t>o the Revolving Credit Agreement to expand its aggregate borrowing capacity from $25.0 million to $40.0 million. The 2022 Amendment also replaced the Eurodollar Rate with a SOFR-based interest rate and modified the Applicable Rate definition in the Revolvi</w:t>
      </w:r>
      <w:r>
        <w:rPr>
          <w:rFonts w:eastAsia="Times New Roman"/>
          <w:color w:val="000000"/>
          <w:sz w:val="20"/>
          <w:szCs w:val="20"/>
        </w:rPr>
        <w:t>ng Credit Agreement to increase the Applicable Rate payable on SOFR-based loans to 2.50%</w:t>
      </w:r>
      <w:r>
        <w:rPr>
          <w:rFonts w:ascii="Arial" w:eastAsia="Times New Roman" w:hAnsi="Arial" w:cs="Arial"/>
          <w:color w:val="2A303E"/>
          <w:sz w:val="20"/>
          <w:szCs w:val="20"/>
        </w:rPr>
        <w:t>.</w:t>
      </w:r>
    </w:p>
    <w:p w:rsidR="00000000" w:rsidRDefault="00971A12">
      <w:pPr>
        <w:jc w:val="both"/>
        <w:divId w:val="1646082323"/>
        <w:rPr>
          <w:rFonts w:eastAsia="Times New Roman"/>
        </w:rPr>
      </w:pPr>
      <w:r>
        <w:rPr>
          <w:rFonts w:eastAsia="Times New Roman"/>
          <w:color w:val="000000"/>
          <w:sz w:val="20"/>
          <w:szCs w:val="20"/>
        </w:rPr>
        <w:t>The 2022 Amendment also modified certain financial covenants under the Revolving Credit Agreement. As of December 31, 2022, the Revolving Credit Agreement required th</w:t>
      </w:r>
      <w:r>
        <w:rPr>
          <w:rFonts w:eastAsia="Times New Roman"/>
          <w:color w:val="000000"/>
          <w:sz w:val="20"/>
          <w:szCs w:val="20"/>
        </w:rPr>
        <w:t>e Company to maintain:</w:t>
      </w:r>
    </w:p>
    <w:p w:rsidR="00000000" w:rsidRDefault="00971A12">
      <w:pPr>
        <w:ind w:hanging="360"/>
        <w:jc w:val="both"/>
        <w:divId w:val="690034536"/>
        <w:rPr>
          <w:rFonts w:eastAsia="Times New Roman"/>
        </w:rPr>
      </w:pPr>
      <w:r>
        <w:rPr>
          <w:rFonts w:eastAsia="Times New Roman"/>
          <w:color w:val="000000"/>
          <w:sz w:val="20"/>
          <w:szCs w:val="20"/>
        </w:rPr>
        <w:t>•minimum Consolidated EBITDA (as defined in the Revolving Credit Agreement) of not less than $20.0 million for the most recently ended four fiscal quarter period, tested as of the last day of each fiscal quarter ending on or before D</w:t>
      </w:r>
      <w:r>
        <w:rPr>
          <w:rFonts w:eastAsia="Times New Roman"/>
          <w:color w:val="000000"/>
          <w:sz w:val="20"/>
          <w:szCs w:val="20"/>
        </w:rPr>
        <w:t>ecember 31, 2022;</w:t>
      </w:r>
    </w:p>
    <w:p w:rsidR="00000000" w:rsidRDefault="00971A12">
      <w:pPr>
        <w:ind w:hanging="360"/>
        <w:jc w:val="both"/>
        <w:divId w:val="1870951663"/>
        <w:rPr>
          <w:rFonts w:eastAsia="Times New Roman"/>
        </w:rPr>
      </w:pPr>
      <w:r>
        <w:rPr>
          <w:rFonts w:eastAsia="Times New Roman"/>
          <w:color w:val="000000"/>
          <w:sz w:val="20"/>
          <w:szCs w:val="20"/>
        </w:rPr>
        <w:t>•a minimum Consolidated Asset Coverage Ratio (as defined in the Revolving Credit Agreement) of not less than 1.5 to 1.0, tested as of the last day of each fiscal quarter ending on or before December 31, 2022; and</w:t>
      </w:r>
    </w:p>
    <w:p w:rsidR="00000000" w:rsidRDefault="00971A12">
      <w:pPr>
        <w:ind w:hanging="360"/>
        <w:jc w:val="both"/>
        <w:divId w:val="441149049"/>
        <w:rPr>
          <w:rFonts w:eastAsia="Times New Roman"/>
        </w:rPr>
      </w:pPr>
      <w:r>
        <w:rPr>
          <w:rFonts w:eastAsia="Times New Roman"/>
          <w:color w:val="000000"/>
          <w:sz w:val="20"/>
          <w:szCs w:val="20"/>
        </w:rPr>
        <w:t>•a minimum Consolidated F</w:t>
      </w:r>
      <w:r>
        <w:rPr>
          <w:rFonts w:eastAsia="Times New Roman"/>
          <w:color w:val="000000"/>
          <w:sz w:val="20"/>
          <w:szCs w:val="20"/>
        </w:rPr>
        <w:t>ixed Charge Coverage Ratio (as defined in the Revolving Credit Agreement) of not less than 1.25 to 1.0 for the most recently ended four fiscal quarter period, tested as of the last day of each fiscal quarter ending on or after March 31, 2023.</w:t>
      </w:r>
    </w:p>
    <w:p w:rsidR="00000000" w:rsidRDefault="00971A12">
      <w:pPr>
        <w:jc w:val="both"/>
        <w:divId w:val="1654792238"/>
        <w:rPr>
          <w:rFonts w:eastAsia="Times New Roman"/>
        </w:rPr>
      </w:pPr>
      <w:r>
        <w:rPr>
          <w:rFonts w:eastAsia="Times New Roman"/>
          <w:color w:val="000000"/>
          <w:sz w:val="20"/>
          <w:szCs w:val="20"/>
        </w:rPr>
        <w:t>On February 2</w:t>
      </w:r>
      <w:r>
        <w:rPr>
          <w:rFonts w:eastAsia="Times New Roman"/>
          <w:color w:val="000000"/>
          <w:sz w:val="20"/>
          <w:szCs w:val="20"/>
        </w:rPr>
        <w:t xml:space="preserve">4, 2023, the Company entered into an additional amendment (the "2023 Amendment") to the Revolving Credit Agreement that modified the financial covenants set forth above, introduced a minimum liquidity covenant, and increased the Applicable Rate payable on </w:t>
      </w:r>
      <w:r>
        <w:rPr>
          <w:rFonts w:eastAsia="Times New Roman"/>
          <w:color w:val="000000"/>
          <w:sz w:val="20"/>
          <w:szCs w:val="20"/>
        </w:rPr>
        <w:t xml:space="preserve">SOFR-based loans. Refer to </w:t>
      </w:r>
      <w:hyperlink w:anchor="i0047531bd13046b986557e31951e34f8_163" w:history="1">
        <w:r>
          <w:rPr>
            <w:rStyle w:val="a3"/>
            <w:rFonts w:eastAsia="Times New Roman"/>
            <w:sz w:val="20"/>
            <w:szCs w:val="20"/>
          </w:rPr>
          <w:t xml:space="preserve">Footnote </w:t>
        </w:r>
      </w:hyperlink>
      <w:hyperlink w:anchor="i0047531bd13046b986557e31951e34f8_163" w:history="1">
        <w:r>
          <w:rPr>
            <w:rStyle w:val="a3"/>
            <w:rFonts w:eastAsia="Times New Roman"/>
            <w:sz w:val="20"/>
            <w:szCs w:val="20"/>
          </w:rPr>
          <w:t>16</w:t>
        </w:r>
      </w:hyperlink>
      <w:r>
        <w:rPr>
          <w:rFonts w:eastAsia="Times New Roman"/>
          <w:color w:val="000000"/>
          <w:sz w:val="20"/>
          <w:szCs w:val="20"/>
        </w:rPr>
        <w:t xml:space="preserve">, </w:t>
      </w:r>
      <w:r>
        <w:rPr>
          <w:rFonts w:eastAsia="Times New Roman"/>
          <w:i/>
          <w:iCs/>
          <w:color w:val="000000"/>
          <w:sz w:val="20"/>
          <w:szCs w:val="20"/>
        </w:rPr>
        <w:t>Subsequent Events</w:t>
      </w:r>
      <w:r>
        <w:rPr>
          <w:rFonts w:eastAsia="Times New Roman"/>
          <w:color w:val="000000"/>
          <w:sz w:val="20"/>
          <w:szCs w:val="20"/>
        </w:rPr>
        <w:t xml:space="preserve"> </w:t>
      </w:r>
      <w:r>
        <w:rPr>
          <w:rFonts w:eastAsia="Times New Roman"/>
          <w:color w:val="000000"/>
          <w:sz w:val="20"/>
          <w:szCs w:val="20"/>
        </w:rPr>
        <w:t>for additional information about the 2023 Amendment.</w:t>
      </w:r>
    </w:p>
    <w:p w:rsidR="00000000" w:rsidRDefault="00971A12">
      <w:pPr>
        <w:jc w:val="center"/>
        <w:divId w:val="395201920"/>
        <w:rPr>
          <w:rFonts w:eastAsia="Times New Roman"/>
        </w:rPr>
      </w:pPr>
      <w:r>
        <w:rPr>
          <w:rFonts w:eastAsia="Times New Roman"/>
          <w:color w:val="000000"/>
          <w:sz w:val="20"/>
          <w:szCs w:val="20"/>
        </w:rPr>
        <w:t>69</w:t>
      </w:r>
    </w:p>
    <w:p w:rsidR="00000000" w:rsidRDefault="00971A12">
      <w:pPr>
        <w:rPr>
          <w:rFonts w:eastAsia="Times New Roman"/>
        </w:rPr>
      </w:pPr>
      <w:r>
        <w:rPr>
          <w:rFonts w:eastAsia="Times New Roman"/>
        </w:rPr>
        <w:pict>
          <v:rect id="_x0000_i1097" style="width:0;height:1.5pt" o:hralign="center" o:hrstd="t" o:hr="t" fillcolor="#a0a0a0" stroked="f"/>
        </w:pict>
      </w:r>
    </w:p>
    <w:p w:rsidR="00000000" w:rsidRDefault="00971A12">
      <w:pPr>
        <w:divId w:val="1797016701"/>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41242009"/>
        <w:rPr>
          <w:rFonts w:eastAsia="Times New Roman"/>
        </w:rPr>
      </w:pPr>
    </w:p>
    <w:p w:rsidR="00000000" w:rsidRDefault="00971A12">
      <w:pPr>
        <w:jc w:val="both"/>
        <w:divId w:val="1606385604"/>
        <w:rPr>
          <w:rFonts w:eastAsia="Times New Roman"/>
        </w:rPr>
      </w:pPr>
      <w:r>
        <w:rPr>
          <w:rFonts w:eastAsia="Times New Roman"/>
          <w:color w:val="000000"/>
          <w:sz w:val="20"/>
          <w:szCs w:val="20"/>
        </w:rPr>
        <w:t>The Revolving Credit Agreeme</w:t>
      </w:r>
      <w:r>
        <w:rPr>
          <w:rFonts w:eastAsia="Times New Roman"/>
          <w:color w:val="000000"/>
          <w:sz w:val="20"/>
          <w:szCs w:val="20"/>
        </w:rPr>
        <w:t>nt contains restrictive covenants that limit the Company's ability to, among other things, incur additional indebtedness or liens, make investments and loans, enter into mergers and acquisitions, make or declare dividends and other payments, enter into cer</w:t>
      </w:r>
      <w:r>
        <w:rPr>
          <w:rFonts w:eastAsia="Times New Roman"/>
          <w:color w:val="000000"/>
          <w:sz w:val="20"/>
          <w:szCs w:val="20"/>
        </w:rPr>
        <w:t>tain contracts, sell assets and engage in transactions with affiliates. The Revolving Credit Agreement is also subject to customary events of default, including a change in control. If an event of default occurs and is continuing, the Agent or the Required</w:t>
      </w:r>
      <w:r>
        <w:rPr>
          <w:rFonts w:eastAsia="Times New Roman"/>
          <w:color w:val="000000"/>
          <w:sz w:val="20"/>
          <w:szCs w:val="20"/>
        </w:rPr>
        <w:t xml:space="preserve"> Lenders may accelerate any amounts outstanding and terminate lender commitments. The Company was in compliance with the covenants under the Revolving Credit Agreement as of December 31, 2022.</w:t>
      </w:r>
    </w:p>
    <w:p w:rsidR="00000000" w:rsidRDefault="00971A12">
      <w:pPr>
        <w:jc w:val="both"/>
        <w:divId w:val="1068653597"/>
        <w:rPr>
          <w:rFonts w:eastAsia="Times New Roman"/>
        </w:rPr>
      </w:pPr>
      <w:r>
        <w:rPr>
          <w:rFonts w:eastAsia="Times New Roman"/>
          <w:color w:val="000000"/>
          <w:sz w:val="20"/>
          <w:szCs w:val="20"/>
        </w:rPr>
        <w:t>The Revolving Credit Agreement is guaranteed by the Company and</w:t>
      </w:r>
      <w:r>
        <w:rPr>
          <w:rFonts w:eastAsia="Times New Roman"/>
          <w:color w:val="000000"/>
          <w:sz w:val="20"/>
          <w:szCs w:val="20"/>
        </w:rPr>
        <w:t xml:space="preserve"> its domestic subsidiaries (other than Excluded Subsidiaries (as defined in the Revolving Credit Agreement)) and is secured by a first lien security interest in substantially all assets of the Company and its domestic subsidiaries (other than Excluded Subs</w:t>
      </w:r>
      <w:r>
        <w:rPr>
          <w:rFonts w:eastAsia="Times New Roman"/>
          <w:color w:val="000000"/>
          <w:sz w:val="20"/>
          <w:szCs w:val="20"/>
        </w:rPr>
        <w:t>idiaries), subject to certain customary exclusions.</w:t>
      </w:r>
    </w:p>
    <w:p w:rsidR="00000000" w:rsidRDefault="00971A12">
      <w:pPr>
        <w:jc w:val="both"/>
        <w:divId w:val="1629386708"/>
        <w:rPr>
          <w:rFonts w:eastAsia="Times New Roman"/>
        </w:rPr>
      </w:pPr>
      <w:r>
        <w:rPr>
          <w:rFonts w:eastAsia="Times New Roman"/>
          <w:color w:val="000000"/>
          <w:sz w:val="20"/>
          <w:szCs w:val="20"/>
        </w:rPr>
        <w:t>As of December 31, 2022, the Company had outstanding borrowings of $16.0 million, and issued and outstanding letters of credit of $3.4 million, under the amended Revolving Credit Agreement, with remaining</w:t>
      </w:r>
      <w:r>
        <w:rPr>
          <w:rFonts w:eastAsia="Times New Roman"/>
          <w:color w:val="000000"/>
          <w:sz w:val="20"/>
          <w:szCs w:val="20"/>
        </w:rPr>
        <w:t xml:space="preserve"> borrowing capacity of $20.6 million.</w:t>
      </w:r>
    </w:p>
    <w:p w:rsidR="00000000" w:rsidRDefault="00971A12">
      <w:pPr>
        <w:divId w:val="723337259"/>
        <w:rPr>
          <w:rFonts w:eastAsia="Times New Roman"/>
        </w:rPr>
      </w:pPr>
      <w:r>
        <w:rPr>
          <w:rFonts w:eastAsia="Times New Roman"/>
          <w:b/>
          <w:bCs/>
          <w:i/>
          <w:iCs/>
          <w:color w:val="000000"/>
          <w:sz w:val="20"/>
          <w:szCs w:val="20"/>
        </w:rPr>
        <w:t>Senior Secured Convertible Notes and Financing Derivatives</w:t>
      </w:r>
    </w:p>
    <w:p w:rsidR="00000000" w:rsidRDefault="00971A12">
      <w:pPr>
        <w:jc w:val="both"/>
        <w:divId w:val="1156916616"/>
        <w:rPr>
          <w:rFonts w:eastAsia="Times New Roman"/>
        </w:rPr>
      </w:pPr>
      <w:r>
        <w:rPr>
          <w:rFonts w:eastAsia="Times New Roman"/>
          <w:color w:val="000000"/>
          <w:sz w:val="20"/>
          <w:szCs w:val="20"/>
        </w:rPr>
        <w:t>During 2018, the Company entered into certain agreements with funds affiliated with or managed by Starboard Value LP (collectively, "Starboard"), pursuant to which the Company issued and sold to Starboard a total of $204.0 million in Notes, as well as warr</w:t>
      </w:r>
      <w:r>
        <w:rPr>
          <w:rFonts w:eastAsia="Times New Roman"/>
          <w:color w:val="000000"/>
          <w:sz w:val="20"/>
          <w:szCs w:val="20"/>
        </w:rPr>
        <w:t xml:space="preserve">ants to purchase shares of the Company's Common Stock. The warrants were exercised in full by Starboard in 2019. </w:t>
      </w:r>
    </w:p>
    <w:p w:rsidR="00000000" w:rsidRDefault="00971A12">
      <w:pPr>
        <w:jc w:val="both"/>
        <w:divId w:val="1940870563"/>
        <w:rPr>
          <w:rFonts w:eastAsia="Times New Roman"/>
        </w:rPr>
      </w:pPr>
      <w:r>
        <w:rPr>
          <w:rFonts w:eastAsia="Times New Roman"/>
          <w:color w:val="000000"/>
          <w:sz w:val="20"/>
          <w:szCs w:val="20"/>
        </w:rPr>
        <w:t>The Notes contained, among other features, an interest rate reset feature which the Company determined represented an embedded derivative that</w:t>
      </w:r>
      <w:r>
        <w:rPr>
          <w:rFonts w:eastAsia="Times New Roman"/>
          <w:color w:val="000000"/>
          <w:sz w:val="20"/>
          <w:szCs w:val="20"/>
        </w:rPr>
        <w:t xml:space="preserve"> must be bifurcated and accounted for separately from the Notes. This feature reset the interest rate on the Notes based on the trading price of the Company's Common Stock.</w:t>
      </w:r>
    </w:p>
    <w:p w:rsidR="00000000" w:rsidRDefault="00971A12">
      <w:pPr>
        <w:jc w:val="both"/>
        <w:divId w:val="31273755"/>
        <w:rPr>
          <w:rFonts w:eastAsia="Times New Roman"/>
        </w:rPr>
      </w:pPr>
      <w:r>
        <w:rPr>
          <w:rFonts w:eastAsia="Times New Roman"/>
          <w:color w:val="000000"/>
          <w:sz w:val="20"/>
          <w:szCs w:val="20"/>
        </w:rPr>
        <w:t>Interest on the Notes was payable on a quarterly basis in arrears, at the option of</w:t>
      </w:r>
      <w:r>
        <w:rPr>
          <w:rFonts w:eastAsia="Times New Roman"/>
          <w:color w:val="000000"/>
          <w:sz w:val="20"/>
          <w:szCs w:val="20"/>
        </w:rPr>
        <w:t xml:space="preserve"> the Company, in cash, or, subject to certain conditions, through the issuance by the Company of additional shares of Common Stock ("PIK Interest Shares"). On January 25, 2021, the Company paid quarterly accrued interest of $6.1 million through the issuanc</w:t>
      </w:r>
      <w:r>
        <w:rPr>
          <w:rFonts w:eastAsia="Times New Roman"/>
          <w:color w:val="000000"/>
          <w:sz w:val="20"/>
          <w:szCs w:val="20"/>
        </w:rPr>
        <w:t xml:space="preserve">e of 2,802,454 PIK Interest Shares. </w:t>
      </w:r>
    </w:p>
    <w:p w:rsidR="00000000" w:rsidRDefault="00971A12">
      <w:pPr>
        <w:jc w:val="both"/>
        <w:divId w:val="914752294"/>
        <w:rPr>
          <w:rFonts w:eastAsia="Times New Roman"/>
        </w:rPr>
      </w:pPr>
      <w:r>
        <w:rPr>
          <w:rFonts w:eastAsia="Times New Roman"/>
          <w:color w:val="000000"/>
          <w:sz w:val="20"/>
          <w:szCs w:val="20"/>
        </w:rPr>
        <w:t xml:space="preserve">In connection with the Transactions described in </w:t>
      </w:r>
      <w:hyperlink w:anchor="i0047531bd13046b986557e31951e34f8_115"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the Company used cash proceeds of</w:t>
      </w:r>
      <w:r>
        <w:rPr>
          <w:rFonts w:eastAsia="Times New Roman"/>
          <w:color w:val="000000"/>
          <w:sz w:val="20"/>
          <w:szCs w:val="20"/>
        </w:rPr>
        <w:t xml:space="preserve"> $204.0 million from the issuance of shares of its Preferred Stock to extinguish the Notes and related financing derivatives on March 10, 2021. The Company also issued 3,150,000 additional shares to Starboard (the "Conversion Shares"), as additional credit</w:t>
      </w:r>
      <w:r>
        <w:rPr>
          <w:rFonts w:eastAsia="Times New Roman"/>
          <w:color w:val="000000"/>
          <w:sz w:val="20"/>
          <w:szCs w:val="20"/>
        </w:rPr>
        <w:t>or consideration, which were valued at $9.6 million. Lastly, the Company paid interest accrued of $4.7 million for the period from January 1, 2021 to March 10, 2021 through the issuance of 1,363,327 PIK Interest Shares.</w:t>
      </w:r>
    </w:p>
    <w:p w:rsidR="00000000" w:rsidRDefault="00971A12">
      <w:pPr>
        <w:jc w:val="both"/>
        <w:divId w:val="1219516094"/>
        <w:rPr>
          <w:rFonts w:eastAsia="Times New Roman"/>
        </w:rPr>
      </w:pPr>
      <w:r>
        <w:rPr>
          <w:rFonts w:eastAsia="Times New Roman"/>
          <w:color w:val="000000"/>
          <w:sz w:val="20"/>
          <w:szCs w:val="20"/>
        </w:rPr>
        <w:t xml:space="preserve">The Company recorded a loss on extinguishment of the Notes of $9.3 million for the three months ended March 31, 2021. </w:t>
      </w:r>
    </w:p>
    <w:p w:rsidR="00000000" w:rsidRDefault="00971A12">
      <w:pPr>
        <w:jc w:val="both"/>
        <w:divId w:val="1188326070"/>
        <w:rPr>
          <w:rFonts w:eastAsia="Times New Roman"/>
        </w:rPr>
      </w:pPr>
      <w:r>
        <w:rPr>
          <w:rFonts w:eastAsia="Times New Roman"/>
          <w:b/>
          <w:bCs/>
          <w:i/>
          <w:iCs/>
          <w:color w:val="000000"/>
          <w:sz w:val="20"/>
          <w:szCs w:val="20"/>
        </w:rPr>
        <w:t>Failed Sale-Leaseback Transaction</w:t>
      </w:r>
    </w:p>
    <w:p w:rsidR="00000000" w:rsidRDefault="00971A12">
      <w:pPr>
        <w:jc w:val="both"/>
        <w:divId w:val="1640957568"/>
        <w:rPr>
          <w:rFonts w:eastAsia="Times New Roman"/>
        </w:rPr>
      </w:pPr>
      <w:r>
        <w:rPr>
          <w:rFonts w:eastAsia="Times New Roman"/>
          <w:color w:val="000000"/>
          <w:sz w:val="20"/>
          <w:szCs w:val="20"/>
        </w:rPr>
        <w:t>In June 2019, the Company entered into a sale-leaseback arrangement with a vendor to provide $4.3 milli</w:t>
      </w:r>
      <w:r>
        <w:rPr>
          <w:rFonts w:eastAsia="Times New Roman"/>
          <w:color w:val="000000"/>
          <w:sz w:val="20"/>
          <w:szCs w:val="20"/>
        </w:rPr>
        <w:t>on in cash proceeds for previously acquired computer and other equipment. The arrangement was repayable over a 24-month term for total consideration of $4.8 million, with control of the equipment transferring to the vendor at the end of the leaseback term.</w:t>
      </w:r>
      <w:r>
        <w:rPr>
          <w:rFonts w:eastAsia="Times New Roman"/>
          <w:color w:val="000000"/>
          <w:sz w:val="20"/>
          <w:szCs w:val="20"/>
        </w:rPr>
        <w:t xml:space="preserve"> The leaseback would have been classified as a financing lease. The transaction was deemed a failed sale-leaseback and was accounted for as a financing arrangement. Repayments were allocated between interest expense and a reduction of the financing liabili</w:t>
      </w:r>
      <w:r>
        <w:rPr>
          <w:rFonts w:eastAsia="Times New Roman"/>
          <w:color w:val="000000"/>
          <w:sz w:val="20"/>
          <w:szCs w:val="20"/>
        </w:rPr>
        <w:t>ty, and the assets continued to depreciate over their useful lives.</w:t>
      </w:r>
    </w:p>
    <w:p w:rsidR="00000000" w:rsidRDefault="00971A12">
      <w:pPr>
        <w:jc w:val="both"/>
        <w:divId w:val="1782608062"/>
        <w:rPr>
          <w:rFonts w:eastAsia="Times New Roman"/>
        </w:rPr>
      </w:pPr>
      <w:r>
        <w:rPr>
          <w:rFonts w:eastAsia="Times New Roman"/>
          <w:color w:val="000000"/>
          <w:sz w:val="20"/>
          <w:szCs w:val="20"/>
        </w:rPr>
        <w:t>In June 2021, the Company extended the sale-leaseback arrangement for an additional 24-month term. The leaseback extension continued to meet the criteria to be accounted for as a financing</w:t>
      </w:r>
      <w:r>
        <w:rPr>
          <w:rFonts w:eastAsia="Times New Roman"/>
          <w:color w:val="000000"/>
          <w:sz w:val="20"/>
          <w:szCs w:val="20"/>
        </w:rPr>
        <w:t xml:space="preserve"> arrangement. The present value of cash flows after the extension differed by more than 10% from the present value of the remaining cash flows immediately prior to the extension. Therefore, the Company concluded the extension should be accounted for as an </w:t>
      </w:r>
      <w:r>
        <w:rPr>
          <w:rFonts w:eastAsia="Times New Roman"/>
          <w:color w:val="000000"/>
          <w:sz w:val="20"/>
          <w:szCs w:val="20"/>
        </w:rPr>
        <w:t>extinguishment of the existing financing liability. The fair value of the new financing liability as of June 30, 2021 was $0.9 million, which was estimated using an income approach and a discount rate of 7.5%.</w:t>
      </w:r>
    </w:p>
    <w:p w:rsidR="00000000" w:rsidRDefault="00971A12">
      <w:pPr>
        <w:jc w:val="both"/>
        <w:divId w:val="1082605366"/>
        <w:rPr>
          <w:rFonts w:eastAsia="Times New Roman"/>
        </w:rPr>
      </w:pPr>
      <w:r>
        <w:rPr>
          <w:rFonts w:eastAsia="Times New Roman"/>
          <w:color w:val="000000"/>
          <w:sz w:val="20"/>
          <w:szCs w:val="20"/>
        </w:rPr>
        <w:t>The financing liability is included within</w:t>
      </w:r>
      <w:r>
        <w:rPr>
          <w:rFonts w:eastAsia="Times New Roman"/>
          <w:color w:val="000000"/>
          <w:sz w:val="20"/>
          <w:szCs w:val="20"/>
        </w:rPr>
        <w:t xml:space="preserve"> </w:t>
      </w:r>
      <w:r>
        <w:rPr>
          <w:rFonts w:eastAsia="Times New Roman"/>
          <w:color w:val="000000"/>
          <w:sz w:val="20"/>
          <w:szCs w:val="20"/>
        </w:rPr>
        <w:t>oth</w:t>
      </w:r>
      <w:r>
        <w:rPr>
          <w:rFonts w:eastAsia="Times New Roman"/>
          <w:color w:val="000000"/>
          <w:sz w:val="20"/>
          <w:szCs w:val="20"/>
        </w:rPr>
        <w:t>er curren</w:t>
      </w:r>
      <w:r>
        <w:rPr>
          <w:rFonts w:eastAsia="Times New Roman"/>
          <w:color w:val="000000"/>
          <w:sz w:val="20"/>
          <w:szCs w:val="20"/>
        </w:rPr>
        <w:t>t</w:t>
      </w:r>
      <w:r>
        <w:rPr>
          <w:rFonts w:eastAsia="Times New Roman"/>
          <w:color w:val="000000"/>
          <w:sz w:val="20"/>
          <w:szCs w:val="20"/>
        </w:rPr>
        <w:t xml:space="preserve"> and</w:t>
      </w:r>
      <w:r>
        <w:rPr>
          <w:rFonts w:eastAsia="Times New Roman"/>
          <w:color w:val="000000"/>
          <w:sz w:val="20"/>
          <w:szCs w:val="20"/>
        </w:rPr>
        <w:t xml:space="preserve"> </w:t>
      </w:r>
      <w:r>
        <w:rPr>
          <w:rFonts w:eastAsia="Times New Roman"/>
          <w:color w:val="000000"/>
          <w:sz w:val="20"/>
          <w:szCs w:val="20"/>
        </w:rPr>
        <w:t>other non-current liabilitie</w:t>
      </w:r>
      <w:r>
        <w:rPr>
          <w:rFonts w:eastAsia="Times New Roman"/>
          <w:color w:val="000000"/>
          <w:sz w:val="20"/>
          <w:szCs w:val="20"/>
        </w:rPr>
        <w:t>s</w:t>
      </w:r>
      <w:r>
        <w:rPr>
          <w:rFonts w:eastAsia="Times New Roman"/>
          <w:color w:val="000000"/>
          <w:sz w:val="20"/>
          <w:szCs w:val="20"/>
        </w:rPr>
        <w:t xml:space="preserve"> on the Consolidated Balance Sheet as of December 31, 2022, with $0.3 million classified as current and none classified as non-current.</w:t>
      </w:r>
    </w:p>
    <w:p w:rsidR="00000000" w:rsidRDefault="00971A12">
      <w:pPr>
        <w:jc w:val="both"/>
        <w:divId w:val="181435580"/>
        <w:rPr>
          <w:rFonts w:eastAsia="Times New Roman"/>
        </w:rPr>
      </w:pPr>
      <w:r>
        <w:rPr>
          <w:rFonts w:eastAsia="Times New Roman"/>
          <w:color w:val="000000"/>
          <w:sz w:val="20"/>
          <w:szCs w:val="20"/>
        </w:rPr>
        <w:t xml:space="preserve">Remaining future cash payments related to the financing liability under the </w:t>
      </w:r>
      <w:r>
        <w:rPr>
          <w:rFonts w:eastAsia="Times New Roman"/>
          <w:color w:val="000000"/>
          <w:sz w:val="20"/>
          <w:szCs w:val="20"/>
        </w:rPr>
        <w:t>failed sale-leaseback transaction total $0.3 million as of December 31, 2022, and are scheduled to be paid in monthly installments through June 2023.</w:t>
      </w:r>
    </w:p>
    <w:p w:rsidR="00000000" w:rsidRDefault="00971A12">
      <w:pPr>
        <w:jc w:val="center"/>
        <w:divId w:val="1477868965"/>
        <w:rPr>
          <w:rFonts w:eastAsia="Times New Roman"/>
        </w:rPr>
      </w:pPr>
      <w:r>
        <w:rPr>
          <w:rFonts w:eastAsia="Times New Roman"/>
          <w:color w:val="000000"/>
          <w:sz w:val="20"/>
          <w:szCs w:val="20"/>
        </w:rPr>
        <w:t>70</w:t>
      </w:r>
    </w:p>
    <w:p w:rsidR="00000000" w:rsidRDefault="00971A12">
      <w:pPr>
        <w:rPr>
          <w:rFonts w:eastAsia="Times New Roman"/>
        </w:rPr>
      </w:pPr>
      <w:r>
        <w:rPr>
          <w:rFonts w:eastAsia="Times New Roman"/>
        </w:rPr>
        <w:pict>
          <v:rect id="_x0000_i1098" style="width:0;height:1.5pt" o:hralign="center" o:hrstd="t" o:hr="t" fillcolor="#a0a0a0" stroked="f"/>
        </w:pict>
      </w:r>
    </w:p>
    <w:p w:rsidR="00000000" w:rsidRDefault="00971A12">
      <w:pPr>
        <w:divId w:val="409697703"/>
        <w:rPr>
          <w:rFonts w:eastAsia="Times New Roman"/>
        </w:rPr>
      </w:pPr>
      <w:hyperlink w:anchor="i0047531bd13046b986557e31951e34f8_7" w:history="1">
        <w:r>
          <w:rPr>
            <w:rStyle w:val="a3"/>
            <w:rFonts w:eastAsia="Times New Roman"/>
            <w:sz w:val="20"/>
            <w:szCs w:val="20"/>
          </w:rPr>
          <w:t>Table of</w:t>
        </w:r>
        <w:r>
          <w:rPr>
            <w:rStyle w:val="a3"/>
            <w:rFonts w:eastAsia="Times New Roman"/>
            <w:sz w:val="20"/>
            <w:szCs w:val="20"/>
          </w:rPr>
          <w:t xml:space="preserve">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393164769"/>
        <w:rPr>
          <w:rFonts w:eastAsia="Times New Roman"/>
        </w:rPr>
      </w:pPr>
    </w:p>
    <w:p w:rsidR="00000000" w:rsidRDefault="00971A12">
      <w:pPr>
        <w:ind w:hanging="360"/>
        <w:divId w:val="1898930035"/>
        <w:rPr>
          <w:rFonts w:eastAsia="Times New Roman"/>
        </w:rPr>
      </w:pPr>
      <w:r>
        <w:rPr>
          <w:rFonts w:eastAsia="Times New Roman"/>
          <w:b/>
          <w:bCs/>
          <w:color w:val="000000"/>
          <w:sz w:val="20"/>
          <w:szCs w:val="20"/>
        </w:rPr>
        <w:t>7.Fair Value Measurements</w:t>
      </w:r>
    </w:p>
    <w:p w:rsidR="00000000" w:rsidRDefault="00971A12">
      <w:pPr>
        <w:jc w:val="both"/>
        <w:divId w:val="1934705897"/>
        <w:rPr>
          <w:rFonts w:eastAsia="Times New Roman"/>
        </w:rPr>
      </w:pPr>
      <w:r>
        <w:rPr>
          <w:rFonts w:eastAsia="Times New Roman"/>
          <w:b/>
          <w:bCs/>
          <w:color w:val="000000"/>
          <w:sz w:val="20"/>
          <w:szCs w:val="20"/>
        </w:rPr>
        <w:t>Fair Value Measurements on a Recurring Basis</w:t>
      </w:r>
    </w:p>
    <w:p w:rsidR="00000000" w:rsidRDefault="00971A12">
      <w:pPr>
        <w:jc w:val="both"/>
        <w:divId w:val="1057705140"/>
        <w:rPr>
          <w:rFonts w:eastAsia="Times New Roman"/>
        </w:rPr>
      </w:pPr>
      <w:r>
        <w:rPr>
          <w:rFonts w:eastAsia="Times New Roman"/>
          <w:color w:val="000000"/>
          <w:sz w:val="20"/>
          <w:szCs w:val="20"/>
        </w:rPr>
        <w:t xml:space="preserve">The Company's financial instruments measured at fair value in its Consolidated Balance Sheets on a recurring basis </w:t>
      </w:r>
      <w:r>
        <w:rPr>
          <w:rFonts w:eastAsia="Times New Roman"/>
          <w:color w:val="000000"/>
          <w:sz w:val="20"/>
          <w:szCs w:val="20"/>
        </w:rPr>
        <w:t>consist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561"/>
        <w:gridCol w:w="38"/>
        <w:gridCol w:w="110"/>
        <w:gridCol w:w="450"/>
        <w:gridCol w:w="36"/>
        <w:gridCol w:w="36"/>
        <w:gridCol w:w="36"/>
        <w:gridCol w:w="36"/>
        <w:gridCol w:w="110"/>
        <w:gridCol w:w="450"/>
        <w:gridCol w:w="36"/>
        <w:gridCol w:w="36"/>
        <w:gridCol w:w="36"/>
        <w:gridCol w:w="36"/>
        <w:gridCol w:w="110"/>
        <w:gridCol w:w="431"/>
        <w:gridCol w:w="36"/>
        <w:gridCol w:w="36"/>
        <w:gridCol w:w="36"/>
        <w:gridCol w:w="36"/>
        <w:gridCol w:w="110"/>
        <w:gridCol w:w="450"/>
        <w:gridCol w:w="36"/>
        <w:gridCol w:w="36"/>
        <w:gridCol w:w="36"/>
        <w:gridCol w:w="36"/>
        <w:gridCol w:w="110"/>
        <w:gridCol w:w="450"/>
        <w:gridCol w:w="36"/>
        <w:gridCol w:w="36"/>
        <w:gridCol w:w="36"/>
        <w:gridCol w:w="36"/>
        <w:gridCol w:w="111"/>
        <w:gridCol w:w="432"/>
        <w:gridCol w:w="36"/>
        <w:gridCol w:w="36"/>
        <w:gridCol w:w="36"/>
        <w:gridCol w:w="36"/>
        <w:gridCol w:w="110"/>
        <w:gridCol w:w="540"/>
        <w:gridCol w:w="36"/>
        <w:gridCol w:w="36"/>
        <w:gridCol w:w="36"/>
        <w:gridCol w:w="36"/>
        <w:gridCol w:w="110"/>
        <w:gridCol w:w="540"/>
        <w:gridCol w:w="36"/>
      </w:tblGrid>
      <w:tr w:rsidR="00000000">
        <w:trPr>
          <w:divId w:val="189343146"/>
          <w:jc w:val="center"/>
        </w:trPr>
        <w:tc>
          <w:tcPr>
            <w:tcW w:w="50" w:type="pct"/>
            <w:vAlign w:val="center"/>
            <w:hideMark/>
          </w:tcPr>
          <w:p w:rsidR="00000000" w:rsidRDefault="00971A12">
            <w:pPr>
              <w:jc w:val="both"/>
              <w:rPr>
                <w:rFonts w:eastAsia="Times New Roman"/>
              </w:rPr>
            </w:pPr>
          </w:p>
        </w:tc>
        <w:tc>
          <w:tcPr>
            <w:tcW w:w="1637"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33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33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33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33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33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33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33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33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89343146"/>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As of</w:t>
            </w:r>
          </w:p>
        </w:tc>
      </w:tr>
      <w:tr w:rsidR="00000000">
        <w:trPr>
          <w:divId w:val="189343146"/>
          <w:jc w:val="center"/>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December 31, 2021</w:t>
            </w:r>
          </w:p>
        </w:tc>
      </w:tr>
      <w:tr w:rsidR="00000000">
        <w:trPr>
          <w:divId w:val="189343146"/>
          <w:jc w:val="center"/>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Total</w:t>
            </w:r>
          </w:p>
        </w:tc>
      </w:tr>
      <w:tr w:rsidR="00000000">
        <w:trPr>
          <w:divId w:val="189343146"/>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971A12">
        <w:trPr>
          <w:divId w:val="189343146"/>
          <w:jc w:val="center"/>
        </w:trPr>
        <w:tc>
          <w:tcPr>
            <w:tcW w:w="0" w:type="auto"/>
            <w:gridSpan w:val="3"/>
            <w:shd w:val="clear" w:color="auto" w:fill="FFFFFF"/>
            <w:tcMar>
              <w:top w:w="30" w:type="dxa"/>
              <w:left w:w="20" w:type="dxa"/>
              <w:bottom w:w="30" w:type="dxa"/>
              <w:right w:w="20" w:type="dxa"/>
            </w:tcMar>
            <w:hideMark/>
          </w:tcPr>
          <w:p w:rsidR="00000000" w:rsidRDefault="00971A12">
            <w:pPr>
              <w:spacing w:after="100"/>
              <w:divId w:val="745810291"/>
              <w:rPr>
                <w:rFonts w:eastAsia="Times New Roman"/>
              </w:rPr>
            </w:pPr>
            <w:r>
              <w:rPr>
                <w:rFonts w:eastAsia="Times New Roman"/>
                <w:color w:val="000000"/>
                <w:sz w:val="18"/>
                <w:szCs w:val="18"/>
              </w:rPr>
              <w:t>Money market funds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2,455 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2,455 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2,429 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2,429 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9343146"/>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89343146"/>
          <w:jc w:val="center"/>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18"/>
                <w:szCs w:val="18"/>
              </w:rPr>
              <w:t>Liabilities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971A12">
        <w:trPr>
          <w:divId w:val="189343146"/>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divId w:val="638806296"/>
              <w:rPr>
                <w:rFonts w:eastAsia="Times New Roman"/>
              </w:rPr>
            </w:pPr>
            <w:r>
              <w:rPr>
                <w:rFonts w:eastAsia="Times New Roman"/>
                <w:color w:val="000000"/>
                <w:sz w:val="18"/>
                <w:szCs w:val="18"/>
              </w:rPr>
              <w:t>Warrants liability</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718 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718 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10,520 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10,520 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9343146"/>
          <w:jc w:val="center"/>
        </w:trPr>
        <w:tc>
          <w:tcPr>
            <w:tcW w:w="0" w:type="auto"/>
            <w:gridSpan w:val="3"/>
            <w:shd w:val="clear" w:color="auto" w:fill="FFFFFF"/>
            <w:tcMar>
              <w:top w:w="30" w:type="dxa"/>
              <w:left w:w="20" w:type="dxa"/>
              <w:bottom w:w="30" w:type="dxa"/>
              <w:right w:w="20" w:type="dxa"/>
            </w:tcMar>
            <w:hideMark/>
          </w:tcPr>
          <w:p w:rsidR="00000000" w:rsidRDefault="00971A12">
            <w:pPr>
              <w:spacing w:after="100"/>
              <w:divId w:val="1759404746"/>
              <w:rPr>
                <w:rFonts w:eastAsia="Times New Roman"/>
              </w:rPr>
            </w:pPr>
            <w:r>
              <w:rPr>
                <w:rFonts w:eastAsia="Times New Roman"/>
                <w:color w:val="000000"/>
                <w:sz w:val="18"/>
                <w:szCs w:val="18"/>
              </w:rPr>
              <w:t>Contingent consideration liability</w:t>
            </w:r>
            <w:r>
              <w:rPr>
                <w:rFonts w:eastAsia="Times New Roman"/>
                <w:color w:val="000000"/>
                <w:sz w:val="18"/>
                <w:szCs w:val="18"/>
              </w:rPr>
              <w:t xml:space="preserve"> </w:t>
            </w:r>
            <w:r>
              <w:rPr>
                <w:rFonts w:eastAsia="Times New Roman"/>
                <w:color w:val="000000"/>
                <w:sz w:val="12"/>
                <w:szCs w:val="12"/>
              </w:rPr>
              <w:t>(3</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8,158 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8,158 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5,600 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5,600 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971A12">
        <w:trPr>
          <w:divId w:val="189343146"/>
          <w:jc w:val="center"/>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b/>
                <w:bCs/>
                <w:color w:val="000000"/>
                <w:sz w:val="18"/>
                <w:szCs w:val="18"/>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8,158 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8,876 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16,120 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16,120 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Level 1 cash equivalents are invested in money market funds that are intended to maintain a stable net asset value of $1.00 per share by investing in liquid, high quality U.S. Dollar-denomina</w:t>
      </w:r>
      <w:r>
        <w:rPr>
          <w:rFonts w:eastAsia="Times New Roman"/>
          <w:color w:val="000000"/>
          <w:sz w:val="16"/>
          <w:szCs w:val="16"/>
        </w:rPr>
        <w:t xml:space="preserve">ted money market instruments with maturities less than three months. </w:t>
      </w:r>
    </w:p>
    <w:p w:rsidR="00000000" w:rsidRDefault="00971A12">
      <w:pPr>
        <w:jc w:val="both"/>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 Warrants liability includes only the Series A warrants as of December 31, 2022 and 2021.</w:t>
      </w:r>
    </w:p>
    <w:p w:rsidR="00000000" w:rsidRDefault="00971A12">
      <w:pPr>
        <w:jc w:val="both"/>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 </w:t>
      </w:r>
      <w:r>
        <w:rPr>
          <w:rFonts w:eastAsia="Times New Roman"/>
          <w:color w:val="000000"/>
          <w:sz w:val="16"/>
          <w:szCs w:val="16"/>
        </w:rPr>
        <w:t xml:space="preserve">The contingent consideration was recognized as part of the acquisition described in </w:t>
      </w:r>
      <w:hyperlink w:anchor="i0047531bd13046b986557e31951e34f8_103" w:history="1">
        <w:r>
          <w:rPr>
            <w:rStyle w:val="a3"/>
            <w:rFonts w:eastAsia="Times New Roman"/>
            <w:sz w:val="16"/>
            <w:szCs w:val="16"/>
          </w:rPr>
          <w:t>Footnote 3</w:t>
        </w:r>
      </w:hyperlink>
      <w:r>
        <w:rPr>
          <w:rFonts w:eastAsia="Times New Roman"/>
          <w:color w:val="000000"/>
          <w:sz w:val="16"/>
          <w:szCs w:val="16"/>
        </w:rPr>
        <w:t xml:space="preserve">, </w:t>
      </w:r>
      <w:r>
        <w:rPr>
          <w:rFonts w:eastAsia="Times New Roman"/>
          <w:i/>
          <w:iCs/>
          <w:color w:val="000000"/>
          <w:sz w:val="16"/>
          <w:szCs w:val="16"/>
        </w:rPr>
        <w:t>Business Combination</w:t>
      </w:r>
      <w:r>
        <w:rPr>
          <w:rFonts w:eastAsia="Times New Roman"/>
          <w:color w:val="000000"/>
          <w:sz w:val="16"/>
          <w:szCs w:val="16"/>
        </w:rPr>
        <w:t xml:space="preserve">. The current </w:t>
      </w:r>
      <w:r>
        <w:rPr>
          <w:rFonts w:eastAsia="Times New Roman"/>
          <w:color w:val="000000"/>
          <w:sz w:val="16"/>
          <w:szCs w:val="16"/>
        </w:rPr>
        <w:t>and non-current portions of the contingent consideration are $7.1 million and $1.0 million, respectively, and are classified within other current and non-current liabilities in the Consolidated Balance Sheets.</w:t>
      </w:r>
    </w:p>
    <w:p w:rsidR="00000000" w:rsidRDefault="00971A12">
      <w:pPr>
        <w:jc w:val="both"/>
        <w:divId w:val="138232827"/>
        <w:rPr>
          <w:rFonts w:eastAsia="Times New Roman"/>
        </w:rPr>
      </w:pPr>
      <w:r>
        <w:rPr>
          <w:rFonts w:eastAsia="Times New Roman"/>
          <w:color w:val="000000"/>
          <w:sz w:val="20"/>
          <w:szCs w:val="20"/>
        </w:rPr>
        <w:t>The elimination of the option pricing model us</w:t>
      </w:r>
      <w:r>
        <w:rPr>
          <w:rFonts w:eastAsia="Times New Roman"/>
          <w:color w:val="000000"/>
          <w:sz w:val="20"/>
          <w:szCs w:val="20"/>
        </w:rPr>
        <w:t>ed to value the contingent consideration liability reflected a change in the Company's valuation technique during the three months ended June 30, 2022. There were no other changes to the Company's valuation techniques or methodologies during the years ende</w:t>
      </w:r>
      <w:r>
        <w:rPr>
          <w:rFonts w:eastAsia="Times New Roman"/>
          <w:color w:val="000000"/>
          <w:sz w:val="20"/>
          <w:szCs w:val="20"/>
        </w:rPr>
        <w:t>d December 31, 2022 or 2021, respectively.</w:t>
      </w:r>
    </w:p>
    <w:p w:rsidR="00000000" w:rsidRDefault="00971A12">
      <w:pPr>
        <w:jc w:val="both"/>
        <w:divId w:val="335620500"/>
        <w:rPr>
          <w:rFonts w:eastAsia="Times New Roman"/>
        </w:rPr>
      </w:pPr>
      <w:r>
        <w:rPr>
          <w:rFonts w:eastAsia="Times New Roman"/>
          <w:color w:val="000000"/>
          <w:sz w:val="20"/>
          <w:szCs w:val="20"/>
        </w:rPr>
        <w:t>The following tables present the changes in the Company's recurring Level 3 fair value measurements for the warrants liability, contingent consideration, financing derivatives and interest make-whole derivative fo</w:t>
      </w:r>
      <w:r>
        <w:rPr>
          <w:rFonts w:eastAsia="Times New Roman"/>
          <w:color w:val="000000"/>
          <w:sz w:val="20"/>
          <w:szCs w:val="20"/>
        </w:rPr>
        <w:t>r the years ended December 31, 2022 and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85"/>
        <w:gridCol w:w="38"/>
        <w:gridCol w:w="111"/>
        <w:gridCol w:w="883"/>
        <w:gridCol w:w="36"/>
        <w:gridCol w:w="36"/>
        <w:gridCol w:w="36"/>
        <w:gridCol w:w="36"/>
        <w:gridCol w:w="111"/>
        <w:gridCol w:w="922"/>
        <w:gridCol w:w="36"/>
        <w:gridCol w:w="36"/>
        <w:gridCol w:w="36"/>
        <w:gridCol w:w="36"/>
        <w:gridCol w:w="111"/>
        <w:gridCol w:w="844"/>
        <w:gridCol w:w="36"/>
        <w:gridCol w:w="36"/>
        <w:gridCol w:w="36"/>
        <w:gridCol w:w="36"/>
        <w:gridCol w:w="111"/>
        <w:gridCol w:w="883"/>
        <w:gridCol w:w="36"/>
      </w:tblGrid>
      <w:tr w:rsidR="00000000">
        <w:trPr>
          <w:divId w:val="1887914646"/>
          <w:jc w:val="center"/>
        </w:trPr>
        <w:tc>
          <w:tcPr>
            <w:tcW w:w="50" w:type="pct"/>
            <w:vAlign w:val="center"/>
            <w:hideMark/>
          </w:tcPr>
          <w:p w:rsidR="00000000" w:rsidRDefault="00971A12">
            <w:pPr>
              <w:jc w:val="both"/>
              <w:rPr>
                <w:rFonts w:eastAsia="Times New Roman"/>
              </w:rPr>
            </w:pPr>
          </w:p>
        </w:tc>
        <w:tc>
          <w:tcPr>
            <w:tcW w:w="2340"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887914646"/>
          <w:jc w:val="center"/>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Warrants Liability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Contingent Consideration Liability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Financing Derivatives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Interest Make-whole Derivative</w:t>
            </w:r>
          </w:p>
        </w:tc>
      </w:tr>
      <w:tr w:rsidR="00000000">
        <w:trPr>
          <w:divId w:val="1887914646"/>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18"/>
                <w:szCs w:val="18"/>
              </w:rPr>
              <w:t>Balance as of December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2,831 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87914646"/>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887914646"/>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887914646"/>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divId w:val="556598057"/>
              <w:rPr>
                <w:rFonts w:eastAsia="Times New Roman"/>
              </w:rPr>
            </w:pPr>
            <w:r>
              <w:rPr>
                <w:rFonts w:eastAsia="Times New Roman"/>
                <w:color w:val="000000"/>
                <w:sz w:val="18"/>
                <w:szCs w:val="18"/>
              </w:rPr>
              <w:t>Total (gain) loss included in other income (expense), net</w:t>
            </w:r>
            <w:r>
              <w:rPr>
                <w:rFonts w:eastAsia="Times New Roman"/>
                <w:i/>
                <w:iCs/>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7,689 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(1,800)</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87914646"/>
          <w:jc w:val="center"/>
        </w:trPr>
        <w:tc>
          <w:tcPr>
            <w:tcW w:w="0" w:type="auto"/>
            <w:gridSpan w:val="3"/>
            <w:shd w:val="clear" w:color="auto" w:fill="CCEEFF"/>
            <w:tcMar>
              <w:top w:w="30" w:type="dxa"/>
              <w:left w:w="20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Settlement or derecognition upon extinguishment of host debt</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(9,500)</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(1,021)</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87914646"/>
          <w:jc w:val="center"/>
        </w:trPr>
        <w:tc>
          <w:tcPr>
            <w:tcW w:w="0" w:type="auto"/>
            <w:gridSpan w:val="3"/>
            <w:shd w:val="clear" w:color="auto" w:fill="FFFFFF"/>
            <w:tcMar>
              <w:top w:w="30" w:type="dxa"/>
              <w:left w:w="20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Initial recognition and measurement</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5,600 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87914646"/>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18"/>
                <w:szCs w:val="18"/>
              </w:rPr>
              <w:t>Balance as of December 31,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10,520 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87914646"/>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divId w:val="1326662945"/>
              <w:rPr>
                <w:rFonts w:eastAsia="Times New Roman"/>
              </w:rPr>
            </w:pPr>
            <w:r>
              <w:rPr>
                <w:rFonts w:eastAsia="Times New Roman"/>
                <w:color w:val="000000"/>
                <w:sz w:val="18"/>
                <w:szCs w:val="18"/>
              </w:rPr>
              <w:t>Total gain included in other income (expense), net</w:t>
            </w:r>
            <w:r>
              <w:rPr>
                <w:rFonts w:eastAsia="Times New Roman"/>
                <w:i/>
                <w:iCs/>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(9,802)</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87914646"/>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divId w:val="350032512"/>
              <w:rPr>
                <w:rFonts w:eastAsia="Times New Roman"/>
              </w:rPr>
            </w:pPr>
            <w:r>
              <w:rPr>
                <w:rFonts w:eastAsia="Times New Roman"/>
                <w:color w:val="000000"/>
                <w:sz w:val="18"/>
                <w:szCs w:val="18"/>
              </w:rPr>
              <w:t>Total loss recognized due to remeasurement</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2,348 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87914646"/>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divId w:val="1416971391"/>
              <w:rPr>
                <w:rFonts w:eastAsia="Times New Roman"/>
              </w:rPr>
            </w:pPr>
            <w:r>
              <w:rPr>
                <w:rFonts w:eastAsia="Times New Roman"/>
                <w:color w:val="000000"/>
                <w:sz w:val="18"/>
                <w:szCs w:val="18"/>
              </w:rPr>
              <w:t>Transfer to Level 2</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(7,948)</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87914646"/>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18"/>
                <w:szCs w:val="18"/>
              </w:rPr>
              <w:t>Balance as of December 31, 2022</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All gains and losses were recorded in other income (expense), net in the Consolidated Statements of Operations and Comprehensive Loss.</w:t>
      </w:r>
    </w:p>
    <w:p w:rsidR="00000000" w:rsidRDefault="00971A12">
      <w:pPr>
        <w:jc w:val="both"/>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 The transfer was due t</w:t>
      </w:r>
      <w:r>
        <w:rPr>
          <w:rFonts w:eastAsia="Times New Roman"/>
          <w:color w:val="000000"/>
          <w:sz w:val="16"/>
          <w:szCs w:val="16"/>
        </w:rPr>
        <w:t>o the resolution of the contingency regarding the amount of consideration payable during the three months ended June 30, 2022. Transfers between levels of the fair value hierarchy are recognized at the beginning of the reporting period.</w:t>
      </w:r>
    </w:p>
    <w:p w:rsidR="00000000" w:rsidRDefault="00971A12">
      <w:pPr>
        <w:jc w:val="center"/>
        <w:divId w:val="1906837000"/>
        <w:rPr>
          <w:rFonts w:eastAsia="Times New Roman"/>
        </w:rPr>
      </w:pPr>
      <w:r>
        <w:rPr>
          <w:rFonts w:eastAsia="Times New Roman"/>
          <w:color w:val="000000"/>
          <w:sz w:val="20"/>
          <w:szCs w:val="20"/>
        </w:rPr>
        <w:t>71</w:t>
      </w:r>
    </w:p>
    <w:p w:rsidR="00000000" w:rsidRDefault="00971A12">
      <w:pPr>
        <w:rPr>
          <w:rFonts w:eastAsia="Times New Roman"/>
        </w:rPr>
      </w:pPr>
      <w:r>
        <w:rPr>
          <w:rFonts w:eastAsia="Times New Roman"/>
        </w:rPr>
        <w:pict>
          <v:rect id="_x0000_i1099" style="width:0;height:1.5pt" o:hralign="center" o:hrstd="t" o:hr="t" fillcolor="#a0a0a0" stroked="f"/>
        </w:pict>
      </w:r>
    </w:p>
    <w:p w:rsidR="00000000" w:rsidRDefault="00971A12">
      <w:pPr>
        <w:divId w:val="2035959126"/>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380178294"/>
        <w:rPr>
          <w:rFonts w:eastAsia="Times New Roman"/>
        </w:rPr>
      </w:pPr>
    </w:p>
    <w:p w:rsidR="00000000" w:rsidRDefault="00971A12">
      <w:pPr>
        <w:jc w:val="both"/>
        <w:divId w:val="1294284636"/>
        <w:rPr>
          <w:rFonts w:eastAsia="Times New Roman"/>
        </w:rPr>
      </w:pPr>
      <w:r>
        <w:rPr>
          <w:rFonts w:eastAsia="Times New Roman"/>
          <w:color w:val="000000"/>
          <w:sz w:val="20"/>
          <w:szCs w:val="20"/>
        </w:rPr>
        <w:t>The following table displays the valuation technique and the significant inputs, cer</w:t>
      </w:r>
      <w:r>
        <w:rPr>
          <w:rFonts w:eastAsia="Times New Roman"/>
          <w:color w:val="000000"/>
          <w:sz w:val="20"/>
          <w:szCs w:val="20"/>
        </w:rPr>
        <w:t>tain of which are unobservable, for the Company's Level 3 liabilities that existed as of December 31, 2022 and 2021 that are measured at fair value on a recurring basis.</w:t>
      </w:r>
    </w:p>
    <w:tbl>
      <w:tblPr>
        <w:tblW w:w="5000" w:type="pct"/>
        <w:tblCellMar>
          <w:top w:w="15" w:type="dxa"/>
          <w:left w:w="15" w:type="dxa"/>
          <w:bottom w:w="15" w:type="dxa"/>
          <w:right w:w="15" w:type="dxa"/>
        </w:tblCellMar>
        <w:tblLook w:val="04A0" w:firstRow="1" w:lastRow="0" w:firstColumn="1" w:lastColumn="0" w:noHBand="0" w:noVBand="1"/>
      </w:tblPr>
      <w:tblGrid>
        <w:gridCol w:w="55"/>
        <w:gridCol w:w="3861"/>
        <w:gridCol w:w="37"/>
        <w:gridCol w:w="78"/>
        <w:gridCol w:w="451"/>
        <w:gridCol w:w="38"/>
        <w:gridCol w:w="78"/>
        <w:gridCol w:w="359"/>
        <w:gridCol w:w="37"/>
        <w:gridCol w:w="36"/>
        <w:gridCol w:w="36"/>
        <w:gridCol w:w="36"/>
        <w:gridCol w:w="62"/>
        <w:gridCol w:w="401"/>
        <w:gridCol w:w="37"/>
        <w:gridCol w:w="61"/>
        <w:gridCol w:w="350"/>
        <w:gridCol w:w="36"/>
        <w:gridCol w:w="36"/>
        <w:gridCol w:w="36"/>
        <w:gridCol w:w="36"/>
        <w:gridCol w:w="59"/>
        <w:gridCol w:w="925"/>
        <w:gridCol w:w="36"/>
        <w:gridCol w:w="36"/>
        <w:gridCol w:w="36"/>
        <w:gridCol w:w="36"/>
        <w:gridCol w:w="59"/>
        <w:gridCol w:w="926"/>
        <w:gridCol w:w="36"/>
      </w:tblGrid>
      <w:tr w:rsidR="00000000">
        <w:trPr>
          <w:divId w:val="1138914672"/>
        </w:trPr>
        <w:tc>
          <w:tcPr>
            <w:tcW w:w="50" w:type="pct"/>
            <w:vAlign w:val="center"/>
            <w:hideMark/>
          </w:tcPr>
          <w:p w:rsidR="00000000" w:rsidRDefault="00971A12">
            <w:pPr>
              <w:jc w:val="both"/>
              <w:rPr>
                <w:rFonts w:eastAsia="Times New Roman"/>
              </w:rPr>
            </w:pPr>
          </w:p>
        </w:tc>
        <w:tc>
          <w:tcPr>
            <w:tcW w:w="2340"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290"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231"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290"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231"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138914672"/>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8"/>
                <w:szCs w:val="18"/>
              </w:rPr>
              <w:t>Fair value measurements</w:t>
            </w:r>
          </w:p>
        </w:tc>
      </w:tr>
      <w:tr w:rsidR="00000000">
        <w:trPr>
          <w:divId w:val="1138914672"/>
        </w:trPr>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Valuation Technique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Significant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December 31,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December 31, 2021</w:t>
            </w:r>
          </w:p>
        </w:tc>
      </w:tr>
      <w:tr w:rsidR="00000000">
        <w:trPr>
          <w:divId w:val="1138914672"/>
        </w:trPr>
        <w:tc>
          <w:tcPr>
            <w:tcW w:w="0" w:type="auto"/>
            <w:gridSpan w:val="3"/>
            <w:vAlign w:val="center"/>
            <w:hideMark/>
          </w:tcPr>
          <w:p w:rsidR="00000000" w:rsidRDefault="00971A12">
            <w:pPr>
              <w:spacing w:after="100"/>
              <w:jc w:val="center"/>
              <w:rPr>
                <w:rFonts w:eastAsia="Times New Roman"/>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138914672"/>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138914672"/>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138914672"/>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138914672"/>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138914672"/>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138914672"/>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138914672"/>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138914672"/>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138914672"/>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138914672"/>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138914672"/>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138914672"/>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138914672"/>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138914672"/>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 xml:space="preserve">Warrants liability </w:t>
            </w:r>
          </w:p>
        </w:tc>
        <w:tc>
          <w:tcPr>
            <w:tcW w:w="0" w:type="auto"/>
            <w:gridSpan w:val="6"/>
            <w:tcBorders>
              <w:top w:val="single" w:sz="8" w:space="0" w:color="000000"/>
            </w:tcBorders>
            <w:shd w:val="clear" w:color="auto" w:fill="CCEE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Option pricing</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Stock price</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$1.16</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$3.34</w:t>
            </w:r>
          </w:p>
        </w:tc>
      </w:tr>
      <w:tr w:rsidR="00000000">
        <w:trPr>
          <w:divId w:val="1138914672"/>
        </w:trPr>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6"/>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Exercise price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$2.47</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$2.47</w:t>
            </w:r>
          </w:p>
        </w:tc>
      </w:tr>
      <w:tr w:rsidR="00000000">
        <w:trPr>
          <w:divId w:val="1138914672"/>
        </w:trPr>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6"/>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Volatility</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65.0%</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85.0%</w:t>
            </w:r>
          </w:p>
        </w:tc>
      </w:tr>
      <w:tr w:rsidR="00000000">
        <w:trPr>
          <w:divId w:val="1138914672"/>
        </w:trPr>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6"/>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Term</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 xml:space="preserve">1.49 </w:t>
            </w:r>
            <w:r>
              <w:rPr>
                <w:rFonts w:eastAsia="Times New Roman"/>
                <w:color w:val="000000"/>
                <w:sz w:val="18"/>
                <w:szCs w:val="18"/>
              </w:rPr>
              <w:t xml:space="preserve">years </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2.49 years</w:t>
            </w:r>
          </w:p>
        </w:tc>
      </w:tr>
      <w:tr w:rsidR="00000000">
        <w:trPr>
          <w:divId w:val="1138914672"/>
        </w:trPr>
        <w:tc>
          <w:tcPr>
            <w:tcW w:w="0" w:type="auto"/>
            <w:gridSpan w:val="3"/>
            <w:vAlign w:val="center"/>
            <w:hideMark/>
          </w:tcPr>
          <w:p w:rsidR="00000000" w:rsidRDefault="00971A12">
            <w:pPr>
              <w:spacing w:after="100"/>
              <w:jc w:val="center"/>
              <w:rPr>
                <w:rFonts w:eastAsia="Times New Roman"/>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138914672"/>
        </w:trPr>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6"/>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Risk-free rate</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4.6%</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0.9%</w:t>
            </w:r>
          </w:p>
        </w:tc>
      </w:tr>
      <w:tr w:rsidR="00000000">
        <w:trPr>
          <w:divId w:val="1138914672"/>
        </w:trPr>
        <w:tc>
          <w:tcPr>
            <w:tcW w:w="0" w:type="auto"/>
            <w:gridSpan w:val="3"/>
            <w:vAlign w:val="center"/>
            <w:hideMark/>
          </w:tcPr>
          <w:p w:rsidR="00000000" w:rsidRDefault="00971A12">
            <w:pPr>
              <w:spacing w:after="100"/>
              <w:jc w:val="center"/>
              <w:rPr>
                <w:rFonts w:eastAsia="Times New Roman"/>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138914672"/>
          <w:trHeight w:val="240"/>
        </w:trPr>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138914672"/>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Contingent consideration liability</w:t>
            </w:r>
          </w:p>
        </w:tc>
        <w:tc>
          <w:tcPr>
            <w:tcW w:w="0" w:type="auto"/>
            <w:gridSpan w:val="6"/>
            <w:shd w:val="clear" w:color="auto" w:fill="CCEE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Combination</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6"/>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Product credit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$10.7 million</w:t>
            </w:r>
          </w:p>
        </w:tc>
      </w:tr>
      <w:tr w:rsidR="00000000">
        <w:trPr>
          <w:divId w:val="1138914672"/>
        </w:trPr>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6"/>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Revenue volatility</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21.0%</w:t>
            </w:r>
          </w:p>
        </w:tc>
      </w:tr>
      <w:tr w:rsidR="00000000">
        <w:trPr>
          <w:divId w:val="1138914672"/>
        </w:trPr>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6"/>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Risk premium</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8.4%</w:t>
            </w:r>
          </w:p>
        </w:tc>
      </w:tr>
      <w:tr w:rsidR="00000000">
        <w:trPr>
          <w:divId w:val="1138914672"/>
        </w:trPr>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6"/>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Term</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1.04 years</w:t>
            </w:r>
          </w:p>
        </w:tc>
      </w:tr>
      <w:tr w:rsidR="00000000">
        <w:trPr>
          <w:divId w:val="1138914672"/>
        </w:trPr>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6"/>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Cost of debt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4.4%</w:t>
            </w:r>
          </w:p>
        </w:tc>
      </w:tr>
    </w:tbl>
    <w:p w:rsidR="00000000" w:rsidRDefault="00971A12">
      <w:pPr>
        <w:jc w:val="both"/>
        <w:rPr>
          <w:rFonts w:eastAsia="Times New Roman"/>
        </w:rPr>
      </w:pPr>
      <w:r>
        <w:rPr>
          <w:rFonts w:eastAsia="Times New Roman"/>
          <w:color w:val="000000"/>
          <w:sz w:val="10"/>
          <w:szCs w:val="10"/>
        </w:rPr>
        <w:t>(1)</w:t>
      </w:r>
      <w:r>
        <w:rPr>
          <w:rFonts w:eastAsia="Times New Roman"/>
          <w:color w:val="000000"/>
          <w:sz w:val="10"/>
          <w:szCs w:val="10"/>
        </w:rPr>
        <w:t xml:space="preserve"> </w:t>
      </w:r>
      <w:r>
        <w:rPr>
          <w:rFonts w:eastAsia="Times New Roman"/>
          <w:color w:val="000000"/>
          <w:sz w:val="16"/>
          <w:szCs w:val="16"/>
        </w:rPr>
        <w:t>The selected weightings for the option pricing model and discounted cash flow model outcomes were 70.0% and 30.0% respectively, as of December </w:t>
      </w:r>
      <w:r>
        <w:rPr>
          <w:rFonts w:eastAsia="Times New Roman"/>
          <w:color w:val="000000"/>
          <w:sz w:val="16"/>
          <w:szCs w:val="16"/>
        </w:rPr>
        <w:t xml:space="preserve">31, 2021. The contingent consideration liability was transferred to Level 2 in 2022 and therefore, input and weightings are not applicable as of December 31, 2022. Refer to </w:t>
      </w:r>
      <w:hyperlink w:anchor="i0047531bd13046b986557e31951e34f8_94" w:history="1">
        <w:r>
          <w:rPr>
            <w:rStyle w:val="a3"/>
            <w:rFonts w:eastAsia="Times New Roman"/>
            <w:sz w:val="16"/>
            <w:szCs w:val="16"/>
          </w:rPr>
          <w:t>Footnote 2</w:t>
        </w:r>
      </w:hyperlink>
      <w:r>
        <w:rPr>
          <w:rFonts w:eastAsia="Times New Roman"/>
          <w:color w:val="000000"/>
          <w:sz w:val="16"/>
          <w:szCs w:val="16"/>
        </w:rPr>
        <w:t xml:space="preserve">, </w:t>
      </w:r>
      <w:r>
        <w:rPr>
          <w:rFonts w:eastAsia="Times New Roman"/>
          <w:i/>
          <w:iCs/>
          <w:color w:val="000000"/>
          <w:sz w:val="16"/>
          <w:szCs w:val="16"/>
        </w:rPr>
        <w:t>Summary of S</w:t>
      </w:r>
      <w:r>
        <w:rPr>
          <w:rFonts w:eastAsia="Times New Roman"/>
          <w:i/>
          <w:iCs/>
          <w:color w:val="000000"/>
          <w:sz w:val="16"/>
          <w:szCs w:val="16"/>
        </w:rPr>
        <w:t>ignificant Accounting Policies</w:t>
      </w:r>
      <w:r>
        <w:rPr>
          <w:rFonts w:eastAsia="Times New Roman"/>
          <w:color w:val="000000"/>
          <w:sz w:val="16"/>
          <w:szCs w:val="16"/>
        </w:rPr>
        <w:t xml:space="preserve"> for further information on the valuation technique.</w:t>
      </w:r>
    </w:p>
    <w:p w:rsidR="00000000" w:rsidRDefault="00971A12">
      <w:pPr>
        <w:jc w:val="both"/>
        <w:divId w:val="1912419368"/>
        <w:rPr>
          <w:rFonts w:eastAsia="Times New Roman"/>
        </w:rPr>
      </w:pPr>
      <w:r>
        <w:rPr>
          <w:rFonts w:eastAsia="Times New Roman"/>
          <w:color w:val="000000"/>
          <w:sz w:val="20"/>
          <w:szCs w:val="20"/>
        </w:rPr>
        <w:t>The primary sensitivities in the valuation of the warrants liability are driven by the price and expected volatility of the Company's Common Stock at the valuation date.</w:t>
      </w:r>
    </w:p>
    <w:p w:rsidR="00000000" w:rsidRDefault="00971A12">
      <w:pPr>
        <w:jc w:val="both"/>
        <w:divId w:val="1864853687"/>
        <w:rPr>
          <w:rFonts w:eastAsia="Times New Roman"/>
        </w:rPr>
      </w:pPr>
      <w:r>
        <w:rPr>
          <w:rFonts w:eastAsia="Times New Roman"/>
          <w:color w:val="000000"/>
          <w:sz w:val="20"/>
          <w:szCs w:val="20"/>
        </w:rPr>
        <w:t>The</w:t>
      </w:r>
      <w:r>
        <w:rPr>
          <w:rFonts w:eastAsia="Times New Roman"/>
          <w:color w:val="000000"/>
          <w:sz w:val="20"/>
          <w:szCs w:val="20"/>
        </w:rPr>
        <w:t xml:space="preserve"> primary sensitivities in the valuation of contingent consideration model are driven by forecasted performance and the selected weighting of the model. The primary sensitivities in the discounted cash flow model are the cost of debt and the selected weight</w:t>
      </w:r>
      <w:r>
        <w:rPr>
          <w:rFonts w:eastAsia="Times New Roman"/>
          <w:color w:val="000000"/>
          <w:sz w:val="20"/>
          <w:szCs w:val="20"/>
        </w:rPr>
        <w:t>ing of the model.</w:t>
      </w:r>
    </w:p>
    <w:p w:rsidR="00000000" w:rsidRDefault="00971A12">
      <w:pPr>
        <w:jc w:val="both"/>
        <w:divId w:val="1583678112"/>
        <w:rPr>
          <w:rFonts w:eastAsia="Times New Roman"/>
        </w:rPr>
      </w:pPr>
      <w:r>
        <w:rPr>
          <w:rFonts w:eastAsia="Times New Roman"/>
          <w:b/>
          <w:bCs/>
          <w:color w:val="000000"/>
          <w:sz w:val="20"/>
          <w:szCs w:val="20"/>
        </w:rPr>
        <w:t>Fair Value Measurements on a Nonrecurring Basis</w:t>
      </w:r>
    </w:p>
    <w:p w:rsidR="00000000" w:rsidRDefault="00971A12">
      <w:pPr>
        <w:jc w:val="both"/>
        <w:divId w:val="1206867783"/>
        <w:rPr>
          <w:rFonts w:eastAsia="Times New Roman"/>
        </w:rPr>
      </w:pPr>
      <w:r>
        <w:rPr>
          <w:rFonts w:eastAsia="Times New Roman"/>
          <w:color w:val="000000"/>
          <w:sz w:val="20"/>
          <w:szCs w:val="20"/>
        </w:rPr>
        <w:t xml:space="preserve">For the year ended December 31, 2022, the Company recorded a goodwill impairment charge of $46.3 million. Refer to </w:t>
      </w:r>
      <w:hyperlink w:anchor="i0047531bd13046b986557e31951e34f8_142" w:history="1">
        <w:r>
          <w:rPr>
            <w:rStyle w:val="a3"/>
            <w:rFonts w:eastAsia="Times New Roman"/>
            <w:sz w:val="20"/>
            <w:szCs w:val="20"/>
          </w:rPr>
          <w:t>Footnote 10</w:t>
        </w:r>
      </w:hyperlink>
      <w:r>
        <w:rPr>
          <w:rFonts w:eastAsia="Times New Roman"/>
          <w:color w:val="000000"/>
          <w:sz w:val="20"/>
          <w:szCs w:val="20"/>
        </w:rPr>
        <w:t xml:space="preserve">, </w:t>
      </w:r>
      <w:r>
        <w:rPr>
          <w:rFonts w:eastAsia="Times New Roman"/>
          <w:i/>
          <w:iCs/>
          <w:color w:val="000000"/>
          <w:sz w:val="20"/>
          <w:szCs w:val="20"/>
        </w:rPr>
        <w:t>Go</w:t>
      </w:r>
      <w:r>
        <w:rPr>
          <w:rFonts w:eastAsia="Times New Roman"/>
          <w:i/>
          <w:iCs/>
          <w:color w:val="000000"/>
          <w:sz w:val="20"/>
          <w:szCs w:val="20"/>
        </w:rPr>
        <w:t>odwill</w:t>
      </w:r>
      <w:r>
        <w:rPr>
          <w:rFonts w:eastAsia="Times New Roman"/>
          <w:color w:val="000000"/>
          <w:sz w:val="20"/>
          <w:szCs w:val="20"/>
        </w:rPr>
        <w:t xml:space="preserve"> </w:t>
      </w:r>
      <w:r>
        <w:rPr>
          <w:rFonts w:eastAsia="Times New Roman"/>
          <w:color w:val="000000"/>
          <w:sz w:val="20"/>
          <w:szCs w:val="20"/>
        </w:rPr>
        <w:t>for further details. The remeasurement of goodwill is classified as a non-recurring Level 3 fair value assessment due to the significance of unobservable inputs developed in the determination of the fair value. The Company used a discounted cash flow model</w:t>
      </w:r>
      <w:r>
        <w:rPr>
          <w:rFonts w:eastAsia="Times New Roman"/>
          <w:color w:val="000000"/>
          <w:sz w:val="20"/>
          <w:szCs w:val="20"/>
        </w:rPr>
        <w:t xml:space="preserve"> to determine the estimated fair value of the reporting unit. The Company made estimates and assumptions regarding future cash flows, discount rates, long-term growth rates and market values to determine the reporting unit's estimated fair value. It is pos</w:t>
      </w:r>
      <w:r>
        <w:rPr>
          <w:rFonts w:eastAsia="Times New Roman"/>
          <w:color w:val="000000"/>
          <w:sz w:val="20"/>
          <w:szCs w:val="20"/>
        </w:rPr>
        <w:t>sible that future changes in such circumstances, or in the variables associated with the judgments, assumptions and estimates used in assessing the fair value of the reporting unit, would require the Company to record additional non-cash impairment charges</w:t>
      </w:r>
      <w:r>
        <w:rPr>
          <w:rFonts w:eastAsia="Times New Roman"/>
          <w:color w:val="000000"/>
          <w:sz w:val="20"/>
          <w:szCs w:val="20"/>
        </w:rPr>
        <w:t>.</w:t>
      </w:r>
    </w:p>
    <w:p w:rsidR="00000000" w:rsidRDefault="00971A12">
      <w:pPr>
        <w:ind w:hanging="360"/>
        <w:divId w:val="1443185607"/>
        <w:rPr>
          <w:rFonts w:eastAsia="Times New Roman"/>
        </w:rPr>
      </w:pPr>
      <w:r>
        <w:rPr>
          <w:rFonts w:eastAsia="Times New Roman"/>
          <w:b/>
          <w:bCs/>
          <w:color w:val="000000"/>
          <w:sz w:val="20"/>
          <w:szCs w:val="20"/>
        </w:rPr>
        <w:t>8.Property and Equipment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5938"/>
        <w:gridCol w:w="38"/>
        <w:gridCol w:w="36"/>
        <w:gridCol w:w="36"/>
        <w:gridCol w:w="36"/>
        <w:gridCol w:w="111"/>
        <w:gridCol w:w="890"/>
        <w:gridCol w:w="36"/>
        <w:gridCol w:w="36"/>
        <w:gridCol w:w="36"/>
        <w:gridCol w:w="36"/>
        <w:gridCol w:w="111"/>
        <w:gridCol w:w="890"/>
        <w:gridCol w:w="36"/>
      </w:tblGrid>
      <w:tr w:rsidR="00000000">
        <w:trPr>
          <w:divId w:val="266741636"/>
        </w:trPr>
        <w:tc>
          <w:tcPr>
            <w:tcW w:w="50" w:type="pct"/>
            <w:vAlign w:val="center"/>
            <w:hideMark/>
          </w:tcPr>
          <w:p w:rsidR="00000000" w:rsidRDefault="00971A12">
            <w:pPr>
              <w:ind w:hanging="360"/>
              <w:rPr>
                <w:rFonts w:eastAsia="Times New Roman"/>
              </w:rPr>
            </w:pPr>
          </w:p>
        </w:tc>
        <w:tc>
          <w:tcPr>
            <w:tcW w:w="362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266741636"/>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As of December 31,</w:t>
            </w:r>
          </w:p>
        </w:tc>
      </w:tr>
      <w:tr w:rsidR="00000000">
        <w:trPr>
          <w:divId w:val="266741636"/>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r>
      <w:tr w:rsidR="00000000">
        <w:trPr>
          <w:divId w:val="266741636"/>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 xml:space="preserve">Computer equipment </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971A12">
            <w:pPr>
              <w:spacing w:after="100"/>
              <w:jc w:val="right"/>
              <w:rPr>
                <w:rFonts w:eastAsia="Times New Roman"/>
              </w:rPr>
            </w:pPr>
            <w:r>
              <w:rPr>
                <w:rFonts w:eastAsia="Times New Roman"/>
                <w:color w:val="000000"/>
                <w:sz w:val="18"/>
                <w:szCs w:val="18"/>
              </w:rPr>
              <w:t>64,653 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971A12">
            <w:pPr>
              <w:spacing w:after="100"/>
              <w:jc w:val="right"/>
              <w:rPr>
                <w:rFonts w:eastAsia="Times New Roman"/>
              </w:rPr>
            </w:pPr>
            <w:r>
              <w:rPr>
                <w:rFonts w:eastAsia="Times New Roman"/>
                <w:color w:val="000000"/>
                <w:sz w:val="18"/>
                <w:szCs w:val="18"/>
              </w:rPr>
              <w:t>85,847 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971A12">
            <w:pPr>
              <w:spacing w:after="100"/>
              <w:jc w:val="right"/>
              <w:rPr>
                <w:rFonts w:eastAsia="Times New Roman"/>
              </w:rPr>
            </w:pPr>
          </w:p>
        </w:tc>
      </w:tr>
      <w:tr w:rsidR="00000000">
        <w:trPr>
          <w:divId w:val="266741636"/>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Capitalized internal-use software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971A12">
            <w:pPr>
              <w:spacing w:after="100"/>
              <w:jc w:val="right"/>
              <w:rPr>
                <w:rFonts w:eastAsia="Times New Roman"/>
              </w:rPr>
            </w:pPr>
            <w:r>
              <w:rPr>
                <w:rFonts w:eastAsia="Times New Roman"/>
                <w:color w:val="000000"/>
                <w:sz w:val="18"/>
                <w:szCs w:val="18"/>
              </w:rPr>
              <w:t>72,672 </w:t>
            </w:r>
          </w:p>
        </w:tc>
        <w:tc>
          <w:tcPr>
            <w:tcW w:w="0" w:type="auto"/>
            <w:shd w:val="clear" w:color="auto" w:fill="FFFFFF"/>
            <w:tcMar>
              <w:top w:w="30" w:type="dxa"/>
              <w:left w:w="0" w:type="dxa"/>
              <w:bottom w:w="30" w:type="dxa"/>
              <w:right w:w="20" w:type="dxa"/>
            </w:tcMar>
            <w:hideMark/>
          </w:tcPr>
          <w:p w:rsidR="00000000" w:rsidRDefault="00971A1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71A12">
            <w:pPr>
              <w:spacing w:after="100"/>
              <w:jc w:val="right"/>
              <w:rPr>
                <w:rFonts w:eastAsia="Times New Roman"/>
              </w:rPr>
            </w:pPr>
            <w:r>
              <w:rPr>
                <w:rFonts w:eastAsia="Times New Roman"/>
                <w:color w:val="000000"/>
                <w:sz w:val="18"/>
                <w:szCs w:val="18"/>
              </w:rPr>
              <w:t>55,428 </w:t>
            </w:r>
          </w:p>
        </w:tc>
        <w:tc>
          <w:tcPr>
            <w:tcW w:w="0" w:type="auto"/>
            <w:shd w:val="clear" w:color="auto" w:fill="FFFFFF"/>
            <w:tcMar>
              <w:top w:w="30" w:type="dxa"/>
              <w:left w:w="0" w:type="dxa"/>
              <w:bottom w:w="30" w:type="dxa"/>
              <w:right w:w="20" w:type="dxa"/>
            </w:tcMar>
            <w:hideMark/>
          </w:tcPr>
          <w:p w:rsidR="00000000" w:rsidRDefault="00971A12">
            <w:pPr>
              <w:spacing w:after="100"/>
              <w:jc w:val="right"/>
              <w:rPr>
                <w:rFonts w:eastAsia="Times New Roman"/>
              </w:rPr>
            </w:pPr>
          </w:p>
        </w:tc>
      </w:tr>
      <w:tr w:rsidR="00000000">
        <w:trPr>
          <w:divId w:val="266741636"/>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Leasehold improvements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971A12">
            <w:pPr>
              <w:spacing w:after="100"/>
              <w:jc w:val="right"/>
              <w:rPr>
                <w:rFonts w:eastAsia="Times New Roman"/>
              </w:rPr>
            </w:pPr>
            <w:r>
              <w:rPr>
                <w:rFonts w:eastAsia="Times New Roman"/>
                <w:color w:val="000000"/>
                <w:sz w:val="18"/>
                <w:szCs w:val="18"/>
              </w:rPr>
              <w:t>15,456 </w:t>
            </w:r>
          </w:p>
        </w:tc>
        <w:tc>
          <w:tcPr>
            <w:tcW w:w="0" w:type="auto"/>
            <w:shd w:val="clear" w:color="auto" w:fill="CCEEFF"/>
            <w:tcMar>
              <w:top w:w="30" w:type="dxa"/>
              <w:left w:w="0" w:type="dxa"/>
              <w:bottom w:w="30" w:type="dxa"/>
              <w:right w:w="20" w:type="dxa"/>
            </w:tcMar>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71A12">
            <w:pPr>
              <w:spacing w:after="100"/>
              <w:jc w:val="right"/>
              <w:rPr>
                <w:rFonts w:eastAsia="Times New Roman"/>
              </w:rPr>
            </w:pPr>
            <w:r>
              <w:rPr>
                <w:rFonts w:eastAsia="Times New Roman"/>
                <w:color w:val="000000"/>
                <w:sz w:val="18"/>
                <w:szCs w:val="18"/>
              </w:rPr>
              <w:t>15,594 </w:t>
            </w:r>
          </w:p>
        </w:tc>
        <w:tc>
          <w:tcPr>
            <w:tcW w:w="0" w:type="auto"/>
            <w:shd w:val="clear" w:color="auto" w:fill="CCEEFF"/>
            <w:tcMar>
              <w:top w:w="30" w:type="dxa"/>
              <w:left w:w="0" w:type="dxa"/>
              <w:bottom w:w="30" w:type="dxa"/>
              <w:right w:w="20" w:type="dxa"/>
            </w:tcMar>
            <w:hideMark/>
          </w:tcPr>
          <w:p w:rsidR="00000000" w:rsidRDefault="00971A12">
            <w:pPr>
              <w:spacing w:after="100"/>
              <w:jc w:val="right"/>
              <w:rPr>
                <w:rFonts w:eastAsia="Times New Roman"/>
              </w:rPr>
            </w:pPr>
          </w:p>
        </w:tc>
      </w:tr>
      <w:tr w:rsidR="00000000">
        <w:trPr>
          <w:divId w:val="266741636"/>
        </w:trPr>
        <w:tc>
          <w:tcPr>
            <w:tcW w:w="0" w:type="auto"/>
            <w:gridSpan w:val="3"/>
            <w:shd w:val="clear" w:color="auto" w:fill="FFFFFF"/>
            <w:tcMar>
              <w:top w:w="30" w:type="dxa"/>
              <w:left w:w="20" w:type="dxa"/>
              <w:bottom w:w="30" w:type="dxa"/>
              <w:right w:w="20" w:type="dxa"/>
            </w:tcMar>
            <w:hideMark/>
          </w:tcPr>
          <w:p w:rsidR="00000000" w:rsidRDefault="00971A12">
            <w:pPr>
              <w:spacing w:after="100"/>
              <w:divId w:val="861356415"/>
              <w:rPr>
                <w:rFonts w:eastAsia="Times New Roman"/>
              </w:rPr>
            </w:pPr>
            <w:r>
              <w:rPr>
                <w:rFonts w:eastAsia="Times New Roman"/>
                <w:color w:val="000000"/>
                <w:sz w:val="18"/>
                <w:szCs w:val="18"/>
              </w:rPr>
              <w:t>Computer software (including software license arrangements of $1,365 in 2022 and $1,072 in 2021)</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971A12">
            <w:pPr>
              <w:spacing w:after="100"/>
              <w:jc w:val="right"/>
              <w:rPr>
                <w:rFonts w:eastAsia="Times New Roman"/>
              </w:rPr>
            </w:pPr>
            <w:r>
              <w:rPr>
                <w:rFonts w:eastAsia="Times New Roman"/>
                <w:color w:val="000000"/>
                <w:sz w:val="18"/>
                <w:szCs w:val="18"/>
              </w:rPr>
              <w:t>8,400 </w:t>
            </w:r>
          </w:p>
        </w:tc>
        <w:tc>
          <w:tcPr>
            <w:tcW w:w="0" w:type="auto"/>
            <w:shd w:val="clear" w:color="auto" w:fill="FFFFFF"/>
            <w:tcMar>
              <w:top w:w="30" w:type="dxa"/>
              <w:left w:w="0" w:type="dxa"/>
              <w:bottom w:w="30" w:type="dxa"/>
              <w:right w:w="20" w:type="dxa"/>
            </w:tcMar>
            <w:hideMark/>
          </w:tcPr>
          <w:p w:rsidR="00000000" w:rsidRDefault="00971A1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71A12">
            <w:pPr>
              <w:spacing w:after="100"/>
              <w:jc w:val="right"/>
              <w:rPr>
                <w:rFonts w:eastAsia="Times New Roman"/>
              </w:rPr>
            </w:pPr>
            <w:r>
              <w:rPr>
                <w:rFonts w:eastAsia="Times New Roman"/>
                <w:color w:val="000000"/>
                <w:sz w:val="18"/>
                <w:szCs w:val="18"/>
              </w:rPr>
              <w:t>8,864 </w:t>
            </w:r>
          </w:p>
        </w:tc>
        <w:tc>
          <w:tcPr>
            <w:tcW w:w="0" w:type="auto"/>
            <w:shd w:val="clear" w:color="auto" w:fill="FFFFFF"/>
            <w:tcMar>
              <w:top w:w="30" w:type="dxa"/>
              <w:left w:w="0" w:type="dxa"/>
              <w:bottom w:w="30" w:type="dxa"/>
              <w:right w:w="20" w:type="dxa"/>
            </w:tcMar>
            <w:hideMark/>
          </w:tcPr>
          <w:p w:rsidR="00000000" w:rsidRDefault="00971A12">
            <w:pPr>
              <w:spacing w:after="100"/>
              <w:jc w:val="right"/>
              <w:rPr>
                <w:rFonts w:eastAsia="Times New Roman"/>
              </w:rPr>
            </w:pPr>
          </w:p>
        </w:tc>
      </w:tr>
      <w:tr w:rsidR="00000000">
        <w:trPr>
          <w:divId w:val="266741636"/>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Finance leases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971A12">
            <w:pPr>
              <w:spacing w:after="100"/>
              <w:jc w:val="right"/>
              <w:rPr>
                <w:rFonts w:eastAsia="Times New Roman"/>
              </w:rPr>
            </w:pPr>
            <w:r>
              <w:rPr>
                <w:rFonts w:eastAsia="Times New Roman"/>
                <w:color w:val="000000"/>
                <w:sz w:val="18"/>
                <w:szCs w:val="18"/>
              </w:rPr>
              <w:t>9,918 </w:t>
            </w:r>
          </w:p>
        </w:tc>
        <w:tc>
          <w:tcPr>
            <w:tcW w:w="0" w:type="auto"/>
            <w:shd w:val="clear" w:color="auto" w:fill="CCEEFF"/>
            <w:tcMar>
              <w:top w:w="30" w:type="dxa"/>
              <w:left w:w="0" w:type="dxa"/>
              <w:bottom w:w="30" w:type="dxa"/>
              <w:right w:w="20" w:type="dxa"/>
            </w:tcMar>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971A12">
            <w:pPr>
              <w:spacing w:after="100"/>
              <w:jc w:val="right"/>
              <w:rPr>
                <w:rFonts w:eastAsia="Times New Roman"/>
              </w:rPr>
            </w:pPr>
            <w:r>
              <w:rPr>
                <w:rFonts w:eastAsia="Times New Roman"/>
                <w:color w:val="000000"/>
                <w:sz w:val="18"/>
                <w:szCs w:val="18"/>
              </w:rPr>
              <w:t>8,886 </w:t>
            </w:r>
          </w:p>
        </w:tc>
        <w:tc>
          <w:tcPr>
            <w:tcW w:w="0" w:type="auto"/>
            <w:shd w:val="clear" w:color="auto" w:fill="CCEEFF"/>
            <w:tcMar>
              <w:top w:w="30" w:type="dxa"/>
              <w:left w:w="0" w:type="dxa"/>
              <w:bottom w:w="30" w:type="dxa"/>
              <w:right w:w="20" w:type="dxa"/>
            </w:tcMar>
            <w:hideMark/>
          </w:tcPr>
          <w:p w:rsidR="00000000" w:rsidRDefault="00971A12">
            <w:pPr>
              <w:spacing w:after="100"/>
              <w:jc w:val="right"/>
              <w:rPr>
                <w:rFonts w:eastAsia="Times New Roman"/>
              </w:rPr>
            </w:pPr>
          </w:p>
        </w:tc>
      </w:tr>
      <w:tr w:rsidR="00000000">
        <w:trPr>
          <w:divId w:val="266741636"/>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Office equipment, furniture, and other</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971A12">
            <w:pPr>
              <w:spacing w:after="100"/>
              <w:jc w:val="right"/>
              <w:rPr>
                <w:rFonts w:eastAsia="Times New Roman"/>
              </w:rPr>
            </w:pPr>
            <w:r>
              <w:rPr>
                <w:rFonts w:eastAsia="Times New Roman"/>
                <w:color w:val="000000"/>
                <w:sz w:val="18"/>
                <w:szCs w:val="18"/>
              </w:rPr>
              <w:t>5,164 </w:t>
            </w:r>
          </w:p>
        </w:tc>
        <w:tc>
          <w:tcPr>
            <w:tcW w:w="0" w:type="auto"/>
            <w:shd w:val="clear" w:color="auto" w:fill="FFFFFF"/>
            <w:tcMar>
              <w:top w:w="30" w:type="dxa"/>
              <w:left w:w="0" w:type="dxa"/>
              <w:bottom w:w="30" w:type="dxa"/>
              <w:right w:w="20" w:type="dxa"/>
            </w:tcMar>
            <w:hideMark/>
          </w:tcPr>
          <w:p w:rsidR="00000000" w:rsidRDefault="00971A1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71A12">
            <w:pPr>
              <w:spacing w:after="100"/>
              <w:jc w:val="right"/>
              <w:rPr>
                <w:rFonts w:eastAsia="Times New Roman"/>
              </w:rPr>
            </w:pPr>
            <w:r>
              <w:rPr>
                <w:rFonts w:eastAsia="Times New Roman"/>
                <w:color w:val="000000"/>
                <w:sz w:val="18"/>
                <w:szCs w:val="18"/>
              </w:rPr>
              <w:t>5,347 </w:t>
            </w:r>
          </w:p>
        </w:tc>
        <w:tc>
          <w:tcPr>
            <w:tcW w:w="0" w:type="auto"/>
            <w:shd w:val="clear" w:color="auto" w:fill="FFFFFF"/>
            <w:tcMar>
              <w:top w:w="30" w:type="dxa"/>
              <w:left w:w="0" w:type="dxa"/>
              <w:bottom w:w="30" w:type="dxa"/>
              <w:right w:w="20" w:type="dxa"/>
            </w:tcMar>
            <w:hideMark/>
          </w:tcPr>
          <w:p w:rsidR="00000000" w:rsidRDefault="00971A12">
            <w:pPr>
              <w:spacing w:after="100"/>
              <w:jc w:val="right"/>
              <w:rPr>
                <w:rFonts w:eastAsia="Times New Roman"/>
              </w:rPr>
            </w:pPr>
          </w:p>
        </w:tc>
      </w:tr>
      <w:tr w:rsidR="00000000">
        <w:trPr>
          <w:divId w:val="266741636"/>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266741636"/>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266741636"/>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266741636"/>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266741636"/>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Total property and equipment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176,263 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179,966 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66741636"/>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divId w:val="924266007"/>
              <w:rPr>
                <w:rFonts w:eastAsia="Times New Roman"/>
              </w:rPr>
            </w:pPr>
            <w:r>
              <w:rPr>
                <w:rFonts w:eastAsia="Times New Roman"/>
                <w:color w:val="000000"/>
                <w:sz w:val="18"/>
                <w:szCs w:val="18"/>
              </w:rPr>
              <w:t>Less: accumulated depreciation and amortization (including software license arrangements of $1,243 in 2022 and $1,072 in 2021)</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(139,896)</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(143,515)</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66741636"/>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Total property and equipment, net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36,367 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36,451 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both"/>
        <w:divId w:val="90662252"/>
        <w:rPr>
          <w:rFonts w:eastAsia="Times New Roman"/>
        </w:rPr>
      </w:pPr>
      <w:r>
        <w:rPr>
          <w:rFonts w:eastAsia="Times New Roman"/>
          <w:color w:val="000000"/>
          <w:sz w:val="20"/>
          <w:szCs w:val="20"/>
        </w:rPr>
        <w:t>For th</w:t>
      </w:r>
      <w:r>
        <w:rPr>
          <w:rFonts w:eastAsia="Times New Roman"/>
          <w:color w:val="000000"/>
          <w:sz w:val="20"/>
          <w:szCs w:val="20"/>
        </w:rPr>
        <w:t>e years ended December 31, 2022, 2021, and 2020, depreciation expense was $16.8 million, $15.8 million and $14.1 million, respectively. In addition, amortization expense from finance leases was $2.4 million, $2.2 million and $1.7 million for the years ende</w:t>
      </w:r>
      <w:r>
        <w:rPr>
          <w:rFonts w:eastAsia="Times New Roman"/>
          <w:color w:val="000000"/>
          <w:sz w:val="20"/>
          <w:szCs w:val="20"/>
        </w:rPr>
        <w:t>d December 31, 2022, 2021, and 2020, respectively.</w:t>
      </w:r>
    </w:p>
    <w:p w:rsidR="00000000" w:rsidRDefault="00971A12">
      <w:pPr>
        <w:jc w:val="both"/>
        <w:divId w:val="279184885"/>
        <w:rPr>
          <w:rFonts w:eastAsia="Times New Roman"/>
        </w:rPr>
      </w:pPr>
      <w:r>
        <w:rPr>
          <w:rFonts w:eastAsia="Times New Roman"/>
          <w:color w:val="000000"/>
          <w:sz w:val="20"/>
          <w:szCs w:val="20"/>
        </w:rPr>
        <w:t xml:space="preserve">Of the Company's property and equipment, net, 98% was located in the United States as of December 31, 2022 and 2021. </w:t>
      </w:r>
    </w:p>
    <w:p w:rsidR="00000000" w:rsidRDefault="00971A12">
      <w:pPr>
        <w:jc w:val="center"/>
        <w:divId w:val="437994973"/>
        <w:rPr>
          <w:rFonts w:eastAsia="Times New Roman"/>
        </w:rPr>
      </w:pPr>
      <w:r>
        <w:rPr>
          <w:rFonts w:eastAsia="Times New Roman"/>
          <w:color w:val="000000"/>
          <w:sz w:val="20"/>
          <w:szCs w:val="20"/>
        </w:rPr>
        <w:t>72</w:t>
      </w:r>
    </w:p>
    <w:p w:rsidR="00000000" w:rsidRDefault="00971A12">
      <w:pPr>
        <w:rPr>
          <w:rFonts w:eastAsia="Times New Roman"/>
        </w:rPr>
      </w:pPr>
      <w:r>
        <w:rPr>
          <w:rFonts w:eastAsia="Times New Roman"/>
        </w:rPr>
        <w:pict>
          <v:rect id="_x0000_i1100" style="width:0;height:1.5pt" o:hralign="center" o:hrstd="t" o:hr="t" fillcolor="#a0a0a0" stroked="f"/>
        </w:pict>
      </w:r>
    </w:p>
    <w:p w:rsidR="00000000" w:rsidRDefault="00971A12">
      <w:pPr>
        <w:divId w:val="1043485566"/>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764763497"/>
        <w:rPr>
          <w:rFonts w:eastAsia="Times New Roman"/>
        </w:rPr>
      </w:pPr>
    </w:p>
    <w:p w:rsidR="00000000" w:rsidRDefault="00971A12">
      <w:pPr>
        <w:ind w:hanging="360"/>
        <w:divId w:val="370737739"/>
        <w:rPr>
          <w:rFonts w:eastAsia="Times New Roman"/>
        </w:rPr>
      </w:pPr>
      <w:r>
        <w:rPr>
          <w:rFonts w:eastAsia="Times New Roman"/>
          <w:b/>
          <w:bCs/>
          <w:color w:val="000000"/>
          <w:sz w:val="20"/>
          <w:szCs w:val="20"/>
        </w:rPr>
        <w:t>9.Leases</w:t>
      </w:r>
    </w:p>
    <w:p w:rsidR="00000000" w:rsidRDefault="00971A12">
      <w:pPr>
        <w:jc w:val="both"/>
        <w:divId w:val="1989825195"/>
        <w:rPr>
          <w:rFonts w:eastAsia="Times New Roman"/>
        </w:rPr>
      </w:pPr>
      <w:r>
        <w:rPr>
          <w:rFonts w:eastAsia="Times New Roman"/>
          <w:color w:val="000000"/>
          <w:sz w:val="20"/>
          <w:szCs w:val="20"/>
        </w:rPr>
        <w:t>The Company has operating leases for real estate and finance leases for computer equipment and automobiles. These leases have remaining lease terms of one year to five years, some of which include options to extend the leases for up to five years, and some</w:t>
      </w:r>
      <w:r>
        <w:rPr>
          <w:rFonts w:eastAsia="Times New Roman"/>
          <w:color w:val="000000"/>
          <w:sz w:val="20"/>
          <w:szCs w:val="20"/>
        </w:rPr>
        <w:t xml:space="preserve"> of which include options to terminate the leases within one year. As of December 31, 2022, the weighted average remaining lease term for the Company's finance leases and operating leases was 1.6 years and 4.4 years, respectively. As of December 31, 2022, </w:t>
      </w:r>
      <w:r>
        <w:rPr>
          <w:rFonts w:eastAsia="Times New Roman"/>
          <w:color w:val="000000"/>
          <w:sz w:val="20"/>
          <w:szCs w:val="20"/>
        </w:rPr>
        <w:t>the weighted average discount rate for the Company's finance leases and operating leases was 9.4% and 11.3%, respectively.</w:t>
      </w:r>
    </w:p>
    <w:p w:rsidR="00000000" w:rsidRDefault="00971A12">
      <w:pPr>
        <w:jc w:val="both"/>
        <w:divId w:val="431122510"/>
        <w:rPr>
          <w:rFonts w:eastAsia="Times New Roman"/>
        </w:rPr>
      </w:pPr>
      <w:r>
        <w:rPr>
          <w:rFonts w:eastAsia="Times New Roman"/>
          <w:color w:val="000000"/>
          <w:sz w:val="20"/>
          <w:szCs w:val="20"/>
        </w:rPr>
        <w:t>The components of lease cost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1531"/>
        <w:gridCol w:w="37"/>
        <w:gridCol w:w="37"/>
        <w:gridCol w:w="1533"/>
        <w:gridCol w:w="37"/>
        <w:gridCol w:w="37"/>
        <w:gridCol w:w="1533"/>
        <w:gridCol w:w="37"/>
        <w:gridCol w:w="36"/>
        <w:gridCol w:w="36"/>
        <w:gridCol w:w="36"/>
        <w:gridCol w:w="110"/>
        <w:gridCol w:w="908"/>
        <w:gridCol w:w="36"/>
        <w:gridCol w:w="36"/>
        <w:gridCol w:w="36"/>
        <w:gridCol w:w="36"/>
        <w:gridCol w:w="110"/>
        <w:gridCol w:w="908"/>
        <w:gridCol w:w="36"/>
        <w:gridCol w:w="36"/>
        <w:gridCol w:w="36"/>
        <w:gridCol w:w="36"/>
        <w:gridCol w:w="110"/>
        <w:gridCol w:w="908"/>
        <w:gridCol w:w="36"/>
      </w:tblGrid>
      <w:tr w:rsidR="00000000">
        <w:trPr>
          <w:divId w:val="615912008"/>
          <w:jc w:val="center"/>
        </w:trPr>
        <w:tc>
          <w:tcPr>
            <w:tcW w:w="50" w:type="pct"/>
            <w:vAlign w:val="center"/>
            <w:hideMark/>
          </w:tcPr>
          <w:p w:rsidR="00000000" w:rsidRDefault="00971A12">
            <w:pPr>
              <w:jc w:val="both"/>
              <w:rPr>
                <w:rFonts w:eastAsia="Times New Roman"/>
              </w:rPr>
            </w:pPr>
          </w:p>
        </w:tc>
        <w:tc>
          <w:tcPr>
            <w:tcW w:w="95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95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95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615912008"/>
          <w:jc w:val="center"/>
        </w:trPr>
        <w:tc>
          <w:tcPr>
            <w:tcW w:w="0" w:type="auto"/>
            <w:gridSpan w:val="9"/>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Years Ended December 31,</w:t>
            </w:r>
          </w:p>
        </w:tc>
      </w:tr>
      <w:tr w:rsidR="00000000">
        <w:trPr>
          <w:divId w:val="615912008"/>
          <w:jc w:val="center"/>
        </w:trPr>
        <w:tc>
          <w:tcPr>
            <w:tcW w:w="0" w:type="auto"/>
            <w:gridSpan w:val="9"/>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r>
      <w:tr w:rsidR="00000000">
        <w:trPr>
          <w:divId w:val="615912008"/>
          <w:jc w:val="center"/>
        </w:trPr>
        <w:tc>
          <w:tcPr>
            <w:tcW w:w="0" w:type="auto"/>
            <w:gridSpan w:val="9"/>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18"/>
                <w:szCs w:val="18"/>
              </w:rPr>
              <w:t>Finance lease cost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615912008"/>
          <w:jc w:val="center"/>
        </w:trPr>
        <w:tc>
          <w:tcPr>
            <w:tcW w:w="0" w:type="auto"/>
            <w:gridSpan w:val="9"/>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Amortization of right-of-use assets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2,364 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2,188 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1,652 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615912008"/>
          <w:jc w:val="center"/>
        </w:trPr>
        <w:tc>
          <w:tcPr>
            <w:tcW w:w="0" w:type="auto"/>
            <w:gridSpan w:val="9"/>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Interest on lease liabilities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338 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440 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501 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615912008"/>
          <w:jc w:val="center"/>
        </w:trPr>
        <w:tc>
          <w:tcPr>
            <w:tcW w:w="0" w:type="auto"/>
            <w:gridSpan w:val="9"/>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finance lease cost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2,702 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2,628 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615912008"/>
          <w:trHeight w:val="240"/>
          <w:jc w:val="center"/>
        </w:trPr>
        <w:tc>
          <w:tcPr>
            <w:tcW w:w="0" w:type="auto"/>
            <w:gridSpan w:val="9"/>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615912008"/>
          <w:jc w:val="center"/>
        </w:trPr>
        <w:tc>
          <w:tcPr>
            <w:tcW w:w="0" w:type="auto"/>
            <w:gridSpan w:val="9"/>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18"/>
                <w:szCs w:val="18"/>
              </w:rPr>
              <w:t>Operating lease cost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615912008"/>
          <w:jc w:val="center"/>
        </w:trPr>
        <w:tc>
          <w:tcPr>
            <w:tcW w:w="0" w:type="auto"/>
            <w:gridSpan w:val="9"/>
            <w:shd w:val="clear" w:color="auto" w:fill="CCEE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Fixed lease cost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11,174 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11,212 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12,057 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615912008"/>
          <w:jc w:val="center"/>
        </w:trPr>
        <w:tc>
          <w:tcPr>
            <w:tcW w:w="0" w:type="auto"/>
            <w:gridSpan w:val="9"/>
            <w:shd w:val="clear" w:color="auto" w:fill="FFFF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Short-term lease cost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336 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824 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615912008"/>
          <w:jc w:val="center"/>
        </w:trPr>
        <w:tc>
          <w:tcPr>
            <w:tcW w:w="0" w:type="auto"/>
            <w:gridSpan w:val="9"/>
            <w:shd w:val="clear" w:color="auto" w:fill="CCEE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Variable lease cost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1,369 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1,622 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1,926 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615912008"/>
          <w:jc w:val="center"/>
        </w:trPr>
        <w:tc>
          <w:tcPr>
            <w:tcW w:w="0" w:type="auto"/>
            <w:gridSpan w:val="9"/>
            <w:shd w:val="clear" w:color="auto" w:fill="FFFF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Sublease income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(2,572)</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(2,530)</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(2,579)</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615912008"/>
          <w:jc w:val="center"/>
        </w:trPr>
        <w:tc>
          <w:tcPr>
            <w:tcW w:w="0" w:type="auto"/>
            <w:gridSpan w:val="9"/>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operating lease cost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10,121 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10,640 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12,228 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both"/>
        <w:divId w:val="1753816435"/>
        <w:rPr>
          <w:rFonts w:eastAsia="Times New Roman"/>
        </w:rPr>
      </w:pPr>
      <w:r>
        <w:rPr>
          <w:rFonts w:eastAsia="Times New Roman"/>
          <w:color w:val="000000"/>
          <w:sz w:val="20"/>
          <w:szCs w:val="20"/>
        </w:rPr>
        <w:t>Lease costs, net of sublease income, are reflected in the Consolidated Statem</w:t>
      </w:r>
      <w:r>
        <w:rPr>
          <w:rFonts w:eastAsia="Times New Roman"/>
          <w:color w:val="000000"/>
          <w:sz w:val="20"/>
          <w:szCs w:val="20"/>
        </w:rPr>
        <w:t>ents of Operations and Comprehensive Loss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1529"/>
        <w:gridCol w:w="38"/>
        <w:gridCol w:w="38"/>
        <w:gridCol w:w="1532"/>
        <w:gridCol w:w="37"/>
        <w:gridCol w:w="37"/>
        <w:gridCol w:w="1533"/>
        <w:gridCol w:w="37"/>
        <w:gridCol w:w="36"/>
        <w:gridCol w:w="36"/>
        <w:gridCol w:w="36"/>
        <w:gridCol w:w="110"/>
        <w:gridCol w:w="908"/>
        <w:gridCol w:w="36"/>
        <w:gridCol w:w="36"/>
        <w:gridCol w:w="36"/>
        <w:gridCol w:w="36"/>
        <w:gridCol w:w="110"/>
        <w:gridCol w:w="908"/>
        <w:gridCol w:w="36"/>
        <w:gridCol w:w="36"/>
        <w:gridCol w:w="36"/>
        <w:gridCol w:w="36"/>
        <w:gridCol w:w="110"/>
        <w:gridCol w:w="908"/>
        <w:gridCol w:w="36"/>
      </w:tblGrid>
      <w:tr w:rsidR="00000000">
        <w:trPr>
          <w:divId w:val="1732578558"/>
          <w:jc w:val="center"/>
        </w:trPr>
        <w:tc>
          <w:tcPr>
            <w:tcW w:w="50" w:type="pct"/>
            <w:vAlign w:val="center"/>
            <w:hideMark/>
          </w:tcPr>
          <w:p w:rsidR="00000000" w:rsidRDefault="00971A12">
            <w:pPr>
              <w:jc w:val="both"/>
              <w:rPr>
                <w:rFonts w:eastAsia="Times New Roman"/>
              </w:rPr>
            </w:pPr>
          </w:p>
        </w:tc>
        <w:tc>
          <w:tcPr>
            <w:tcW w:w="95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95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95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732578558"/>
          <w:jc w:val="center"/>
        </w:trPr>
        <w:tc>
          <w:tcPr>
            <w:tcW w:w="0" w:type="auto"/>
            <w:gridSpan w:val="9"/>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Years Ended December 31,</w:t>
            </w:r>
          </w:p>
        </w:tc>
      </w:tr>
      <w:tr w:rsidR="00000000">
        <w:trPr>
          <w:divId w:val="1732578558"/>
          <w:jc w:val="center"/>
        </w:trPr>
        <w:tc>
          <w:tcPr>
            <w:tcW w:w="0" w:type="auto"/>
            <w:gridSpan w:val="9"/>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r>
      <w:tr w:rsidR="00000000">
        <w:trPr>
          <w:divId w:val="1732578558"/>
          <w:jc w:val="center"/>
        </w:trPr>
        <w:tc>
          <w:tcPr>
            <w:tcW w:w="0" w:type="auto"/>
            <w:gridSpan w:val="9"/>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18"/>
                <w:szCs w:val="18"/>
              </w:rPr>
              <w:t>Amortization of right-of-use assets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732578558"/>
          <w:jc w:val="center"/>
        </w:trPr>
        <w:tc>
          <w:tcPr>
            <w:tcW w:w="0" w:type="auto"/>
            <w:gridSpan w:val="9"/>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Cost of revenues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1,747 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1,617 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1,212 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32578558"/>
          <w:jc w:val="center"/>
        </w:trPr>
        <w:tc>
          <w:tcPr>
            <w:tcW w:w="0" w:type="auto"/>
            <w:gridSpan w:val="9"/>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Selling and marketing</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263 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243 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32578558"/>
          <w:jc w:val="center"/>
        </w:trPr>
        <w:tc>
          <w:tcPr>
            <w:tcW w:w="0" w:type="auto"/>
            <w:gridSpan w:val="9"/>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Research and development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32578558"/>
          <w:jc w:val="center"/>
        </w:trPr>
        <w:tc>
          <w:tcPr>
            <w:tcW w:w="0" w:type="auto"/>
            <w:gridSpan w:val="9"/>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General and administrative</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32578558"/>
          <w:jc w:val="center"/>
        </w:trPr>
        <w:tc>
          <w:tcPr>
            <w:tcW w:w="0" w:type="auto"/>
            <w:gridSpan w:val="9"/>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amortization of right-of-use assets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2,364 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32578558"/>
          <w:trHeight w:val="240"/>
          <w:jc w:val="center"/>
        </w:trPr>
        <w:tc>
          <w:tcPr>
            <w:tcW w:w="0" w:type="auto"/>
            <w:gridSpan w:val="9"/>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732578558"/>
          <w:jc w:val="center"/>
        </w:trPr>
        <w:tc>
          <w:tcPr>
            <w:tcW w:w="0" w:type="auto"/>
            <w:gridSpan w:val="9"/>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18"/>
                <w:szCs w:val="18"/>
              </w:rPr>
              <w:t>Operating lease cost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732578558"/>
          <w:jc w:val="center"/>
        </w:trPr>
        <w:tc>
          <w:tcPr>
            <w:tcW w:w="0" w:type="auto"/>
            <w:gridSpan w:val="9"/>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Cost of revenues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3,030 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3,126 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3,532 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32578558"/>
          <w:jc w:val="center"/>
        </w:trPr>
        <w:tc>
          <w:tcPr>
            <w:tcW w:w="0" w:type="auto"/>
            <w:gridSpan w:val="9"/>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Selling and marketing</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3,391 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3,461 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4,009 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32578558"/>
          <w:jc w:val="center"/>
        </w:trPr>
        <w:tc>
          <w:tcPr>
            <w:tcW w:w="0" w:type="auto"/>
            <w:gridSpan w:val="9"/>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Research and development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2,382 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2,367 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2,609 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32578558"/>
          <w:jc w:val="center"/>
        </w:trPr>
        <w:tc>
          <w:tcPr>
            <w:tcW w:w="0" w:type="auto"/>
            <w:gridSpan w:val="9"/>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1,318 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1,686 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2,078 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32578558"/>
          <w:jc w:val="center"/>
        </w:trPr>
        <w:tc>
          <w:tcPr>
            <w:tcW w:w="0" w:type="auto"/>
            <w:gridSpan w:val="9"/>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Total operating lease cost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10,121 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10,640 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12,228 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both"/>
        <w:divId w:val="1826848056"/>
        <w:rPr>
          <w:rFonts w:eastAsia="Times New Roman"/>
        </w:rPr>
      </w:pPr>
      <w:r>
        <w:rPr>
          <w:rFonts w:eastAsia="Times New Roman"/>
          <w:color w:val="000000"/>
          <w:sz w:val="20"/>
          <w:szCs w:val="20"/>
        </w:rPr>
        <w:t>Maturities of operating and finance lease liabilities as of December 31, 2022 were as fol</w:t>
      </w:r>
      <w:r>
        <w:rPr>
          <w:rFonts w:eastAsia="Times New Roman"/>
          <w:color w:val="000000"/>
          <w:sz w:val="20"/>
          <w:szCs w:val="20"/>
        </w:rPr>
        <w:t>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6018"/>
        <w:gridCol w:w="36"/>
        <w:gridCol w:w="111"/>
        <w:gridCol w:w="907"/>
        <w:gridCol w:w="36"/>
        <w:gridCol w:w="36"/>
        <w:gridCol w:w="36"/>
        <w:gridCol w:w="36"/>
        <w:gridCol w:w="110"/>
        <w:gridCol w:w="907"/>
        <w:gridCol w:w="36"/>
      </w:tblGrid>
      <w:tr w:rsidR="00000000">
        <w:trPr>
          <w:divId w:val="1816026073"/>
          <w:jc w:val="center"/>
        </w:trPr>
        <w:tc>
          <w:tcPr>
            <w:tcW w:w="50" w:type="pct"/>
            <w:vAlign w:val="center"/>
            <w:hideMark/>
          </w:tcPr>
          <w:p w:rsidR="00000000" w:rsidRDefault="00971A12">
            <w:pPr>
              <w:jc w:val="both"/>
              <w:rPr>
                <w:rFonts w:eastAsia="Times New Roman"/>
              </w:rPr>
            </w:pPr>
          </w:p>
        </w:tc>
        <w:tc>
          <w:tcPr>
            <w:tcW w:w="365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816026073"/>
          <w:jc w:val="center"/>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Operating Leases</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Finance Leases</w:t>
            </w:r>
          </w:p>
        </w:tc>
      </w:tr>
      <w:tr w:rsidR="00000000">
        <w:trPr>
          <w:divId w:val="1816026073"/>
          <w:jc w:val="center"/>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2023</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11,296 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16026073"/>
          <w:jc w:val="center"/>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2024</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10,291 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1,153 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16026073"/>
          <w:jc w:val="center"/>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2025</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9,745 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16026073"/>
          <w:jc w:val="center"/>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2026</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9,881 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16026073"/>
          <w:jc w:val="center"/>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2027</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5,709 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16026073"/>
          <w:jc w:val="center"/>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Thereafter</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16026073"/>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Total lease payments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47,002 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3,053 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16026073"/>
          <w:jc w:val="center"/>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Less: imputed interest</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(9,775)</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(201)</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16026073"/>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816026073"/>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Total lease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37,227 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2,852 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16026073"/>
          <w:jc w:val="center"/>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Less: current lease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(7,639)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16026073"/>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Total non-current lease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29,588 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both"/>
        <w:divId w:val="847645605"/>
        <w:rPr>
          <w:rFonts w:eastAsia="Times New Roman"/>
        </w:rPr>
      </w:pPr>
      <w:r>
        <w:rPr>
          <w:rFonts w:eastAsia="Times New Roman"/>
          <w:color w:val="000000"/>
          <w:sz w:val="20"/>
          <w:szCs w:val="20"/>
        </w:rPr>
        <w:t xml:space="preserve">As of December 31, 2022, the Company subleases six real estate properties. One </w:t>
      </w:r>
      <w:r>
        <w:rPr>
          <w:rFonts w:eastAsia="Times New Roman"/>
          <w:color w:val="000000"/>
          <w:sz w:val="20"/>
          <w:szCs w:val="20"/>
        </w:rPr>
        <w:t xml:space="preserve">sublease has a non-cancelable term of less than one year. The remaining five subleases are non-cancelable and have remaining lease terms of one year to five years. None of these subleases contain any </w:t>
      </w:r>
    </w:p>
    <w:p w:rsidR="00000000" w:rsidRDefault="00971A12">
      <w:pPr>
        <w:jc w:val="center"/>
        <w:divId w:val="1080639851"/>
        <w:rPr>
          <w:rFonts w:eastAsia="Times New Roman"/>
        </w:rPr>
      </w:pPr>
      <w:r>
        <w:rPr>
          <w:rFonts w:eastAsia="Times New Roman"/>
          <w:color w:val="000000"/>
          <w:sz w:val="20"/>
          <w:szCs w:val="20"/>
        </w:rPr>
        <w:t>73</w:t>
      </w:r>
    </w:p>
    <w:p w:rsidR="00000000" w:rsidRDefault="00971A12">
      <w:pPr>
        <w:rPr>
          <w:rFonts w:eastAsia="Times New Roman"/>
        </w:rPr>
      </w:pPr>
      <w:r>
        <w:rPr>
          <w:rFonts w:eastAsia="Times New Roman"/>
        </w:rPr>
        <w:pict>
          <v:rect id="_x0000_i1101" style="width:0;height:1.5pt" o:hralign="center" o:hrstd="t" o:hr="t" fillcolor="#a0a0a0" stroked="f"/>
        </w:pict>
      </w:r>
    </w:p>
    <w:p w:rsidR="00000000" w:rsidRDefault="00971A12">
      <w:pPr>
        <w:divId w:val="2093818108"/>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837761383"/>
        <w:rPr>
          <w:rFonts w:eastAsia="Times New Roman"/>
        </w:rPr>
      </w:pPr>
    </w:p>
    <w:p w:rsidR="00000000" w:rsidRDefault="00971A12">
      <w:pPr>
        <w:jc w:val="both"/>
        <w:divId w:val="673918044"/>
        <w:rPr>
          <w:rFonts w:eastAsia="Times New Roman"/>
        </w:rPr>
      </w:pPr>
      <w:r>
        <w:rPr>
          <w:rFonts w:eastAsia="Times New Roman"/>
          <w:color w:val="000000"/>
          <w:sz w:val="20"/>
          <w:szCs w:val="20"/>
        </w:rPr>
        <w:t>options to renew or terminate the sublease agreement. Future expected cash receipts from these subleases as of December 31, 2022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7138"/>
        <w:gridCol w:w="36"/>
        <w:gridCol w:w="111"/>
        <w:gridCol w:w="930"/>
        <w:gridCol w:w="36"/>
      </w:tblGrid>
      <w:tr w:rsidR="00000000">
        <w:trPr>
          <w:divId w:val="834609285"/>
          <w:jc w:val="center"/>
        </w:trPr>
        <w:tc>
          <w:tcPr>
            <w:tcW w:w="50" w:type="pct"/>
            <w:vAlign w:val="center"/>
            <w:hideMark/>
          </w:tcPr>
          <w:p w:rsidR="00000000" w:rsidRDefault="00971A12">
            <w:pPr>
              <w:jc w:val="both"/>
              <w:rPr>
                <w:rFonts w:eastAsia="Times New Roman"/>
              </w:rPr>
            </w:pPr>
          </w:p>
        </w:tc>
        <w:tc>
          <w:tcPr>
            <w:tcW w:w="431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834609285"/>
          <w:jc w:val="center"/>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center"/>
            <w:hideMark/>
          </w:tcPr>
          <w:p w:rsidR="00000000" w:rsidRDefault="00971A12">
            <w:pPr>
              <w:spacing w:after="100"/>
              <w:jc w:val="center"/>
              <w:rPr>
                <w:rFonts w:eastAsia="Times New Roman"/>
              </w:rPr>
            </w:pPr>
            <w:r>
              <w:rPr>
                <w:rFonts w:eastAsia="Times New Roman"/>
                <w:b/>
                <w:bCs/>
                <w:color w:val="000000"/>
                <w:sz w:val="16"/>
                <w:szCs w:val="16"/>
              </w:rPr>
              <w:t>Sublease Receipts</w:t>
            </w:r>
          </w:p>
        </w:tc>
      </w:tr>
      <w:tr w:rsidR="00000000">
        <w:trPr>
          <w:divId w:val="834609285"/>
          <w:jc w:val="center"/>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2023</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4609285"/>
          <w:jc w:val="center"/>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2024</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1,686 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4609285"/>
          <w:jc w:val="center"/>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2025</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1,566 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4609285"/>
          <w:jc w:val="center"/>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2026</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1,537 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4609285"/>
          <w:jc w:val="center"/>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2027</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825 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4609285"/>
          <w:jc w:val="center"/>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Thereafter</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4609285"/>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Total expected sublease receipts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7,405 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ind w:hanging="360"/>
        <w:divId w:val="695498011"/>
        <w:rPr>
          <w:rFonts w:eastAsia="Times New Roman"/>
        </w:rPr>
      </w:pPr>
      <w:r>
        <w:rPr>
          <w:rFonts w:eastAsia="Times New Roman"/>
          <w:b/>
          <w:bCs/>
          <w:color w:val="000000"/>
          <w:sz w:val="20"/>
          <w:szCs w:val="20"/>
        </w:rPr>
        <w:t>10.Goodwill and Intangible Assets</w:t>
      </w:r>
    </w:p>
    <w:p w:rsidR="00000000" w:rsidRDefault="00971A12">
      <w:pPr>
        <w:jc w:val="both"/>
        <w:divId w:val="614021383"/>
        <w:rPr>
          <w:rFonts w:eastAsia="Times New Roman"/>
        </w:rPr>
      </w:pPr>
      <w:r>
        <w:rPr>
          <w:rFonts w:eastAsia="Times New Roman"/>
          <w:color w:val="000000"/>
          <w:sz w:val="20"/>
          <w:szCs w:val="20"/>
        </w:rPr>
        <w:t>In 2022, the Company concluded that it was more likely than not that the estimated fair value of its reporting unit was less than its carrying value. In its assessment, the Company considered the decline in the Company's stock price and market capitalizati</w:t>
      </w:r>
      <w:r>
        <w:rPr>
          <w:rFonts w:eastAsia="Times New Roman"/>
          <w:color w:val="000000"/>
          <w:sz w:val="20"/>
          <w:szCs w:val="20"/>
        </w:rPr>
        <w:t>on, among other factors. Accordingly, in conjunction with its annual test as of October 1, 2022, the Company performed a quantitative goodwill impairment test as of September 30, 2022, relying in part on the work of an independent valuation firm engaged by</w:t>
      </w:r>
      <w:r>
        <w:rPr>
          <w:rFonts w:eastAsia="Times New Roman"/>
          <w:color w:val="000000"/>
          <w:sz w:val="20"/>
          <w:szCs w:val="20"/>
        </w:rPr>
        <w:t xml:space="preserve"> the Company to provide inputs as to the fair value of the reporting unit and to assist in the related calculations and analysis.</w:t>
      </w:r>
    </w:p>
    <w:p w:rsidR="00000000" w:rsidRDefault="00971A12">
      <w:pPr>
        <w:jc w:val="both"/>
        <w:divId w:val="1821387279"/>
        <w:rPr>
          <w:rFonts w:eastAsia="Times New Roman"/>
        </w:rPr>
      </w:pPr>
      <w:r>
        <w:rPr>
          <w:rFonts w:eastAsia="Times New Roman"/>
          <w:color w:val="000000"/>
          <w:sz w:val="20"/>
          <w:szCs w:val="20"/>
        </w:rPr>
        <w:t xml:space="preserve">The fair value of the reporting unit was determined using a discounted cash flow model, supported by a market value approach. </w:t>
      </w:r>
      <w:r>
        <w:rPr>
          <w:rFonts w:eastAsia="Times New Roman"/>
          <w:color w:val="000000"/>
          <w:sz w:val="20"/>
          <w:szCs w:val="20"/>
        </w:rPr>
        <w:t xml:space="preserve">The Company's reporting unit failed the goodwill impairment test and as a result, the Company recorded a $46.3 million impairment charge. </w:t>
      </w:r>
    </w:p>
    <w:p w:rsidR="00000000" w:rsidRDefault="00971A12">
      <w:pPr>
        <w:divId w:val="187454783"/>
        <w:rPr>
          <w:rFonts w:eastAsia="Times New Roman"/>
        </w:rPr>
      </w:pPr>
      <w:r>
        <w:rPr>
          <w:rFonts w:eastAsia="Times New Roman"/>
          <w:color w:val="000000"/>
          <w:sz w:val="20"/>
          <w:szCs w:val="20"/>
        </w:rPr>
        <w:t>The change in the carrying value of goodwill is as follows:</w:t>
      </w:r>
    </w:p>
    <w:tbl>
      <w:tblPr>
        <w:tblW w:w="5000" w:type="pct"/>
        <w:tblCellMar>
          <w:top w:w="15" w:type="dxa"/>
          <w:left w:w="15" w:type="dxa"/>
          <w:bottom w:w="15" w:type="dxa"/>
          <w:right w:w="15" w:type="dxa"/>
        </w:tblCellMar>
        <w:tblLook w:val="04A0" w:firstRow="1" w:lastRow="0" w:firstColumn="1" w:lastColumn="0" w:noHBand="0" w:noVBand="1"/>
      </w:tblPr>
      <w:tblGrid>
        <w:gridCol w:w="55"/>
        <w:gridCol w:w="7138"/>
        <w:gridCol w:w="38"/>
        <w:gridCol w:w="110"/>
        <w:gridCol w:w="929"/>
        <w:gridCol w:w="36"/>
      </w:tblGrid>
      <w:tr w:rsidR="00000000">
        <w:trPr>
          <w:divId w:val="1152991070"/>
        </w:trPr>
        <w:tc>
          <w:tcPr>
            <w:tcW w:w="50" w:type="pct"/>
            <w:vAlign w:val="center"/>
            <w:hideMark/>
          </w:tcPr>
          <w:p w:rsidR="00000000" w:rsidRDefault="00971A12">
            <w:pPr>
              <w:rPr>
                <w:rFonts w:eastAsia="Times New Roman"/>
              </w:rPr>
            </w:pPr>
          </w:p>
        </w:tc>
        <w:tc>
          <w:tcPr>
            <w:tcW w:w="431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152991070"/>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r>
      <w:tr w:rsidR="00000000">
        <w:trPr>
          <w:divId w:val="1152991070"/>
        </w:trPr>
        <w:tc>
          <w:tcPr>
            <w:tcW w:w="0" w:type="auto"/>
            <w:gridSpan w:val="3"/>
            <w:vAlign w:val="center"/>
            <w:hideMark/>
          </w:tcPr>
          <w:p w:rsidR="00000000" w:rsidRDefault="00971A12">
            <w:pPr>
              <w:spacing w:after="100"/>
              <w:jc w:val="center"/>
              <w:rPr>
                <w:rFonts w:eastAsia="Times New Roman"/>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152991070"/>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152991070"/>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152991070"/>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Balance as of December 31, 2020</w:t>
            </w: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418,327 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152991070"/>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Goodwill recognized from acquisition</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19,202 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152991070"/>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Translation adjustments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(1,818)</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152991070"/>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Balance as of December 31, 2021</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435,711 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152991070"/>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Translation adjustments</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(1,438)</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152991070"/>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Impairment charge</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(46,300)</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152991070"/>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Balance as of December 31, 2022</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387,973 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divId w:val="32000391"/>
        <w:rPr>
          <w:rFonts w:eastAsia="Times New Roman"/>
        </w:rPr>
      </w:pPr>
      <w:r>
        <w:rPr>
          <w:rFonts w:eastAsia="Times New Roman"/>
          <w:color w:val="000000"/>
          <w:sz w:val="20"/>
          <w:szCs w:val="20"/>
        </w:rPr>
        <w:t>The carrying values of the Company's definite-lived intangible assets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1994"/>
        <w:gridCol w:w="36"/>
        <w:gridCol w:w="36"/>
        <w:gridCol w:w="36"/>
        <w:gridCol w:w="36"/>
        <w:gridCol w:w="110"/>
        <w:gridCol w:w="630"/>
        <w:gridCol w:w="36"/>
        <w:gridCol w:w="36"/>
        <w:gridCol w:w="36"/>
        <w:gridCol w:w="36"/>
        <w:gridCol w:w="111"/>
        <w:gridCol w:w="839"/>
        <w:gridCol w:w="36"/>
        <w:gridCol w:w="36"/>
        <w:gridCol w:w="36"/>
        <w:gridCol w:w="36"/>
        <w:gridCol w:w="36"/>
        <w:gridCol w:w="46"/>
        <w:gridCol w:w="110"/>
        <w:gridCol w:w="540"/>
        <w:gridCol w:w="36"/>
        <w:gridCol w:w="36"/>
        <w:gridCol w:w="36"/>
        <w:gridCol w:w="36"/>
        <w:gridCol w:w="110"/>
        <w:gridCol w:w="630"/>
        <w:gridCol w:w="36"/>
        <w:gridCol w:w="36"/>
        <w:gridCol w:w="36"/>
        <w:gridCol w:w="36"/>
        <w:gridCol w:w="111"/>
        <w:gridCol w:w="839"/>
        <w:gridCol w:w="36"/>
        <w:gridCol w:w="36"/>
        <w:gridCol w:w="36"/>
        <w:gridCol w:w="36"/>
        <w:gridCol w:w="110"/>
        <w:gridCol w:w="540"/>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163325562"/>
        </w:trPr>
        <w:tc>
          <w:tcPr>
            <w:tcW w:w="50" w:type="pct"/>
            <w:vAlign w:val="center"/>
            <w:hideMark/>
          </w:tcPr>
          <w:p w:rsidR="00000000" w:rsidRDefault="00971A12">
            <w:pPr>
              <w:rPr>
                <w:rFonts w:eastAsia="Times New Roman"/>
              </w:rPr>
            </w:pPr>
          </w:p>
        </w:tc>
        <w:tc>
          <w:tcPr>
            <w:tcW w:w="209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3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3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3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3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3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3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2"/>
            <w:vAlign w:val="center"/>
            <w:hideMark/>
          </w:tcPr>
          <w:p w:rsidR="00000000" w:rsidRDefault="00971A12">
            <w:pPr>
              <w:spacing w:after="100"/>
              <w:rPr>
                <w:rFonts w:eastAsia="Times New Roman"/>
                <w:sz w:val="20"/>
                <w:szCs w:val="20"/>
              </w:rPr>
            </w:pPr>
          </w:p>
        </w:tc>
      </w:tr>
      <w:tr w:rsidR="00000000">
        <w:trPr>
          <w:divId w:val="163325562"/>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13"/>
            <w:tcBorders>
              <w:bottom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As of</w:t>
            </w:r>
          </w:p>
        </w:tc>
        <w:tc>
          <w:tcPr>
            <w:tcW w:w="0" w:type="auto"/>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As of</w:t>
            </w:r>
          </w:p>
        </w:tc>
        <w:tc>
          <w:tcPr>
            <w:tcW w:w="0" w:type="auto"/>
            <w:gridSpan w:val="3"/>
            <w:vAlign w:val="center"/>
            <w:hideMark/>
          </w:tcPr>
          <w:p w:rsidR="00000000" w:rsidRDefault="00971A12">
            <w:pPr>
              <w:spacing w:after="100"/>
              <w:jc w:val="center"/>
              <w:rPr>
                <w:rFonts w:eastAsia="Times New Roman"/>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63325562"/>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1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December 31, 2022</w:t>
            </w:r>
          </w:p>
        </w:tc>
        <w:tc>
          <w:tcPr>
            <w:tcW w:w="0" w:type="auto"/>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December 31, 2021</w:t>
            </w:r>
          </w:p>
        </w:tc>
        <w:tc>
          <w:tcPr>
            <w:tcW w:w="0" w:type="auto"/>
            <w:gridSpan w:val="3"/>
            <w:vAlign w:val="center"/>
            <w:hideMark/>
          </w:tcPr>
          <w:p w:rsidR="00000000" w:rsidRDefault="00971A12">
            <w:pPr>
              <w:spacing w:after="100"/>
              <w:jc w:val="center"/>
              <w:rPr>
                <w:rFonts w:eastAsia="Times New Roman"/>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63325562"/>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Net</w:t>
            </w:r>
            <w:r>
              <w:rPr>
                <w:rFonts w:eastAsia="Times New Roman"/>
                <w:b/>
                <w:bCs/>
                <w:color w:val="000000"/>
                <w:sz w:val="16"/>
                <w:szCs w:val="16"/>
              </w:rPr>
              <w:br/>
              <w:t>Carrying</w:t>
            </w:r>
            <w:r>
              <w:rPr>
                <w:rFonts w:eastAsia="Times New Roman"/>
                <w:b/>
                <w:bCs/>
                <w:color w:val="000000"/>
                <w:sz w:val="16"/>
                <w:szCs w:val="16"/>
              </w:rPr>
              <w:br/>
              <w:t>Amount</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Carrying</w:t>
            </w:r>
            <w:r>
              <w:rPr>
                <w:rFonts w:eastAsia="Times New Roman"/>
                <w:b/>
                <w:bCs/>
                <w:color w:val="000000"/>
                <w:sz w:val="16"/>
                <w:szCs w:val="16"/>
              </w:rPr>
              <w:br/>
            </w: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Net</w:t>
            </w:r>
            <w:r>
              <w:rPr>
                <w:rFonts w:eastAsia="Times New Roman"/>
                <w:b/>
                <w:bCs/>
                <w:color w:val="000000"/>
                <w:sz w:val="16"/>
                <w:szCs w:val="16"/>
              </w:rPr>
              <w:br/>
              <w:t>Carrying</w:t>
            </w:r>
            <w:r>
              <w:rPr>
                <w:rFonts w:eastAsia="Times New Roman"/>
                <w:b/>
                <w:bCs/>
                <w:color w:val="000000"/>
                <w:sz w:val="16"/>
                <w:szCs w:val="16"/>
              </w:rPr>
              <w:br/>
              <w:t>Amount</w:t>
            </w:r>
          </w:p>
        </w:tc>
        <w:tc>
          <w:tcPr>
            <w:tcW w:w="0" w:type="auto"/>
            <w:gridSpan w:val="3"/>
            <w:vAlign w:val="center"/>
            <w:hideMark/>
          </w:tcPr>
          <w:p w:rsidR="00000000" w:rsidRDefault="00971A12">
            <w:pPr>
              <w:spacing w:after="100"/>
              <w:jc w:val="center"/>
              <w:rPr>
                <w:rFonts w:eastAsia="Times New Roman"/>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2"/>
            <w:vAlign w:val="center"/>
            <w:hideMark/>
          </w:tcPr>
          <w:p w:rsidR="00000000" w:rsidRDefault="00971A12">
            <w:pPr>
              <w:spacing w:after="100"/>
              <w:rPr>
                <w:rFonts w:eastAsia="Times New Roman"/>
                <w:sz w:val="20"/>
                <w:szCs w:val="20"/>
              </w:rPr>
            </w:pPr>
          </w:p>
        </w:tc>
      </w:tr>
      <w:tr w:rsidR="00971A12">
        <w:trPr>
          <w:divId w:val="163325562"/>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Acquired methodologies and technology</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154,388 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(147,887)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6,501 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154,436 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(126,743)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27,693 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2"/>
            <w:vAlign w:val="center"/>
            <w:hideMark/>
          </w:tcPr>
          <w:p w:rsidR="00000000" w:rsidRDefault="00971A12">
            <w:pPr>
              <w:spacing w:after="100"/>
              <w:rPr>
                <w:rFonts w:eastAsia="Times New Roman"/>
                <w:sz w:val="20"/>
                <w:szCs w:val="20"/>
              </w:rPr>
            </w:pPr>
          </w:p>
        </w:tc>
      </w:tr>
      <w:tr w:rsidR="00000000">
        <w:trPr>
          <w:divId w:val="163325562"/>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Customer relationships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46,557 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(40,932)</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5,625 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46,680 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(35,586)</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11,094 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2"/>
            <w:vAlign w:val="center"/>
            <w:hideMark/>
          </w:tcPr>
          <w:p w:rsidR="00000000" w:rsidRDefault="00971A12">
            <w:pPr>
              <w:spacing w:after="100"/>
              <w:rPr>
                <w:rFonts w:eastAsia="Times New Roman"/>
                <w:sz w:val="20"/>
                <w:szCs w:val="20"/>
              </w:rPr>
            </w:pPr>
          </w:p>
        </w:tc>
      </w:tr>
      <w:tr w:rsidR="00000000">
        <w:trPr>
          <w:divId w:val="163325562"/>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Intellectual property</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14,356 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(13,633)</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723 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14,377 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(13,219)</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1,158 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2"/>
            <w:vAlign w:val="center"/>
            <w:hideMark/>
          </w:tcPr>
          <w:p w:rsidR="00000000" w:rsidRDefault="00971A12">
            <w:pPr>
              <w:spacing w:after="100"/>
              <w:rPr>
                <w:rFonts w:eastAsia="Times New Roman"/>
                <w:sz w:val="20"/>
                <w:szCs w:val="20"/>
              </w:rPr>
            </w:pPr>
          </w:p>
        </w:tc>
      </w:tr>
      <w:tr w:rsidR="00000000">
        <w:trPr>
          <w:divId w:val="163325562"/>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Acquired software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9,765 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(9,287)</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478 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9,287 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(9,287)</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2"/>
            <w:vAlign w:val="center"/>
            <w:hideMark/>
          </w:tcPr>
          <w:p w:rsidR="00000000" w:rsidRDefault="00971A12">
            <w:pPr>
              <w:spacing w:after="100"/>
              <w:rPr>
                <w:rFonts w:eastAsia="Times New Roman"/>
                <w:sz w:val="20"/>
                <w:szCs w:val="20"/>
              </w:rPr>
            </w:pPr>
          </w:p>
        </w:tc>
      </w:tr>
      <w:tr w:rsidR="00000000">
        <w:trPr>
          <w:divId w:val="163325562"/>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Panel</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3,084 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(3,084)</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3,134 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(3,134)</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2"/>
            <w:vAlign w:val="center"/>
            <w:hideMark/>
          </w:tcPr>
          <w:p w:rsidR="00000000" w:rsidRDefault="00971A12">
            <w:pPr>
              <w:spacing w:after="100"/>
              <w:rPr>
                <w:rFonts w:eastAsia="Times New Roman"/>
                <w:sz w:val="20"/>
                <w:szCs w:val="20"/>
              </w:rPr>
            </w:pPr>
          </w:p>
        </w:tc>
      </w:tr>
      <w:tr w:rsidR="00000000">
        <w:trPr>
          <w:divId w:val="163325562"/>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Trade names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753 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(753)</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753 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(753)</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2"/>
            <w:vAlign w:val="center"/>
            <w:hideMark/>
          </w:tcPr>
          <w:p w:rsidR="00000000" w:rsidRDefault="00971A12">
            <w:pPr>
              <w:spacing w:after="100"/>
              <w:rPr>
                <w:rFonts w:eastAsia="Times New Roman"/>
                <w:sz w:val="20"/>
                <w:szCs w:val="20"/>
              </w:rPr>
            </w:pPr>
          </w:p>
        </w:tc>
      </w:tr>
      <w:tr w:rsidR="00000000">
        <w:trPr>
          <w:divId w:val="163325562"/>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2"/>
            <w:vAlign w:val="center"/>
            <w:hideMark/>
          </w:tcPr>
          <w:p w:rsidR="00000000" w:rsidRDefault="00971A12">
            <w:pPr>
              <w:spacing w:after="100"/>
              <w:rPr>
                <w:rFonts w:eastAsia="Times New Roman"/>
                <w:sz w:val="20"/>
                <w:szCs w:val="20"/>
              </w:rPr>
            </w:pPr>
          </w:p>
        </w:tc>
      </w:tr>
      <w:tr w:rsidR="00000000">
        <w:trPr>
          <w:divId w:val="163325562"/>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600 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(600)</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600 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(600)</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2"/>
            <w:vAlign w:val="center"/>
            <w:hideMark/>
          </w:tcPr>
          <w:p w:rsidR="00000000" w:rsidRDefault="00971A12">
            <w:pPr>
              <w:spacing w:after="100"/>
              <w:rPr>
                <w:rFonts w:eastAsia="Times New Roman"/>
                <w:sz w:val="20"/>
                <w:szCs w:val="20"/>
              </w:rPr>
            </w:pPr>
          </w:p>
        </w:tc>
      </w:tr>
      <w:tr w:rsidR="00971A12">
        <w:trPr>
          <w:divId w:val="163325562"/>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Total intangible assets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229,503 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w:t>
            </w:r>
            <w:r>
              <w:rPr>
                <w:rFonts w:eastAsia="Times New Roman"/>
                <w:color w:val="000000"/>
                <w:sz w:val="18"/>
                <w:szCs w:val="18"/>
              </w:rPr>
              <w:t>216,176)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13,327 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229,267 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(189,322)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39,945 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2"/>
            <w:vAlign w:val="center"/>
            <w:hideMark/>
          </w:tcPr>
          <w:p w:rsidR="00000000" w:rsidRDefault="00971A12">
            <w:pPr>
              <w:spacing w:after="100"/>
              <w:rPr>
                <w:rFonts w:eastAsia="Times New Roman"/>
                <w:sz w:val="20"/>
                <w:szCs w:val="20"/>
              </w:rPr>
            </w:pPr>
          </w:p>
        </w:tc>
      </w:tr>
    </w:tbl>
    <w:p w:rsidR="00000000" w:rsidRDefault="00971A12">
      <w:pPr>
        <w:jc w:val="both"/>
        <w:divId w:val="798302044"/>
        <w:rPr>
          <w:rFonts w:eastAsia="Times New Roman"/>
        </w:rPr>
      </w:pPr>
      <w:r>
        <w:rPr>
          <w:rFonts w:eastAsia="Times New Roman"/>
          <w:color w:val="000000"/>
          <w:sz w:val="20"/>
          <w:szCs w:val="20"/>
        </w:rPr>
        <w:t>Amortization expense related to intangible assets was $27.1 million, $25.0 million, and $27.2 million for the years ended Decem</w:t>
      </w:r>
      <w:r>
        <w:rPr>
          <w:rFonts w:eastAsia="Times New Roman"/>
          <w:color w:val="000000"/>
          <w:sz w:val="20"/>
          <w:szCs w:val="20"/>
        </w:rPr>
        <w:t>ber 31, 2022, 2021, and 2020, respectively.</w:t>
      </w:r>
    </w:p>
    <w:p w:rsidR="00000000" w:rsidRDefault="00971A12">
      <w:pPr>
        <w:jc w:val="both"/>
        <w:divId w:val="456877830"/>
        <w:rPr>
          <w:rFonts w:eastAsia="Times New Roman"/>
        </w:rPr>
      </w:pPr>
      <w:r>
        <w:rPr>
          <w:rFonts w:eastAsia="Times New Roman"/>
          <w:color w:val="000000"/>
          <w:sz w:val="20"/>
          <w:szCs w:val="20"/>
        </w:rPr>
        <w:t xml:space="preserve">Of the Company's definite-lived intangible assets, net, substantially all were generated by or located in the United States as of December 31, 2022 and 2021. </w:t>
      </w:r>
    </w:p>
    <w:p w:rsidR="00000000" w:rsidRDefault="00971A12">
      <w:pPr>
        <w:divId w:val="1698844947"/>
        <w:rPr>
          <w:rFonts w:eastAsia="Times New Roman"/>
        </w:rPr>
      </w:pPr>
      <w:r>
        <w:rPr>
          <w:rFonts w:eastAsia="Times New Roman"/>
          <w:color w:val="000000"/>
          <w:sz w:val="20"/>
          <w:szCs w:val="20"/>
        </w:rPr>
        <w:t>The weighted-average remaining amortization period by</w:t>
      </w:r>
      <w:r>
        <w:rPr>
          <w:rFonts w:eastAsia="Times New Roman"/>
          <w:color w:val="000000"/>
          <w:sz w:val="20"/>
          <w:szCs w:val="20"/>
        </w:rPr>
        <w:t xml:space="preserve"> major asset class as of December 31, 2022 is as follows:</w:t>
      </w:r>
    </w:p>
    <w:tbl>
      <w:tblPr>
        <w:tblW w:w="5000" w:type="pct"/>
        <w:tblCellMar>
          <w:top w:w="15" w:type="dxa"/>
          <w:left w:w="15" w:type="dxa"/>
          <w:bottom w:w="15" w:type="dxa"/>
          <w:right w:w="15" w:type="dxa"/>
        </w:tblCellMar>
        <w:tblLook w:val="04A0" w:firstRow="1" w:lastRow="0" w:firstColumn="1" w:lastColumn="0" w:noHBand="0" w:noVBand="1"/>
      </w:tblPr>
      <w:tblGrid>
        <w:gridCol w:w="69"/>
        <w:gridCol w:w="7152"/>
        <w:gridCol w:w="36"/>
        <w:gridCol w:w="69"/>
        <w:gridCol w:w="944"/>
        <w:gridCol w:w="36"/>
      </w:tblGrid>
      <w:tr w:rsidR="00000000">
        <w:trPr>
          <w:divId w:val="1391802962"/>
        </w:trPr>
        <w:tc>
          <w:tcPr>
            <w:tcW w:w="50" w:type="pct"/>
            <w:vAlign w:val="center"/>
            <w:hideMark/>
          </w:tcPr>
          <w:p w:rsidR="00000000" w:rsidRDefault="00971A12">
            <w:pPr>
              <w:rPr>
                <w:rFonts w:eastAsia="Times New Roman"/>
              </w:rPr>
            </w:pPr>
          </w:p>
        </w:tc>
        <w:tc>
          <w:tcPr>
            <w:tcW w:w="431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391802962"/>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i/>
                <w:iCs/>
                <w:color w:val="000000"/>
                <w:sz w:val="16"/>
                <w:szCs w:val="16"/>
              </w:rPr>
              <w:t>(In years)</w:t>
            </w:r>
          </w:p>
        </w:tc>
      </w:tr>
      <w:tr w:rsidR="00000000">
        <w:trPr>
          <w:divId w:val="1391802962"/>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Acquired methodologies and technology</w:t>
            </w: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3.0</w:t>
            </w:r>
          </w:p>
        </w:tc>
      </w:tr>
      <w:tr w:rsidR="00000000">
        <w:trPr>
          <w:divId w:val="1391802962"/>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Acquired software</w:t>
            </w:r>
          </w:p>
        </w:tc>
        <w:tc>
          <w:tcPr>
            <w:tcW w:w="0" w:type="auto"/>
            <w:gridSpan w:val="3"/>
            <w:shd w:val="clear" w:color="auto" w:fill="FFFF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2.0</w:t>
            </w:r>
          </w:p>
        </w:tc>
      </w:tr>
      <w:tr w:rsidR="00000000">
        <w:trPr>
          <w:divId w:val="1391802962"/>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Customer relationships</w:t>
            </w:r>
          </w:p>
        </w:tc>
        <w:tc>
          <w:tcPr>
            <w:tcW w:w="0" w:type="auto"/>
            <w:gridSpan w:val="3"/>
            <w:shd w:val="clear" w:color="auto" w:fill="CCEE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3.8</w:t>
            </w:r>
          </w:p>
        </w:tc>
      </w:tr>
      <w:tr w:rsidR="00000000">
        <w:trPr>
          <w:divId w:val="1391802962"/>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Intellectual property</w:t>
            </w:r>
          </w:p>
        </w:tc>
        <w:tc>
          <w:tcPr>
            <w:tcW w:w="0" w:type="auto"/>
            <w:gridSpan w:val="3"/>
            <w:shd w:val="clear" w:color="auto" w:fill="FFFFFF"/>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18"/>
                <w:szCs w:val="18"/>
              </w:rPr>
              <w:t>1.7</w:t>
            </w:r>
          </w:p>
        </w:tc>
      </w:tr>
      <w:tr w:rsidR="00000000">
        <w:trPr>
          <w:divId w:val="1391802962"/>
        </w:trPr>
        <w:tc>
          <w:tcPr>
            <w:tcW w:w="0" w:type="auto"/>
            <w:gridSpan w:val="3"/>
            <w:vAlign w:val="center"/>
            <w:hideMark/>
          </w:tcPr>
          <w:p w:rsidR="00000000" w:rsidRDefault="00971A12">
            <w:pPr>
              <w:spacing w:after="100"/>
              <w:jc w:val="center"/>
              <w:rPr>
                <w:rFonts w:eastAsia="Times New Roman"/>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391802962"/>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391802962"/>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391802962"/>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391802962"/>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391802962"/>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bl>
    <w:p w:rsidR="00000000" w:rsidRDefault="00971A12">
      <w:pPr>
        <w:jc w:val="center"/>
        <w:divId w:val="2093041248"/>
        <w:rPr>
          <w:rFonts w:eastAsia="Times New Roman"/>
        </w:rPr>
      </w:pPr>
      <w:r>
        <w:rPr>
          <w:rFonts w:eastAsia="Times New Roman"/>
          <w:color w:val="000000"/>
          <w:sz w:val="20"/>
          <w:szCs w:val="20"/>
        </w:rPr>
        <w:t>74</w:t>
      </w:r>
    </w:p>
    <w:p w:rsidR="00000000" w:rsidRDefault="00971A12">
      <w:pPr>
        <w:rPr>
          <w:rFonts w:eastAsia="Times New Roman"/>
        </w:rPr>
      </w:pPr>
      <w:r>
        <w:rPr>
          <w:rFonts w:eastAsia="Times New Roman"/>
        </w:rPr>
        <w:pict>
          <v:rect id="_x0000_i1102" style="width:0;height:1.5pt" o:hralign="center" o:hrstd="t" o:hr="t" fillcolor="#a0a0a0" stroked="f"/>
        </w:pict>
      </w:r>
    </w:p>
    <w:p w:rsidR="00000000" w:rsidRDefault="00971A12">
      <w:pPr>
        <w:divId w:val="747653538"/>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502116791"/>
        <w:rPr>
          <w:rFonts w:eastAsia="Times New Roman"/>
        </w:rPr>
      </w:pPr>
    </w:p>
    <w:p w:rsidR="00000000" w:rsidRDefault="00971A12">
      <w:pPr>
        <w:divId w:val="1830632970"/>
        <w:rPr>
          <w:rFonts w:eastAsia="Times New Roman"/>
        </w:rPr>
      </w:pPr>
      <w:r>
        <w:rPr>
          <w:rFonts w:eastAsia="Times New Roman"/>
          <w:color w:val="000000"/>
          <w:sz w:val="20"/>
          <w:szCs w:val="20"/>
        </w:rPr>
        <w:t>The estimated future amortization of intangible assets is as follows:</w:t>
      </w:r>
    </w:p>
    <w:tbl>
      <w:tblPr>
        <w:tblW w:w="5000" w:type="pct"/>
        <w:tblCellMar>
          <w:top w:w="15" w:type="dxa"/>
          <w:left w:w="15" w:type="dxa"/>
          <w:bottom w:w="15" w:type="dxa"/>
          <w:right w:w="15" w:type="dxa"/>
        </w:tblCellMar>
        <w:tblLook w:val="04A0" w:firstRow="1" w:lastRow="0" w:firstColumn="1" w:lastColumn="0" w:noHBand="0" w:noVBand="1"/>
      </w:tblPr>
      <w:tblGrid>
        <w:gridCol w:w="55"/>
        <w:gridCol w:w="7138"/>
        <w:gridCol w:w="36"/>
        <w:gridCol w:w="111"/>
        <w:gridCol w:w="930"/>
        <w:gridCol w:w="36"/>
      </w:tblGrid>
      <w:tr w:rsidR="00000000">
        <w:trPr>
          <w:divId w:val="1747530302"/>
        </w:trPr>
        <w:tc>
          <w:tcPr>
            <w:tcW w:w="50" w:type="pct"/>
            <w:vAlign w:val="center"/>
            <w:hideMark/>
          </w:tcPr>
          <w:p w:rsidR="00000000" w:rsidRDefault="00971A12">
            <w:pPr>
              <w:rPr>
                <w:rFonts w:eastAsia="Times New Roman"/>
              </w:rPr>
            </w:pPr>
          </w:p>
        </w:tc>
        <w:tc>
          <w:tcPr>
            <w:tcW w:w="431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747530302"/>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i/>
                <w:iCs/>
                <w:color w:val="000000"/>
                <w:sz w:val="16"/>
                <w:szCs w:val="16"/>
              </w:rPr>
              <w:t>(In thousands)</w:t>
            </w:r>
          </w:p>
        </w:tc>
      </w:tr>
      <w:tr w:rsidR="00000000">
        <w:trPr>
          <w:divId w:val="1747530302"/>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2023</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5,213 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47530302"/>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2024</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3,057 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47530302"/>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2025</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2,529 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47530302"/>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2026</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2,528 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47530302"/>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747530302"/>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Thereafter</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47530302"/>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747530302"/>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13,327 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ind w:hanging="360"/>
        <w:jc w:val="both"/>
        <w:divId w:val="46150220"/>
        <w:rPr>
          <w:rFonts w:eastAsia="Times New Roman"/>
        </w:rPr>
      </w:pPr>
      <w:r>
        <w:rPr>
          <w:rFonts w:eastAsia="Times New Roman"/>
          <w:b/>
          <w:bCs/>
          <w:color w:val="000000"/>
          <w:sz w:val="20"/>
          <w:szCs w:val="20"/>
        </w:rPr>
        <w:t>11.Accrued Expenses</w:t>
      </w:r>
    </w:p>
    <w:tbl>
      <w:tblPr>
        <w:tblW w:w="5000" w:type="pct"/>
        <w:tblCellMar>
          <w:top w:w="15" w:type="dxa"/>
          <w:left w:w="15" w:type="dxa"/>
          <w:bottom w:w="15" w:type="dxa"/>
          <w:right w:w="15" w:type="dxa"/>
        </w:tblCellMar>
        <w:tblLook w:val="04A0" w:firstRow="1" w:lastRow="0" w:firstColumn="1" w:lastColumn="0" w:noHBand="0" w:noVBand="1"/>
      </w:tblPr>
      <w:tblGrid>
        <w:gridCol w:w="40"/>
        <w:gridCol w:w="5939"/>
        <w:gridCol w:w="39"/>
        <w:gridCol w:w="36"/>
        <w:gridCol w:w="36"/>
        <w:gridCol w:w="36"/>
        <w:gridCol w:w="110"/>
        <w:gridCol w:w="890"/>
        <w:gridCol w:w="36"/>
        <w:gridCol w:w="36"/>
        <w:gridCol w:w="36"/>
        <w:gridCol w:w="36"/>
        <w:gridCol w:w="110"/>
        <w:gridCol w:w="890"/>
        <w:gridCol w:w="36"/>
      </w:tblGrid>
      <w:tr w:rsidR="00000000">
        <w:trPr>
          <w:divId w:val="1723019859"/>
        </w:trPr>
        <w:tc>
          <w:tcPr>
            <w:tcW w:w="50" w:type="pct"/>
            <w:vAlign w:val="center"/>
            <w:hideMark/>
          </w:tcPr>
          <w:p w:rsidR="00000000" w:rsidRDefault="00971A12">
            <w:pPr>
              <w:ind w:hanging="360"/>
              <w:jc w:val="both"/>
              <w:rPr>
                <w:rFonts w:eastAsia="Times New Roman"/>
              </w:rPr>
            </w:pPr>
          </w:p>
        </w:tc>
        <w:tc>
          <w:tcPr>
            <w:tcW w:w="362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723019859"/>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As of December 31,</w:t>
            </w:r>
          </w:p>
        </w:tc>
      </w:tr>
      <w:tr w:rsidR="00000000">
        <w:trPr>
          <w:divId w:val="1723019859"/>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 (In thousands)</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r>
      <w:tr w:rsidR="00000000">
        <w:trPr>
          <w:divId w:val="1723019859"/>
        </w:trPr>
        <w:tc>
          <w:tcPr>
            <w:tcW w:w="0" w:type="auto"/>
            <w:gridSpan w:val="3"/>
            <w:vAlign w:val="center"/>
            <w:hideMark/>
          </w:tcPr>
          <w:p w:rsidR="00000000" w:rsidRDefault="00971A12">
            <w:pPr>
              <w:spacing w:after="100"/>
              <w:jc w:val="center"/>
              <w:rPr>
                <w:rFonts w:eastAsia="Times New Roman"/>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723019859"/>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Accrued data costs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18,515 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23019859"/>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Payroll and payroll-related</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15,118 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16,272 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23019859"/>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723019859"/>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723019859"/>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723019859"/>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Professional fees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2,410 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2,978 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23019859"/>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Restructuring accrual</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1,288 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23019859"/>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723019859"/>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723019859"/>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6,062 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7,898 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723019859"/>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723019859"/>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Total accrued expenses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43,393 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45,264 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ind w:hanging="360"/>
        <w:divId w:val="968558183"/>
        <w:rPr>
          <w:rFonts w:eastAsia="Times New Roman"/>
        </w:rPr>
      </w:pPr>
      <w:r>
        <w:rPr>
          <w:rFonts w:eastAsia="Times New Roman"/>
          <w:b/>
          <w:bCs/>
          <w:color w:val="000000"/>
          <w:sz w:val="20"/>
          <w:szCs w:val="20"/>
        </w:rPr>
        <w:t>12.Com</w:t>
      </w:r>
      <w:r>
        <w:rPr>
          <w:rFonts w:eastAsia="Times New Roman"/>
          <w:b/>
          <w:bCs/>
          <w:color w:val="000000"/>
          <w:sz w:val="20"/>
          <w:szCs w:val="20"/>
        </w:rPr>
        <w:t>mitments and Contingencies</w:t>
      </w:r>
    </w:p>
    <w:p w:rsidR="00000000" w:rsidRDefault="00971A12">
      <w:pPr>
        <w:jc w:val="both"/>
        <w:divId w:val="548996675"/>
        <w:rPr>
          <w:rFonts w:eastAsia="Times New Roman"/>
        </w:rPr>
      </w:pPr>
      <w:r>
        <w:rPr>
          <w:rFonts w:eastAsia="Times New Roman"/>
          <w:b/>
          <w:bCs/>
          <w:i/>
          <w:iCs/>
          <w:color w:val="000000"/>
          <w:sz w:val="20"/>
          <w:szCs w:val="20"/>
        </w:rPr>
        <w:t>Commitments</w:t>
      </w:r>
    </w:p>
    <w:p w:rsidR="00000000" w:rsidRDefault="00971A12">
      <w:pPr>
        <w:jc w:val="both"/>
        <w:divId w:val="918562472"/>
        <w:rPr>
          <w:rFonts w:eastAsia="Times New Roman"/>
        </w:rPr>
      </w:pPr>
      <w:r>
        <w:rPr>
          <w:rFonts w:eastAsia="Times New Roman"/>
          <w:color w:val="000000"/>
          <w:sz w:val="20"/>
          <w:szCs w:val="20"/>
        </w:rPr>
        <w:t>The Company has certain long-term contractual arrangements that have fixed and determinable payment obligations including unconditional purchase obligations with MVPDs and other providers for set-top box and connected</w:t>
      </w:r>
      <w:r>
        <w:rPr>
          <w:rFonts w:eastAsia="Times New Roman"/>
          <w:color w:val="000000"/>
          <w:sz w:val="20"/>
          <w:szCs w:val="20"/>
        </w:rPr>
        <w:t xml:space="preserve"> (Smart) television data. These agreements have remaining terms from</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eight years. As of December 31, 2022, the total fixed payment obligations related to set-top box and connected television data agreements are $299.7 million and $8.3 million, respe</w:t>
      </w:r>
      <w:r>
        <w:rPr>
          <w:rFonts w:eastAsia="Times New Roman"/>
          <w:color w:val="000000"/>
          <w:sz w:val="20"/>
          <w:szCs w:val="20"/>
        </w:rPr>
        <w:t>ctively. The information set forth below summarizes the contractual obligations, by year, as of December 31, 2022:</w:t>
      </w:r>
    </w:p>
    <w:tbl>
      <w:tblPr>
        <w:tblW w:w="5000" w:type="pct"/>
        <w:tblCellMar>
          <w:top w:w="15" w:type="dxa"/>
          <w:left w:w="15" w:type="dxa"/>
          <w:bottom w:w="15" w:type="dxa"/>
          <w:right w:w="15" w:type="dxa"/>
        </w:tblCellMar>
        <w:tblLook w:val="04A0" w:firstRow="1" w:lastRow="0" w:firstColumn="1" w:lastColumn="0" w:noHBand="0" w:noVBand="1"/>
      </w:tblPr>
      <w:tblGrid>
        <w:gridCol w:w="55"/>
        <w:gridCol w:w="7138"/>
        <w:gridCol w:w="36"/>
        <w:gridCol w:w="111"/>
        <w:gridCol w:w="930"/>
        <w:gridCol w:w="36"/>
      </w:tblGrid>
      <w:tr w:rsidR="00000000">
        <w:trPr>
          <w:divId w:val="1216430190"/>
        </w:trPr>
        <w:tc>
          <w:tcPr>
            <w:tcW w:w="50" w:type="pct"/>
            <w:vAlign w:val="center"/>
            <w:hideMark/>
          </w:tcPr>
          <w:p w:rsidR="00000000" w:rsidRDefault="00971A12">
            <w:pPr>
              <w:jc w:val="both"/>
              <w:rPr>
                <w:rFonts w:eastAsia="Times New Roman"/>
              </w:rPr>
            </w:pPr>
          </w:p>
        </w:tc>
        <w:tc>
          <w:tcPr>
            <w:tcW w:w="431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216430190"/>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i/>
                <w:iCs/>
                <w:color w:val="000000"/>
                <w:sz w:val="16"/>
                <w:szCs w:val="16"/>
              </w:rPr>
              <w:t>(In thousands)</w:t>
            </w:r>
          </w:p>
        </w:tc>
      </w:tr>
      <w:tr w:rsidR="00000000">
        <w:trPr>
          <w:divId w:val="1216430190"/>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2023</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36,111 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216430190"/>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2024</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29,966 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216430190"/>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2025</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29,756 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216430190"/>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2026</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37,006 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216430190"/>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2027</w:t>
            </w: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37,506 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216430190"/>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Thereafter</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137,699 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216430190"/>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308,044 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both"/>
        <w:divId w:val="1770000489"/>
        <w:rPr>
          <w:rFonts w:eastAsia="Times New Roman"/>
        </w:rPr>
      </w:pPr>
      <w:r>
        <w:rPr>
          <w:rFonts w:eastAsia="Times New Roman"/>
          <w:color w:val="000000"/>
          <w:sz w:val="20"/>
          <w:szCs w:val="20"/>
        </w:rPr>
        <w:t xml:space="preserve">In addition, the Company expects to make variable payments related to a set-top box data agreement totaling an estimated $8.8 million by the end of 2023. </w:t>
      </w:r>
    </w:p>
    <w:p w:rsidR="00000000" w:rsidRDefault="00971A12">
      <w:pPr>
        <w:jc w:val="both"/>
        <w:divId w:val="145098551"/>
        <w:rPr>
          <w:rFonts w:eastAsia="Times New Roman"/>
        </w:rPr>
      </w:pPr>
      <w:r>
        <w:rPr>
          <w:rFonts w:eastAsia="Times New Roman"/>
          <w:b/>
          <w:bCs/>
          <w:i/>
          <w:iCs/>
          <w:color w:val="000000"/>
          <w:sz w:val="20"/>
          <w:szCs w:val="20"/>
        </w:rPr>
        <w:t>Contingencies</w:t>
      </w:r>
    </w:p>
    <w:p w:rsidR="00000000" w:rsidRDefault="00971A12">
      <w:pPr>
        <w:jc w:val="both"/>
        <w:divId w:val="1216772068"/>
        <w:rPr>
          <w:rFonts w:eastAsia="Times New Roman"/>
        </w:rPr>
      </w:pPr>
      <w:r>
        <w:rPr>
          <w:rFonts w:eastAsia="Times New Roman"/>
          <w:color w:val="000000"/>
          <w:sz w:val="20"/>
          <w:szCs w:val="20"/>
        </w:rPr>
        <w:t>The Company is involved in various legal proceedings from time to time. The Company est</w:t>
      </w:r>
      <w:r>
        <w:rPr>
          <w:rFonts w:eastAsia="Times New Roman"/>
          <w:color w:val="000000"/>
          <w:sz w:val="20"/>
          <w:szCs w:val="20"/>
        </w:rPr>
        <w:t xml:space="preserve">ablishes reserves for specific legal proceedings when management determines that the likelihood of an unfavorable outcome is probable, and the amount of loss can be reasonably estimated. The Company has also identified certain other legal matters where an </w:t>
      </w:r>
      <w:r>
        <w:rPr>
          <w:rFonts w:eastAsia="Times New Roman"/>
          <w:color w:val="000000"/>
          <w:sz w:val="20"/>
          <w:szCs w:val="20"/>
        </w:rPr>
        <w:t>unfavorable outcome is reasonably possible and/or for which no estimate of possible losses can be made. In these cases, the Company does not establish a reserve until it can reasonably estimate the loss. Legal fees are expensed as incurred. The outcomes of</w:t>
      </w:r>
      <w:r>
        <w:rPr>
          <w:rFonts w:eastAsia="Times New Roman"/>
          <w:color w:val="000000"/>
          <w:sz w:val="20"/>
          <w:szCs w:val="20"/>
        </w:rPr>
        <w:t xml:space="preserve"> legal proceedings are inherently unpredictable, subject to significant uncertainties, and could be material to the Company's operating results and cash flows for a particular period.</w:t>
      </w:r>
    </w:p>
    <w:p w:rsidR="00000000" w:rsidRDefault="00971A12">
      <w:pPr>
        <w:jc w:val="both"/>
        <w:divId w:val="256057570"/>
        <w:rPr>
          <w:rFonts w:eastAsia="Times New Roman"/>
        </w:rPr>
      </w:pPr>
      <w:r>
        <w:rPr>
          <w:rFonts w:eastAsia="Times New Roman"/>
          <w:b/>
          <w:bCs/>
          <w:color w:val="000000"/>
          <w:sz w:val="20"/>
          <w:szCs w:val="20"/>
        </w:rPr>
        <w:t>Current Matters</w:t>
      </w:r>
    </w:p>
    <w:p w:rsidR="00000000" w:rsidRDefault="00971A12">
      <w:pPr>
        <w:jc w:val="both"/>
        <w:divId w:val="175047744"/>
        <w:rPr>
          <w:rFonts w:eastAsia="Times New Roman"/>
        </w:rPr>
      </w:pPr>
      <w:r>
        <w:rPr>
          <w:rFonts w:eastAsia="Times New Roman"/>
          <w:color w:val="000000"/>
          <w:sz w:val="20"/>
          <w:szCs w:val="20"/>
        </w:rPr>
        <w:t xml:space="preserve">The Company is, and may become, a party to a variety of </w:t>
      </w:r>
      <w:r>
        <w:rPr>
          <w:rFonts w:eastAsia="Times New Roman"/>
          <w:color w:val="000000"/>
          <w:sz w:val="20"/>
          <w:szCs w:val="20"/>
        </w:rPr>
        <w:t>legal proceedings from time to time that arise in the normal course of the Company's business. While the results of such legal proceedings cannot be predicted with certainty, management believes that, based on current knowledge, the final outcome of any su</w:t>
      </w:r>
      <w:r>
        <w:rPr>
          <w:rFonts w:eastAsia="Times New Roman"/>
          <w:color w:val="000000"/>
          <w:sz w:val="20"/>
          <w:szCs w:val="20"/>
        </w:rPr>
        <w:t>ch current pending matters will not have a material adverse effect on the Company's financial position, results of operations or cash flows. Regardless of the outcome, legal proceedings can have an adverse effect on the Company because of defense costs, di</w:t>
      </w:r>
      <w:r>
        <w:rPr>
          <w:rFonts w:eastAsia="Times New Roman"/>
          <w:color w:val="000000"/>
          <w:sz w:val="20"/>
          <w:szCs w:val="20"/>
        </w:rPr>
        <w:t>version of management resources and other factors.</w:t>
      </w:r>
    </w:p>
    <w:p w:rsidR="00000000" w:rsidRDefault="00971A12">
      <w:pPr>
        <w:jc w:val="center"/>
        <w:divId w:val="82188449"/>
        <w:rPr>
          <w:rFonts w:eastAsia="Times New Roman"/>
        </w:rPr>
      </w:pPr>
      <w:r>
        <w:rPr>
          <w:rFonts w:eastAsia="Times New Roman"/>
          <w:color w:val="000000"/>
          <w:sz w:val="20"/>
          <w:szCs w:val="20"/>
        </w:rPr>
        <w:t>75</w:t>
      </w:r>
    </w:p>
    <w:p w:rsidR="00000000" w:rsidRDefault="00971A12">
      <w:pPr>
        <w:rPr>
          <w:rFonts w:eastAsia="Times New Roman"/>
        </w:rPr>
      </w:pPr>
      <w:r>
        <w:rPr>
          <w:rFonts w:eastAsia="Times New Roman"/>
        </w:rPr>
        <w:pict>
          <v:rect id="_x0000_i1103" style="width:0;height:1.5pt" o:hralign="center" o:hrstd="t" o:hr="t" fillcolor="#a0a0a0" stroked="f"/>
        </w:pict>
      </w:r>
    </w:p>
    <w:p w:rsidR="00000000" w:rsidRDefault="00971A12">
      <w:pPr>
        <w:divId w:val="178467120"/>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97527633"/>
        <w:rPr>
          <w:rFonts w:eastAsia="Times New Roman"/>
        </w:rPr>
      </w:pPr>
    </w:p>
    <w:p w:rsidR="00000000" w:rsidRDefault="00971A12">
      <w:pPr>
        <w:jc w:val="both"/>
        <w:divId w:val="407001407"/>
        <w:rPr>
          <w:rFonts w:eastAsia="Times New Roman"/>
        </w:rPr>
      </w:pPr>
      <w:r>
        <w:rPr>
          <w:rFonts w:eastAsia="Times New Roman"/>
          <w:b/>
          <w:bCs/>
          <w:color w:val="000000"/>
          <w:sz w:val="20"/>
          <w:szCs w:val="20"/>
        </w:rPr>
        <w:t>Indemnification</w:t>
      </w:r>
    </w:p>
    <w:p w:rsidR="00000000" w:rsidRDefault="00971A12">
      <w:pPr>
        <w:jc w:val="both"/>
        <w:divId w:val="1492672205"/>
        <w:rPr>
          <w:rFonts w:eastAsia="Times New Roman"/>
        </w:rPr>
      </w:pPr>
      <w:r>
        <w:rPr>
          <w:rFonts w:eastAsia="Times New Roman"/>
          <w:color w:val="000000"/>
          <w:sz w:val="20"/>
          <w:szCs w:val="20"/>
        </w:rPr>
        <w:t>The Company has entered into indemnification agreements with each of the Company's directors and certain officers, and the Company's amended and restated certificate of incorporation requires it to indemnify each of its directors and officers, to the fulle</w:t>
      </w:r>
      <w:r>
        <w:rPr>
          <w:rFonts w:eastAsia="Times New Roman"/>
          <w:color w:val="000000"/>
          <w:sz w:val="20"/>
          <w:szCs w:val="20"/>
        </w:rPr>
        <w:t>st extent permitted by Delaware law, who was or is a party or is threatened to be made a party to any threatened, pending or completed action, suit or proceeding by reason of the fact that he or she is or was a director or officer of the Company. The Compa</w:t>
      </w:r>
      <w:r>
        <w:rPr>
          <w:rFonts w:eastAsia="Times New Roman"/>
          <w:color w:val="000000"/>
          <w:sz w:val="20"/>
          <w:szCs w:val="20"/>
        </w:rPr>
        <w:t xml:space="preserve">ny has paid and may in the future pay legal counsel fees incurred by current and former directors and officers who are involved in legal proceedings that require indemnification. </w:t>
      </w:r>
    </w:p>
    <w:p w:rsidR="00000000" w:rsidRDefault="00971A12">
      <w:pPr>
        <w:jc w:val="both"/>
        <w:divId w:val="1960985681"/>
        <w:rPr>
          <w:rFonts w:eastAsia="Times New Roman"/>
        </w:rPr>
      </w:pPr>
      <w:r>
        <w:rPr>
          <w:rFonts w:eastAsia="Times New Roman"/>
          <w:color w:val="000000"/>
          <w:sz w:val="20"/>
          <w:szCs w:val="20"/>
        </w:rPr>
        <w:t>Similarly, certain of the Company's commercial contracts require it to indem</w:t>
      </w:r>
      <w:r>
        <w:rPr>
          <w:rFonts w:eastAsia="Times New Roman"/>
          <w:color w:val="000000"/>
          <w:sz w:val="20"/>
          <w:szCs w:val="20"/>
        </w:rPr>
        <w:t>nify contract counterparties under specified circumstances, and the Company may incur legal counsel fees and other costs in connection with these obligations.</w:t>
      </w:r>
    </w:p>
    <w:p w:rsidR="00000000" w:rsidRDefault="00971A12">
      <w:pPr>
        <w:ind w:hanging="360"/>
        <w:divId w:val="1813251134"/>
        <w:rPr>
          <w:rFonts w:eastAsia="Times New Roman"/>
        </w:rPr>
      </w:pPr>
      <w:r>
        <w:rPr>
          <w:rFonts w:eastAsia="Times New Roman"/>
          <w:b/>
          <w:bCs/>
          <w:color w:val="000000"/>
          <w:sz w:val="20"/>
          <w:szCs w:val="20"/>
        </w:rPr>
        <w:t>13.Income Taxes</w:t>
      </w:r>
    </w:p>
    <w:p w:rsidR="00000000" w:rsidRDefault="00971A12">
      <w:pPr>
        <w:divId w:val="1327053441"/>
        <w:rPr>
          <w:rFonts w:eastAsia="Times New Roman"/>
        </w:rPr>
      </w:pPr>
      <w:r>
        <w:rPr>
          <w:rFonts w:eastAsia="Times New Roman"/>
          <w:color w:val="000000"/>
          <w:sz w:val="20"/>
          <w:szCs w:val="20"/>
        </w:rPr>
        <w:t>The components of loss before income tax provision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829"/>
        <w:gridCol w:w="37"/>
        <w:gridCol w:w="36"/>
        <w:gridCol w:w="36"/>
        <w:gridCol w:w="36"/>
        <w:gridCol w:w="110"/>
        <w:gridCol w:w="880"/>
        <w:gridCol w:w="36"/>
        <w:gridCol w:w="36"/>
        <w:gridCol w:w="36"/>
        <w:gridCol w:w="36"/>
        <w:gridCol w:w="110"/>
        <w:gridCol w:w="880"/>
        <w:gridCol w:w="36"/>
        <w:gridCol w:w="36"/>
        <w:gridCol w:w="36"/>
        <w:gridCol w:w="36"/>
        <w:gridCol w:w="110"/>
        <w:gridCol w:w="880"/>
        <w:gridCol w:w="36"/>
      </w:tblGrid>
      <w:tr w:rsidR="00000000">
        <w:trPr>
          <w:divId w:val="1837064517"/>
          <w:jc w:val="center"/>
        </w:trPr>
        <w:tc>
          <w:tcPr>
            <w:tcW w:w="50" w:type="pct"/>
            <w:vAlign w:val="center"/>
            <w:hideMark/>
          </w:tcPr>
          <w:p w:rsidR="00000000" w:rsidRDefault="00971A12">
            <w:pPr>
              <w:rPr>
                <w:rFonts w:eastAsia="Times New Roman"/>
              </w:rPr>
            </w:pPr>
          </w:p>
        </w:tc>
        <w:tc>
          <w:tcPr>
            <w:tcW w:w="2972"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837064517"/>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Years Ended December 31,</w:t>
            </w:r>
          </w:p>
        </w:tc>
      </w:tr>
      <w:tr w:rsidR="00000000">
        <w:trPr>
          <w:divId w:val="1837064517"/>
          <w:jc w:val="center"/>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r>
      <w:tr w:rsidR="00000000">
        <w:trPr>
          <w:divId w:val="1837064517"/>
          <w:jc w:val="center"/>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Domestic</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(69,981)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(53,202)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(44,010)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37064517"/>
          <w:jc w:val="center"/>
        </w:trPr>
        <w:tc>
          <w:tcPr>
            <w:tcW w:w="0" w:type="auto"/>
            <w:gridSpan w:val="3"/>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Foreign</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5,144 </w:t>
            </w:r>
          </w:p>
        </w:tc>
        <w:tc>
          <w:tcPr>
            <w:tcW w:w="0" w:type="auto"/>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4,024 </w:t>
            </w:r>
          </w:p>
        </w:tc>
        <w:tc>
          <w:tcPr>
            <w:tcW w:w="0" w:type="auto"/>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(3,006)</w:t>
            </w:r>
          </w:p>
        </w:tc>
        <w:tc>
          <w:tcPr>
            <w:tcW w:w="0" w:type="auto"/>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37064517"/>
          <w:jc w:val="center"/>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(64,837)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(49,178)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(47,016)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both"/>
        <w:divId w:val="938414285"/>
        <w:rPr>
          <w:rFonts w:eastAsia="Times New Roman"/>
        </w:rPr>
      </w:pPr>
      <w:r>
        <w:rPr>
          <w:rFonts w:eastAsia="Times New Roman"/>
          <w:color w:val="000000"/>
          <w:sz w:val="20"/>
          <w:szCs w:val="20"/>
        </w:rPr>
        <w:t>Income tax provision is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829"/>
        <w:gridCol w:w="37"/>
        <w:gridCol w:w="36"/>
        <w:gridCol w:w="36"/>
        <w:gridCol w:w="36"/>
        <w:gridCol w:w="110"/>
        <w:gridCol w:w="880"/>
        <w:gridCol w:w="36"/>
        <w:gridCol w:w="36"/>
        <w:gridCol w:w="36"/>
        <w:gridCol w:w="36"/>
        <w:gridCol w:w="110"/>
        <w:gridCol w:w="880"/>
        <w:gridCol w:w="36"/>
        <w:gridCol w:w="36"/>
        <w:gridCol w:w="36"/>
        <w:gridCol w:w="36"/>
        <w:gridCol w:w="110"/>
        <w:gridCol w:w="880"/>
        <w:gridCol w:w="36"/>
      </w:tblGrid>
      <w:tr w:rsidR="00000000">
        <w:trPr>
          <w:divId w:val="837968181"/>
        </w:trPr>
        <w:tc>
          <w:tcPr>
            <w:tcW w:w="50" w:type="pct"/>
            <w:vAlign w:val="center"/>
            <w:hideMark/>
          </w:tcPr>
          <w:p w:rsidR="00000000" w:rsidRDefault="00971A12">
            <w:pPr>
              <w:jc w:val="both"/>
              <w:rPr>
                <w:rFonts w:eastAsia="Times New Roman"/>
              </w:rPr>
            </w:pPr>
          </w:p>
        </w:tc>
        <w:tc>
          <w:tcPr>
            <w:tcW w:w="2972"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837968181"/>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Years Ended December 31,</w:t>
            </w:r>
          </w:p>
        </w:tc>
      </w:tr>
      <w:tr w:rsidR="00000000">
        <w:trPr>
          <w:divId w:val="837968181"/>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r>
      <w:tr w:rsidR="00000000">
        <w:trPr>
          <w:divId w:val="837968181"/>
        </w:trPr>
        <w:tc>
          <w:tcPr>
            <w:tcW w:w="0" w:type="auto"/>
            <w:gridSpan w:val="3"/>
            <w:shd w:val="clear" w:color="auto" w:fill="CCEEFF"/>
            <w:tcMar>
              <w:top w:w="30" w:type="dxa"/>
              <w:left w:w="20" w:type="dxa"/>
              <w:bottom w:w="30" w:type="dxa"/>
              <w:right w:w="20" w:type="dxa"/>
            </w:tcMar>
            <w:hideMark/>
          </w:tcPr>
          <w:p w:rsidR="00000000" w:rsidRDefault="00971A12">
            <w:pPr>
              <w:spacing w:after="100"/>
              <w:divId w:val="213198440"/>
              <w:rPr>
                <w:rFonts w:eastAsia="Times New Roman"/>
              </w:rPr>
            </w:pPr>
            <w:r>
              <w:rPr>
                <w:rFonts w:eastAsia="Times New Roman"/>
                <w:b/>
                <w:bCs/>
                <w:color w:val="000000"/>
                <w:sz w:val="18"/>
                <w:szCs w:val="18"/>
              </w:rPr>
              <w:t>Current</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837968181"/>
        </w:trPr>
        <w:tc>
          <w:tcPr>
            <w:tcW w:w="0" w:type="auto"/>
            <w:gridSpan w:val="3"/>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Federal</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51 </w:t>
            </w:r>
          </w:p>
        </w:tc>
        <w:tc>
          <w:tcPr>
            <w:tcW w:w="0" w:type="auto"/>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7968181"/>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State</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405 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7968181"/>
        </w:trPr>
        <w:tc>
          <w:tcPr>
            <w:tcW w:w="0" w:type="auto"/>
            <w:gridSpan w:val="3"/>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Foreign</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1,921 </w:t>
            </w:r>
          </w:p>
        </w:tc>
        <w:tc>
          <w:tcPr>
            <w:tcW w:w="0" w:type="auto"/>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2,173 </w:t>
            </w:r>
          </w:p>
        </w:tc>
        <w:tc>
          <w:tcPr>
            <w:tcW w:w="0" w:type="auto"/>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847 </w:t>
            </w:r>
          </w:p>
        </w:tc>
        <w:tc>
          <w:tcPr>
            <w:tcW w:w="0" w:type="auto"/>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7968181"/>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7968181"/>
        </w:trPr>
        <w:tc>
          <w:tcPr>
            <w:tcW w:w="0" w:type="auto"/>
            <w:gridSpan w:val="3"/>
            <w:tcMar>
              <w:top w:w="30" w:type="dxa"/>
              <w:left w:w="20" w:type="dxa"/>
              <w:bottom w:w="30" w:type="dxa"/>
              <w:right w:w="20" w:type="dxa"/>
            </w:tcMar>
            <w:hideMark/>
          </w:tcPr>
          <w:p w:rsidR="00000000" w:rsidRDefault="00971A12">
            <w:pPr>
              <w:spacing w:after="100"/>
              <w:divId w:val="1773627512"/>
              <w:rPr>
                <w:rFonts w:eastAsia="Times New Roman"/>
              </w:rPr>
            </w:pPr>
            <w:r>
              <w:rPr>
                <w:rFonts w:eastAsia="Times New Roman"/>
                <w:b/>
                <w:bCs/>
                <w:color w:val="000000"/>
                <w:sz w:val="18"/>
                <w:szCs w:val="18"/>
              </w:rPr>
              <w:t>Deferred</w:t>
            </w: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837968181"/>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Federal</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w:t>
            </w:r>
            <w:r>
              <w:rPr>
                <w:rFonts w:eastAsia="Times New Roman"/>
                <w:color w:val="000000"/>
                <w:sz w:val="18"/>
                <w:szCs w:val="18"/>
              </w:rPr>
              <w:t>1,538)</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7968181"/>
        </w:trPr>
        <w:tc>
          <w:tcPr>
            <w:tcW w:w="0" w:type="auto"/>
            <w:gridSpan w:val="3"/>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State</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16 </w:t>
            </w:r>
          </w:p>
        </w:tc>
        <w:tc>
          <w:tcPr>
            <w:tcW w:w="0" w:type="auto"/>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198 </w:t>
            </w:r>
          </w:p>
        </w:tc>
        <w:tc>
          <w:tcPr>
            <w:tcW w:w="0" w:type="auto"/>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238 </w:t>
            </w:r>
          </w:p>
        </w:tc>
        <w:tc>
          <w:tcPr>
            <w:tcW w:w="0" w:type="auto"/>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7968181"/>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Foreign</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(499)</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(379)</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(329)</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7968181"/>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Total</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(475)</w:t>
            </w:r>
          </w:p>
        </w:tc>
        <w:tc>
          <w:tcPr>
            <w:tcW w:w="0" w:type="auto"/>
            <w:tcBorders>
              <w:top w:val="single" w:sz="8" w:space="0" w:color="000000"/>
            </w:tcBorders>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(1,719)</w:t>
            </w:r>
          </w:p>
        </w:tc>
        <w:tc>
          <w:tcPr>
            <w:tcW w:w="0" w:type="auto"/>
            <w:tcBorders>
              <w:top w:val="single" w:sz="8" w:space="0" w:color="000000"/>
            </w:tcBorders>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10 </w:t>
            </w:r>
          </w:p>
        </w:tc>
        <w:tc>
          <w:tcPr>
            <w:tcW w:w="0" w:type="auto"/>
            <w:tcBorders>
              <w:top w:val="single" w:sz="8" w:space="0" w:color="000000"/>
            </w:tcBorders>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837968181"/>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Income tax provision</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divId w:val="1563564028"/>
        <w:rPr>
          <w:rFonts w:eastAsia="Times New Roman"/>
        </w:rPr>
      </w:pPr>
      <w:r>
        <w:rPr>
          <w:rFonts w:eastAsia="Times New Roman"/>
          <w:color w:val="000000"/>
          <w:sz w:val="20"/>
          <w:szCs w:val="20"/>
        </w:rPr>
        <w:t>A reconciliation of the statutory U.S. income tax rate to the effective income tax rate is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806"/>
        <w:gridCol w:w="36"/>
        <w:gridCol w:w="36"/>
        <w:gridCol w:w="36"/>
        <w:gridCol w:w="36"/>
        <w:gridCol w:w="39"/>
        <w:gridCol w:w="823"/>
        <w:gridCol w:w="171"/>
        <w:gridCol w:w="37"/>
        <w:gridCol w:w="36"/>
        <w:gridCol w:w="36"/>
        <w:gridCol w:w="38"/>
        <w:gridCol w:w="826"/>
        <w:gridCol w:w="170"/>
        <w:gridCol w:w="36"/>
        <w:gridCol w:w="36"/>
        <w:gridCol w:w="36"/>
        <w:gridCol w:w="38"/>
        <w:gridCol w:w="826"/>
        <w:gridCol w:w="170"/>
      </w:tblGrid>
      <w:tr w:rsidR="00000000">
        <w:trPr>
          <w:divId w:val="2034838817"/>
        </w:trPr>
        <w:tc>
          <w:tcPr>
            <w:tcW w:w="50" w:type="pct"/>
            <w:vAlign w:val="center"/>
            <w:hideMark/>
          </w:tcPr>
          <w:p w:rsidR="00000000" w:rsidRDefault="00971A12">
            <w:pPr>
              <w:rPr>
                <w:rFonts w:eastAsia="Times New Roman"/>
              </w:rPr>
            </w:pPr>
          </w:p>
        </w:tc>
        <w:tc>
          <w:tcPr>
            <w:tcW w:w="2972"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2034838817"/>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Years Ended December 31,</w:t>
            </w:r>
          </w:p>
        </w:tc>
      </w:tr>
      <w:tr w:rsidR="00000000">
        <w:trPr>
          <w:divId w:val="2034838817"/>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r>
      <w:tr w:rsidR="00000000">
        <w:trPr>
          <w:divId w:val="2034838817"/>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Statutory federal tax rate</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034838817"/>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State taxes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(0.3)</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(0.5)</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034838817"/>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Other nondeductible/nontaxable items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034838817"/>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Nondeductible interest and derivatives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(5.9)</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(9.7)</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034838817"/>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Foreign rate differences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(0.4)</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034838817"/>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Change in valuation allowance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(10.7)</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(16.1)</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034838817"/>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Stock compensation</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(2.3)</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(3.8)</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(5.5)</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034838817"/>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Executive compensation</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(0.1)</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(0.7)</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(0.1)</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034838817"/>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Goodwill impairment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(11.8)</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034838817"/>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U.S. tax impact of restructuring</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(14.4)</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034838817"/>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Other adjustments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(0.2)</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034838817"/>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Uncertain tax positions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(0.1)</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r w:rsidR="00000000">
        <w:trPr>
          <w:divId w:val="2034838817"/>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Effective tax rate</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18"/>
                <w:szCs w:val="18"/>
              </w:rPr>
              <w:t>%</w:t>
            </w:r>
          </w:p>
        </w:tc>
      </w:tr>
    </w:tbl>
    <w:p w:rsidR="00000000" w:rsidRDefault="00971A12">
      <w:pPr>
        <w:divId w:val="1490949904"/>
        <w:rPr>
          <w:rFonts w:eastAsia="Times New Roman"/>
        </w:rPr>
      </w:pPr>
      <w:r>
        <w:rPr>
          <w:rFonts w:eastAsia="Times New Roman"/>
          <w:i/>
          <w:iCs/>
          <w:color w:val="000000"/>
          <w:sz w:val="20"/>
          <w:szCs w:val="20"/>
        </w:rPr>
        <w:t>Income Tax Provision</w:t>
      </w:r>
    </w:p>
    <w:p w:rsidR="00000000" w:rsidRDefault="00971A12">
      <w:pPr>
        <w:jc w:val="both"/>
        <w:divId w:val="1424258867"/>
        <w:rPr>
          <w:rFonts w:eastAsia="Times New Roman"/>
        </w:rPr>
      </w:pPr>
      <w:r>
        <w:rPr>
          <w:rFonts w:eastAsia="Times New Roman"/>
          <w:color w:val="000000"/>
          <w:sz w:val="20"/>
          <w:szCs w:val="20"/>
        </w:rPr>
        <w:t>The Company recognized income tax expense of $1.7 million during the year ended December 31, 2022, which is primarily comprised of current tax expense of $2.2 mil</w:t>
      </w:r>
      <w:r>
        <w:rPr>
          <w:rFonts w:eastAsia="Times New Roman"/>
          <w:color w:val="000000"/>
          <w:sz w:val="20"/>
          <w:szCs w:val="20"/>
        </w:rPr>
        <w:t>lion related to foreign taxes and state taxes and a deferred tax benefit of $0.5 million related to temporary differences between the tax treatment and GAAP accounting treatment for certain items. Included in total tax expense is income tax benefit of $2.6</w:t>
      </w:r>
      <w:r>
        <w:rPr>
          <w:rFonts w:eastAsia="Times New Roman"/>
          <w:color w:val="000000"/>
          <w:sz w:val="20"/>
          <w:szCs w:val="20"/>
        </w:rPr>
        <w:t xml:space="preserve"> million for permanent differences in the book and tax treatment of nontaxable gain on fair market value adjustment of stock warrants, offset by certain nondeductible stock-based compensation and executive compensation. Also included in the total tax expen</w:t>
      </w:r>
      <w:r>
        <w:rPr>
          <w:rFonts w:eastAsia="Times New Roman"/>
          <w:color w:val="000000"/>
          <w:sz w:val="20"/>
          <w:szCs w:val="20"/>
        </w:rPr>
        <w:t xml:space="preserve">se is income tax </w:t>
      </w:r>
    </w:p>
    <w:p w:rsidR="00000000" w:rsidRDefault="00971A12">
      <w:pPr>
        <w:jc w:val="center"/>
        <w:divId w:val="54164013"/>
        <w:rPr>
          <w:rFonts w:eastAsia="Times New Roman"/>
        </w:rPr>
      </w:pPr>
      <w:r>
        <w:rPr>
          <w:rFonts w:eastAsia="Times New Roman"/>
          <w:color w:val="000000"/>
          <w:sz w:val="20"/>
          <w:szCs w:val="20"/>
        </w:rPr>
        <w:t>76</w:t>
      </w:r>
    </w:p>
    <w:p w:rsidR="00000000" w:rsidRDefault="00971A12">
      <w:pPr>
        <w:rPr>
          <w:rFonts w:eastAsia="Times New Roman"/>
        </w:rPr>
      </w:pPr>
      <w:r>
        <w:rPr>
          <w:rFonts w:eastAsia="Times New Roman"/>
        </w:rPr>
        <w:pict>
          <v:rect id="_x0000_i1104" style="width:0;height:1.5pt" o:hralign="center" o:hrstd="t" o:hr="t" fillcolor="#a0a0a0" stroked="f"/>
        </w:pict>
      </w:r>
    </w:p>
    <w:p w:rsidR="00000000" w:rsidRDefault="00971A12">
      <w:pPr>
        <w:divId w:val="708653807"/>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436481897"/>
        <w:rPr>
          <w:rFonts w:eastAsia="Times New Roman"/>
        </w:rPr>
      </w:pPr>
    </w:p>
    <w:p w:rsidR="00000000" w:rsidRDefault="00971A12">
      <w:pPr>
        <w:jc w:val="both"/>
        <w:divId w:val="114105906"/>
        <w:rPr>
          <w:rFonts w:eastAsia="Times New Roman"/>
        </w:rPr>
      </w:pPr>
      <w:r>
        <w:rPr>
          <w:rFonts w:eastAsia="Times New Roman"/>
          <w:color w:val="000000"/>
          <w:sz w:val="20"/>
          <w:szCs w:val="20"/>
        </w:rPr>
        <w:t xml:space="preserve">adjustment of $12.7 </w:t>
      </w:r>
      <w:r>
        <w:rPr>
          <w:rFonts w:eastAsia="Times New Roman"/>
          <w:color w:val="000000"/>
          <w:sz w:val="20"/>
          <w:szCs w:val="20"/>
        </w:rPr>
        <w:t>million related to the impairment of goodwill. Income tax expense of $18.5 million has also been included for an increase in the valuation allowance recorded against the Company's deferred tax assets to offset the tax benefit of the Company's operating los</w:t>
      </w:r>
      <w:r>
        <w:rPr>
          <w:rFonts w:eastAsia="Times New Roman"/>
          <w:color w:val="000000"/>
          <w:sz w:val="20"/>
          <w:szCs w:val="20"/>
        </w:rPr>
        <w:t>ses in the U.S. and certain foreign jurisdictions. These tax adjustments, along with state and local taxes and book losses in foreign jurisdictions where the income tax rate is substantially lower than the U.S. federal statutory rate, are the primary drive</w:t>
      </w:r>
      <w:r>
        <w:rPr>
          <w:rFonts w:eastAsia="Times New Roman"/>
          <w:color w:val="000000"/>
          <w:sz w:val="20"/>
          <w:szCs w:val="20"/>
        </w:rPr>
        <w:t>rs of the annual effective income tax rate.</w:t>
      </w:r>
    </w:p>
    <w:p w:rsidR="00000000" w:rsidRDefault="00971A12">
      <w:pPr>
        <w:jc w:val="both"/>
        <w:divId w:val="2099402479"/>
        <w:rPr>
          <w:rFonts w:eastAsia="Times New Roman"/>
        </w:rPr>
      </w:pPr>
      <w:r>
        <w:rPr>
          <w:rFonts w:eastAsia="Times New Roman"/>
          <w:color w:val="000000"/>
          <w:sz w:val="20"/>
          <w:szCs w:val="20"/>
        </w:rPr>
        <w:t>The Company recognized income tax expense of $0.9 million during the year ended December 31, 2021, which is primarily comprised of current tax expense of $2.2 million related to foreign taxes and a federal deferr</w:t>
      </w:r>
      <w:r>
        <w:rPr>
          <w:rFonts w:eastAsia="Times New Roman"/>
          <w:color w:val="000000"/>
          <w:sz w:val="20"/>
          <w:szCs w:val="20"/>
        </w:rPr>
        <w:t>ed tax benefit of $1.5 million related to temporary differences between the tax treatment and GAAP accounting treatment for certain items. Included in total tax expense are income tax adjustments of $9.2 million for permanent differences in the book and ta</w:t>
      </w:r>
      <w:r>
        <w:rPr>
          <w:rFonts w:eastAsia="Times New Roman"/>
          <w:color w:val="000000"/>
          <w:sz w:val="20"/>
          <w:szCs w:val="20"/>
        </w:rPr>
        <w:t>x treatment of certain stock-based compensation, limitations on the deductibility of certain executive compensation, and nondeductible interest expense on debt instruments and associated derivatives. Also included is a favorable return to provision true-up</w:t>
      </w:r>
      <w:r>
        <w:rPr>
          <w:rFonts w:eastAsia="Times New Roman"/>
          <w:color w:val="000000"/>
          <w:sz w:val="20"/>
          <w:szCs w:val="20"/>
        </w:rPr>
        <w:t xml:space="preserve"> adjustment of $8.3 million for a prior year permanent difference related to foreign earnings taxable in the U.S. as a result of a tax restructuring that occurred during 2020. Income tax expense of $16.3 million has also been included for an increase in th</w:t>
      </w:r>
      <w:r>
        <w:rPr>
          <w:rFonts w:eastAsia="Times New Roman"/>
          <w:color w:val="000000"/>
          <w:sz w:val="20"/>
          <w:szCs w:val="20"/>
        </w:rPr>
        <w:t>e valuation allowance recorded against the Company's deferred tax assets to offset the tax benefit of the Company's operating losses in the U.S. and certain foreign jurisdictions. This increase was offset by an income tax benefit of $2.8 million related to</w:t>
      </w:r>
      <w:r>
        <w:rPr>
          <w:rFonts w:eastAsia="Times New Roman"/>
          <w:color w:val="000000"/>
          <w:sz w:val="20"/>
          <w:szCs w:val="20"/>
        </w:rPr>
        <w:t xml:space="preserve"> the release of the portion of the Company's valuation allowance as a result of the Shareablee acquisition. These tax adjustments, along with state and local taxes and book losses in foreign jurisdictions where the income tax rate is substantially lower th</w:t>
      </w:r>
      <w:r>
        <w:rPr>
          <w:rFonts w:eastAsia="Times New Roman"/>
          <w:color w:val="000000"/>
          <w:sz w:val="20"/>
          <w:szCs w:val="20"/>
        </w:rPr>
        <w:t>an the U.S. federal statutory rate, are the primary drivers of the annual effective income tax rate.</w:t>
      </w:r>
    </w:p>
    <w:p w:rsidR="00000000" w:rsidRDefault="00971A12">
      <w:pPr>
        <w:jc w:val="both"/>
        <w:divId w:val="499783718"/>
        <w:rPr>
          <w:rFonts w:eastAsia="Times New Roman"/>
        </w:rPr>
      </w:pPr>
      <w:r>
        <w:rPr>
          <w:rFonts w:eastAsia="Times New Roman"/>
          <w:color w:val="000000"/>
          <w:sz w:val="20"/>
          <w:szCs w:val="20"/>
        </w:rPr>
        <w:t>The Company recognized income tax expense of $0.9 million during the year ended December </w:t>
      </w:r>
      <w:r>
        <w:rPr>
          <w:rFonts w:eastAsia="Times New Roman"/>
          <w:color w:val="000000"/>
          <w:sz w:val="20"/>
          <w:szCs w:val="20"/>
        </w:rPr>
        <w:t xml:space="preserve">31, 2020, which is primarily comprised of current tax expense of $0.8 million related to foreign taxes. Included in total tax expense are income tax adjustments of $8.9 million for permanent differences in the book and tax treatment of certain stock-based </w:t>
      </w:r>
      <w:r>
        <w:rPr>
          <w:rFonts w:eastAsia="Times New Roman"/>
          <w:color w:val="000000"/>
          <w:sz w:val="20"/>
          <w:szCs w:val="20"/>
        </w:rPr>
        <w:t>compensation, limitations on the deductibility of certain executive compensation, and nondeductible interest expense on debt instruments and associated derivatives. Also included is an adjustment of $11.2 million for a permanent difference related to forei</w:t>
      </w:r>
      <w:r>
        <w:rPr>
          <w:rFonts w:eastAsia="Times New Roman"/>
          <w:color w:val="000000"/>
          <w:sz w:val="20"/>
          <w:szCs w:val="20"/>
        </w:rPr>
        <w:t>gn earnings taxable in the U.S. as a result of a tax restructuring that occurred during the year. These tax adjustments, along with state and local taxes and book losses in foreign jurisdictions where the income tax rate is substantially lower than the U.S</w:t>
      </w:r>
      <w:r>
        <w:rPr>
          <w:rFonts w:eastAsia="Times New Roman"/>
          <w:color w:val="000000"/>
          <w:sz w:val="20"/>
          <w:szCs w:val="20"/>
        </w:rPr>
        <w:t xml:space="preserve">. federal statutory rate, are the primary drivers of the annual effective income tax rate. </w:t>
      </w:r>
    </w:p>
    <w:p w:rsidR="00000000" w:rsidRDefault="00971A12">
      <w:pPr>
        <w:jc w:val="both"/>
        <w:divId w:val="1740244739"/>
        <w:rPr>
          <w:rFonts w:eastAsia="Times New Roman"/>
        </w:rPr>
      </w:pPr>
      <w:r>
        <w:rPr>
          <w:rFonts w:eastAsia="Times New Roman"/>
          <w:i/>
          <w:iCs/>
          <w:color w:val="000000"/>
          <w:sz w:val="20"/>
          <w:szCs w:val="20"/>
        </w:rPr>
        <w:t>Deferred Income Taxes</w:t>
      </w:r>
    </w:p>
    <w:p w:rsidR="00000000" w:rsidRDefault="00971A12">
      <w:pPr>
        <w:jc w:val="both"/>
        <w:divId w:val="1994986110"/>
        <w:rPr>
          <w:rFonts w:eastAsia="Times New Roman"/>
        </w:rPr>
      </w:pPr>
      <w:r>
        <w:rPr>
          <w:rFonts w:eastAsia="Times New Roman"/>
          <w:color w:val="000000"/>
          <w:sz w:val="20"/>
          <w:szCs w:val="20"/>
        </w:rPr>
        <w:t>Deferred income taxes reflect the net tax effects of temporary differences between the carrying amount of assets and liabilities for financial</w:t>
      </w:r>
      <w:r>
        <w:rPr>
          <w:rFonts w:eastAsia="Times New Roman"/>
          <w:color w:val="000000"/>
          <w:sz w:val="20"/>
          <w:szCs w:val="20"/>
        </w:rPr>
        <w:t xml:space="preserve"> reporting purposes and the amounts used for income tax reporting purposes. The components of net deferred income taxes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941"/>
        <w:gridCol w:w="37"/>
        <w:gridCol w:w="36"/>
        <w:gridCol w:w="36"/>
        <w:gridCol w:w="36"/>
        <w:gridCol w:w="110"/>
        <w:gridCol w:w="891"/>
        <w:gridCol w:w="36"/>
        <w:gridCol w:w="36"/>
        <w:gridCol w:w="36"/>
        <w:gridCol w:w="36"/>
        <w:gridCol w:w="110"/>
        <w:gridCol w:w="891"/>
        <w:gridCol w:w="36"/>
      </w:tblGrid>
      <w:tr w:rsidR="00000000">
        <w:trPr>
          <w:divId w:val="1826388274"/>
        </w:trPr>
        <w:tc>
          <w:tcPr>
            <w:tcW w:w="50" w:type="pct"/>
            <w:vAlign w:val="center"/>
            <w:hideMark/>
          </w:tcPr>
          <w:p w:rsidR="00000000" w:rsidRDefault="00971A12">
            <w:pPr>
              <w:jc w:val="both"/>
              <w:rPr>
                <w:rFonts w:eastAsia="Times New Roman"/>
              </w:rPr>
            </w:pPr>
          </w:p>
        </w:tc>
        <w:tc>
          <w:tcPr>
            <w:tcW w:w="362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826388274"/>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As of December 31,</w:t>
            </w:r>
          </w:p>
        </w:tc>
      </w:tr>
      <w:tr w:rsidR="00000000">
        <w:trPr>
          <w:divId w:val="1826388274"/>
        </w:trPr>
        <w:tc>
          <w:tcPr>
            <w:tcW w:w="0" w:type="auto"/>
            <w:gridSpan w:val="3"/>
            <w:tcMar>
              <w:top w:w="30" w:type="dxa"/>
              <w:left w:w="20" w:type="dxa"/>
              <w:bottom w:w="30" w:type="dxa"/>
              <w:right w:w="20" w:type="dxa"/>
            </w:tcMar>
            <w:vAlign w:val="bottom"/>
            <w:hideMark/>
          </w:tcPr>
          <w:p w:rsidR="00000000" w:rsidRDefault="00971A12">
            <w:pPr>
              <w:spacing w:after="100"/>
              <w:divId w:val="1878590768"/>
              <w:rPr>
                <w:rFonts w:eastAsia="Times New Roman"/>
              </w:rPr>
            </w:pPr>
            <w:r>
              <w:rPr>
                <w:rFonts w:eastAsia="Times New Roman"/>
                <w:color w:val="000000"/>
                <w:sz w:val="16"/>
                <w:szCs w:val="16"/>
              </w:rPr>
              <w:t> </w:t>
            </w: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r>
      <w:tr w:rsidR="00000000">
        <w:trPr>
          <w:divId w:val="1826388274"/>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Deferred tax assets: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826388274"/>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Net operating loss carryforwards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203,738 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210,235 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26388274"/>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Lease liability</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13,500 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15,909 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26388274"/>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Deferred revenues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20,711 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20,001 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26388274"/>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Deferred compensation</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4,829 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5,672 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26388274"/>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Accrued salaries and benefits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2,533 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3,120 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26388274"/>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Tax credits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2,187 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2,187 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26388274"/>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Tax contingencies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1,225 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1,160 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26388274"/>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Allowance for doubtful accounts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311 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26388274"/>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Capital loss carryforwards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271 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269 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26388274"/>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826388274"/>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826388274"/>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Intangible assets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3,640 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26388274"/>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Capitalized research and development expense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14,490 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26388274"/>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2,665 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2,307 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26388274"/>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Gross deferred tax assets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269,940 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261,171 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26388274"/>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Valuation allowance</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(250,994)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(233,843)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26388274"/>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Net deferred tax assets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18,946 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27,328 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26388274"/>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Deferred tax liabilities: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826388274"/>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Lease asset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(7,855)</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(9,517)</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26388274"/>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Property and equipment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(3,988)</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(7,312)</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26388274"/>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Intangible assets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(4,357)</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26388274"/>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Subpart F income recapture</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(1,248)</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(1,222)</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26388274"/>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Goodwill</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(4,660)</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(4,136)</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26388274"/>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(40)</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(76)</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26388274"/>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Total deferred tax liabilities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(17,791)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(26,620)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826388274"/>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18"/>
                <w:szCs w:val="18"/>
              </w:rPr>
              <w:t>Net deferred tax asset</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center"/>
        <w:divId w:val="778258652"/>
        <w:rPr>
          <w:rFonts w:eastAsia="Times New Roman"/>
        </w:rPr>
      </w:pPr>
      <w:r>
        <w:rPr>
          <w:rFonts w:eastAsia="Times New Roman"/>
          <w:color w:val="000000"/>
          <w:sz w:val="20"/>
          <w:szCs w:val="20"/>
        </w:rPr>
        <w:t>77</w:t>
      </w:r>
    </w:p>
    <w:p w:rsidR="00000000" w:rsidRDefault="00971A12">
      <w:pPr>
        <w:rPr>
          <w:rFonts w:eastAsia="Times New Roman"/>
        </w:rPr>
      </w:pPr>
      <w:r>
        <w:rPr>
          <w:rFonts w:eastAsia="Times New Roman"/>
        </w:rPr>
        <w:pict>
          <v:rect id="_x0000_i1105" style="width:0;height:1.5pt" o:hralign="center" o:hrstd="t" o:hr="t" fillcolor="#a0a0a0" stroked="f"/>
        </w:pict>
      </w:r>
    </w:p>
    <w:p w:rsidR="00000000" w:rsidRDefault="00971A12">
      <w:pPr>
        <w:divId w:val="994145212"/>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751856484"/>
        <w:rPr>
          <w:rFonts w:eastAsia="Times New Roman"/>
        </w:rPr>
      </w:pPr>
    </w:p>
    <w:p w:rsidR="00000000" w:rsidRDefault="00971A12">
      <w:pPr>
        <w:jc w:val="both"/>
        <w:divId w:val="1017659364"/>
        <w:rPr>
          <w:rFonts w:eastAsia="Times New Roman"/>
        </w:rPr>
      </w:pPr>
      <w:r>
        <w:rPr>
          <w:rFonts w:eastAsia="Times New Roman"/>
          <w:i/>
          <w:iCs/>
          <w:color w:val="000000"/>
          <w:sz w:val="20"/>
          <w:szCs w:val="20"/>
        </w:rPr>
        <w:t>Tax Valuation Allowance</w:t>
      </w:r>
    </w:p>
    <w:p w:rsidR="00000000" w:rsidRDefault="00971A12">
      <w:pPr>
        <w:jc w:val="both"/>
        <w:divId w:val="702678444"/>
        <w:rPr>
          <w:rFonts w:eastAsia="Times New Roman"/>
        </w:rPr>
      </w:pPr>
      <w:r>
        <w:rPr>
          <w:rFonts w:eastAsia="Times New Roman"/>
          <w:color w:val="000000"/>
          <w:sz w:val="20"/>
          <w:szCs w:val="20"/>
        </w:rPr>
        <w:t>As of December </w:t>
      </w:r>
      <w:r>
        <w:rPr>
          <w:rFonts w:eastAsia="Times New Roman"/>
          <w:color w:val="000000"/>
          <w:sz w:val="20"/>
          <w:szCs w:val="20"/>
        </w:rPr>
        <w:t xml:space="preserve">31, 2022, and 2021, the Company had a valuation allowance of $251.0 million and $233.8 million, respectively, against certain deferred tax assets. The valuation allowance relates to the deferred tax assets of the Company's U.S. entities, including federal </w:t>
      </w:r>
      <w:r>
        <w:rPr>
          <w:rFonts w:eastAsia="Times New Roman"/>
          <w:color w:val="000000"/>
          <w:sz w:val="20"/>
          <w:szCs w:val="20"/>
        </w:rPr>
        <w:t>and state tax attributes and timing differences, as well as the deferred tax assets of certain foreign subsidiaries. The increase in the valuation allowance during 2022 is primarily related to capitalized R&amp;E expenditures under Section 174. The increase in</w:t>
      </w:r>
      <w:r>
        <w:rPr>
          <w:rFonts w:eastAsia="Times New Roman"/>
          <w:color w:val="000000"/>
          <w:sz w:val="20"/>
          <w:szCs w:val="20"/>
        </w:rPr>
        <w:t xml:space="preserve"> the valuation allowance during 2021 is primarily related to the pre-tax losses generated in the U.S., offset by the valuation allowance release as a result of the Shareablee acquisition mentioned above. To the extent the Company determines that, based on </w:t>
      </w:r>
      <w:r>
        <w:rPr>
          <w:rFonts w:eastAsia="Times New Roman"/>
          <w:color w:val="000000"/>
          <w:sz w:val="20"/>
          <w:szCs w:val="20"/>
        </w:rPr>
        <w:t>the weight of available evidence, all or a portion of its valuation allowance is no longer necessary, the Company will recognize an income tax benefit in the period such determination is made for the reversal of the valuation allowance. If management deter</w:t>
      </w:r>
      <w:r>
        <w:rPr>
          <w:rFonts w:eastAsia="Times New Roman"/>
          <w:color w:val="000000"/>
          <w:sz w:val="20"/>
          <w:szCs w:val="20"/>
        </w:rPr>
        <w:t>mines that, based on the weight of available evidence, it is more-likely-than-not that all or a portion of the net deferred tax assets will not be realized, the Company may recognize income tax expense in the period such determination is made to increase t</w:t>
      </w:r>
      <w:r>
        <w:rPr>
          <w:rFonts w:eastAsia="Times New Roman"/>
          <w:color w:val="000000"/>
          <w:sz w:val="20"/>
          <w:szCs w:val="20"/>
        </w:rPr>
        <w:t>he valuation allowance. It is possible that such reduction of or addition to the Company's valuation allowance may have a material impact on the Company's results from operations.</w:t>
      </w:r>
    </w:p>
    <w:p w:rsidR="00000000" w:rsidRDefault="00971A12">
      <w:pPr>
        <w:divId w:val="448209260"/>
        <w:rPr>
          <w:rFonts w:eastAsia="Times New Roman"/>
        </w:rPr>
      </w:pPr>
      <w:r>
        <w:rPr>
          <w:rFonts w:eastAsia="Times New Roman"/>
          <w:color w:val="000000"/>
          <w:sz w:val="20"/>
          <w:szCs w:val="20"/>
        </w:rPr>
        <w:t>A summary of the deferred tax asset valuation allowance is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940"/>
        <w:gridCol w:w="38"/>
        <w:gridCol w:w="36"/>
        <w:gridCol w:w="36"/>
        <w:gridCol w:w="36"/>
        <w:gridCol w:w="110"/>
        <w:gridCol w:w="890"/>
        <w:gridCol w:w="36"/>
        <w:gridCol w:w="36"/>
        <w:gridCol w:w="36"/>
        <w:gridCol w:w="36"/>
        <w:gridCol w:w="110"/>
        <w:gridCol w:w="891"/>
        <w:gridCol w:w="36"/>
      </w:tblGrid>
      <w:tr w:rsidR="00000000">
        <w:trPr>
          <w:divId w:val="2003771405"/>
        </w:trPr>
        <w:tc>
          <w:tcPr>
            <w:tcW w:w="50" w:type="pct"/>
            <w:vAlign w:val="center"/>
            <w:hideMark/>
          </w:tcPr>
          <w:p w:rsidR="00000000" w:rsidRDefault="00971A12">
            <w:pPr>
              <w:rPr>
                <w:rFonts w:eastAsia="Times New Roman"/>
              </w:rPr>
            </w:pPr>
          </w:p>
        </w:tc>
        <w:tc>
          <w:tcPr>
            <w:tcW w:w="362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2003771405"/>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As of December 31,</w:t>
            </w:r>
          </w:p>
        </w:tc>
      </w:tr>
      <w:tr w:rsidR="00000000">
        <w:trPr>
          <w:divId w:val="2003771405"/>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r>
      <w:tr w:rsidR="00000000">
        <w:trPr>
          <w:divId w:val="2003771405"/>
        </w:trPr>
        <w:tc>
          <w:tcPr>
            <w:tcW w:w="0" w:type="auto"/>
            <w:gridSpan w:val="3"/>
            <w:shd w:val="clear" w:color="auto" w:fill="CCEEFF"/>
            <w:tcMar>
              <w:top w:w="30" w:type="dxa"/>
              <w:left w:w="20" w:type="dxa"/>
              <w:bottom w:w="30" w:type="dxa"/>
              <w:right w:w="20" w:type="dxa"/>
            </w:tcMar>
            <w:hideMark/>
          </w:tcPr>
          <w:p w:rsidR="00000000" w:rsidRDefault="00971A12">
            <w:pPr>
              <w:spacing w:after="100"/>
              <w:divId w:val="1075322086"/>
              <w:rPr>
                <w:rFonts w:eastAsia="Times New Roman"/>
              </w:rPr>
            </w:pPr>
            <w:r>
              <w:rPr>
                <w:rFonts w:eastAsia="Times New Roman"/>
                <w:b/>
                <w:bCs/>
                <w:color w:val="000000"/>
                <w:sz w:val="18"/>
                <w:szCs w:val="18"/>
              </w:rPr>
              <w:t>Beginning Balance</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233,843 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220,115 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03771405"/>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Additions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17,280 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13,462 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03771405"/>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Additions from acquisition accounting</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275 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03771405"/>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Reductions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(129)</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2003771405"/>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18"/>
                <w:szCs w:val="18"/>
              </w:rPr>
              <w:t>Ending Balance</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250,994 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233,843 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both"/>
        <w:divId w:val="719287674"/>
        <w:rPr>
          <w:rFonts w:eastAsia="Times New Roman"/>
        </w:rPr>
      </w:pPr>
      <w:r>
        <w:rPr>
          <w:rFonts w:eastAsia="Times New Roman"/>
          <w:i/>
          <w:iCs/>
          <w:color w:val="000000"/>
          <w:sz w:val="20"/>
          <w:szCs w:val="20"/>
        </w:rPr>
        <w:t>Net Op</w:t>
      </w:r>
      <w:r>
        <w:rPr>
          <w:rFonts w:eastAsia="Times New Roman"/>
          <w:i/>
          <w:iCs/>
          <w:color w:val="000000"/>
          <w:sz w:val="20"/>
          <w:szCs w:val="20"/>
        </w:rPr>
        <w:t xml:space="preserve">erating Loss and Credit Carryforwards </w:t>
      </w:r>
    </w:p>
    <w:p w:rsidR="00000000" w:rsidRDefault="00971A12">
      <w:pPr>
        <w:jc w:val="both"/>
        <w:divId w:val="1995450636"/>
        <w:rPr>
          <w:rFonts w:eastAsia="Times New Roman"/>
        </w:rPr>
      </w:pPr>
      <w:r>
        <w:rPr>
          <w:rFonts w:eastAsia="Times New Roman"/>
          <w:color w:val="000000"/>
          <w:sz w:val="20"/>
          <w:szCs w:val="20"/>
        </w:rPr>
        <w:t>As of December 31, 2022, the Company had federal and state net operating loss carryforwards for tax purposes of $584.8 million and $1.4 billion, respectively. These net operating loss carryforwards will begin to expir</w:t>
      </w:r>
      <w:r>
        <w:rPr>
          <w:rFonts w:eastAsia="Times New Roman"/>
          <w:color w:val="000000"/>
          <w:sz w:val="20"/>
          <w:szCs w:val="20"/>
        </w:rPr>
        <w:t>e in 2031 for federal income tax purposes and 2023 for state income tax purposes. The federal and certain state net operating losses generated after December 31, 2017 have an indefinite carryforward period. As of December 31, 2022, the Company had an aggre</w:t>
      </w:r>
      <w:r>
        <w:rPr>
          <w:rFonts w:eastAsia="Times New Roman"/>
          <w:color w:val="000000"/>
          <w:sz w:val="20"/>
          <w:szCs w:val="20"/>
        </w:rPr>
        <w:t xml:space="preserve">gate net operating loss carryforward for tax purposes related to its foreign subsidiaries of $9.8 million, which will begin to expire in 2024. </w:t>
      </w:r>
    </w:p>
    <w:p w:rsidR="00000000" w:rsidRDefault="00971A12">
      <w:pPr>
        <w:jc w:val="both"/>
        <w:divId w:val="1057702732"/>
        <w:rPr>
          <w:rFonts w:eastAsia="Times New Roman"/>
        </w:rPr>
      </w:pPr>
      <w:r>
        <w:rPr>
          <w:rFonts w:eastAsia="Times New Roman"/>
          <w:color w:val="000000"/>
          <w:sz w:val="20"/>
          <w:szCs w:val="20"/>
        </w:rPr>
        <w:t>As of December 31, 2022, the Company had research and development credit carryforwards of $3.2 million which beg</w:t>
      </w:r>
      <w:r>
        <w:rPr>
          <w:rFonts w:eastAsia="Times New Roman"/>
          <w:color w:val="000000"/>
          <w:sz w:val="20"/>
          <w:szCs w:val="20"/>
        </w:rPr>
        <w:t>in to expire in 2025.</w:t>
      </w:r>
    </w:p>
    <w:p w:rsidR="00000000" w:rsidRDefault="00971A12">
      <w:pPr>
        <w:jc w:val="both"/>
        <w:divId w:val="1316683847"/>
        <w:rPr>
          <w:rFonts w:eastAsia="Times New Roman"/>
        </w:rPr>
      </w:pPr>
      <w:r>
        <w:rPr>
          <w:rFonts w:eastAsia="Times New Roman"/>
          <w:color w:val="000000"/>
          <w:sz w:val="20"/>
          <w:szCs w:val="20"/>
        </w:rPr>
        <w:t>Under the provisions of Internal Revenue Code Section 382, certain substantial changes in the Company's ownership may result in a limitation on the amount of U.S. net operating loss carryforwards that can be utilized annually to offse</w:t>
      </w:r>
      <w:r>
        <w:rPr>
          <w:rFonts w:eastAsia="Times New Roman"/>
          <w:color w:val="000000"/>
          <w:sz w:val="20"/>
          <w:szCs w:val="20"/>
        </w:rPr>
        <w:t>t future taxable income and taxes payable. A significant portion of the Company's net operating loss carryforwards are subject to an annual limitation under Section 382 of the Internal Revenue Code. The Company anticipates the Transactions may have trigger</w:t>
      </w:r>
      <w:r>
        <w:rPr>
          <w:rFonts w:eastAsia="Times New Roman"/>
          <w:color w:val="000000"/>
          <w:sz w:val="20"/>
          <w:szCs w:val="20"/>
        </w:rPr>
        <w:t>ed further limitations but has not yet reached a final conclusion as to whether an ownership change occurred and to what extent its net operating loss carryforwards are further limited. Additionally, despite the net operating loss carryforwards, the Compan</w:t>
      </w:r>
      <w:r>
        <w:rPr>
          <w:rFonts w:eastAsia="Times New Roman"/>
          <w:color w:val="000000"/>
          <w:sz w:val="20"/>
          <w:szCs w:val="20"/>
        </w:rPr>
        <w:t>y may have a future tax liability due to foreign tax or state tax requirements.</w:t>
      </w:r>
    </w:p>
    <w:p w:rsidR="00000000" w:rsidRDefault="00971A12">
      <w:pPr>
        <w:jc w:val="both"/>
        <w:divId w:val="750661170"/>
        <w:rPr>
          <w:rFonts w:eastAsia="Times New Roman"/>
        </w:rPr>
      </w:pPr>
      <w:r>
        <w:rPr>
          <w:rFonts w:eastAsia="Times New Roman"/>
          <w:i/>
          <w:iCs/>
          <w:color w:val="000000"/>
          <w:sz w:val="20"/>
          <w:szCs w:val="20"/>
        </w:rPr>
        <w:t>Foreign Undistributed Earnings</w:t>
      </w:r>
    </w:p>
    <w:p w:rsidR="00000000" w:rsidRDefault="00971A12">
      <w:pPr>
        <w:jc w:val="both"/>
        <w:divId w:val="1502699908"/>
        <w:rPr>
          <w:rFonts w:eastAsia="Times New Roman"/>
        </w:rPr>
      </w:pPr>
      <w:r>
        <w:rPr>
          <w:rFonts w:eastAsia="Times New Roman"/>
          <w:color w:val="000000"/>
          <w:sz w:val="20"/>
          <w:szCs w:val="20"/>
        </w:rPr>
        <w:t>As of December </w:t>
      </w:r>
      <w:r>
        <w:rPr>
          <w:rFonts w:eastAsia="Times New Roman"/>
          <w:color w:val="000000"/>
          <w:sz w:val="20"/>
          <w:szCs w:val="20"/>
        </w:rPr>
        <w:t>31, 2022, the Company has certain foreign subsidiaries with accumulated undistributed earnings. The TCJA allows for a dividend received deduction resulting in no material U.S. federal income tax upon repatriation of these earnings. The Company intends to i</w:t>
      </w:r>
      <w:r>
        <w:rPr>
          <w:rFonts w:eastAsia="Times New Roman"/>
          <w:color w:val="000000"/>
          <w:sz w:val="20"/>
          <w:szCs w:val="20"/>
        </w:rPr>
        <w:t>ndefinitely reinvest these earnings, as well as future earnings from its foreign subsidiaries, to fund its international operations and therefore has not accrued any foreign withholding taxes or state income taxes.</w:t>
      </w:r>
    </w:p>
    <w:p w:rsidR="00000000" w:rsidRDefault="00971A12">
      <w:pPr>
        <w:jc w:val="both"/>
        <w:divId w:val="1026172652"/>
        <w:rPr>
          <w:rFonts w:eastAsia="Times New Roman"/>
        </w:rPr>
      </w:pPr>
      <w:r>
        <w:rPr>
          <w:rFonts w:eastAsia="Times New Roman"/>
          <w:i/>
          <w:iCs/>
          <w:color w:val="000000"/>
          <w:sz w:val="20"/>
          <w:szCs w:val="20"/>
        </w:rPr>
        <w:t>Uncertain Tax Positions</w:t>
      </w:r>
    </w:p>
    <w:p w:rsidR="00000000" w:rsidRDefault="00971A12">
      <w:pPr>
        <w:jc w:val="both"/>
        <w:divId w:val="1345478602"/>
        <w:rPr>
          <w:rFonts w:eastAsia="Times New Roman"/>
        </w:rPr>
      </w:pPr>
      <w:r>
        <w:rPr>
          <w:rFonts w:eastAsia="Times New Roman"/>
          <w:color w:val="000000"/>
          <w:sz w:val="20"/>
          <w:szCs w:val="20"/>
        </w:rPr>
        <w:t>For uncertain tax</w:t>
      </w:r>
      <w:r>
        <w:rPr>
          <w:rFonts w:eastAsia="Times New Roman"/>
          <w:color w:val="000000"/>
          <w:sz w:val="20"/>
          <w:szCs w:val="20"/>
        </w:rPr>
        <w:t xml:space="preserve"> positions, the Company uses a more-likely-than-not recognition threshold based on the technical merits of the tax position taken. Tax positions that meet the more-likely-than-not recognition threshold are measured as the largest amount of tax benefits det</w:t>
      </w:r>
      <w:r>
        <w:rPr>
          <w:rFonts w:eastAsia="Times New Roman"/>
          <w:color w:val="000000"/>
          <w:sz w:val="20"/>
          <w:szCs w:val="20"/>
        </w:rPr>
        <w:t>ermined on a cumulative probability basis, which are more-likely-than-not to be realized upon ultimate settlement in the financial statements. The Company has unrecognized tax benefits, which are tax benefits related to uncertain tax positions which have b</w:t>
      </w:r>
      <w:r>
        <w:rPr>
          <w:rFonts w:eastAsia="Times New Roman"/>
          <w:color w:val="000000"/>
          <w:sz w:val="20"/>
          <w:szCs w:val="20"/>
        </w:rPr>
        <w:t>een or will be reflected in income tax filings that have not been recognized in the financial statements due to potential adjustments by taxing authorities in the applicable jurisdictions. The Company's liability for unrecognized tax benefits, which includ</w:t>
      </w:r>
      <w:r>
        <w:rPr>
          <w:rFonts w:eastAsia="Times New Roman"/>
          <w:color w:val="000000"/>
          <w:sz w:val="20"/>
          <w:szCs w:val="20"/>
        </w:rPr>
        <w:t>e interest and penalties, was $0.6 million for the years ended December 31, 2022 and 2021. The remaining unrecognized tax benefits have reduced deferred tax balances. The amount of unrecognized tax benefits that, if recognized, would affect the Company's e</w:t>
      </w:r>
      <w:r>
        <w:rPr>
          <w:rFonts w:eastAsia="Times New Roman"/>
          <w:color w:val="000000"/>
          <w:sz w:val="20"/>
          <w:szCs w:val="20"/>
        </w:rPr>
        <w:t>ffective tax rate is $2.0 million as of December 31, 2022, 2021 and 2020 and includes the federal tax benefit of state deductions. The Company anticipates a negligible amount of unrecognized tax benefits will reverse during the next year due to the expirat</w:t>
      </w:r>
      <w:r>
        <w:rPr>
          <w:rFonts w:eastAsia="Times New Roman"/>
          <w:color w:val="000000"/>
          <w:sz w:val="20"/>
          <w:szCs w:val="20"/>
        </w:rPr>
        <w:t xml:space="preserve">ion of statutes of limitation. </w:t>
      </w:r>
    </w:p>
    <w:p w:rsidR="00000000" w:rsidRDefault="00971A12">
      <w:pPr>
        <w:jc w:val="center"/>
        <w:divId w:val="1819296835"/>
        <w:rPr>
          <w:rFonts w:eastAsia="Times New Roman"/>
        </w:rPr>
      </w:pPr>
      <w:r>
        <w:rPr>
          <w:rFonts w:eastAsia="Times New Roman"/>
          <w:color w:val="000000"/>
          <w:sz w:val="20"/>
          <w:szCs w:val="20"/>
        </w:rPr>
        <w:t>78</w:t>
      </w:r>
    </w:p>
    <w:p w:rsidR="00000000" w:rsidRDefault="00971A12">
      <w:pPr>
        <w:rPr>
          <w:rFonts w:eastAsia="Times New Roman"/>
        </w:rPr>
      </w:pPr>
      <w:r>
        <w:rPr>
          <w:rFonts w:eastAsia="Times New Roman"/>
        </w:rPr>
        <w:pict>
          <v:rect id="_x0000_i1106" style="width:0;height:1.5pt" o:hralign="center" o:hrstd="t" o:hr="t" fillcolor="#a0a0a0" stroked="f"/>
        </w:pict>
      </w:r>
    </w:p>
    <w:p w:rsidR="00000000" w:rsidRDefault="00971A12">
      <w:pPr>
        <w:divId w:val="1840535885"/>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944455939"/>
        <w:rPr>
          <w:rFonts w:eastAsia="Times New Roman"/>
        </w:rPr>
      </w:pPr>
    </w:p>
    <w:p w:rsidR="00000000" w:rsidRDefault="00971A12">
      <w:pPr>
        <w:jc w:val="both"/>
        <w:divId w:val="1602298173"/>
        <w:rPr>
          <w:rFonts w:eastAsia="Times New Roman"/>
        </w:rPr>
      </w:pPr>
      <w:r>
        <w:rPr>
          <w:rFonts w:eastAsia="Times New Roman"/>
          <w:color w:val="000000"/>
          <w:sz w:val="20"/>
          <w:szCs w:val="20"/>
        </w:rPr>
        <w:t>Changes in the Company's unrecognized income tax benefits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826"/>
        <w:gridCol w:w="39"/>
        <w:gridCol w:w="36"/>
        <w:gridCol w:w="36"/>
        <w:gridCol w:w="36"/>
        <w:gridCol w:w="110"/>
        <w:gridCol w:w="879"/>
        <w:gridCol w:w="36"/>
        <w:gridCol w:w="36"/>
        <w:gridCol w:w="36"/>
        <w:gridCol w:w="36"/>
        <w:gridCol w:w="110"/>
        <w:gridCol w:w="880"/>
        <w:gridCol w:w="36"/>
        <w:gridCol w:w="36"/>
        <w:gridCol w:w="36"/>
        <w:gridCol w:w="36"/>
        <w:gridCol w:w="110"/>
        <w:gridCol w:w="880"/>
        <w:gridCol w:w="36"/>
      </w:tblGrid>
      <w:tr w:rsidR="00000000">
        <w:trPr>
          <w:divId w:val="646280956"/>
        </w:trPr>
        <w:tc>
          <w:tcPr>
            <w:tcW w:w="50" w:type="pct"/>
            <w:vAlign w:val="center"/>
            <w:hideMark/>
          </w:tcPr>
          <w:p w:rsidR="00000000" w:rsidRDefault="00971A12">
            <w:pPr>
              <w:jc w:val="both"/>
              <w:rPr>
                <w:rFonts w:eastAsia="Times New Roman"/>
              </w:rPr>
            </w:pPr>
          </w:p>
        </w:tc>
        <w:tc>
          <w:tcPr>
            <w:tcW w:w="2972"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646280956"/>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As of December 31,</w:t>
            </w:r>
          </w:p>
        </w:tc>
      </w:tr>
      <w:tr w:rsidR="00000000">
        <w:trPr>
          <w:divId w:val="646280956"/>
        </w:trPr>
        <w:tc>
          <w:tcPr>
            <w:tcW w:w="0" w:type="auto"/>
            <w:gridSpan w:val="3"/>
            <w:tcMar>
              <w:top w:w="30" w:type="dxa"/>
              <w:left w:w="20" w:type="dxa"/>
              <w:bottom w:w="30" w:type="dxa"/>
              <w:right w:w="20" w:type="dxa"/>
            </w:tcMar>
            <w:vAlign w:val="bottom"/>
            <w:hideMark/>
          </w:tcPr>
          <w:p w:rsidR="00000000" w:rsidRDefault="00971A12">
            <w:pPr>
              <w:spacing w:after="100"/>
              <w:divId w:val="840589011"/>
              <w:rPr>
                <w:rFonts w:eastAsia="Times New Roman"/>
              </w:rPr>
            </w:pPr>
            <w:r>
              <w:rPr>
                <w:rFonts w:eastAsia="Times New Roman"/>
                <w:color w:val="000000"/>
                <w:sz w:val="16"/>
                <w:szCs w:val="16"/>
              </w:rPr>
              <w:t> </w:t>
            </w: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r>
      <w:tr w:rsidR="00000000">
        <w:trPr>
          <w:divId w:val="646280956"/>
        </w:trPr>
        <w:tc>
          <w:tcPr>
            <w:tcW w:w="0" w:type="auto"/>
            <w:gridSpan w:val="3"/>
            <w:shd w:val="clear" w:color="auto" w:fill="CCEEFF"/>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18"/>
                <w:szCs w:val="18"/>
              </w:rPr>
              <w:t>Beginning balance</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646280956"/>
        </w:trPr>
        <w:tc>
          <w:tcPr>
            <w:tcW w:w="0" w:type="auto"/>
            <w:gridSpan w:val="3"/>
            <w:shd w:val="clear" w:color="auto" w:fill="FFFFFF"/>
            <w:tcMar>
              <w:top w:w="30" w:type="dxa"/>
              <w:left w:w="20" w:type="dxa"/>
              <w:bottom w:w="30" w:type="dxa"/>
              <w:right w:w="20" w:type="dxa"/>
            </w:tcMar>
            <w:hideMark/>
          </w:tcPr>
          <w:p w:rsidR="00000000" w:rsidRDefault="00971A12">
            <w:pPr>
              <w:spacing w:after="100"/>
              <w:divId w:val="1692105968"/>
              <w:rPr>
                <w:rFonts w:eastAsia="Times New Roman"/>
              </w:rPr>
            </w:pPr>
            <w:r>
              <w:rPr>
                <w:rFonts w:eastAsia="Times New Roman"/>
                <w:color w:val="000000"/>
                <w:sz w:val="18"/>
                <w:szCs w:val="18"/>
              </w:rPr>
              <w:t>Increase related to tax positions of prior years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646280956"/>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Increase related to tax positions of the current year</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646280956"/>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646280956"/>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Decrease related to tax positions of prior years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646280956"/>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646280956"/>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Decrease due to lapse in statutes of limitations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(29)</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(46)</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(415)</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646280956"/>
        </w:trPr>
        <w:tc>
          <w:tcPr>
            <w:tcW w:w="0" w:type="auto"/>
            <w:gridSpan w:val="3"/>
            <w:shd w:val="clear" w:color="auto" w:fill="FFFFFF"/>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18"/>
                <w:szCs w:val="18"/>
              </w:rPr>
              <w:t>Ending balance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2,078 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both"/>
        <w:divId w:val="995449015"/>
        <w:rPr>
          <w:rFonts w:eastAsia="Times New Roman"/>
        </w:rPr>
      </w:pPr>
      <w:r>
        <w:rPr>
          <w:rFonts w:eastAsia="Times New Roman"/>
          <w:color w:val="000000"/>
          <w:sz w:val="20"/>
          <w:szCs w:val="20"/>
        </w:rPr>
        <w:t>The Company recognizes interest and penalties related to income tax matters in income tax expense. As of December 31, 2022 and 2021, accrued interest and pena</w:t>
      </w:r>
      <w:r>
        <w:rPr>
          <w:rFonts w:eastAsia="Times New Roman"/>
          <w:color w:val="000000"/>
          <w:sz w:val="20"/>
          <w:szCs w:val="20"/>
        </w:rPr>
        <w:t>lties on unrecognized tax benefits were $0.2 million and $0.1 million, respectively. The Company or one of its subsidiaries files income tax returns in the U.S. federal jurisdiction, and various state and foreign jurisdictions. For income tax returns filed</w:t>
      </w:r>
      <w:r>
        <w:rPr>
          <w:rFonts w:eastAsia="Times New Roman"/>
          <w:color w:val="000000"/>
          <w:sz w:val="20"/>
          <w:szCs w:val="20"/>
        </w:rPr>
        <w:t xml:space="preserve"> by the Company, the Company is generally no longer subject to U.S. federal examinations by tax authorities for years prior to 2019 or state and local tax examinations by tax authorities for years prior to 2018. The Company is no longer subject to examinat</w:t>
      </w:r>
      <w:r>
        <w:rPr>
          <w:rFonts w:eastAsia="Times New Roman"/>
          <w:color w:val="000000"/>
          <w:sz w:val="20"/>
          <w:szCs w:val="20"/>
        </w:rPr>
        <w:t>ion by tax authorities in the Netherlands for years prior to 2016. However, tax attribute carryforwards may still be adjusted upon examination by tax authorities.</w:t>
      </w:r>
    </w:p>
    <w:p w:rsidR="00000000" w:rsidRDefault="00971A12">
      <w:pPr>
        <w:ind w:hanging="360"/>
        <w:jc w:val="both"/>
        <w:divId w:val="417364023"/>
        <w:rPr>
          <w:rFonts w:eastAsia="Times New Roman"/>
        </w:rPr>
      </w:pPr>
      <w:r>
        <w:rPr>
          <w:rFonts w:eastAsia="Times New Roman"/>
          <w:b/>
          <w:bCs/>
          <w:color w:val="000000"/>
          <w:sz w:val="20"/>
          <w:szCs w:val="20"/>
        </w:rPr>
        <w:t>14.Related Party Transactions</w:t>
      </w:r>
    </w:p>
    <w:p w:rsidR="00000000" w:rsidRDefault="00971A12">
      <w:pPr>
        <w:jc w:val="both"/>
        <w:divId w:val="128481183"/>
        <w:rPr>
          <w:rFonts w:eastAsia="Times New Roman"/>
        </w:rPr>
      </w:pPr>
      <w:r>
        <w:rPr>
          <w:rFonts w:eastAsia="Times New Roman"/>
          <w:b/>
          <w:bCs/>
          <w:i/>
          <w:iCs/>
          <w:color w:val="000000"/>
          <w:sz w:val="20"/>
          <w:szCs w:val="20"/>
        </w:rPr>
        <w:t>Transactions with WPP</w:t>
      </w:r>
    </w:p>
    <w:p w:rsidR="00000000" w:rsidRDefault="00971A12">
      <w:pPr>
        <w:jc w:val="both"/>
        <w:divId w:val="1267155113"/>
        <w:rPr>
          <w:rFonts w:eastAsia="Times New Roman"/>
        </w:rPr>
      </w:pPr>
      <w:r>
        <w:rPr>
          <w:rFonts w:eastAsia="Times New Roman"/>
          <w:color w:val="000000"/>
          <w:sz w:val="20"/>
          <w:szCs w:val="20"/>
        </w:rPr>
        <w:t>As of December </w:t>
      </w:r>
      <w:r>
        <w:rPr>
          <w:rFonts w:eastAsia="Times New Roman"/>
          <w:color w:val="000000"/>
          <w:sz w:val="20"/>
          <w:szCs w:val="20"/>
        </w:rPr>
        <w:t>31, 2022 (based on public filings), WPP owned 11,319,363 shares of the Company's outstanding Common Stock, representing 12.3% of the outstanding Common Stock. The Company provides WPP, in the normal course of business, services amongst its different produc</w:t>
      </w:r>
      <w:r>
        <w:rPr>
          <w:rFonts w:eastAsia="Times New Roman"/>
          <w:color w:val="000000"/>
          <w:sz w:val="20"/>
          <w:szCs w:val="20"/>
        </w:rPr>
        <w:t>ts and receives various services from WPP supporting the Company's data collection efforts.</w:t>
      </w:r>
    </w:p>
    <w:p w:rsidR="00000000" w:rsidRDefault="00971A12">
      <w:pPr>
        <w:jc w:val="both"/>
        <w:divId w:val="916131578"/>
        <w:rPr>
          <w:rFonts w:eastAsia="Times New Roman"/>
        </w:rPr>
      </w:pPr>
      <w:r>
        <w:rPr>
          <w:rFonts w:eastAsia="Times New Roman"/>
          <w:color w:val="000000"/>
          <w:sz w:val="20"/>
          <w:szCs w:val="20"/>
        </w:rPr>
        <w:t>The Company's results from transactions with WPP, as reflected in the Consolidated Statements of Operations and Comprehensive Loss, are detailed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900"/>
        <w:gridCol w:w="36"/>
        <w:gridCol w:w="110"/>
        <w:gridCol w:w="893"/>
        <w:gridCol w:w="36"/>
        <w:gridCol w:w="36"/>
        <w:gridCol w:w="36"/>
        <w:gridCol w:w="36"/>
        <w:gridCol w:w="110"/>
        <w:gridCol w:w="893"/>
        <w:gridCol w:w="36"/>
        <w:gridCol w:w="36"/>
        <w:gridCol w:w="36"/>
        <w:gridCol w:w="36"/>
        <w:gridCol w:w="110"/>
        <w:gridCol w:w="893"/>
        <w:gridCol w:w="36"/>
      </w:tblGrid>
      <w:tr w:rsidR="00000000">
        <w:trPr>
          <w:divId w:val="1527601993"/>
          <w:jc w:val="center"/>
        </w:trPr>
        <w:tc>
          <w:tcPr>
            <w:tcW w:w="50" w:type="pct"/>
            <w:vAlign w:val="center"/>
            <w:hideMark/>
          </w:tcPr>
          <w:p w:rsidR="00000000" w:rsidRDefault="00971A12">
            <w:pPr>
              <w:jc w:val="both"/>
              <w:rPr>
                <w:rFonts w:eastAsia="Times New Roman"/>
              </w:rPr>
            </w:pPr>
          </w:p>
        </w:tc>
        <w:tc>
          <w:tcPr>
            <w:tcW w:w="2998"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527601993"/>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Years Ended December 31,</w:t>
            </w:r>
          </w:p>
        </w:tc>
      </w:tr>
      <w:tr w:rsidR="00000000">
        <w:trPr>
          <w:divId w:val="1527601993"/>
          <w:jc w:val="center"/>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2020</w:t>
            </w:r>
          </w:p>
        </w:tc>
      </w:tr>
      <w:tr w:rsidR="00000000">
        <w:trPr>
          <w:divId w:val="1527601993"/>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11,677 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13,595 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13,315 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527601993"/>
          <w:jc w:val="center"/>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Cost of revenues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9,391 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12,537 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10,094 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527601993"/>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527601993"/>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527601993"/>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bl>
    <w:p w:rsidR="00000000" w:rsidRDefault="00971A12">
      <w:pPr>
        <w:jc w:val="both"/>
        <w:divId w:val="804853832"/>
        <w:rPr>
          <w:rFonts w:eastAsia="Times New Roman"/>
        </w:rPr>
      </w:pPr>
      <w:r>
        <w:rPr>
          <w:rFonts w:eastAsia="Times New Roman"/>
          <w:color w:val="000000"/>
          <w:sz w:val="20"/>
          <w:szCs w:val="20"/>
        </w:rPr>
        <w:t>The Company has the following balances related to transactions with WPP, as reflected in the Consolidated Balance Sheets: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942"/>
        <w:gridCol w:w="36"/>
        <w:gridCol w:w="36"/>
        <w:gridCol w:w="36"/>
        <w:gridCol w:w="36"/>
        <w:gridCol w:w="110"/>
        <w:gridCol w:w="891"/>
        <w:gridCol w:w="36"/>
        <w:gridCol w:w="36"/>
        <w:gridCol w:w="36"/>
        <w:gridCol w:w="36"/>
        <w:gridCol w:w="110"/>
        <w:gridCol w:w="891"/>
        <w:gridCol w:w="36"/>
      </w:tblGrid>
      <w:tr w:rsidR="00000000">
        <w:trPr>
          <w:divId w:val="1654529153"/>
          <w:jc w:val="center"/>
        </w:trPr>
        <w:tc>
          <w:tcPr>
            <w:tcW w:w="50" w:type="pct"/>
            <w:vAlign w:val="center"/>
            <w:hideMark/>
          </w:tcPr>
          <w:p w:rsidR="00000000" w:rsidRDefault="00971A12">
            <w:pPr>
              <w:jc w:val="both"/>
              <w:rPr>
                <w:rFonts w:eastAsia="Times New Roman"/>
              </w:rPr>
            </w:pPr>
          </w:p>
        </w:tc>
        <w:tc>
          <w:tcPr>
            <w:tcW w:w="362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654529153"/>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As of December 31,</w:t>
            </w:r>
          </w:p>
        </w:tc>
      </w:tr>
      <w:tr w:rsidR="00000000">
        <w:trPr>
          <w:divId w:val="1654529153"/>
          <w:jc w:val="center"/>
        </w:trPr>
        <w:tc>
          <w:tcPr>
            <w:tcW w:w="0" w:type="auto"/>
            <w:gridSpan w:val="3"/>
            <w:tcMar>
              <w:top w:w="30" w:type="dxa"/>
              <w:left w:w="20" w:type="dxa"/>
              <w:bottom w:w="30" w:type="dxa"/>
              <w:right w:w="20" w:type="dxa"/>
            </w:tcMar>
            <w:vAlign w:val="bottom"/>
            <w:hideMark/>
          </w:tcPr>
          <w:p w:rsidR="00000000" w:rsidRDefault="00971A12">
            <w:pPr>
              <w:spacing w:after="100"/>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2021</w:t>
            </w:r>
          </w:p>
        </w:tc>
      </w:tr>
      <w:tr w:rsidR="00000000">
        <w:trPr>
          <w:divId w:val="1654529153"/>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654529153"/>
          <w:jc w:val="center"/>
        </w:trPr>
        <w:tc>
          <w:tcPr>
            <w:tcW w:w="0" w:type="auto"/>
            <w:gridSpan w:val="3"/>
            <w:shd w:val="clear" w:color="auto" w:fill="FFFF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Accounts receivable, net</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825 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3,506 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654529153"/>
          <w:jc w:val="center"/>
        </w:trPr>
        <w:tc>
          <w:tcPr>
            <w:tcW w:w="0" w:type="auto"/>
            <w:gridSpan w:val="3"/>
            <w:vAlign w:val="center"/>
            <w:hideMark/>
          </w:tcPr>
          <w:p w:rsidR="00000000" w:rsidRDefault="00971A12">
            <w:pPr>
              <w:spacing w:after="100"/>
              <w:jc w:val="right"/>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654529153"/>
          <w:jc w:val="center"/>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r>
      <w:tr w:rsidR="00000000">
        <w:trPr>
          <w:divId w:val="1654529153"/>
          <w:jc w:val="center"/>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654529153"/>
          <w:jc w:val="center"/>
        </w:trPr>
        <w:tc>
          <w:tcPr>
            <w:tcW w:w="0" w:type="auto"/>
            <w:gridSpan w:val="3"/>
            <w:shd w:val="clear" w:color="auto" w:fill="FFFF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2,398 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1,395 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654529153"/>
          <w:jc w:val="center"/>
        </w:trPr>
        <w:tc>
          <w:tcPr>
            <w:tcW w:w="0" w:type="auto"/>
            <w:gridSpan w:val="3"/>
            <w:shd w:val="clear" w:color="auto" w:fill="CCEE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Accrued expenses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1,108 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740 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654529153"/>
          <w:jc w:val="center"/>
        </w:trPr>
        <w:tc>
          <w:tcPr>
            <w:tcW w:w="0" w:type="auto"/>
            <w:gridSpan w:val="3"/>
            <w:shd w:val="clear" w:color="auto" w:fill="FFFF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Contract liabilities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1,132 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3,403 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r>
      <w:tr w:rsidR="00000000">
        <w:trPr>
          <w:divId w:val="1654529153"/>
          <w:jc w:val="center"/>
        </w:trPr>
        <w:tc>
          <w:tcPr>
            <w:tcW w:w="0" w:type="auto"/>
            <w:gridSpan w:val="3"/>
            <w:shd w:val="clear" w:color="auto" w:fill="CCEEFF"/>
            <w:tcMar>
              <w:top w:w="30" w:type="dxa"/>
              <w:left w:w="26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Other non-current liabilities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159 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1,582 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r>
    </w:tbl>
    <w:p w:rsidR="00000000" w:rsidRDefault="00971A12">
      <w:pPr>
        <w:jc w:val="both"/>
        <w:divId w:val="498693819"/>
        <w:rPr>
          <w:rFonts w:eastAsia="Times New Roman"/>
        </w:rPr>
      </w:pPr>
      <w:r>
        <w:rPr>
          <w:rFonts w:eastAsia="Times New Roman"/>
          <w:b/>
          <w:bCs/>
          <w:i/>
          <w:iCs/>
          <w:color w:val="000000"/>
          <w:sz w:val="20"/>
          <w:szCs w:val="20"/>
        </w:rPr>
        <w:t>Transactions with Charter, Qurate and Pine</w:t>
      </w:r>
    </w:p>
    <w:p w:rsidR="00000000" w:rsidRDefault="00971A12">
      <w:pPr>
        <w:jc w:val="both"/>
        <w:divId w:val="195968658"/>
        <w:rPr>
          <w:rFonts w:eastAsia="Times New Roman"/>
        </w:rPr>
      </w:pPr>
      <w:r>
        <w:rPr>
          <w:rFonts w:eastAsia="Times New Roman"/>
          <w:color w:val="000000"/>
          <w:sz w:val="20"/>
          <w:szCs w:val="20"/>
        </w:rPr>
        <w:t>Charter, Qurate and Pine each hold 33.3</w:t>
      </w:r>
      <w:r>
        <w:rPr>
          <w:rFonts w:eastAsia="Times New Roman"/>
          <w:color w:val="000000"/>
          <w:sz w:val="20"/>
          <w:szCs w:val="20"/>
        </w:rPr>
        <w:t xml:space="preserve">% of the outstanding shares of Preferred Stock, which are entitled to convert into shares of Common Stock and to vote as a single class with the holders of the Common Stock as set forth in the Certificate of Designations. As of December 31, 2022 (based on </w:t>
      </w:r>
      <w:r>
        <w:rPr>
          <w:rFonts w:eastAsia="Times New Roman"/>
          <w:color w:val="000000"/>
          <w:sz w:val="20"/>
          <w:szCs w:val="20"/>
        </w:rPr>
        <w:t xml:space="preserve">public filings), Pine also owned 2,193,088 shares of the Company's outstanding Common Stock, representing 2.4% of the outstanding Common Stock. In addition, Charter, Qurate and Pine each designated two members of the Company's Board in accordance with the </w:t>
      </w:r>
      <w:r>
        <w:rPr>
          <w:rFonts w:eastAsia="Times New Roman"/>
          <w:color w:val="000000"/>
          <w:sz w:val="20"/>
          <w:szCs w:val="20"/>
        </w:rPr>
        <w:t>Stockholders Agreement.</w:t>
      </w:r>
    </w:p>
    <w:p w:rsidR="00000000" w:rsidRDefault="00971A12">
      <w:pPr>
        <w:jc w:val="both"/>
        <w:divId w:val="99186074"/>
        <w:rPr>
          <w:rFonts w:eastAsia="Times New Roman"/>
        </w:rPr>
      </w:pPr>
      <w:r>
        <w:rPr>
          <w:rFonts w:eastAsia="Times New Roman"/>
          <w:color w:val="000000"/>
          <w:sz w:val="20"/>
          <w:szCs w:val="20"/>
        </w:rPr>
        <w:t>As of December 31, 2022 and December 31, 2021, Charter, Qurate and Pine each owned 27,509,203 shares of the Company's outstanding Preferred Stock. On June 30, 2022, in accordance with the Certificate of Designations of the Preferred</w:t>
      </w:r>
      <w:r>
        <w:rPr>
          <w:rFonts w:eastAsia="Times New Roman"/>
          <w:color w:val="000000"/>
          <w:sz w:val="20"/>
          <w:szCs w:val="20"/>
        </w:rPr>
        <w:t xml:space="preserve"> Stock, the Company made cash dividend payments totaling $15.5 million to the holders of the Preferred Stock, representing dividends accrued for the period from June 30, 2021 through June 29, 2022. Accrued dividends to the holders of Preferred Stock as of </w:t>
      </w:r>
      <w:r>
        <w:rPr>
          <w:rFonts w:eastAsia="Times New Roman"/>
          <w:color w:val="000000"/>
          <w:sz w:val="20"/>
          <w:szCs w:val="20"/>
        </w:rPr>
        <w:t xml:space="preserve">December 31, 2022 totaled $7.9 million. The next scheduled dividend payment date for the Preferred Stock is June 30, 2023. </w:t>
      </w:r>
    </w:p>
    <w:p w:rsidR="00000000" w:rsidRDefault="00971A12">
      <w:pPr>
        <w:jc w:val="both"/>
        <w:divId w:val="852836395"/>
        <w:rPr>
          <w:rFonts w:eastAsia="Times New Roman"/>
        </w:rPr>
      </w:pPr>
      <w:r>
        <w:rPr>
          <w:rFonts w:eastAsia="Times New Roman"/>
          <w:color w:val="000000"/>
          <w:sz w:val="20"/>
          <w:szCs w:val="20"/>
        </w:rPr>
        <w:t>Concurrent with the closing of the Transactions on March 10, 2021, the Company entered into a ten-year Data License Agreement ("DLA"</w:t>
      </w:r>
      <w:r>
        <w:rPr>
          <w:rFonts w:eastAsia="Times New Roman"/>
          <w:color w:val="000000"/>
          <w:sz w:val="20"/>
          <w:szCs w:val="20"/>
        </w:rPr>
        <w:t>) with Charter Communications Operating, LLC ("Charter Operating"), an affiliate of Charter. Under the DLA, Charter Operating will bill the Company for license fees according to a payment schedule that gradually increases from $10.0 million in the first ye</w:t>
      </w:r>
      <w:r>
        <w:rPr>
          <w:rFonts w:eastAsia="Times New Roman"/>
          <w:color w:val="000000"/>
          <w:sz w:val="20"/>
          <w:szCs w:val="20"/>
        </w:rPr>
        <w:t xml:space="preserve">ar of the term to $32.3 </w:t>
      </w:r>
    </w:p>
    <w:p w:rsidR="00000000" w:rsidRDefault="00971A12">
      <w:pPr>
        <w:jc w:val="center"/>
        <w:divId w:val="1580868486"/>
        <w:rPr>
          <w:rFonts w:eastAsia="Times New Roman"/>
        </w:rPr>
      </w:pPr>
      <w:r>
        <w:rPr>
          <w:rFonts w:eastAsia="Times New Roman"/>
          <w:color w:val="000000"/>
          <w:sz w:val="20"/>
          <w:szCs w:val="20"/>
        </w:rPr>
        <w:t>79</w:t>
      </w:r>
    </w:p>
    <w:p w:rsidR="00000000" w:rsidRDefault="00971A12">
      <w:pPr>
        <w:rPr>
          <w:rFonts w:eastAsia="Times New Roman"/>
        </w:rPr>
      </w:pPr>
      <w:r>
        <w:rPr>
          <w:rFonts w:eastAsia="Times New Roman"/>
        </w:rPr>
        <w:pict>
          <v:rect id="_x0000_i1107" style="width:0;height:1.5pt" o:hralign="center" o:hrstd="t" o:hr="t" fillcolor="#a0a0a0" stroked="f"/>
        </w:pict>
      </w:r>
    </w:p>
    <w:p w:rsidR="00000000" w:rsidRDefault="00971A12">
      <w:pPr>
        <w:divId w:val="1412778405"/>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265651245"/>
        <w:rPr>
          <w:rFonts w:eastAsia="Times New Roman"/>
        </w:rPr>
      </w:pPr>
    </w:p>
    <w:p w:rsidR="00000000" w:rsidRDefault="00971A12">
      <w:pPr>
        <w:jc w:val="both"/>
        <w:divId w:val="1930307243"/>
        <w:rPr>
          <w:rFonts w:eastAsia="Times New Roman"/>
        </w:rPr>
      </w:pPr>
      <w:r>
        <w:rPr>
          <w:rFonts w:eastAsia="Times New Roman"/>
          <w:color w:val="000000"/>
          <w:sz w:val="20"/>
          <w:szCs w:val="20"/>
        </w:rPr>
        <w:t>million in the tenth year of the term. The Company recognizes expense for the license fees ratably over the term. On November 6, 2022, the Company and Charter Operating entered into an amendment to the DLA, pursuant to which the Company will receive licens</w:t>
      </w:r>
      <w:r>
        <w:rPr>
          <w:rFonts w:eastAsia="Times New Roman"/>
          <w:color w:val="000000"/>
          <w:sz w:val="20"/>
          <w:szCs w:val="20"/>
        </w:rPr>
        <w:t xml:space="preserve">e fee credits totaling $7.0 million. </w:t>
      </w:r>
    </w:p>
    <w:p w:rsidR="00000000" w:rsidRDefault="00971A12">
      <w:pPr>
        <w:jc w:val="both"/>
        <w:divId w:val="343824461"/>
        <w:rPr>
          <w:rFonts w:eastAsia="Times New Roman"/>
        </w:rPr>
      </w:pPr>
      <w:r>
        <w:rPr>
          <w:rFonts w:eastAsia="Times New Roman"/>
          <w:color w:val="000000"/>
          <w:sz w:val="20"/>
          <w:szCs w:val="20"/>
        </w:rPr>
        <w:t>The Company's results from transactions with Charter and its affiliates, as reflected in the Consolidated Statements of Operations and Comprehensive Loss, are detailed below:</w:t>
      </w:r>
    </w:p>
    <w:tbl>
      <w:tblPr>
        <w:tblW w:w="5000" w:type="pct"/>
        <w:tblCellMar>
          <w:top w:w="15" w:type="dxa"/>
          <w:left w:w="15" w:type="dxa"/>
          <w:bottom w:w="15" w:type="dxa"/>
          <w:right w:w="15" w:type="dxa"/>
        </w:tblCellMar>
        <w:tblLook w:val="04A0" w:firstRow="1" w:lastRow="0" w:firstColumn="1" w:lastColumn="0" w:noHBand="0" w:noVBand="1"/>
      </w:tblPr>
      <w:tblGrid>
        <w:gridCol w:w="37"/>
        <w:gridCol w:w="5975"/>
        <w:gridCol w:w="36"/>
        <w:gridCol w:w="111"/>
        <w:gridCol w:w="892"/>
        <w:gridCol w:w="36"/>
        <w:gridCol w:w="36"/>
        <w:gridCol w:w="36"/>
        <w:gridCol w:w="36"/>
        <w:gridCol w:w="111"/>
        <w:gridCol w:w="892"/>
        <w:gridCol w:w="36"/>
        <w:gridCol w:w="36"/>
        <w:gridCol w:w="36"/>
      </w:tblGrid>
      <w:tr w:rsidR="00000000">
        <w:trPr>
          <w:divId w:val="1724138013"/>
        </w:trPr>
        <w:tc>
          <w:tcPr>
            <w:tcW w:w="50" w:type="pct"/>
            <w:vAlign w:val="center"/>
            <w:hideMark/>
          </w:tcPr>
          <w:p w:rsidR="00000000" w:rsidRDefault="00971A12">
            <w:pPr>
              <w:jc w:val="both"/>
              <w:rPr>
                <w:rFonts w:eastAsia="Times New Roman"/>
              </w:rPr>
            </w:pPr>
          </w:p>
        </w:tc>
        <w:tc>
          <w:tcPr>
            <w:tcW w:w="3662"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724138013"/>
        </w:trPr>
        <w:tc>
          <w:tcPr>
            <w:tcW w:w="0" w:type="auto"/>
            <w:gridSpan w:val="3"/>
            <w:tcMar>
              <w:top w:w="30" w:type="dxa"/>
              <w:left w:w="20" w:type="dxa"/>
              <w:bottom w:w="30" w:type="dxa"/>
              <w:right w:w="20" w:type="dxa"/>
            </w:tcMar>
            <w:vAlign w:val="bottom"/>
            <w:hideMark/>
          </w:tcPr>
          <w:p w:rsidR="00000000" w:rsidRDefault="00971A12">
            <w:pPr>
              <w:spacing w:after="100"/>
              <w:jc w:val="both"/>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 Ended December 31, 2022</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Year Ended December 31, 2021</w:t>
            </w:r>
          </w:p>
        </w:tc>
        <w:tc>
          <w:tcPr>
            <w:tcW w:w="0" w:type="auto"/>
            <w:vAlign w:val="center"/>
            <w:hideMark/>
          </w:tcPr>
          <w:p w:rsidR="00000000" w:rsidRDefault="00971A12">
            <w:pPr>
              <w:spacing w:after="100"/>
              <w:jc w:val="center"/>
              <w:rPr>
                <w:rFonts w:eastAsia="Times New Roman"/>
              </w:rPr>
            </w:pPr>
          </w:p>
        </w:tc>
        <w:tc>
          <w:tcPr>
            <w:tcW w:w="0" w:type="auto"/>
            <w:vAlign w:val="center"/>
            <w:hideMark/>
          </w:tcPr>
          <w:p w:rsidR="00000000" w:rsidRDefault="00971A12">
            <w:pPr>
              <w:spacing w:after="100"/>
              <w:rPr>
                <w:rFonts w:eastAsia="Times New Roman"/>
                <w:sz w:val="20"/>
                <w:szCs w:val="20"/>
              </w:rPr>
            </w:pPr>
          </w:p>
        </w:tc>
      </w:tr>
      <w:tr w:rsidR="00000000">
        <w:trPr>
          <w:divId w:val="1724138013"/>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 xml:space="preserve">Revenues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2,262 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1,849 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724138013"/>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Cost of revenues</w:t>
            </w: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17,580 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21,998 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724138013"/>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724138013"/>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724138013"/>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724138013"/>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bl>
    <w:p w:rsidR="00000000" w:rsidRDefault="00971A12">
      <w:pPr>
        <w:jc w:val="both"/>
        <w:divId w:val="2140877133"/>
        <w:rPr>
          <w:rFonts w:eastAsia="Times New Roman"/>
        </w:rPr>
      </w:pPr>
      <w:r>
        <w:rPr>
          <w:rFonts w:eastAsia="Times New Roman"/>
          <w:color w:val="000000"/>
          <w:sz w:val="20"/>
          <w:szCs w:val="20"/>
        </w:rPr>
        <w:t>The Company has the following liability balances related to transactions with Charter and its affiliates, as reflected in the Consolidated Balance Sheet:</w:t>
      </w:r>
    </w:p>
    <w:tbl>
      <w:tblPr>
        <w:tblW w:w="5000" w:type="pct"/>
        <w:tblCellMar>
          <w:top w:w="15" w:type="dxa"/>
          <w:left w:w="15" w:type="dxa"/>
          <w:bottom w:w="15" w:type="dxa"/>
          <w:right w:w="15" w:type="dxa"/>
        </w:tblCellMar>
        <w:tblLook w:val="04A0" w:firstRow="1" w:lastRow="0" w:firstColumn="1" w:lastColumn="0" w:noHBand="0" w:noVBand="1"/>
      </w:tblPr>
      <w:tblGrid>
        <w:gridCol w:w="37"/>
        <w:gridCol w:w="5900"/>
        <w:gridCol w:w="36"/>
        <w:gridCol w:w="36"/>
        <w:gridCol w:w="36"/>
        <w:gridCol w:w="36"/>
        <w:gridCol w:w="111"/>
        <w:gridCol w:w="875"/>
        <w:gridCol w:w="36"/>
        <w:gridCol w:w="36"/>
        <w:gridCol w:w="36"/>
        <w:gridCol w:w="36"/>
        <w:gridCol w:w="111"/>
        <w:gridCol w:w="876"/>
        <w:gridCol w:w="36"/>
        <w:gridCol w:w="36"/>
        <w:gridCol w:w="36"/>
      </w:tblGrid>
      <w:tr w:rsidR="00000000">
        <w:trPr>
          <w:divId w:val="1225797288"/>
        </w:trPr>
        <w:tc>
          <w:tcPr>
            <w:tcW w:w="50" w:type="pct"/>
            <w:vAlign w:val="center"/>
            <w:hideMark/>
          </w:tcPr>
          <w:p w:rsidR="00000000" w:rsidRDefault="00971A12">
            <w:pPr>
              <w:jc w:val="both"/>
              <w:rPr>
                <w:rFonts w:eastAsia="Times New Roman"/>
              </w:rPr>
            </w:pPr>
          </w:p>
        </w:tc>
        <w:tc>
          <w:tcPr>
            <w:tcW w:w="363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225797288"/>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As of</w:t>
            </w:r>
          </w:p>
        </w:tc>
        <w:tc>
          <w:tcPr>
            <w:tcW w:w="0" w:type="auto"/>
            <w:vAlign w:val="center"/>
            <w:hideMark/>
          </w:tcPr>
          <w:p w:rsidR="00000000" w:rsidRDefault="00971A12">
            <w:pPr>
              <w:spacing w:after="100"/>
              <w:jc w:val="center"/>
              <w:rPr>
                <w:rFonts w:eastAsia="Times New Roman"/>
              </w:rPr>
            </w:pPr>
          </w:p>
        </w:tc>
        <w:tc>
          <w:tcPr>
            <w:tcW w:w="0" w:type="auto"/>
            <w:vAlign w:val="center"/>
            <w:hideMark/>
          </w:tcPr>
          <w:p w:rsidR="00000000" w:rsidRDefault="00971A12">
            <w:pPr>
              <w:spacing w:after="100"/>
              <w:rPr>
                <w:rFonts w:eastAsia="Times New Roman"/>
                <w:sz w:val="20"/>
                <w:szCs w:val="20"/>
              </w:rPr>
            </w:pPr>
          </w:p>
        </w:tc>
      </w:tr>
      <w:tr w:rsidR="00000000">
        <w:trPr>
          <w:divId w:val="1225797288"/>
        </w:trPr>
        <w:tc>
          <w:tcPr>
            <w:tcW w:w="0" w:type="auto"/>
            <w:gridSpan w:val="3"/>
            <w:tcMar>
              <w:top w:w="30" w:type="dxa"/>
              <w:left w:w="20" w:type="dxa"/>
              <w:bottom w:w="30" w:type="dxa"/>
              <w:right w:w="20" w:type="dxa"/>
            </w:tcMar>
            <w:vAlign w:val="bottom"/>
            <w:hideMark/>
          </w:tcPr>
          <w:p w:rsidR="00000000" w:rsidRDefault="00971A12">
            <w:pPr>
              <w:spacing w:after="100"/>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rsidR="00000000" w:rsidRDefault="00971A12">
            <w:pPr>
              <w:spacing w:after="100"/>
              <w:jc w:val="center"/>
              <w:rPr>
                <w:rFonts w:eastAsia="Times New Roman"/>
              </w:rPr>
            </w:pPr>
          </w:p>
        </w:tc>
        <w:tc>
          <w:tcPr>
            <w:tcW w:w="0" w:type="auto"/>
            <w:vAlign w:val="center"/>
            <w:hideMark/>
          </w:tcPr>
          <w:p w:rsidR="00000000" w:rsidRDefault="00971A12">
            <w:pPr>
              <w:spacing w:after="100"/>
              <w:rPr>
                <w:rFonts w:eastAsia="Times New Roman"/>
                <w:sz w:val="20"/>
                <w:szCs w:val="20"/>
              </w:rPr>
            </w:pPr>
          </w:p>
        </w:tc>
      </w:tr>
      <w:tr w:rsidR="00000000">
        <w:trPr>
          <w:divId w:val="1225797288"/>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225797288"/>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225797288"/>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225797288"/>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9,693 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5,180 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225797288"/>
        </w:trPr>
        <w:tc>
          <w:tcPr>
            <w:tcW w:w="0" w:type="auto"/>
            <w:gridSpan w:val="3"/>
            <w:shd w:val="clear" w:color="auto" w:fill="FFFF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Accrued expenses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3,189 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3,377 </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225797288"/>
        </w:trPr>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gridSpan w:val="3"/>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1225797288"/>
        </w:trPr>
        <w:tc>
          <w:tcPr>
            <w:tcW w:w="0" w:type="auto"/>
            <w:gridSpan w:val="3"/>
            <w:shd w:val="clear" w:color="auto" w:fill="CCEEFF"/>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8"/>
                <w:szCs w:val="18"/>
              </w:rPr>
              <w:t>Non-current portion of accrued data costs</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15,471 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7,843 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bl>
    <w:p w:rsidR="00000000" w:rsidRDefault="00971A12">
      <w:pPr>
        <w:jc w:val="both"/>
        <w:divId w:val="1736273645"/>
        <w:rPr>
          <w:rFonts w:eastAsia="Times New Roman"/>
        </w:rPr>
      </w:pPr>
      <w:r>
        <w:rPr>
          <w:rFonts w:eastAsia="Times New Roman"/>
          <w:color w:val="000000"/>
          <w:sz w:val="20"/>
          <w:szCs w:val="20"/>
        </w:rPr>
        <w:t>The Company recognized revenues of $0.9 million and $0.8 million from transactions with Qurate and its affiliates in the normal course of business during the years ended December 31, 2022 and December 31, 2021, respectively, as reflected in the Consolidate</w:t>
      </w:r>
      <w:r>
        <w:rPr>
          <w:rFonts w:eastAsia="Times New Roman"/>
          <w:color w:val="000000"/>
          <w:sz w:val="20"/>
          <w:szCs w:val="20"/>
        </w:rPr>
        <w:t>d Statements of Operations and Comprehensive Loss.</w:t>
      </w:r>
    </w:p>
    <w:p w:rsidR="00000000" w:rsidRDefault="00971A12">
      <w:pPr>
        <w:jc w:val="both"/>
        <w:divId w:val="338238913"/>
        <w:rPr>
          <w:rFonts w:eastAsia="Times New Roman"/>
        </w:rPr>
      </w:pPr>
      <w:r>
        <w:rPr>
          <w:rFonts w:eastAsia="Times New Roman"/>
          <w:color w:val="000000"/>
          <w:sz w:val="20"/>
          <w:szCs w:val="20"/>
        </w:rPr>
        <w:t>The Company had no transactions, other than the issuance of shares of Preferred Stock and related matters, with Pine for the years ended December 31, 2022 and December 31, 2021.</w:t>
      </w:r>
    </w:p>
    <w:p w:rsidR="00000000" w:rsidRDefault="00971A12">
      <w:pPr>
        <w:jc w:val="both"/>
        <w:divId w:val="354111756"/>
        <w:rPr>
          <w:rFonts w:eastAsia="Times New Roman"/>
        </w:rPr>
      </w:pPr>
      <w:r>
        <w:rPr>
          <w:rFonts w:eastAsia="Times New Roman"/>
          <w:b/>
          <w:bCs/>
          <w:i/>
          <w:iCs/>
          <w:color w:val="000000"/>
          <w:sz w:val="20"/>
          <w:szCs w:val="20"/>
        </w:rPr>
        <w:t>Transactions with Starboard</w:t>
      </w:r>
      <w:r>
        <w:rPr>
          <w:rFonts w:eastAsia="Times New Roman"/>
          <w:i/>
          <w:iCs/>
          <w:color w:val="000000"/>
          <w:sz w:val="20"/>
          <w:szCs w:val="20"/>
        </w:rPr>
        <w:t xml:space="preserve"> </w:t>
      </w:r>
    </w:p>
    <w:p w:rsidR="00000000" w:rsidRDefault="00971A12">
      <w:pPr>
        <w:jc w:val="both"/>
        <w:divId w:val="1377779959"/>
        <w:rPr>
          <w:rFonts w:eastAsia="Times New Roman"/>
        </w:rPr>
      </w:pPr>
      <w:r>
        <w:rPr>
          <w:rFonts w:eastAsia="Times New Roman"/>
          <w:color w:val="000000"/>
          <w:sz w:val="20"/>
          <w:szCs w:val="20"/>
        </w:rPr>
        <w:t xml:space="preserve">In 2018, the Company entered into certain agreements with Starboard, then a beneficial owner of more than 5.0% of the Company's outstanding Common Stock. Refer to </w:t>
      </w:r>
      <w:hyperlink w:anchor="i0047531bd13046b986557e31951e34f8_124"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for further information regarding these agreements and the Company's issuance of Notes to Starboard in 2018. As a result of these agreements and the transactions contemplated thereby, Starboard ceased to be a beneficial owner of more than 5.0% of the Com</w:t>
      </w:r>
      <w:r>
        <w:rPr>
          <w:rFonts w:eastAsia="Times New Roman"/>
          <w:color w:val="000000"/>
          <w:sz w:val="20"/>
          <w:szCs w:val="20"/>
        </w:rPr>
        <w:t>pany's outstanding Common Stock in January 2018. In addition, pursuant to a prior agreement with Starboard, the Company provided Starboard the right to designate certain members to the Company's Board. As of December 31, 2018, Starboard had no remaining ri</w:t>
      </w:r>
      <w:r>
        <w:rPr>
          <w:rFonts w:eastAsia="Times New Roman"/>
          <w:color w:val="000000"/>
          <w:sz w:val="20"/>
          <w:szCs w:val="20"/>
        </w:rPr>
        <w:t>ght to designate any directors to the Board. The Notes and related financing derivatives were extinguished on March 10, 2021.</w:t>
      </w:r>
    </w:p>
    <w:p w:rsidR="00000000" w:rsidRDefault="00971A12">
      <w:pPr>
        <w:jc w:val="both"/>
        <w:divId w:val="1887599756"/>
        <w:rPr>
          <w:rFonts w:eastAsia="Times New Roman"/>
        </w:rPr>
      </w:pPr>
      <w:r>
        <w:rPr>
          <w:rFonts w:eastAsia="Times New Roman"/>
          <w:color w:val="000000"/>
          <w:sz w:val="20"/>
          <w:szCs w:val="20"/>
        </w:rPr>
        <w:t xml:space="preserve">In the Consolidated Statements of Operations and Comprehensive Loss, the Company recorded interest expense, inclusive of non-cash </w:t>
      </w:r>
      <w:r>
        <w:rPr>
          <w:rFonts w:eastAsia="Times New Roman"/>
          <w:color w:val="000000"/>
          <w:sz w:val="20"/>
          <w:szCs w:val="20"/>
        </w:rPr>
        <w:t xml:space="preserve">accretion of issuance discount and deferred financing costs, related to the Notes of $6.6 million and $33.3 million during the year ended December 31, 2021 and 2020, respectively. </w:t>
      </w:r>
    </w:p>
    <w:p w:rsidR="00000000" w:rsidRDefault="00971A12">
      <w:pPr>
        <w:jc w:val="both"/>
        <w:divId w:val="716586641"/>
        <w:rPr>
          <w:rFonts w:eastAsia="Times New Roman"/>
        </w:rPr>
      </w:pPr>
      <w:r>
        <w:rPr>
          <w:rFonts w:eastAsia="Times New Roman"/>
          <w:color w:val="000000"/>
          <w:sz w:val="20"/>
          <w:szCs w:val="20"/>
        </w:rPr>
        <w:t xml:space="preserve">In connection with the extinguishment of the Notes on March 10, 2021, the Company issued 3,150,000 Conversion Shares to Starboard valued at $9.6 million as discussed in </w:t>
      </w:r>
      <w:hyperlink w:anchor="i0047531bd13046b986557e31951e34f8_124"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which amo</w:t>
      </w:r>
      <w:r>
        <w:rPr>
          <w:rFonts w:eastAsia="Times New Roman"/>
          <w:color w:val="000000"/>
          <w:sz w:val="20"/>
          <w:szCs w:val="20"/>
        </w:rPr>
        <w:t>unt was included as a component of loss on extinguishment of debt in the Consolidated Statements of Operations and Comprehensive Loss.</w:t>
      </w:r>
    </w:p>
    <w:p w:rsidR="00000000" w:rsidRDefault="00971A12">
      <w:pPr>
        <w:jc w:val="both"/>
        <w:divId w:val="1515073302"/>
        <w:rPr>
          <w:rFonts w:eastAsia="Times New Roman"/>
        </w:rPr>
      </w:pPr>
      <w:r>
        <w:rPr>
          <w:rFonts w:eastAsia="Times New Roman"/>
          <w:color w:val="000000"/>
          <w:sz w:val="20"/>
          <w:szCs w:val="20"/>
        </w:rPr>
        <w:t>The Company had no outstanding balances related to Starboard as of December 31, 2022 or 2021. The outstanding balances fo</w:t>
      </w:r>
      <w:r>
        <w:rPr>
          <w:rFonts w:eastAsia="Times New Roman"/>
          <w:color w:val="000000"/>
          <w:sz w:val="20"/>
          <w:szCs w:val="20"/>
        </w:rPr>
        <w:t>r the Notes, related financing derivatives, and other non-current liabilities as of December 31, 2020 are reflected in the Consolidated Balance Sheet.</w:t>
      </w:r>
    </w:p>
    <w:p w:rsidR="00000000" w:rsidRDefault="00971A12">
      <w:pPr>
        <w:ind w:hanging="360"/>
        <w:jc w:val="both"/>
        <w:divId w:val="2056614178"/>
        <w:rPr>
          <w:rFonts w:eastAsia="Times New Roman"/>
        </w:rPr>
      </w:pPr>
      <w:r>
        <w:rPr>
          <w:rFonts w:eastAsia="Times New Roman"/>
          <w:b/>
          <w:bCs/>
          <w:color w:val="000000"/>
          <w:sz w:val="20"/>
          <w:szCs w:val="20"/>
        </w:rPr>
        <w:t>15.Organizational Restructuring</w:t>
      </w:r>
    </w:p>
    <w:p w:rsidR="00000000" w:rsidRDefault="00971A12">
      <w:pPr>
        <w:jc w:val="both"/>
        <w:divId w:val="1333409691"/>
        <w:rPr>
          <w:rFonts w:eastAsia="Times New Roman"/>
        </w:rPr>
      </w:pPr>
      <w:r>
        <w:rPr>
          <w:rFonts w:eastAsia="Times New Roman"/>
          <w:color w:val="000000"/>
          <w:sz w:val="20"/>
          <w:szCs w:val="20"/>
        </w:rPr>
        <w:t xml:space="preserve">On September 29, 2022, the Company communicated a workforce reduction as </w:t>
      </w:r>
      <w:r>
        <w:rPr>
          <w:rFonts w:eastAsia="Times New Roman"/>
          <w:color w:val="000000"/>
          <w:sz w:val="20"/>
          <w:szCs w:val="20"/>
        </w:rPr>
        <w:t>part of its broader efforts to improve cost efficiency and better align its operating structure and resources with strategic priorities (collectively, the "Restructuring Plan"). In addition to employee terminations, the Restructuring Plan is expected to in</w:t>
      </w:r>
      <w:r>
        <w:rPr>
          <w:rFonts w:eastAsia="Times New Roman"/>
          <w:color w:val="000000"/>
          <w:sz w:val="20"/>
          <w:szCs w:val="20"/>
        </w:rPr>
        <w:t>clude the reallocation of commercial and product development resources; reinvestment in and modernization of key technology platforms; consolidation of data storage and processing activities to reduce the Company's data center footprint; and reduction of o</w:t>
      </w:r>
      <w:r>
        <w:rPr>
          <w:rFonts w:eastAsia="Times New Roman"/>
          <w:color w:val="000000"/>
          <w:sz w:val="20"/>
          <w:szCs w:val="20"/>
        </w:rPr>
        <w:t>ther operating expenses, including software and facility costs. The Company may also determine to exit certain activities in certain geographic regions in order to more effectively align resources with business priorities. In connection with the Restructur</w:t>
      </w:r>
      <w:r>
        <w:rPr>
          <w:rFonts w:eastAsia="Times New Roman"/>
          <w:color w:val="000000"/>
          <w:sz w:val="20"/>
          <w:szCs w:val="20"/>
        </w:rPr>
        <w:t>ing Plan, which was authorized by the Board on September 19, 2022, the Company will incur certain exit-related costs. These costs are estimated to range between $13 million and $18 million. The Company expects implementation of the Restructuring Plan, incl</w:t>
      </w:r>
      <w:r>
        <w:rPr>
          <w:rFonts w:eastAsia="Times New Roman"/>
          <w:color w:val="000000"/>
          <w:sz w:val="20"/>
          <w:szCs w:val="20"/>
        </w:rPr>
        <w:t>uding cash payments, to be substantially complete in the fourth quarter of 2023.</w:t>
      </w:r>
    </w:p>
    <w:p w:rsidR="00000000" w:rsidRDefault="00971A12">
      <w:pPr>
        <w:jc w:val="center"/>
        <w:divId w:val="1510296715"/>
        <w:rPr>
          <w:rFonts w:eastAsia="Times New Roman"/>
        </w:rPr>
      </w:pPr>
      <w:r>
        <w:rPr>
          <w:rFonts w:eastAsia="Times New Roman"/>
          <w:color w:val="000000"/>
          <w:sz w:val="20"/>
          <w:szCs w:val="20"/>
        </w:rPr>
        <w:t>80</w:t>
      </w:r>
    </w:p>
    <w:p w:rsidR="00000000" w:rsidRDefault="00971A12">
      <w:pPr>
        <w:rPr>
          <w:rFonts w:eastAsia="Times New Roman"/>
        </w:rPr>
      </w:pPr>
      <w:r>
        <w:rPr>
          <w:rFonts w:eastAsia="Times New Roman"/>
        </w:rPr>
        <w:pict>
          <v:rect id="_x0000_i1108" style="width:0;height:1.5pt" o:hralign="center" o:hrstd="t" o:hr="t" fillcolor="#a0a0a0" stroked="f"/>
        </w:pict>
      </w:r>
    </w:p>
    <w:p w:rsidR="00000000" w:rsidRDefault="00971A12">
      <w:pPr>
        <w:divId w:val="1691033430"/>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904149301"/>
        <w:rPr>
          <w:rFonts w:eastAsia="Times New Roman"/>
        </w:rPr>
      </w:pPr>
    </w:p>
    <w:p w:rsidR="00000000" w:rsidRDefault="00971A12">
      <w:pPr>
        <w:divId w:val="1175724891"/>
        <w:rPr>
          <w:rFonts w:eastAsia="Times New Roman"/>
        </w:rPr>
      </w:pPr>
      <w:r>
        <w:rPr>
          <w:rFonts w:eastAsia="Times New Roman"/>
          <w:color w:val="000000"/>
          <w:sz w:val="20"/>
          <w:szCs w:val="20"/>
        </w:rPr>
        <w:t>The table below summarizes the balance of the restructuring liability as of December 31, 2022, which is recorded in accrued expenses in the Consolidated Balance Sheets, and the changes in the accrued amounts for the year ended December 31, 2022:</w:t>
      </w:r>
    </w:p>
    <w:tbl>
      <w:tblPr>
        <w:tblW w:w="4986" w:type="pct"/>
        <w:jc w:val="center"/>
        <w:tblCellMar>
          <w:top w:w="15" w:type="dxa"/>
          <w:left w:w="15" w:type="dxa"/>
          <w:bottom w:w="15" w:type="dxa"/>
          <w:right w:w="15" w:type="dxa"/>
        </w:tblCellMar>
        <w:tblLook w:val="04A0" w:firstRow="1" w:lastRow="0" w:firstColumn="1" w:lastColumn="0" w:noHBand="0" w:noVBand="1"/>
      </w:tblPr>
      <w:tblGrid>
        <w:gridCol w:w="38"/>
        <w:gridCol w:w="4231"/>
        <w:gridCol w:w="36"/>
        <w:gridCol w:w="36"/>
        <w:gridCol w:w="36"/>
        <w:gridCol w:w="36"/>
        <w:gridCol w:w="111"/>
        <w:gridCol w:w="1017"/>
        <w:gridCol w:w="36"/>
        <w:gridCol w:w="36"/>
        <w:gridCol w:w="36"/>
        <w:gridCol w:w="36"/>
        <w:gridCol w:w="110"/>
        <w:gridCol w:w="1017"/>
        <w:gridCol w:w="36"/>
        <w:gridCol w:w="36"/>
        <w:gridCol w:w="36"/>
        <w:gridCol w:w="36"/>
        <w:gridCol w:w="111"/>
        <w:gridCol w:w="964"/>
        <w:gridCol w:w="36"/>
        <w:gridCol w:w="36"/>
        <w:gridCol w:w="36"/>
        <w:gridCol w:w="36"/>
        <w:gridCol w:w="36"/>
        <w:gridCol w:w="36"/>
        <w:gridCol w:w="36"/>
      </w:tblGrid>
      <w:tr w:rsidR="00000000">
        <w:trPr>
          <w:divId w:val="313922709"/>
          <w:jc w:val="center"/>
        </w:trPr>
        <w:tc>
          <w:tcPr>
            <w:tcW w:w="50" w:type="pct"/>
            <w:vAlign w:val="center"/>
            <w:hideMark/>
          </w:tcPr>
          <w:p w:rsidR="00000000" w:rsidRDefault="00971A12">
            <w:pPr>
              <w:rPr>
                <w:rFonts w:eastAsia="Times New Roman"/>
              </w:rPr>
            </w:pPr>
          </w:p>
        </w:tc>
        <w:tc>
          <w:tcPr>
            <w:tcW w:w="267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66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22"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66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2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66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313922709"/>
          <w:jc w:val="center"/>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Severance and Related Costs</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Other</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rPr>
              <w:t>Total Restructuring Expense</w:t>
            </w:r>
          </w:p>
        </w:tc>
        <w:tc>
          <w:tcPr>
            <w:tcW w:w="0" w:type="auto"/>
            <w:vAlign w:val="center"/>
            <w:hideMark/>
          </w:tcPr>
          <w:p w:rsidR="00000000" w:rsidRDefault="00971A12">
            <w:pPr>
              <w:spacing w:after="100"/>
              <w:jc w:val="center"/>
              <w:rPr>
                <w:rFonts w:eastAsia="Times New Roman"/>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313922709"/>
          <w:jc w:val="center"/>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Restructuring expense</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4,578 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5,810 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313922709"/>
          <w:jc w:val="center"/>
        </w:trPr>
        <w:tc>
          <w:tcPr>
            <w:tcW w:w="0" w:type="auto"/>
            <w:gridSpan w:val="3"/>
            <w:shd w:val="clear" w:color="auto" w:fill="FFFF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Payments</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(3,357)</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w:t>
            </w:r>
            <w:r>
              <w:rPr>
                <w:rFonts w:eastAsia="Times New Roman"/>
                <w:color w:val="000000"/>
                <w:sz w:val="18"/>
                <w:szCs w:val="18"/>
              </w:rPr>
              <w:t>1,232)</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(4,589)</w:t>
            </w:r>
          </w:p>
        </w:tc>
        <w:tc>
          <w:tcPr>
            <w:tcW w:w="0" w:type="auto"/>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313922709"/>
          <w:jc w:val="center"/>
        </w:trPr>
        <w:tc>
          <w:tcPr>
            <w:tcW w:w="0" w:type="auto"/>
            <w:gridSpan w:val="3"/>
            <w:shd w:val="clear" w:color="auto" w:fill="CCEEFF"/>
            <w:tcMar>
              <w:top w:w="30" w:type="dxa"/>
              <w:left w:w="260" w:type="dxa"/>
              <w:bottom w:w="30" w:type="dxa"/>
              <w:right w:w="20" w:type="dxa"/>
            </w:tcMar>
            <w:hideMark/>
          </w:tcPr>
          <w:p w:rsidR="00000000" w:rsidRDefault="00971A12">
            <w:pPr>
              <w:spacing w:after="100"/>
              <w:rPr>
                <w:rFonts w:eastAsia="Times New Roman"/>
              </w:rPr>
            </w:pPr>
            <w:r>
              <w:rPr>
                <w:rFonts w:eastAsia="Times New Roman"/>
                <w:color w:val="000000"/>
                <w:sz w:val="18"/>
                <w:szCs w:val="18"/>
              </w:rPr>
              <w:t>Foreign exchange</w:t>
            </w: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67 </w:t>
            </w:r>
          </w:p>
        </w:tc>
        <w:tc>
          <w:tcPr>
            <w:tcW w:w="0" w:type="auto"/>
            <w:shd w:val="clear" w:color="auto" w:fill="CCEE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r w:rsidR="00000000">
        <w:trPr>
          <w:divId w:val="313922709"/>
          <w:jc w:val="center"/>
        </w:trPr>
        <w:tc>
          <w:tcPr>
            <w:tcW w:w="0" w:type="auto"/>
            <w:gridSpan w:val="3"/>
            <w:shd w:val="clear" w:color="auto" w:fill="FFFFFF"/>
            <w:tcMar>
              <w:top w:w="30" w:type="dxa"/>
              <w:left w:w="20" w:type="dxa"/>
              <w:bottom w:w="30" w:type="dxa"/>
              <w:right w:w="20" w:type="dxa"/>
            </w:tcMar>
            <w:hideMark/>
          </w:tcPr>
          <w:p w:rsidR="00000000" w:rsidRDefault="00971A12">
            <w:pPr>
              <w:spacing w:after="100"/>
              <w:divId w:val="1961909705"/>
              <w:rPr>
                <w:rFonts w:eastAsia="Times New Roman"/>
              </w:rPr>
            </w:pPr>
            <w:r>
              <w:rPr>
                <w:rFonts w:eastAsia="Times New Roman"/>
                <w:color w:val="000000"/>
                <w:sz w:val="18"/>
                <w:szCs w:val="18"/>
              </w:rPr>
              <w:t>Accrued balance as of December 31, 2022</w:t>
            </w: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71A1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71A1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71A12">
            <w:pPr>
              <w:spacing w:after="100"/>
              <w:jc w:val="right"/>
              <w:rPr>
                <w:rFonts w:eastAsia="Times New Roman"/>
              </w:rPr>
            </w:pPr>
            <w:r>
              <w:rPr>
                <w:rFonts w:eastAsia="Times New Roman"/>
                <w:color w:val="000000"/>
                <w:sz w:val="18"/>
                <w:szCs w:val="18"/>
              </w:rPr>
              <w:t>1,288 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71A12">
            <w:pPr>
              <w:spacing w:after="100"/>
              <w:jc w:val="right"/>
              <w:rPr>
                <w:rFonts w:eastAsia="Times New Roman"/>
              </w:rPr>
            </w:pPr>
          </w:p>
        </w:tc>
        <w:tc>
          <w:tcPr>
            <w:tcW w:w="0" w:type="auto"/>
            <w:vAlign w:val="center"/>
            <w:hideMark/>
          </w:tcPr>
          <w:p w:rsidR="00000000" w:rsidRDefault="00971A12">
            <w:pPr>
              <w:spacing w:after="100"/>
              <w:jc w:val="right"/>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c>
          <w:tcPr>
            <w:tcW w:w="0" w:type="auto"/>
            <w:vAlign w:val="center"/>
            <w:hideMark/>
          </w:tcPr>
          <w:p w:rsidR="00000000" w:rsidRDefault="00971A12">
            <w:pPr>
              <w:spacing w:after="100"/>
              <w:rPr>
                <w:rFonts w:eastAsia="Times New Roman"/>
                <w:sz w:val="20"/>
                <w:szCs w:val="20"/>
              </w:rPr>
            </w:pPr>
          </w:p>
        </w:tc>
      </w:tr>
    </w:tbl>
    <w:p w:rsidR="00000000" w:rsidRDefault="00971A12">
      <w:pPr>
        <w:jc w:val="both"/>
        <w:rPr>
          <w:rFonts w:eastAsia="Times New Roman"/>
        </w:rPr>
      </w:pPr>
    </w:p>
    <w:p w:rsidR="00000000" w:rsidRDefault="00971A12">
      <w:pPr>
        <w:ind w:hanging="360"/>
        <w:divId w:val="879125047"/>
        <w:rPr>
          <w:rFonts w:eastAsia="Times New Roman"/>
        </w:rPr>
      </w:pPr>
      <w:r>
        <w:rPr>
          <w:rFonts w:eastAsia="Times New Roman"/>
          <w:b/>
          <w:bCs/>
          <w:color w:val="000000"/>
          <w:sz w:val="20"/>
          <w:szCs w:val="20"/>
        </w:rPr>
        <w:t>16.Subsequent Events</w:t>
      </w:r>
    </w:p>
    <w:p w:rsidR="00000000" w:rsidRDefault="00971A12">
      <w:pPr>
        <w:jc w:val="both"/>
        <w:divId w:val="2044135075"/>
        <w:rPr>
          <w:rFonts w:eastAsia="Times New Roman"/>
        </w:rPr>
      </w:pPr>
      <w:r>
        <w:rPr>
          <w:rFonts w:eastAsia="Times New Roman"/>
          <w:color w:val="000000"/>
          <w:sz w:val="20"/>
          <w:szCs w:val="20"/>
        </w:rPr>
        <w:t>On February 24, 2</w:t>
      </w:r>
      <w:r>
        <w:rPr>
          <w:rFonts w:eastAsia="Times New Roman"/>
          <w:color w:val="000000"/>
          <w:sz w:val="20"/>
          <w:szCs w:val="20"/>
        </w:rPr>
        <w:t>023, the Company entered into the 2023 Amendment to its Revolving Credit Agreement. Among other things, the 2023 Amendment (i) increased the minimum Consolidated EBITDA and Consolidated Asset Coverage Ratio financial covenant requirements under the Revolvi</w:t>
      </w:r>
      <w:r>
        <w:rPr>
          <w:rFonts w:eastAsia="Times New Roman"/>
          <w:color w:val="000000"/>
          <w:sz w:val="20"/>
          <w:szCs w:val="20"/>
        </w:rPr>
        <w:t xml:space="preserve">ng Credit Agreement, (ii) modified the measurement periods for certain financial covenants contained in the Revolving Credit Agreement, (iii) introduced a minimum liquidity covenant, and (iv) modified the Applicable Rate definition in the Revolving Credit </w:t>
      </w:r>
      <w:r>
        <w:rPr>
          <w:rFonts w:eastAsia="Times New Roman"/>
          <w:color w:val="000000"/>
          <w:sz w:val="20"/>
          <w:szCs w:val="20"/>
        </w:rPr>
        <w:t>Agreement to increase the Applicable Rate payable on SOFR-based loans to 3.50%.</w:t>
      </w:r>
    </w:p>
    <w:p w:rsidR="00000000" w:rsidRDefault="00971A12">
      <w:pPr>
        <w:jc w:val="both"/>
        <w:divId w:val="519128238"/>
        <w:rPr>
          <w:rFonts w:eastAsia="Times New Roman"/>
        </w:rPr>
      </w:pPr>
      <w:r>
        <w:rPr>
          <w:rFonts w:eastAsia="Times New Roman"/>
          <w:color w:val="000000"/>
          <w:sz w:val="20"/>
          <w:szCs w:val="20"/>
        </w:rPr>
        <w:t>As modified, the Revolving Credit Agreement requires the Company to maintain:</w:t>
      </w:r>
    </w:p>
    <w:p w:rsidR="00000000" w:rsidRDefault="00971A12">
      <w:pPr>
        <w:ind w:hanging="360"/>
        <w:jc w:val="both"/>
        <w:rPr>
          <w:rFonts w:eastAsia="Times New Roman"/>
        </w:rPr>
      </w:pPr>
      <w:r>
        <w:rPr>
          <w:rFonts w:ascii="Arial" w:eastAsia="Times New Roman" w:hAnsi="Arial" w:cs="Arial"/>
          <w:color w:val="000000"/>
        </w:rPr>
        <w:t>•</w:t>
      </w:r>
      <w:r>
        <w:rPr>
          <w:rFonts w:eastAsia="Times New Roman"/>
          <w:color w:val="000000"/>
          <w:sz w:val="20"/>
          <w:szCs w:val="20"/>
        </w:rPr>
        <w:t>minimum Consolidated EBITDA (as defined in the Revolving Credit Agreement) of not less than $22.0 million, $24.0 million, $32.0 million and $35.0 million for the most recently ended four fiscal quarter period, tested as of the last day of the fiscal quarte</w:t>
      </w:r>
      <w:r>
        <w:rPr>
          <w:rFonts w:eastAsia="Times New Roman"/>
          <w:color w:val="000000"/>
          <w:sz w:val="20"/>
          <w:szCs w:val="20"/>
        </w:rPr>
        <w:t>rs ending on March 31, June 30, September 30 and December 31, 2023, respectively;</w:t>
      </w:r>
    </w:p>
    <w:p w:rsidR="00000000" w:rsidRDefault="00971A12">
      <w:pPr>
        <w:ind w:hanging="360"/>
        <w:jc w:val="both"/>
        <w:rPr>
          <w:rFonts w:eastAsia="Times New Roman"/>
        </w:rPr>
      </w:pPr>
      <w:r>
        <w:rPr>
          <w:rFonts w:ascii="Arial" w:eastAsia="Times New Roman" w:hAnsi="Arial" w:cs="Arial"/>
          <w:color w:val="000000"/>
        </w:rPr>
        <w:t>•</w:t>
      </w:r>
      <w:r>
        <w:rPr>
          <w:rFonts w:eastAsia="Times New Roman"/>
          <w:color w:val="000000"/>
          <w:sz w:val="20"/>
          <w:szCs w:val="20"/>
        </w:rPr>
        <w:t>a minimum Consolidated Asset Coverage Ratio (as defined in the Revolving Credit Agreement) of not less than 2.0 to 1.0, tested as of the last day of each calendar month thro</w:t>
      </w:r>
      <w:r>
        <w:rPr>
          <w:rFonts w:eastAsia="Times New Roman"/>
          <w:color w:val="000000"/>
          <w:sz w:val="20"/>
          <w:szCs w:val="20"/>
        </w:rPr>
        <w:t>ugh maturity of the Revolving Credit Agreement;</w:t>
      </w:r>
    </w:p>
    <w:p w:rsidR="00000000" w:rsidRDefault="00971A12">
      <w:pPr>
        <w:ind w:hanging="360"/>
        <w:jc w:val="both"/>
        <w:rPr>
          <w:rFonts w:eastAsia="Times New Roman"/>
        </w:rPr>
      </w:pPr>
      <w:r>
        <w:rPr>
          <w:rFonts w:ascii="Arial" w:eastAsia="Times New Roman" w:hAnsi="Arial" w:cs="Arial"/>
          <w:color w:val="000000"/>
        </w:rPr>
        <w:t>•</w:t>
      </w:r>
      <w:r>
        <w:rPr>
          <w:rFonts w:eastAsia="Times New Roman"/>
          <w:color w:val="000000"/>
          <w:sz w:val="20"/>
          <w:szCs w:val="20"/>
        </w:rPr>
        <w:t>a minimum Consolidated Fixed Charge Coverage Ratio (as defined in the Revolving Credit Agreement) of not less than 1.25 to 1.0 for the most recently ended four fiscal quarter period, tested as of the last da</w:t>
      </w:r>
      <w:r>
        <w:rPr>
          <w:rFonts w:eastAsia="Times New Roman"/>
          <w:color w:val="000000"/>
          <w:sz w:val="20"/>
          <w:szCs w:val="20"/>
        </w:rPr>
        <w:t>y of each fiscal quarter ending on or after March 31, 2024; and</w:t>
      </w:r>
    </w:p>
    <w:p w:rsidR="00000000" w:rsidRDefault="00971A12">
      <w:pPr>
        <w:ind w:hanging="360"/>
        <w:jc w:val="both"/>
        <w:rPr>
          <w:rFonts w:eastAsia="Times New Roman"/>
        </w:rPr>
      </w:pPr>
      <w:r>
        <w:rPr>
          <w:rFonts w:ascii="Arial" w:eastAsia="Times New Roman" w:hAnsi="Arial" w:cs="Arial"/>
          <w:color w:val="000000"/>
        </w:rPr>
        <w:t>•</w:t>
      </w:r>
      <w:r>
        <w:rPr>
          <w:rFonts w:eastAsia="Times New Roman"/>
          <w:color w:val="000000"/>
          <w:sz w:val="20"/>
          <w:szCs w:val="20"/>
        </w:rPr>
        <w:t>minimum Liquidity (as defined in the Revolving Credit Agreement) of $28.0 million, tested as of the last business day of each calendar month through maturity of the Revolving Credit Agreement</w:t>
      </w:r>
      <w:r>
        <w:rPr>
          <w:rFonts w:eastAsia="Times New Roman"/>
          <w:color w:val="000000"/>
          <w:sz w:val="20"/>
          <w:szCs w:val="20"/>
        </w:rPr>
        <w:t>.</w:t>
      </w:r>
    </w:p>
    <w:p w:rsidR="00000000" w:rsidRDefault="00971A12">
      <w:pPr>
        <w:ind w:hanging="360"/>
        <w:jc w:val="both"/>
        <w:divId w:val="1852986370"/>
        <w:rPr>
          <w:rFonts w:eastAsia="Times New Roman"/>
        </w:rPr>
      </w:pPr>
    </w:p>
    <w:p w:rsidR="00000000" w:rsidRDefault="00971A12">
      <w:pPr>
        <w:jc w:val="center"/>
        <w:divId w:val="2087723997"/>
        <w:rPr>
          <w:rFonts w:eastAsia="Times New Roman"/>
        </w:rPr>
      </w:pPr>
      <w:r>
        <w:rPr>
          <w:rFonts w:eastAsia="Times New Roman"/>
          <w:color w:val="000000"/>
          <w:sz w:val="20"/>
          <w:szCs w:val="20"/>
        </w:rPr>
        <w:t>81</w:t>
      </w:r>
    </w:p>
    <w:p w:rsidR="00000000" w:rsidRDefault="00971A12">
      <w:pPr>
        <w:rPr>
          <w:rFonts w:eastAsia="Times New Roman"/>
        </w:rPr>
      </w:pPr>
      <w:r>
        <w:rPr>
          <w:rFonts w:eastAsia="Times New Roman"/>
        </w:rPr>
        <w:pict>
          <v:rect id="_x0000_i1109" style="width:0;height:1.5pt" o:hralign="center" o:hrstd="t" o:hr="t" fillcolor="#a0a0a0" stroked="f"/>
        </w:pict>
      </w:r>
    </w:p>
    <w:p w:rsidR="00000000" w:rsidRDefault="00971A12">
      <w:pPr>
        <w:divId w:val="2097823812"/>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30848137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0"/>
        <w:gridCol w:w="694"/>
        <w:gridCol w:w="36"/>
        <w:gridCol w:w="69"/>
        <w:gridCol w:w="7391"/>
        <w:gridCol w:w="36"/>
      </w:tblGrid>
      <w:tr w:rsidR="00000000">
        <w:trPr>
          <w:divId w:val="1448966375"/>
        </w:trPr>
        <w:tc>
          <w:tcPr>
            <w:tcW w:w="50" w:type="pct"/>
            <w:vAlign w:val="center"/>
            <w:hideMark/>
          </w:tcPr>
          <w:p w:rsidR="00000000" w:rsidRDefault="00971A12">
            <w:pPr>
              <w:rPr>
                <w:rFonts w:eastAsia="Times New Roman"/>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45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448966375"/>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20"/>
                <w:szCs w:val="20"/>
              </w:rPr>
              <w:t>ITEM 9.</w:t>
            </w: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i/>
                <w:iCs/>
                <w:color w:val="000000"/>
                <w:sz w:val="20"/>
                <w:szCs w:val="20"/>
              </w:rPr>
              <w:t>CHANGES IN AND DISAGREEMENTS WITH ACCOUNTANTS ON ACCOUNTING</w:t>
            </w:r>
            <w:r>
              <w:rPr>
                <w:rFonts w:eastAsia="Times New Roman"/>
                <w:b/>
                <w:bCs/>
                <w:i/>
                <w:iCs/>
                <w:color w:val="000000"/>
                <w:sz w:val="20"/>
                <w:szCs w:val="20"/>
              </w:rPr>
              <w:t xml:space="preserve"> AND FINANCIAL DISCLOSURE</w:t>
            </w:r>
          </w:p>
        </w:tc>
      </w:tr>
    </w:tbl>
    <w:p w:rsidR="00000000" w:rsidRDefault="00971A12">
      <w:pPr>
        <w:jc w:val="both"/>
        <w:divId w:val="1823158397"/>
        <w:rPr>
          <w:rFonts w:eastAsia="Times New Roman"/>
        </w:rPr>
      </w:pPr>
      <w:r>
        <w:rPr>
          <w:rFonts w:eastAsia="Times New Roman"/>
          <w:color w:val="000000"/>
          <w:sz w:val="20"/>
          <w:szCs w:val="20"/>
        </w:rPr>
        <w:t>None.</w:t>
      </w:r>
    </w:p>
    <w:tbl>
      <w:tblPr>
        <w:tblW w:w="4446" w:type="pct"/>
        <w:tblCellMar>
          <w:top w:w="15" w:type="dxa"/>
          <w:left w:w="15" w:type="dxa"/>
          <w:bottom w:w="15" w:type="dxa"/>
          <w:right w:w="15" w:type="dxa"/>
        </w:tblCellMar>
        <w:tblLook w:val="04A0" w:firstRow="1" w:lastRow="0" w:firstColumn="1" w:lastColumn="0" w:noHBand="0" w:noVBand="1"/>
      </w:tblPr>
      <w:tblGrid>
        <w:gridCol w:w="84"/>
        <w:gridCol w:w="826"/>
        <w:gridCol w:w="36"/>
        <w:gridCol w:w="37"/>
        <w:gridCol w:w="6367"/>
        <w:gridCol w:w="36"/>
      </w:tblGrid>
      <w:tr w:rsidR="00000000">
        <w:trPr>
          <w:divId w:val="1696228192"/>
        </w:trPr>
        <w:tc>
          <w:tcPr>
            <w:tcW w:w="50" w:type="pct"/>
            <w:vAlign w:val="center"/>
            <w:hideMark/>
          </w:tcPr>
          <w:p w:rsidR="00000000" w:rsidRDefault="00971A12">
            <w:pPr>
              <w:jc w:val="both"/>
              <w:rPr>
                <w:rFonts w:eastAsia="Times New Roman"/>
              </w:rPr>
            </w:pPr>
          </w:p>
        </w:tc>
        <w:tc>
          <w:tcPr>
            <w:tcW w:w="4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9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696228192"/>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20"/>
                <w:szCs w:val="20"/>
              </w:rPr>
              <w:t>ITEM 9A.</w:t>
            </w: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i/>
                <w:iCs/>
                <w:color w:val="000000"/>
                <w:sz w:val="20"/>
                <w:szCs w:val="20"/>
              </w:rPr>
              <w:t>CONTROLS AND PROCEDURES</w:t>
            </w:r>
          </w:p>
        </w:tc>
      </w:tr>
    </w:tbl>
    <w:p w:rsidR="00000000" w:rsidRDefault="00971A12">
      <w:pPr>
        <w:jc w:val="both"/>
        <w:divId w:val="55475828"/>
        <w:rPr>
          <w:rFonts w:eastAsia="Times New Roman"/>
        </w:rPr>
      </w:pPr>
      <w:r>
        <w:rPr>
          <w:rFonts w:eastAsia="Times New Roman"/>
          <w:b/>
          <w:bCs/>
          <w:color w:val="000000"/>
          <w:sz w:val="20"/>
          <w:szCs w:val="20"/>
        </w:rPr>
        <w:t>Evaluation of Disclosure Controls and Procedures</w:t>
      </w:r>
    </w:p>
    <w:p w:rsidR="00000000" w:rsidRDefault="00971A12">
      <w:pPr>
        <w:jc w:val="both"/>
        <w:divId w:val="1504586877"/>
        <w:rPr>
          <w:rFonts w:eastAsia="Times New Roman"/>
        </w:rPr>
      </w:pPr>
      <w:r>
        <w:rPr>
          <w:rFonts w:eastAsia="Times New Roman"/>
          <w:color w:val="000000"/>
          <w:sz w:val="20"/>
          <w:szCs w:val="20"/>
        </w:rPr>
        <w:t>We carried out an evaluation required by the Securities Exchange Act of 1934 (the "Exchange Act"), under the supervision and with the participation of our principal executive officer and our principal financial officer, of the effectiveness of the design a</w:t>
      </w:r>
      <w:r>
        <w:rPr>
          <w:rFonts w:eastAsia="Times New Roman"/>
          <w:color w:val="000000"/>
          <w:sz w:val="20"/>
          <w:szCs w:val="20"/>
        </w:rPr>
        <w:t>nd operation of our disclosure controls and procedures, as defined in Rules 13a-15(e) and 15d-15(e) of the Exchange Act, as of December 31, 2022. Based on this evaluation, our principal executive officer and principal financial officer concluded that as of</w:t>
      </w:r>
      <w:r>
        <w:rPr>
          <w:rFonts w:eastAsia="Times New Roman"/>
          <w:color w:val="000000"/>
          <w:sz w:val="20"/>
          <w:szCs w:val="20"/>
        </w:rPr>
        <w:t xml:space="preserve"> December 31, 2022, these disclosure controls and procedures were effective to provide reasonable assurance that information required to be disclosed by us in the reports that we file or submit under the Exchange Act is recorded, processed, summarized, and</w:t>
      </w:r>
      <w:r>
        <w:rPr>
          <w:rFonts w:eastAsia="Times New Roman"/>
          <w:color w:val="000000"/>
          <w:sz w:val="20"/>
          <w:szCs w:val="20"/>
        </w:rPr>
        <w:t xml:space="preserve"> reported within the time periods specified in the SEC's rules and forms and to provide reasonable assurance that such information is accumulated and communicated to our management, including our principal executive officer and principal financial officer,</w:t>
      </w:r>
      <w:r>
        <w:rPr>
          <w:rFonts w:eastAsia="Times New Roman"/>
          <w:color w:val="000000"/>
          <w:sz w:val="20"/>
          <w:szCs w:val="20"/>
        </w:rPr>
        <w:t xml:space="preserve"> as appropriate to allow timely decisions regarding required disclosure.</w:t>
      </w:r>
    </w:p>
    <w:p w:rsidR="00000000" w:rsidRDefault="00971A12">
      <w:pPr>
        <w:jc w:val="both"/>
        <w:divId w:val="1169906056"/>
        <w:rPr>
          <w:rFonts w:eastAsia="Times New Roman"/>
        </w:rPr>
      </w:pPr>
      <w:r>
        <w:rPr>
          <w:rFonts w:eastAsia="Times New Roman"/>
          <w:b/>
          <w:bCs/>
          <w:color w:val="000000"/>
          <w:sz w:val="20"/>
          <w:szCs w:val="20"/>
        </w:rPr>
        <w:t>Management's Report on Internal Control over Financial Reporting</w:t>
      </w:r>
    </w:p>
    <w:p w:rsidR="00000000" w:rsidRDefault="00971A12">
      <w:pPr>
        <w:jc w:val="both"/>
        <w:divId w:val="1673725654"/>
        <w:rPr>
          <w:rFonts w:eastAsia="Times New Roman"/>
        </w:rPr>
      </w:pPr>
      <w:r>
        <w:rPr>
          <w:rFonts w:eastAsia="Times New Roman"/>
          <w:color w:val="000000"/>
          <w:sz w:val="20"/>
          <w:szCs w:val="20"/>
        </w:rPr>
        <w:t>Management is responsible for establishing and maintaining adequate internal control over financial reporting, as defi</w:t>
      </w:r>
      <w:r>
        <w:rPr>
          <w:rFonts w:eastAsia="Times New Roman"/>
          <w:color w:val="000000"/>
          <w:sz w:val="20"/>
          <w:szCs w:val="20"/>
        </w:rPr>
        <w:t>ned in Rule 13a-15(f) and 15d-15(f) of the Exchange Act. Management, under the supervision and with the participation of our principal executive officer and principal financial officer, assessed the effectiveness of our internal control over financial repo</w:t>
      </w:r>
      <w:r>
        <w:rPr>
          <w:rFonts w:eastAsia="Times New Roman"/>
          <w:color w:val="000000"/>
          <w:sz w:val="20"/>
          <w:szCs w:val="20"/>
        </w:rPr>
        <w:t>rting as of December 31, 2022 based on criteria established in Internal Control - Integrated Framework (2013) issued by the Committee of Sponsoring Organizations of the Treadway Commission. As a result of this assessment, management concluded that, as of D</w:t>
      </w:r>
      <w:r>
        <w:rPr>
          <w:rFonts w:eastAsia="Times New Roman"/>
          <w:color w:val="000000"/>
          <w:sz w:val="20"/>
          <w:szCs w:val="20"/>
        </w:rPr>
        <w:t xml:space="preserve">ecember 31, 2022, our internal control over financial reporting was effective in providing reasonable assurance regarding the reliability of financial reporting and the preparation of financial statements for external purposes in accordance with generally </w:t>
      </w:r>
      <w:r>
        <w:rPr>
          <w:rFonts w:eastAsia="Times New Roman"/>
          <w:color w:val="000000"/>
          <w:sz w:val="20"/>
          <w:szCs w:val="20"/>
        </w:rPr>
        <w:t>accepted accounting principles.</w:t>
      </w:r>
    </w:p>
    <w:p w:rsidR="00000000" w:rsidRDefault="00971A12">
      <w:pPr>
        <w:jc w:val="both"/>
        <w:divId w:val="1057824824"/>
        <w:rPr>
          <w:rFonts w:eastAsia="Times New Roman"/>
        </w:rPr>
      </w:pPr>
      <w:r>
        <w:rPr>
          <w:rFonts w:eastAsia="Times New Roman"/>
          <w:color w:val="000000"/>
          <w:sz w:val="20"/>
          <w:szCs w:val="20"/>
        </w:rPr>
        <w:t xml:space="preserve">Deloitte &amp; Touche LLP, an independent registered public accounting firm, has audited the effectiveness of our internal control over financial reporting as of December 31, 2022, and their report is included below. Deloitte &amp; </w:t>
      </w:r>
      <w:r>
        <w:rPr>
          <w:rFonts w:eastAsia="Times New Roman"/>
          <w:color w:val="000000"/>
          <w:sz w:val="20"/>
          <w:szCs w:val="20"/>
        </w:rPr>
        <w:t xml:space="preserve">Touche LLP has also audited, and issued an unqualified opinion with respect to, our Consolidated Financial Statements for 2022, which opinion is included in </w:t>
      </w:r>
      <w:hyperlink w:anchor="i0047531bd13046b986557e31951e34f8_73" w:history="1">
        <w:r>
          <w:rPr>
            <w:rStyle w:val="a3"/>
            <w:rFonts w:eastAsia="Times New Roman"/>
            <w:sz w:val="20"/>
            <w:szCs w:val="20"/>
          </w:rPr>
          <w:t>Item 8</w:t>
        </w:r>
      </w:hyperlink>
      <w:r>
        <w:rPr>
          <w:rFonts w:eastAsia="Times New Roman"/>
          <w:color w:val="000000"/>
          <w:sz w:val="20"/>
          <w:szCs w:val="20"/>
        </w:rPr>
        <w:t>, "Financial Statements and Supple</w:t>
      </w:r>
      <w:r>
        <w:rPr>
          <w:rFonts w:eastAsia="Times New Roman"/>
          <w:color w:val="000000"/>
          <w:sz w:val="20"/>
          <w:szCs w:val="20"/>
        </w:rPr>
        <w:t>mentary Data," of this 10-K.</w:t>
      </w:r>
    </w:p>
    <w:p w:rsidR="00000000" w:rsidRDefault="00971A12">
      <w:pPr>
        <w:jc w:val="both"/>
        <w:divId w:val="283464279"/>
        <w:rPr>
          <w:rFonts w:eastAsia="Times New Roman"/>
        </w:rPr>
      </w:pPr>
      <w:r>
        <w:rPr>
          <w:rFonts w:eastAsia="Times New Roman"/>
          <w:b/>
          <w:bCs/>
          <w:color w:val="000000"/>
          <w:sz w:val="20"/>
          <w:szCs w:val="20"/>
        </w:rPr>
        <w:t>Changes in Internal Control over Financial Reporting</w:t>
      </w:r>
    </w:p>
    <w:p w:rsidR="00000000" w:rsidRDefault="00971A12">
      <w:pPr>
        <w:jc w:val="both"/>
        <w:divId w:val="2106336457"/>
        <w:rPr>
          <w:rFonts w:eastAsia="Times New Roman"/>
        </w:rPr>
      </w:pPr>
      <w:r>
        <w:rPr>
          <w:rFonts w:eastAsia="Times New Roman"/>
          <w:color w:val="000000"/>
          <w:sz w:val="20"/>
          <w:szCs w:val="20"/>
        </w:rPr>
        <w:t>Under Exchange Act Rules 13a-15(d) and 15d-15(d), management is required to evaluate, with the participation of our principal executive officer and principal financial office</w:t>
      </w:r>
      <w:r>
        <w:rPr>
          <w:rFonts w:eastAsia="Times New Roman"/>
          <w:color w:val="000000"/>
          <w:sz w:val="20"/>
          <w:szCs w:val="20"/>
        </w:rPr>
        <w:t>r, any changes in internal control over financial reporting that occurred during each fiscal quarter that materially affected, or are reasonably likely to materially affect, our internal control over financial reporting. There were no changes in our intern</w:t>
      </w:r>
      <w:r>
        <w:rPr>
          <w:rFonts w:eastAsia="Times New Roman"/>
          <w:color w:val="000000"/>
          <w:sz w:val="20"/>
          <w:szCs w:val="20"/>
        </w:rPr>
        <w:t>al control over financial reporting during our most recent fiscal quarter that have materially affected, or are reasonably likely to materially affect, our internal control over financial reporting.</w:t>
      </w:r>
    </w:p>
    <w:p w:rsidR="00000000" w:rsidRDefault="00971A12">
      <w:pPr>
        <w:jc w:val="both"/>
        <w:divId w:val="1335301878"/>
        <w:rPr>
          <w:rFonts w:eastAsia="Times New Roman"/>
        </w:rPr>
      </w:pPr>
      <w:r>
        <w:rPr>
          <w:rFonts w:eastAsia="Times New Roman"/>
          <w:b/>
          <w:bCs/>
          <w:color w:val="000000"/>
          <w:sz w:val="20"/>
          <w:szCs w:val="20"/>
        </w:rPr>
        <w:t>Inherent Limitation on the Effectiveness of Internal Cont</w:t>
      </w:r>
      <w:r>
        <w:rPr>
          <w:rFonts w:eastAsia="Times New Roman"/>
          <w:b/>
          <w:bCs/>
          <w:color w:val="000000"/>
          <w:sz w:val="20"/>
          <w:szCs w:val="20"/>
        </w:rPr>
        <w:t>rols</w:t>
      </w:r>
    </w:p>
    <w:p w:rsidR="00000000" w:rsidRDefault="00971A12">
      <w:pPr>
        <w:jc w:val="both"/>
        <w:divId w:val="1760523919"/>
        <w:rPr>
          <w:rFonts w:eastAsia="Times New Roman"/>
        </w:rPr>
      </w:pPr>
      <w:r>
        <w:rPr>
          <w:rFonts w:eastAsia="Times New Roman"/>
          <w:color w:val="000000"/>
          <w:sz w:val="20"/>
          <w:szCs w:val="20"/>
        </w:rPr>
        <w:t>The effectiveness of any system of internal control over financial reporting is subject to inherent limitations, including the exercise of judgment in designing, implementing, operating, and evaluating the controls and procedures, and the inability to</w:t>
      </w:r>
      <w:r>
        <w:rPr>
          <w:rFonts w:eastAsia="Times New Roman"/>
          <w:color w:val="000000"/>
          <w:sz w:val="20"/>
          <w:szCs w:val="20"/>
        </w:rPr>
        <w:t xml:space="preserve"> eliminate misconduct completely. Accordingly, any system of internal control over financial reporting can only provide reasonable, not absolute, assurance that its objectives will be met. In addition, projections of any evaluation of effectiveness to futu</w:t>
      </w:r>
      <w:r>
        <w:rPr>
          <w:rFonts w:eastAsia="Times New Roman"/>
          <w:color w:val="000000"/>
          <w:sz w:val="20"/>
          <w:szCs w:val="20"/>
        </w:rPr>
        <w:t>re periods are subject to the risk that controls may become inadequate because of changes in conditions, or that the degree of compliance with the policies or procedures may deteriorate. We intend to continue to monitor and upgrade our internal controls as</w:t>
      </w:r>
      <w:r>
        <w:rPr>
          <w:rFonts w:eastAsia="Times New Roman"/>
          <w:color w:val="000000"/>
          <w:sz w:val="20"/>
          <w:szCs w:val="20"/>
        </w:rPr>
        <w:t xml:space="preserve"> necessary or appropriate for our business, but we cannot assure that such improvements will be sufficient to provide us with effective internal control over financial reporting in future periods.</w:t>
      </w:r>
    </w:p>
    <w:p w:rsidR="00000000" w:rsidRDefault="00971A12">
      <w:pPr>
        <w:jc w:val="center"/>
        <w:divId w:val="62261910"/>
        <w:rPr>
          <w:rFonts w:eastAsia="Times New Roman"/>
        </w:rPr>
      </w:pPr>
      <w:r>
        <w:rPr>
          <w:rFonts w:eastAsia="Times New Roman"/>
          <w:color w:val="000000"/>
          <w:sz w:val="20"/>
          <w:szCs w:val="20"/>
        </w:rPr>
        <w:t>82</w:t>
      </w:r>
    </w:p>
    <w:p w:rsidR="00000000" w:rsidRDefault="00971A12">
      <w:pPr>
        <w:rPr>
          <w:rFonts w:eastAsia="Times New Roman"/>
        </w:rPr>
      </w:pPr>
      <w:r>
        <w:rPr>
          <w:rFonts w:eastAsia="Times New Roman"/>
        </w:rPr>
        <w:pict>
          <v:rect id="_x0000_i1110" style="width:0;height:1.5pt" o:hralign="center" o:hrstd="t" o:hr="t" fillcolor="#a0a0a0" stroked="f"/>
        </w:pict>
      </w:r>
    </w:p>
    <w:p w:rsidR="00000000" w:rsidRDefault="00971A12">
      <w:pPr>
        <w:divId w:val="1756436790"/>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252279249"/>
        <w:rPr>
          <w:rFonts w:eastAsia="Times New Roman"/>
        </w:rPr>
      </w:pPr>
    </w:p>
    <w:p w:rsidR="00000000" w:rsidRDefault="00971A12">
      <w:pPr>
        <w:divId w:val="1241871141"/>
        <w:rPr>
          <w:rFonts w:eastAsia="Times New Roman"/>
        </w:rPr>
      </w:pPr>
      <w:r>
        <w:rPr>
          <w:rFonts w:eastAsia="Times New Roman"/>
          <w:b/>
          <w:bCs/>
          <w:color w:val="000000"/>
          <w:sz w:val="20"/>
          <w:szCs w:val="20"/>
        </w:rPr>
        <w:t>REPORT OF INDEPENDENT REGISTERED PUBLIC ACCOUNTING FIRM</w:t>
      </w:r>
    </w:p>
    <w:p w:rsidR="00000000" w:rsidRDefault="00971A12">
      <w:pPr>
        <w:divId w:val="1979456033"/>
        <w:rPr>
          <w:rFonts w:eastAsia="Times New Roman"/>
        </w:rPr>
      </w:pPr>
      <w:r>
        <w:rPr>
          <w:rFonts w:eastAsia="Times New Roman"/>
          <w:color w:val="000000"/>
          <w:sz w:val="20"/>
          <w:szCs w:val="20"/>
        </w:rPr>
        <w:t>To the stockholders and the Board of Directors of comScore, Inc.</w:t>
      </w:r>
    </w:p>
    <w:p w:rsidR="00000000" w:rsidRDefault="00971A12">
      <w:pPr>
        <w:divId w:val="1675256951"/>
        <w:rPr>
          <w:rFonts w:eastAsia="Times New Roman"/>
        </w:rPr>
      </w:pPr>
      <w:r>
        <w:rPr>
          <w:rFonts w:eastAsia="Times New Roman"/>
          <w:b/>
          <w:bCs/>
          <w:color w:val="000000"/>
          <w:sz w:val="20"/>
          <w:szCs w:val="20"/>
        </w:rPr>
        <w:t>Opinion on Internal Control over Financial Reporting</w:t>
      </w:r>
    </w:p>
    <w:p w:rsidR="00000000" w:rsidRDefault="00971A12">
      <w:pPr>
        <w:jc w:val="both"/>
        <w:divId w:val="1644769557"/>
        <w:rPr>
          <w:rFonts w:eastAsia="Times New Roman"/>
        </w:rPr>
      </w:pPr>
      <w:r>
        <w:rPr>
          <w:rFonts w:eastAsia="Times New Roman"/>
          <w:color w:val="000000"/>
          <w:sz w:val="20"/>
          <w:szCs w:val="20"/>
        </w:rPr>
        <w:t xml:space="preserve">We have audited the internal control over financial reporting of comScore, Inc. and subsidiaries (the "Company") as of December 31, 2022, </w:t>
      </w:r>
      <w:r>
        <w:rPr>
          <w:rFonts w:eastAsia="Times New Roman"/>
          <w:color w:val="000000"/>
          <w:sz w:val="20"/>
          <w:szCs w:val="20"/>
        </w:rPr>
        <w:t xml:space="preserve">based on criteria established in </w:t>
      </w:r>
      <w:r>
        <w:rPr>
          <w:rFonts w:eastAsia="Times New Roman"/>
          <w:i/>
          <w:iCs/>
          <w:color w:val="000000"/>
          <w:sz w:val="20"/>
          <w:szCs w:val="20"/>
        </w:rPr>
        <w:t>Internal Control - Integrated Framework (2013)</w:t>
      </w:r>
      <w:r>
        <w:rPr>
          <w:rFonts w:eastAsia="Times New Roman"/>
          <w:color w:val="000000"/>
          <w:sz w:val="20"/>
          <w:szCs w:val="20"/>
        </w:rPr>
        <w:t xml:space="preserve"> issued by the Committee of Sponsoring Organizations of the Treadway Commission (COSO). In our opinion, the Company maintained, in all material respects, effective internal cont</w:t>
      </w:r>
      <w:r>
        <w:rPr>
          <w:rFonts w:eastAsia="Times New Roman"/>
          <w:color w:val="000000"/>
          <w:sz w:val="20"/>
          <w:szCs w:val="20"/>
        </w:rPr>
        <w:t xml:space="preserve">rol over financial reporting as of December 31, 2022, based on criteria established in </w:t>
      </w:r>
      <w:r>
        <w:rPr>
          <w:rFonts w:eastAsia="Times New Roman"/>
          <w:i/>
          <w:iCs/>
          <w:color w:val="000000"/>
          <w:sz w:val="20"/>
          <w:szCs w:val="20"/>
        </w:rPr>
        <w:t>Internal Control - Integrated Framework (2013)</w:t>
      </w:r>
      <w:r>
        <w:rPr>
          <w:rFonts w:eastAsia="Times New Roman"/>
          <w:color w:val="000000"/>
          <w:sz w:val="20"/>
          <w:szCs w:val="20"/>
        </w:rPr>
        <w:t xml:space="preserve"> issued by COSO.</w:t>
      </w:r>
    </w:p>
    <w:p w:rsidR="00000000" w:rsidRDefault="00971A12">
      <w:pPr>
        <w:jc w:val="both"/>
        <w:divId w:val="160391872"/>
        <w:rPr>
          <w:rFonts w:eastAsia="Times New Roman"/>
        </w:rPr>
      </w:pPr>
      <w:r>
        <w:rPr>
          <w:rFonts w:eastAsia="Times New Roman"/>
          <w:color w:val="000000"/>
          <w:sz w:val="20"/>
          <w:szCs w:val="20"/>
        </w:rPr>
        <w:t>We have also audited, in accordance with the standards of the Public Company Accounting Oversight Board (U</w:t>
      </w:r>
      <w:r>
        <w:rPr>
          <w:rFonts w:eastAsia="Times New Roman"/>
          <w:color w:val="000000"/>
          <w:sz w:val="20"/>
          <w:szCs w:val="20"/>
        </w:rPr>
        <w:t>nited States) (PCAOB), the consolidated financial statements as of and for the year ended December 31, 2022, of the Company and our report dated March 1, 2023, expressed an unqualified opinion on those financial statements.</w:t>
      </w:r>
    </w:p>
    <w:p w:rsidR="00000000" w:rsidRDefault="00971A12">
      <w:pPr>
        <w:divId w:val="2127381145"/>
        <w:rPr>
          <w:rFonts w:eastAsia="Times New Roman"/>
        </w:rPr>
      </w:pPr>
      <w:r>
        <w:rPr>
          <w:rFonts w:eastAsia="Times New Roman"/>
          <w:b/>
          <w:bCs/>
          <w:color w:val="000000"/>
          <w:sz w:val="20"/>
          <w:szCs w:val="20"/>
        </w:rPr>
        <w:t xml:space="preserve">Basis for Opinion </w:t>
      </w:r>
    </w:p>
    <w:p w:rsidR="00000000" w:rsidRDefault="00971A12">
      <w:pPr>
        <w:jc w:val="both"/>
        <w:divId w:val="1931426535"/>
        <w:rPr>
          <w:rFonts w:eastAsia="Times New Roman"/>
        </w:rPr>
      </w:pPr>
      <w:r>
        <w:rPr>
          <w:rFonts w:eastAsia="Times New Roman"/>
          <w:color w:val="000000"/>
          <w:sz w:val="20"/>
          <w:szCs w:val="20"/>
        </w:rPr>
        <w:t>The Company's</w:t>
      </w:r>
      <w:r>
        <w:rPr>
          <w:rFonts w:eastAsia="Times New Roman"/>
          <w:color w:val="000000"/>
          <w:sz w:val="20"/>
          <w:szCs w:val="20"/>
        </w:rPr>
        <w:t xml:space="preserve"> management is responsible for maintaining effective internal control over financial reporting and for its assessment of the effectiveness of internal control over financial reporting, included in the accompanying </w:t>
      </w:r>
      <w:r>
        <w:rPr>
          <w:rFonts w:eastAsia="Times New Roman"/>
          <w:i/>
          <w:iCs/>
          <w:color w:val="000000"/>
          <w:sz w:val="20"/>
          <w:szCs w:val="20"/>
        </w:rPr>
        <w:t>Management's Report on Internal Control ov</w:t>
      </w:r>
      <w:r>
        <w:rPr>
          <w:rFonts w:eastAsia="Times New Roman"/>
          <w:i/>
          <w:iCs/>
          <w:color w:val="000000"/>
          <w:sz w:val="20"/>
          <w:szCs w:val="20"/>
        </w:rPr>
        <w:t>er Financial Reporting</w:t>
      </w:r>
      <w:r>
        <w:rPr>
          <w:rFonts w:eastAsia="Times New Roman"/>
          <w:color w:val="000000"/>
          <w:sz w:val="20"/>
          <w:szCs w:val="20"/>
        </w:rPr>
        <w:t xml:space="preserve">. Our responsibility is to express an opinion on the Company's internal control over financial reporting based on our audit. We are a public accounting firm registered with the PCAOB and are required to be independent with respect to </w:t>
      </w:r>
      <w:r>
        <w:rPr>
          <w:rFonts w:eastAsia="Times New Roman"/>
          <w:color w:val="000000"/>
          <w:sz w:val="20"/>
          <w:szCs w:val="20"/>
        </w:rPr>
        <w:t>the Company in accordance with the U.S. federal securities laws and the applicable rules and regulations of the Securities and Exchange Commission and the PCAOB.</w:t>
      </w:r>
    </w:p>
    <w:p w:rsidR="00000000" w:rsidRDefault="00971A12">
      <w:pPr>
        <w:jc w:val="both"/>
        <w:divId w:val="1398750587"/>
        <w:rPr>
          <w:rFonts w:eastAsia="Times New Roman"/>
        </w:rPr>
      </w:pPr>
      <w:r>
        <w:rPr>
          <w:rFonts w:eastAsia="Times New Roman"/>
          <w:color w:val="000000"/>
          <w:sz w:val="20"/>
          <w:szCs w:val="20"/>
        </w:rPr>
        <w:t xml:space="preserve">We conducted our audit in accordance with the standards of the PCAOB. Those standards require </w:t>
      </w:r>
      <w:r>
        <w:rPr>
          <w:rFonts w:eastAsia="Times New Roman"/>
          <w:color w:val="000000"/>
          <w:sz w:val="20"/>
          <w:szCs w:val="20"/>
        </w:rPr>
        <w:t>that we plan and perform the audit to obtain reasonable assurance about whether effective internal control over financial reporting was maintained in all material respects. Our audit included obtaining an understanding of internal control over financial re</w:t>
      </w:r>
      <w:r>
        <w:rPr>
          <w:rFonts w:eastAsia="Times New Roman"/>
          <w:color w:val="000000"/>
          <w:sz w:val="20"/>
          <w:szCs w:val="20"/>
        </w:rPr>
        <w:t>porting, assessing the risk that a material weakness exists, testing and evaluating the design and operating effectiveness of internal control based on the assessed risk, and performing such other procedures as we considered necessary in the circumstances.</w:t>
      </w:r>
      <w:r>
        <w:rPr>
          <w:rFonts w:eastAsia="Times New Roman"/>
          <w:color w:val="000000"/>
          <w:sz w:val="20"/>
          <w:szCs w:val="20"/>
        </w:rPr>
        <w:t xml:space="preserve"> We believe that our audit provides a reasonable basis for our opinion.</w:t>
      </w:r>
    </w:p>
    <w:p w:rsidR="00000000" w:rsidRDefault="00971A12">
      <w:pPr>
        <w:divId w:val="636375461"/>
        <w:rPr>
          <w:rFonts w:eastAsia="Times New Roman"/>
        </w:rPr>
      </w:pPr>
      <w:r>
        <w:rPr>
          <w:rFonts w:eastAsia="Times New Roman"/>
          <w:b/>
          <w:bCs/>
          <w:color w:val="000000"/>
          <w:sz w:val="20"/>
          <w:szCs w:val="20"/>
        </w:rPr>
        <w:t>Definition and Limitations of Internal Control over Financial Reporting</w:t>
      </w:r>
    </w:p>
    <w:p w:rsidR="00000000" w:rsidRDefault="00971A12">
      <w:pPr>
        <w:jc w:val="both"/>
        <w:divId w:val="1399785580"/>
        <w:rPr>
          <w:rFonts w:eastAsia="Times New Roman"/>
        </w:rPr>
      </w:pPr>
      <w:r>
        <w:rPr>
          <w:rFonts w:eastAsia="Times New Roman"/>
          <w:color w:val="000000"/>
          <w:sz w:val="20"/>
          <w:szCs w:val="20"/>
        </w:rPr>
        <w:t>A company's internal control over financial reporting is a process designed to provide reasonable assurance rega</w:t>
      </w:r>
      <w:r>
        <w:rPr>
          <w:rFonts w:eastAsia="Times New Roman"/>
          <w:color w:val="000000"/>
          <w:sz w:val="20"/>
          <w:szCs w:val="20"/>
        </w:rPr>
        <w:t>rding the reliability of financial reporting and the preparation of financial statements for external purposes in accordance with generally accepted accounting principles. A company's internal control over financial reporting includes those policies and pr</w:t>
      </w:r>
      <w:r>
        <w:rPr>
          <w:rFonts w:eastAsia="Times New Roman"/>
          <w:color w:val="000000"/>
          <w:sz w:val="20"/>
          <w:szCs w:val="20"/>
        </w:rPr>
        <w:t>ocedures that (1) pertain to the maintenance of records that, in reasonable detail, accurately and fairly reflect the transactions and dispositions of the assets of the company; (2) provide reasonable assurance that transactions are recorded as necessary t</w:t>
      </w:r>
      <w:r>
        <w:rPr>
          <w:rFonts w:eastAsia="Times New Roman"/>
          <w:color w:val="000000"/>
          <w:sz w:val="20"/>
          <w:szCs w:val="20"/>
        </w:rPr>
        <w:t>o permit preparation of financial statements in accordance with generally accepted accounting principles, and that receipts and expenditures of the company are being made only in accordance with authorizations of management and directors of the company; an</w:t>
      </w:r>
      <w:r>
        <w:rPr>
          <w:rFonts w:eastAsia="Times New Roman"/>
          <w:color w:val="000000"/>
          <w:sz w:val="20"/>
          <w:szCs w:val="20"/>
        </w:rPr>
        <w:t>d (3) provide reasonable assurance regarding prevention or timely detection of unauthorized acquisition, use, or disposition of the company's assets that could have a material effect on the financial statements.</w:t>
      </w:r>
    </w:p>
    <w:p w:rsidR="00000000" w:rsidRDefault="00971A12">
      <w:pPr>
        <w:jc w:val="both"/>
        <w:divId w:val="471678049"/>
        <w:rPr>
          <w:rFonts w:eastAsia="Times New Roman"/>
        </w:rPr>
      </w:pPr>
      <w:r>
        <w:rPr>
          <w:rFonts w:eastAsia="Times New Roman"/>
          <w:color w:val="000000"/>
          <w:sz w:val="20"/>
          <w:szCs w:val="20"/>
        </w:rPr>
        <w:t>Because of its inherent limitations, interna</w:t>
      </w:r>
      <w:r>
        <w:rPr>
          <w:rFonts w:eastAsia="Times New Roman"/>
          <w:color w:val="000000"/>
          <w:sz w:val="20"/>
          <w:szCs w:val="20"/>
        </w:rPr>
        <w:t>l control over financial reporting may not prevent or detect misstatements. Also, projections of any evaluation of effectiveness to future periods are subject to the risk that controls may become inadequate because of changes in conditions, or that the deg</w:t>
      </w:r>
      <w:r>
        <w:rPr>
          <w:rFonts w:eastAsia="Times New Roman"/>
          <w:color w:val="000000"/>
          <w:sz w:val="20"/>
          <w:szCs w:val="20"/>
        </w:rPr>
        <w:t>ree of compliance with the policies or procedures may deteriorate.</w:t>
      </w:r>
    </w:p>
    <w:p w:rsidR="00000000" w:rsidRDefault="00971A12">
      <w:pPr>
        <w:divId w:val="1766027382"/>
        <w:rPr>
          <w:rFonts w:eastAsia="Times New Roman"/>
        </w:rPr>
      </w:pPr>
    </w:p>
    <w:p w:rsidR="00000000" w:rsidRDefault="00971A12">
      <w:pPr>
        <w:divId w:val="197622546"/>
        <w:rPr>
          <w:rFonts w:eastAsia="Times New Roman"/>
        </w:rPr>
      </w:pPr>
      <w:r>
        <w:rPr>
          <w:rFonts w:eastAsia="Times New Roman"/>
          <w:color w:val="000000"/>
          <w:sz w:val="20"/>
          <w:szCs w:val="20"/>
        </w:rPr>
        <w:t>/s/ Deloitte &amp; Touche LLP</w:t>
      </w:r>
    </w:p>
    <w:p w:rsidR="00000000" w:rsidRDefault="00971A12">
      <w:pPr>
        <w:divId w:val="554123330"/>
        <w:rPr>
          <w:rFonts w:eastAsia="Times New Roman"/>
        </w:rPr>
      </w:pPr>
      <w:r>
        <w:rPr>
          <w:rFonts w:eastAsia="Times New Roman"/>
          <w:color w:val="000000"/>
          <w:sz w:val="20"/>
          <w:szCs w:val="20"/>
        </w:rPr>
        <w:t>McLean, Virginia</w:t>
      </w:r>
    </w:p>
    <w:p w:rsidR="00000000" w:rsidRDefault="00971A12">
      <w:pPr>
        <w:divId w:val="837891005"/>
        <w:rPr>
          <w:rFonts w:eastAsia="Times New Roman"/>
        </w:rPr>
      </w:pPr>
      <w:r>
        <w:rPr>
          <w:rFonts w:eastAsia="Times New Roman"/>
          <w:color w:val="000000"/>
          <w:sz w:val="20"/>
          <w:szCs w:val="20"/>
        </w:rPr>
        <w:t>March 1, 2023</w:t>
      </w:r>
    </w:p>
    <w:p w:rsidR="00000000" w:rsidRDefault="00971A12">
      <w:pPr>
        <w:jc w:val="both"/>
        <w:divId w:val="1794864756"/>
        <w:rPr>
          <w:rFonts w:eastAsia="Times New Roman"/>
        </w:rPr>
      </w:pPr>
    </w:p>
    <w:p w:rsidR="00000000" w:rsidRDefault="00971A12">
      <w:pPr>
        <w:jc w:val="both"/>
        <w:divId w:val="1679770863"/>
        <w:rPr>
          <w:rFonts w:eastAsia="Times New Roman"/>
        </w:rPr>
      </w:pPr>
    </w:p>
    <w:p w:rsidR="00000000" w:rsidRDefault="00971A12">
      <w:pPr>
        <w:jc w:val="both"/>
        <w:rPr>
          <w:rFonts w:eastAsia="Times New Roman"/>
        </w:rPr>
      </w:pPr>
    </w:p>
    <w:p w:rsidR="00000000" w:rsidRDefault="00971A12">
      <w:pPr>
        <w:jc w:val="center"/>
        <w:divId w:val="728069361"/>
        <w:rPr>
          <w:rFonts w:eastAsia="Times New Roman"/>
        </w:rPr>
      </w:pPr>
      <w:r>
        <w:rPr>
          <w:rFonts w:eastAsia="Times New Roman"/>
          <w:color w:val="000000"/>
          <w:sz w:val="20"/>
          <w:szCs w:val="20"/>
        </w:rPr>
        <w:t>83</w:t>
      </w:r>
    </w:p>
    <w:p w:rsidR="00000000" w:rsidRDefault="00971A12">
      <w:pPr>
        <w:rPr>
          <w:rFonts w:eastAsia="Times New Roman"/>
        </w:rPr>
      </w:pPr>
      <w:r>
        <w:rPr>
          <w:rFonts w:eastAsia="Times New Roman"/>
        </w:rPr>
        <w:pict>
          <v:rect id="_x0000_i1111" style="width:0;height:1.5pt" o:hralign="center" o:hrstd="t" o:hr="t" fillcolor="#a0a0a0" stroked="f"/>
        </w:pict>
      </w:r>
    </w:p>
    <w:p w:rsidR="00000000" w:rsidRDefault="00971A12">
      <w:pPr>
        <w:divId w:val="767191054"/>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33896456"/>
        <w:rPr>
          <w:rFonts w:eastAsia="Times New Roman"/>
        </w:rPr>
      </w:pPr>
    </w:p>
    <w:tbl>
      <w:tblPr>
        <w:tblW w:w="4446" w:type="pct"/>
        <w:tblCellMar>
          <w:top w:w="15" w:type="dxa"/>
          <w:left w:w="15" w:type="dxa"/>
          <w:bottom w:w="15" w:type="dxa"/>
          <w:right w:w="15" w:type="dxa"/>
        </w:tblCellMar>
        <w:tblLook w:val="04A0" w:firstRow="1" w:lastRow="0" w:firstColumn="1" w:lastColumn="0" w:noHBand="0" w:noVBand="1"/>
      </w:tblPr>
      <w:tblGrid>
        <w:gridCol w:w="59"/>
        <w:gridCol w:w="715"/>
        <w:gridCol w:w="36"/>
        <w:gridCol w:w="60"/>
        <w:gridCol w:w="6480"/>
        <w:gridCol w:w="36"/>
      </w:tblGrid>
      <w:tr w:rsidR="00000000">
        <w:trPr>
          <w:divId w:val="1246379798"/>
        </w:trPr>
        <w:tc>
          <w:tcPr>
            <w:tcW w:w="50" w:type="pct"/>
            <w:vAlign w:val="center"/>
            <w:hideMark/>
          </w:tcPr>
          <w:p w:rsidR="00000000" w:rsidRDefault="00971A12">
            <w:pPr>
              <w:rPr>
                <w:rFonts w:eastAsia="Times New Roman"/>
              </w:rPr>
            </w:pPr>
          </w:p>
        </w:tc>
        <w:tc>
          <w:tcPr>
            <w:tcW w:w="4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9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246379798"/>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20"/>
                <w:szCs w:val="20"/>
              </w:rPr>
              <w:t>ITEM 9B.</w:t>
            </w: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i/>
                <w:iCs/>
                <w:color w:val="000000"/>
                <w:sz w:val="20"/>
                <w:szCs w:val="20"/>
              </w:rPr>
              <w:t>OTHER INFORMATION</w:t>
            </w:r>
          </w:p>
        </w:tc>
      </w:tr>
    </w:tbl>
    <w:p w:rsidR="00000000" w:rsidRDefault="00971A12">
      <w:pPr>
        <w:jc w:val="both"/>
        <w:divId w:val="1499231994"/>
        <w:rPr>
          <w:rFonts w:eastAsia="Times New Roman"/>
        </w:rPr>
      </w:pPr>
      <w:r>
        <w:rPr>
          <w:rFonts w:eastAsia="Times New Roman"/>
          <w:color w:val="000000"/>
          <w:sz w:val="20"/>
          <w:szCs w:val="20"/>
        </w:rPr>
        <w:t>None.</w:t>
      </w:r>
    </w:p>
    <w:tbl>
      <w:tblPr>
        <w:tblW w:w="4446" w:type="pct"/>
        <w:tblCellMar>
          <w:top w:w="15" w:type="dxa"/>
          <w:left w:w="15" w:type="dxa"/>
          <w:bottom w:w="15" w:type="dxa"/>
          <w:right w:w="15" w:type="dxa"/>
        </w:tblCellMar>
        <w:tblLook w:val="04A0" w:firstRow="1" w:lastRow="0" w:firstColumn="1" w:lastColumn="0" w:noHBand="0" w:noVBand="1"/>
      </w:tblPr>
      <w:tblGrid>
        <w:gridCol w:w="59"/>
        <w:gridCol w:w="715"/>
        <w:gridCol w:w="36"/>
        <w:gridCol w:w="60"/>
        <w:gridCol w:w="6480"/>
        <w:gridCol w:w="36"/>
      </w:tblGrid>
      <w:tr w:rsidR="00000000">
        <w:trPr>
          <w:divId w:val="289094489"/>
        </w:trPr>
        <w:tc>
          <w:tcPr>
            <w:tcW w:w="50" w:type="pct"/>
            <w:vAlign w:val="center"/>
            <w:hideMark/>
          </w:tcPr>
          <w:p w:rsidR="00000000" w:rsidRDefault="00971A12">
            <w:pPr>
              <w:jc w:val="both"/>
              <w:rPr>
                <w:rFonts w:eastAsia="Times New Roman"/>
              </w:rPr>
            </w:pPr>
          </w:p>
        </w:tc>
        <w:tc>
          <w:tcPr>
            <w:tcW w:w="4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9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289094489"/>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20"/>
                <w:szCs w:val="20"/>
              </w:rPr>
              <w:t>ITEM 9C.</w:t>
            </w: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i/>
                <w:iCs/>
                <w:color w:val="000000"/>
                <w:sz w:val="20"/>
                <w:szCs w:val="20"/>
              </w:rPr>
              <w:t>DISCLOSURE REGARDING FOREIGN JURISDICTIONS THAT PREVENT INSPECTIONS</w:t>
            </w:r>
          </w:p>
        </w:tc>
      </w:tr>
    </w:tbl>
    <w:p w:rsidR="00000000" w:rsidRDefault="00971A12">
      <w:pPr>
        <w:jc w:val="both"/>
        <w:divId w:val="1441679954"/>
        <w:rPr>
          <w:rFonts w:eastAsia="Times New Roman"/>
        </w:rPr>
      </w:pPr>
      <w:r>
        <w:rPr>
          <w:rFonts w:eastAsia="Times New Roman"/>
          <w:color w:val="000000"/>
          <w:sz w:val="20"/>
          <w:szCs w:val="20"/>
        </w:rPr>
        <w:t xml:space="preserve">Not applicable. </w:t>
      </w:r>
    </w:p>
    <w:p w:rsidR="00000000" w:rsidRDefault="00971A12">
      <w:pPr>
        <w:jc w:val="center"/>
        <w:divId w:val="1359160477"/>
        <w:rPr>
          <w:rFonts w:eastAsia="Times New Roman"/>
        </w:rPr>
      </w:pPr>
      <w:r>
        <w:rPr>
          <w:rFonts w:eastAsia="Times New Roman"/>
          <w:color w:val="000000"/>
          <w:sz w:val="20"/>
          <w:szCs w:val="20"/>
        </w:rPr>
        <w:t>84</w:t>
      </w:r>
    </w:p>
    <w:p w:rsidR="00000000" w:rsidRDefault="00971A12">
      <w:pPr>
        <w:rPr>
          <w:rFonts w:eastAsia="Times New Roman"/>
        </w:rPr>
      </w:pPr>
      <w:r>
        <w:rPr>
          <w:rFonts w:eastAsia="Times New Roman"/>
        </w:rPr>
        <w:pict>
          <v:rect id="_x0000_i1112" style="width:0;height:1.5pt" o:hralign="center" o:hrstd="t" o:hr="t" fillcolor="#a0a0a0" stroked="f"/>
        </w:pict>
      </w:r>
    </w:p>
    <w:p w:rsidR="00000000" w:rsidRDefault="00971A12">
      <w:pPr>
        <w:divId w:val="1689327789"/>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035036805"/>
        <w:rPr>
          <w:rFonts w:eastAsia="Times New Roman"/>
        </w:rPr>
      </w:pPr>
    </w:p>
    <w:p w:rsidR="00000000" w:rsidRDefault="00971A12">
      <w:pPr>
        <w:jc w:val="center"/>
        <w:divId w:val="1935743693"/>
        <w:rPr>
          <w:rFonts w:eastAsia="Times New Roman"/>
        </w:rPr>
      </w:pPr>
      <w:r>
        <w:rPr>
          <w:rFonts w:eastAsia="Times New Roman"/>
          <w:b/>
          <w:bCs/>
          <w:color w:val="000000"/>
          <w:sz w:val="20"/>
          <w:szCs w:val="20"/>
        </w:rPr>
        <w:t>PART III</w:t>
      </w:r>
    </w:p>
    <w:tbl>
      <w:tblPr>
        <w:tblW w:w="4446" w:type="pct"/>
        <w:tblCellMar>
          <w:top w:w="15" w:type="dxa"/>
          <w:left w:w="15" w:type="dxa"/>
          <w:bottom w:w="15" w:type="dxa"/>
          <w:right w:w="15" w:type="dxa"/>
        </w:tblCellMar>
        <w:tblLook w:val="04A0" w:firstRow="1" w:lastRow="0" w:firstColumn="1" w:lastColumn="0" w:noHBand="0" w:noVBand="1"/>
      </w:tblPr>
      <w:tblGrid>
        <w:gridCol w:w="59"/>
        <w:gridCol w:w="715"/>
        <w:gridCol w:w="36"/>
        <w:gridCol w:w="60"/>
        <w:gridCol w:w="6480"/>
        <w:gridCol w:w="36"/>
      </w:tblGrid>
      <w:tr w:rsidR="00000000">
        <w:trPr>
          <w:divId w:val="1694108227"/>
        </w:trPr>
        <w:tc>
          <w:tcPr>
            <w:tcW w:w="50" w:type="pct"/>
            <w:vAlign w:val="center"/>
            <w:hideMark/>
          </w:tcPr>
          <w:p w:rsidR="00000000" w:rsidRDefault="00971A12">
            <w:pPr>
              <w:jc w:val="center"/>
              <w:rPr>
                <w:rFonts w:eastAsia="Times New Roman"/>
              </w:rPr>
            </w:pPr>
          </w:p>
        </w:tc>
        <w:tc>
          <w:tcPr>
            <w:tcW w:w="4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9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694108227"/>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b/>
                <w:bCs/>
                <w:color w:val="000000"/>
                <w:sz w:val="20"/>
                <w:szCs w:val="20"/>
              </w:rPr>
              <w:t>ITEM 10.</w:t>
            </w: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i/>
                <w:iCs/>
                <w:color w:val="000000"/>
                <w:sz w:val="20"/>
                <w:szCs w:val="20"/>
              </w:rPr>
              <w:t>DIRECTORS, EXECUTIVE OFFICERS AND CORPORATE GOVERNANCE</w:t>
            </w:r>
          </w:p>
        </w:tc>
      </w:tr>
    </w:tbl>
    <w:p w:rsidR="00000000" w:rsidRDefault="00971A12">
      <w:pPr>
        <w:jc w:val="both"/>
        <w:divId w:val="966668703"/>
        <w:rPr>
          <w:rFonts w:eastAsia="Times New Roman"/>
        </w:rPr>
      </w:pPr>
      <w:r>
        <w:rPr>
          <w:rFonts w:eastAsia="Times New Roman"/>
          <w:color w:val="000000"/>
          <w:sz w:val="20"/>
          <w:szCs w:val="20"/>
        </w:rPr>
        <w:t xml:space="preserve">Certain information regarding our directors and executive officers required by Item 10 of Part III is set forth in </w:t>
      </w:r>
      <w:hyperlink w:anchor="i0047531bd13046b986557e31951e34f8_16" w:history="1">
        <w:r>
          <w:rPr>
            <w:rStyle w:val="a3"/>
            <w:rFonts w:eastAsia="Times New Roman"/>
            <w:sz w:val="20"/>
            <w:szCs w:val="20"/>
          </w:rPr>
          <w:t>Item 1</w:t>
        </w:r>
      </w:hyperlink>
      <w:r>
        <w:rPr>
          <w:rFonts w:eastAsia="Times New Roman"/>
          <w:color w:val="000000"/>
          <w:sz w:val="20"/>
          <w:szCs w:val="20"/>
        </w:rPr>
        <w:t xml:space="preserve"> </w:t>
      </w:r>
      <w:r>
        <w:rPr>
          <w:rFonts w:eastAsia="Times New Roman"/>
          <w:color w:val="000000"/>
          <w:sz w:val="20"/>
          <w:szCs w:val="20"/>
        </w:rPr>
        <w:t>of Part I "Business - Executive Officers and Directors." Other information required by Item 10 of Part III, including information regarding any material changes to the process by which security holders may recommend nominees to the Board of Directors, is i</w:t>
      </w:r>
      <w:r>
        <w:rPr>
          <w:rFonts w:eastAsia="Times New Roman"/>
          <w:color w:val="000000"/>
          <w:sz w:val="20"/>
          <w:szCs w:val="20"/>
        </w:rPr>
        <w:t>ncorporated by reference to the information that will be included in our Proxy Statement relating to our 2023 Annual Meeting of Stockholders. Information required by Item 10 of Part III regarding our Audit Committee is incorporated by reference to the info</w:t>
      </w:r>
      <w:r>
        <w:rPr>
          <w:rFonts w:eastAsia="Times New Roman"/>
          <w:color w:val="000000"/>
          <w:sz w:val="20"/>
          <w:szCs w:val="20"/>
        </w:rPr>
        <w:t>rmation that will be included in our Proxy Statement relating to our 2023 Annual Meeting of Stockholders. Information relating to our compliance with Section 16(a) of the Exchange Act is incorporated by reference to the information that will be included in</w:t>
      </w:r>
      <w:r>
        <w:rPr>
          <w:rFonts w:eastAsia="Times New Roman"/>
          <w:color w:val="000000"/>
          <w:sz w:val="20"/>
          <w:szCs w:val="20"/>
        </w:rPr>
        <w:t xml:space="preserve"> our Proxy Statement relating to our 2023 Annual Meeting of Stockholders.</w:t>
      </w:r>
    </w:p>
    <w:p w:rsidR="00000000" w:rsidRDefault="00971A12">
      <w:pPr>
        <w:jc w:val="both"/>
        <w:divId w:val="1164395336"/>
        <w:rPr>
          <w:rFonts w:eastAsia="Times New Roman"/>
        </w:rPr>
      </w:pPr>
      <w:r>
        <w:rPr>
          <w:rFonts w:eastAsia="Times New Roman"/>
          <w:color w:val="000000"/>
          <w:sz w:val="20"/>
          <w:szCs w:val="20"/>
        </w:rPr>
        <w:t>We have adopted a Code of Business Conduct and Ethics that applies to our principal executive officer, principal financial officer, principal accounting officer or controller, and pe</w:t>
      </w:r>
      <w:r>
        <w:rPr>
          <w:rFonts w:eastAsia="Times New Roman"/>
          <w:color w:val="000000"/>
          <w:sz w:val="20"/>
          <w:szCs w:val="20"/>
        </w:rPr>
        <w:t>rsons performing similar functions. We have posted the Code of Business Conduct and Ethics on our investor relations website under the heading "Corporate Governance" at www.comscore.com. To the extent permissible under Nasdaq rules, we intend to disclose a</w:t>
      </w:r>
      <w:r>
        <w:rPr>
          <w:rFonts w:eastAsia="Times New Roman"/>
          <w:color w:val="000000"/>
          <w:sz w:val="20"/>
          <w:szCs w:val="20"/>
        </w:rPr>
        <w:t>ny amendments to our Code of Business Conduct and Ethics, as well as waivers of the provisions thereof, on our investor relations website under the heading "Corporate Governance" at www.comscore.com.</w:t>
      </w:r>
    </w:p>
    <w:tbl>
      <w:tblPr>
        <w:tblW w:w="4446" w:type="pct"/>
        <w:tblCellMar>
          <w:top w:w="15" w:type="dxa"/>
          <w:left w:w="15" w:type="dxa"/>
          <w:bottom w:w="15" w:type="dxa"/>
          <w:right w:w="15" w:type="dxa"/>
        </w:tblCellMar>
        <w:tblLook w:val="04A0" w:firstRow="1" w:lastRow="0" w:firstColumn="1" w:lastColumn="0" w:noHBand="0" w:noVBand="1"/>
      </w:tblPr>
      <w:tblGrid>
        <w:gridCol w:w="59"/>
        <w:gridCol w:w="715"/>
        <w:gridCol w:w="36"/>
        <w:gridCol w:w="60"/>
        <w:gridCol w:w="6480"/>
        <w:gridCol w:w="36"/>
      </w:tblGrid>
      <w:tr w:rsidR="00000000">
        <w:trPr>
          <w:divId w:val="1117026060"/>
        </w:trPr>
        <w:tc>
          <w:tcPr>
            <w:tcW w:w="50" w:type="pct"/>
            <w:vAlign w:val="center"/>
            <w:hideMark/>
          </w:tcPr>
          <w:p w:rsidR="00000000" w:rsidRDefault="00971A12">
            <w:pPr>
              <w:jc w:val="both"/>
              <w:rPr>
                <w:rFonts w:eastAsia="Times New Roman"/>
              </w:rPr>
            </w:pPr>
          </w:p>
        </w:tc>
        <w:tc>
          <w:tcPr>
            <w:tcW w:w="4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9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117026060"/>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20"/>
                <w:szCs w:val="20"/>
              </w:rPr>
              <w:t>ITEM 11.</w:t>
            </w: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i/>
                <w:iCs/>
                <w:color w:val="000000"/>
                <w:sz w:val="20"/>
                <w:szCs w:val="20"/>
              </w:rPr>
              <w:t>EXECUTIVE COMPENSATION</w:t>
            </w:r>
          </w:p>
        </w:tc>
      </w:tr>
    </w:tbl>
    <w:p w:rsidR="00000000" w:rsidRDefault="00971A12">
      <w:pPr>
        <w:jc w:val="both"/>
        <w:divId w:val="1172448842"/>
        <w:rPr>
          <w:rFonts w:eastAsia="Times New Roman"/>
        </w:rPr>
      </w:pPr>
      <w:r>
        <w:rPr>
          <w:rFonts w:eastAsia="Times New Roman"/>
          <w:color w:val="000000"/>
          <w:sz w:val="20"/>
          <w:szCs w:val="20"/>
        </w:rPr>
        <w:t>Information required by Item 11 of Part III is incorporated by reference to the information that will be included in our Proxy Statement relating to our 2023 Annual Meeting of Stockholders.</w:t>
      </w:r>
    </w:p>
    <w:tbl>
      <w:tblPr>
        <w:tblW w:w="5000" w:type="pct"/>
        <w:tblCellMar>
          <w:top w:w="15" w:type="dxa"/>
          <w:left w:w="15" w:type="dxa"/>
          <w:bottom w:w="15" w:type="dxa"/>
          <w:right w:w="15" w:type="dxa"/>
        </w:tblCellMar>
        <w:tblLook w:val="04A0" w:firstRow="1" w:lastRow="0" w:firstColumn="1" w:lastColumn="0" w:noHBand="0" w:noVBand="1"/>
      </w:tblPr>
      <w:tblGrid>
        <w:gridCol w:w="69"/>
        <w:gridCol w:w="705"/>
        <w:gridCol w:w="36"/>
        <w:gridCol w:w="69"/>
        <w:gridCol w:w="7391"/>
        <w:gridCol w:w="36"/>
      </w:tblGrid>
      <w:tr w:rsidR="00000000">
        <w:trPr>
          <w:divId w:val="1894854604"/>
        </w:trPr>
        <w:tc>
          <w:tcPr>
            <w:tcW w:w="50" w:type="pct"/>
            <w:vAlign w:val="center"/>
            <w:hideMark/>
          </w:tcPr>
          <w:p w:rsidR="00000000" w:rsidRDefault="00971A12">
            <w:pPr>
              <w:jc w:val="both"/>
              <w:rPr>
                <w:rFonts w:eastAsia="Times New Roman"/>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45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894854604"/>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20"/>
                <w:szCs w:val="20"/>
              </w:rPr>
              <w:t>ITEM 12.</w:t>
            </w: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i/>
                <w:iCs/>
                <w:color w:val="000000"/>
                <w:sz w:val="20"/>
                <w:szCs w:val="20"/>
              </w:rPr>
              <w:t xml:space="preserve">SECURITY OWNERSHIP OF CERTAIN BENEFICIAL OWNERS </w:t>
            </w:r>
            <w:r>
              <w:rPr>
                <w:rFonts w:eastAsia="Times New Roman"/>
                <w:b/>
                <w:bCs/>
                <w:i/>
                <w:iCs/>
                <w:color w:val="000000"/>
                <w:sz w:val="20"/>
                <w:szCs w:val="20"/>
              </w:rPr>
              <w:t>AND MANAGEMENT AND RELATED STOCKHOLDER MATTERS</w:t>
            </w:r>
          </w:p>
        </w:tc>
      </w:tr>
    </w:tbl>
    <w:p w:rsidR="00000000" w:rsidRDefault="00971A12">
      <w:pPr>
        <w:jc w:val="both"/>
        <w:divId w:val="1172795372"/>
        <w:rPr>
          <w:rFonts w:eastAsia="Times New Roman"/>
        </w:rPr>
      </w:pPr>
      <w:r>
        <w:rPr>
          <w:rFonts w:eastAsia="Times New Roman"/>
          <w:color w:val="000000"/>
          <w:sz w:val="20"/>
          <w:szCs w:val="20"/>
        </w:rPr>
        <w:t>Information required by Item 12 of Part III is incorporated by reference to the information that will be included in our Proxy Statement relating to our 2023 Annual Meeting of Stockholders.</w:t>
      </w:r>
    </w:p>
    <w:tbl>
      <w:tblPr>
        <w:tblW w:w="4446" w:type="pct"/>
        <w:tblCellMar>
          <w:top w:w="15" w:type="dxa"/>
          <w:left w:w="15" w:type="dxa"/>
          <w:bottom w:w="15" w:type="dxa"/>
          <w:right w:w="15" w:type="dxa"/>
        </w:tblCellMar>
        <w:tblLook w:val="04A0" w:firstRow="1" w:lastRow="0" w:firstColumn="1" w:lastColumn="0" w:noHBand="0" w:noVBand="1"/>
      </w:tblPr>
      <w:tblGrid>
        <w:gridCol w:w="59"/>
        <w:gridCol w:w="715"/>
        <w:gridCol w:w="36"/>
        <w:gridCol w:w="60"/>
        <w:gridCol w:w="6480"/>
        <w:gridCol w:w="36"/>
      </w:tblGrid>
      <w:tr w:rsidR="00000000">
        <w:trPr>
          <w:divId w:val="1798134062"/>
        </w:trPr>
        <w:tc>
          <w:tcPr>
            <w:tcW w:w="50" w:type="pct"/>
            <w:vAlign w:val="center"/>
            <w:hideMark/>
          </w:tcPr>
          <w:p w:rsidR="00000000" w:rsidRDefault="00971A12">
            <w:pPr>
              <w:jc w:val="both"/>
              <w:rPr>
                <w:rFonts w:eastAsia="Times New Roman"/>
              </w:rPr>
            </w:pPr>
          </w:p>
        </w:tc>
        <w:tc>
          <w:tcPr>
            <w:tcW w:w="4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9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798134062"/>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20"/>
                <w:szCs w:val="20"/>
              </w:rPr>
              <w:t>ITEM 13.</w:t>
            </w: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i/>
                <w:iCs/>
                <w:color w:val="000000"/>
                <w:sz w:val="20"/>
                <w:szCs w:val="20"/>
              </w:rPr>
              <w:t>CERTAIN RELATIONSHIPS AND RELATED TRANSACTIONS, AND DIRECTOR INDEPENDENCE</w:t>
            </w:r>
          </w:p>
        </w:tc>
      </w:tr>
    </w:tbl>
    <w:p w:rsidR="00000000" w:rsidRDefault="00971A12">
      <w:pPr>
        <w:jc w:val="both"/>
        <w:divId w:val="1363900612"/>
        <w:rPr>
          <w:rFonts w:eastAsia="Times New Roman"/>
        </w:rPr>
      </w:pPr>
      <w:r>
        <w:rPr>
          <w:rFonts w:eastAsia="Times New Roman"/>
          <w:color w:val="000000"/>
          <w:sz w:val="20"/>
          <w:szCs w:val="20"/>
        </w:rPr>
        <w:t>Information required by Item 13 of Part III is incorporated by reference to the information that will be included in our Proxy Statement relating to our 2023 Annual Meeting of St</w:t>
      </w:r>
      <w:r>
        <w:rPr>
          <w:rFonts w:eastAsia="Times New Roman"/>
          <w:color w:val="000000"/>
          <w:sz w:val="20"/>
          <w:szCs w:val="20"/>
        </w:rPr>
        <w:t>ockholders.</w:t>
      </w:r>
    </w:p>
    <w:tbl>
      <w:tblPr>
        <w:tblW w:w="4446" w:type="pct"/>
        <w:tblCellMar>
          <w:top w:w="15" w:type="dxa"/>
          <w:left w:w="15" w:type="dxa"/>
          <w:bottom w:w="15" w:type="dxa"/>
          <w:right w:w="15" w:type="dxa"/>
        </w:tblCellMar>
        <w:tblLook w:val="04A0" w:firstRow="1" w:lastRow="0" w:firstColumn="1" w:lastColumn="0" w:noHBand="0" w:noVBand="1"/>
      </w:tblPr>
      <w:tblGrid>
        <w:gridCol w:w="59"/>
        <w:gridCol w:w="715"/>
        <w:gridCol w:w="36"/>
        <w:gridCol w:w="60"/>
        <w:gridCol w:w="6480"/>
        <w:gridCol w:w="36"/>
      </w:tblGrid>
      <w:tr w:rsidR="00000000">
        <w:trPr>
          <w:divId w:val="1481732704"/>
        </w:trPr>
        <w:tc>
          <w:tcPr>
            <w:tcW w:w="50" w:type="pct"/>
            <w:vAlign w:val="center"/>
            <w:hideMark/>
          </w:tcPr>
          <w:p w:rsidR="00000000" w:rsidRDefault="00971A12">
            <w:pPr>
              <w:jc w:val="both"/>
              <w:rPr>
                <w:rFonts w:eastAsia="Times New Roman"/>
              </w:rPr>
            </w:pPr>
          </w:p>
        </w:tc>
        <w:tc>
          <w:tcPr>
            <w:tcW w:w="49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39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481732704"/>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20"/>
                <w:szCs w:val="20"/>
              </w:rPr>
              <w:t>ITEM 14.</w:t>
            </w: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i/>
                <w:iCs/>
                <w:color w:val="000000"/>
                <w:sz w:val="20"/>
                <w:szCs w:val="20"/>
              </w:rPr>
              <w:t>PRINCIPAL ACCOUNTANT FEES AND SERVICES</w:t>
            </w:r>
          </w:p>
        </w:tc>
      </w:tr>
    </w:tbl>
    <w:p w:rsidR="00000000" w:rsidRDefault="00971A12">
      <w:pPr>
        <w:jc w:val="both"/>
        <w:divId w:val="147671250"/>
        <w:rPr>
          <w:rFonts w:eastAsia="Times New Roman"/>
        </w:rPr>
      </w:pPr>
      <w:r>
        <w:rPr>
          <w:rFonts w:eastAsia="Times New Roman"/>
          <w:color w:val="000000"/>
          <w:sz w:val="20"/>
          <w:szCs w:val="20"/>
        </w:rPr>
        <w:t>Information required by Item 14 of Part III regarding our principal accountant, Deloitte &amp; Touche LLP (PCAOB ID No. 34</w:t>
      </w:r>
      <w:r>
        <w:rPr>
          <w:rFonts w:eastAsia="Times New Roman"/>
          <w:color w:val="000000"/>
          <w:sz w:val="20"/>
          <w:szCs w:val="20"/>
        </w:rPr>
        <w:t>), is incorporated by reference to the information that will be included in our Proxy Statement relating to our 2023 Annual Meeting of Stockholders.</w:t>
      </w:r>
    </w:p>
    <w:p w:rsidR="00000000" w:rsidRDefault="00971A12">
      <w:pPr>
        <w:jc w:val="center"/>
        <w:divId w:val="859318901"/>
        <w:rPr>
          <w:rFonts w:eastAsia="Times New Roman"/>
        </w:rPr>
      </w:pPr>
      <w:r>
        <w:rPr>
          <w:rFonts w:eastAsia="Times New Roman"/>
          <w:color w:val="000000"/>
          <w:sz w:val="20"/>
          <w:szCs w:val="20"/>
        </w:rPr>
        <w:t>85</w:t>
      </w:r>
    </w:p>
    <w:p w:rsidR="00000000" w:rsidRDefault="00971A12">
      <w:pPr>
        <w:rPr>
          <w:rFonts w:eastAsia="Times New Roman"/>
        </w:rPr>
      </w:pPr>
      <w:r>
        <w:rPr>
          <w:rFonts w:eastAsia="Times New Roman"/>
        </w:rPr>
        <w:pict>
          <v:rect id="_x0000_i1113" style="width:0;height:1.5pt" o:hralign="center" o:hrstd="t" o:hr="t" fillcolor="#a0a0a0" stroked="f"/>
        </w:pict>
      </w:r>
    </w:p>
    <w:p w:rsidR="00000000" w:rsidRDefault="00971A12">
      <w:pPr>
        <w:divId w:val="912079983"/>
        <w:rPr>
          <w:rFonts w:eastAsia="Times New Roman"/>
        </w:rPr>
      </w:pPr>
      <w:hyperlink w:anchor="i0047531bd13046b986557e31951e34f8_7" w:history="1">
        <w:r>
          <w:rPr>
            <w:rStyle w:val="a3"/>
            <w:rFonts w:eastAsia="Times New Roman"/>
            <w:sz w:val="20"/>
            <w:szCs w:val="20"/>
          </w:rPr>
          <w:t>Table of C</w:t>
        </w:r>
        <w:r>
          <w:rPr>
            <w:rStyle w:val="a3"/>
            <w:rFonts w:eastAsia="Times New Roman"/>
            <w:sz w:val="20"/>
            <w:szCs w:val="20"/>
          </w:rPr>
          <w:t>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312415670"/>
        <w:rPr>
          <w:rFonts w:eastAsia="Times New Roman"/>
        </w:rPr>
      </w:pPr>
    </w:p>
    <w:p w:rsidR="00000000" w:rsidRDefault="00971A12">
      <w:pPr>
        <w:jc w:val="center"/>
        <w:divId w:val="1763335950"/>
        <w:rPr>
          <w:rFonts w:eastAsia="Times New Roman"/>
        </w:rPr>
      </w:pPr>
      <w:r>
        <w:rPr>
          <w:rFonts w:eastAsia="Times New Roman"/>
          <w:b/>
          <w:bCs/>
          <w:color w:val="000000"/>
          <w:sz w:val="20"/>
          <w:szCs w:val="20"/>
        </w:rPr>
        <w:t>PART IV</w:t>
      </w:r>
    </w:p>
    <w:tbl>
      <w:tblPr>
        <w:tblW w:w="5000" w:type="pct"/>
        <w:tblCellMar>
          <w:top w:w="15" w:type="dxa"/>
          <w:left w:w="15" w:type="dxa"/>
          <w:bottom w:w="15" w:type="dxa"/>
          <w:right w:w="15" w:type="dxa"/>
        </w:tblCellMar>
        <w:tblLook w:val="04A0" w:firstRow="1" w:lastRow="0" w:firstColumn="1" w:lastColumn="0" w:noHBand="0" w:noVBand="1"/>
      </w:tblPr>
      <w:tblGrid>
        <w:gridCol w:w="69"/>
        <w:gridCol w:w="705"/>
        <w:gridCol w:w="36"/>
        <w:gridCol w:w="69"/>
        <w:gridCol w:w="7391"/>
        <w:gridCol w:w="36"/>
      </w:tblGrid>
      <w:tr w:rsidR="00000000">
        <w:trPr>
          <w:divId w:val="1580869533"/>
        </w:trPr>
        <w:tc>
          <w:tcPr>
            <w:tcW w:w="50" w:type="pct"/>
            <w:vAlign w:val="center"/>
            <w:hideMark/>
          </w:tcPr>
          <w:p w:rsidR="00000000" w:rsidRDefault="00971A12">
            <w:pPr>
              <w:jc w:val="center"/>
              <w:rPr>
                <w:rFonts w:eastAsia="Times New Roman"/>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45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580869533"/>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20"/>
                <w:szCs w:val="20"/>
              </w:rPr>
              <w:t>ITEM 15.</w:t>
            </w: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i/>
                <w:iCs/>
                <w:color w:val="000000"/>
                <w:sz w:val="20"/>
                <w:szCs w:val="20"/>
              </w:rPr>
              <w:t>EXHIBITS AND FINANCIAL STATEMENT SCHEDULES</w:t>
            </w:r>
          </w:p>
        </w:tc>
      </w:tr>
    </w:tbl>
    <w:p w:rsidR="00000000" w:rsidRDefault="00971A12">
      <w:pPr>
        <w:ind w:firstLine="495"/>
        <w:jc w:val="both"/>
        <w:divId w:val="1333802267"/>
        <w:rPr>
          <w:rFonts w:eastAsia="Times New Roman"/>
        </w:rPr>
      </w:pPr>
      <w:r>
        <w:rPr>
          <w:rFonts w:eastAsia="Times New Roman"/>
          <w:color w:val="000000"/>
          <w:sz w:val="20"/>
          <w:szCs w:val="20"/>
        </w:rPr>
        <w:t>(a) </w:t>
      </w:r>
      <w:r>
        <w:rPr>
          <w:rFonts w:eastAsia="Times New Roman"/>
          <w:color w:val="000000"/>
          <w:sz w:val="20"/>
          <w:szCs w:val="20"/>
        </w:rPr>
        <w:t>The following documents are filed as part of this Annual Report on Form 10-K:</w:t>
      </w:r>
    </w:p>
    <w:p w:rsidR="00000000" w:rsidRDefault="00971A12">
      <w:pPr>
        <w:ind w:firstLine="990"/>
        <w:jc w:val="both"/>
        <w:divId w:val="1599755684"/>
        <w:rPr>
          <w:rFonts w:eastAsia="Times New Roman"/>
        </w:rPr>
      </w:pPr>
      <w:r>
        <w:rPr>
          <w:rFonts w:eastAsia="Times New Roman"/>
          <w:color w:val="000000"/>
          <w:sz w:val="20"/>
          <w:szCs w:val="20"/>
        </w:rPr>
        <w:t xml:space="preserve">(1) Financial statements and reports of our independent registered public accounting firm. See (i) Index to Consolidated Financial Statements at </w:t>
      </w:r>
      <w:hyperlink w:anchor="i0047531bd13046b986557e31951e34f8_73" w:history="1">
        <w:r>
          <w:rPr>
            <w:rStyle w:val="a3"/>
            <w:rFonts w:eastAsia="Times New Roman"/>
            <w:sz w:val="20"/>
            <w:szCs w:val="20"/>
          </w:rPr>
          <w:t>Item 8</w:t>
        </w:r>
      </w:hyperlink>
      <w:r>
        <w:rPr>
          <w:rFonts w:eastAsia="Times New Roman"/>
          <w:color w:val="000000"/>
          <w:sz w:val="20"/>
          <w:szCs w:val="20"/>
        </w:rPr>
        <w:t xml:space="preserve"> and (ii) </w:t>
      </w:r>
      <w:hyperlink w:anchor="i0047531bd13046b986557e31951e34f8_169" w:history="1">
        <w:r>
          <w:rPr>
            <w:rStyle w:val="a3"/>
            <w:rFonts w:eastAsia="Times New Roman"/>
            <w:sz w:val="20"/>
            <w:szCs w:val="20"/>
          </w:rPr>
          <w:t>Item 9A</w:t>
        </w:r>
      </w:hyperlink>
      <w:r>
        <w:rPr>
          <w:rFonts w:eastAsia="Times New Roman"/>
          <w:color w:val="000000"/>
          <w:sz w:val="20"/>
          <w:szCs w:val="20"/>
        </w:rPr>
        <w:t xml:space="preserve"> of this Annual Report on Form 10-K.</w:t>
      </w:r>
    </w:p>
    <w:p w:rsidR="00000000" w:rsidRDefault="00971A12">
      <w:pPr>
        <w:ind w:firstLine="990"/>
        <w:jc w:val="both"/>
        <w:divId w:val="459107622"/>
        <w:rPr>
          <w:rFonts w:eastAsia="Times New Roman"/>
        </w:rPr>
      </w:pPr>
      <w:r>
        <w:rPr>
          <w:rFonts w:eastAsia="Times New Roman"/>
          <w:color w:val="000000"/>
          <w:sz w:val="20"/>
          <w:szCs w:val="20"/>
        </w:rPr>
        <w:t>(2) </w:t>
      </w:r>
      <w:r>
        <w:rPr>
          <w:rFonts w:eastAsia="Times New Roman"/>
          <w:color w:val="000000"/>
          <w:sz w:val="20"/>
          <w:szCs w:val="20"/>
        </w:rPr>
        <w:t>All other schedules, for which provision is made in the applicable accounting regulations of the SEC, are omitted, as the required information is inapplicable or the information is presented in the Consolidated Financial Statements and Notes to Consolidate</w:t>
      </w:r>
      <w:r>
        <w:rPr>
          <w:rFonts w:eastAsia="Times New Roman"/>
          <w:color w:val="000000"/>
          <w:sz w:val="20"/>
          <w:szCs w:val="20"/>
        </w:rPr>
        <w:t xml:space="preserve">d Financial Statements in </w:t>
      </w:r>
      <w:hyperlink w:anchor="i0047531bd13046b986557e31951e34f8_73" w:history="1">
        <w:r>
          <w:rPr>
            <w:rStyle w:val="a3"/>
            <w:rFonts w:eastAsia="Times New Roman"/>
            <w:sz w:val="20"/>
            <w:szCs w:val="20"/>
          </w:rPr>
          <w:t>Item 8</w:t>
        </w:r>
      </w:hyperlink>
      <w:r>
        <w:rPr>
          <w:rFonts w:eastAsia="Times New Roman"/>
          <w:color w:val="000000"/>
          <w:sz w:val="20"/>
          <w:szCs w:val="20"/>
        </w:rPr>
        <w:t xml:space="preserve"> of this Annual Report on Form 10-K.</w:t>
      </w:r>
    </w:p>
    <w:p w:rsidR="00000000" w:rsidRDefault="00971A12">
      <w:pPr>
        <w:ind w:firstLine="990"/>
        <w:jc w:val="both"/>
        <w:divId w:val="30568867"/>
        <w:rPr>
          <w:rFonts w:eastAsia="Times New Roman"/>
        </w:rPr>
      </w:pPr>
      <w:r>
        <w:rPr>
          <w:rFonts w:eastAsia="Times New Roman"/>
          <w:color w:val="000000"/>
          <w:sz w:val="20"/>
          <w:szCs w:val="20"/>
        </w:rPr>
        <w:t xml:space="preserve">(3) Exhibits. The exhibits filed as part of this report are listed under "Exhibits" at subsection (b) of this </w:t>
      </w:r>
      <w:hyperlink w:anchor="i0047531bd13046b986557e31951e34f8_214" w:history="1">
        <w:r>
          <w:rPr>
            <w:rStyle w:val="a3"/>
            <w:rFonts w:eastAsia="Times New Roman"/>
            <w:sz w:val="20"/>
            <w:szCs w:val="20"/>
          </w:rPr>
          <w:t>Item 15</w:t>
        </w:r>
      </w:hyperlink>
      <w:r>
        <w:rPr>
          <w:rFonts w:eastAsia="Times New Roman"/>
          <w:color w:val="000000"/>
          <w:sz w:val="20"/>
          <w:szCs w:val="20"/>
        </w:rPr>
        <w:t>.</w:t>
      </w:r>
    </w:p>
    <w:p w:rsidR="00000000" w:rsidRDefault="00971A12">
      <w:pPr>
        <w:ind w:firstLine="495"/>
        <w:jc w:val="both"/>
        <w:divId w:val="858468338"/>
        <w:rPr>
          <w:rFonts w:eastAsia="Times New Roman"/>
        </w:rPr>
      </w:pPr>
      <w:r>
        <w:rPr>
          <w:rFonts w:eastAsia="Times New Roman"/>
          <w:color w:val="000000"/>
          <w:sz w:val="20"/>
          <w:szCs w:val="20"/>
        </w:rPr>
        <w:t>(b) </w:t>
      </w:r>
      <w:hyperlink w:anchor="i0047531bd13046b986557e31951e34f8_217" w:history="1">
        <w:r>
          <w:rPr>
            <w:rStyle w:val="a3"/>
            <w:rFonts w:eastAsia="Times New Roman"/>
            <w:sz w:val="20"/>
            <w:szCs w:val="20"/>
          </w:rPr>
          <w:t>Exhibits</w:t>
        </w:r>
      </w:hyperlink>
    </w:p>
    <w:p w:rsidR="00000000" w:rsidRDefault="00971A12">
      <w:pPr>
        <w:jc w:val="both"/>
        <w:rPr>
          <w:rFonts w:eastAsia="Times New Roman"/>
        </w:rPr>
      </w:pPr>
    </w:p>
    <w:p w:rsidR="00000000" w:rsidRDefault="00971A12">
      <w:pPr>
        <w:jc w:val="both"/>
        <w:rPr>
          <w:rFonts w:eastAsia="Times New Roman"/>
        </w:rPr>
      </w:pPr>
    </w:p>
    <w:p w:rsidR="00000000" w:rsidRDefault="00971A12">
      <w:pPr>
        <w:jc w:val="center"/>
        <w:divId w:val="1951741326"/>
        <w:rPr>
          <w:rFonts w:eastAsia="Times New Roman"/>
        </w:rPr>
      </w:pPr>
      <w:r>
        <w:rPr>
          <w:rFonts w:eastAsia="Times New Roman"/>
          <w:color w:val="000000"/>
          <w:sz w:val="20"/>
          <w:szCs w:val="20"/>
        </w:rPr>
        <w:t>86</w:t>
      </w:r>
    </w:p>
    <w:p w:rsidR="00000000" w:rsidRDefault="00971A12">
      <w:pPr>
        <w:rPr>
          <w:rFonts w:eastAsia="Times New Roman"/>
        </w:rPr>
      </w:pPr>
      <w:r>
        <w:rPr>
          <w:rFonts w:eastAsia="Times New Roman"/>
        </w:rPr>
        <w:pict>
          <v:rect id="_x0000_i1114" style="width:0;height:1.5pt" o:hralign="center" o:hrstd="t" o:hr="t" fillcolor="#a0a0a0" stroked="f"/>
        </w:pict>
      </w:r>
    </w:p>
    <w:p w:rsidR="00000000" w:rsidRDefault="00971A12">
      <w:pPr>
        <w:divId w:val="417873230"/>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725714137"/>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101"/>
        <w:gridCol w:w="874"/>
        <w:gridCol w:w="36"/>
        <w:gridCol w:w="36"/>
        <w:gridCol w:w="7223"/>
        <w:gridCol w:w="36"/>
      </w:tblGrid>
      <w:tr w:rsidR="00000000">
        <w:trPr>
          <w:jc w:val="center"/>
        </w:trPr>
        <w:tc>
          <w:tcPr>
            <w:tcW w:w="50" w:type="pct"/>
            <w:vAlign w:val="center"/>
            <w:hideMark/>
          </w:tcPr>
          <w:p w:rsidR="00000000" w:rsidRDefault="00971A12">
            <w:pPr>
              <w:rPr>
                <w:rFonts w:eastAsia="Times New Roman"/>
              </w:rPr>
            </w:pPr>
          </w:p>
        </w:tc>
        <w:tc>
          <w:tcPr>
            <w:tcW w:w="43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45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b/>
                <w:bCs/>
                <w:i/>
                <w:iCs/>
                <w:color w:val="000000"/>
                <w:sz w:val="20"/>
                <w:szCs w:val="20"/>
              </w:rPr>
              <w:t>EXHIBITS</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r>
    </w:tbl>
    <w:p w:rsidR="00000000" w:rsidRDefault="00971A12">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7"/>
        <w:gridCol w:w="545"/>
        <w:gridCol w:w="36"/>
        <w:gridCol w:w="36"/>
        <w:gridCol w:w="36"/>
        <w:gridCol w:w="36"/>
        <w:gridCol w:w="53"/>
        <w:gridCol w:w="7460"/>
        <w:gridCol w:w="37"/>
      </w:tblGrid>
      <w:tr w:rsidR="00000000">
        <w:trPr>
          <w:jc w:val="center"/>
        </w:trPr>
        <w:tc>
          <w:tcPr>
            <w:tcW w:w="50" w:type="pct"/>
            <w:vAlign w:val="center"/>
            <w:hideMark/>
          </w:tcPr>
          <w:p w:rsidR="00000000" w:rsidRDefault="00971A12">
            <w:pPr>
              <w:jc w:val="center"/>
              <w:rPr>
                <w:rFonts w:eastAsia="Times New Roman"/>
              </w:rPr>
            </w:pPr>
          </w:p>
        </w:tc>
        <w:tc>
          <w:tcPr>
            <w:tcW w:w="35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508"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16"/>
                <w:szCs w:val="16"/>
              </w:rPr>
              <w:t>Exhibit</w:t>
            </w:r>
            <w:r>
              <w:rPr>
                <w:rFonts w:eastAsia="Times New Roman"/>
                <w:b/>
                <w:bCs/>
                <w:color w:val="000000"/>
                <w:sz w:val="16"/>
                <w:szCs w:val="16"/>
              </w:rPr>
              <w:br/>
              <w:t>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5" w:history="1">
              <w:r>
                <w:rPr>
                  <w:rStyle w:val="a3"/>
                  <w:rFonts w:eastAsia="Times New Roman"/>
                  <w:sz w:val="20"/>
                  <w:szCs w:val="20"/>
                </w:rPr>
                <w:t>Amended and Restated Certificate of Incorporation of the Registrant (incorporated by reference to Exhibit 3.3 to the Registrant's Registration Sta</w:t>
              </w:r>
              <w:r>
                <w:rPr>
                  <w:rStyle w:val="a3"/>
                  <w:rFonts w:eastAsia="Times New Roman"/>
                  <w:sz w:val="20"/>
                  <w:szCs w:val="20"/>
                </w:rPr>
                <w:t>tement on Form S-1, as amended, filed June 12, 2007) (File No. 333-141740)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6" w:history="1">
              <w:r>
                <w:rPr>
                  <w:rStyle w:val="a3"/>
                  <w:rFonts w:eastAsia="Times New Roman"/>
                  <w:sz w:val="20"/>
                  <w:szCs w:val="20"/>
                </w:rPr>
                <w:t>Certificate of Amendment of Amended and Restated Certificate of Incorporation of comScore, Inc. (incorporated by reference to Exhibit 4.2 to th</w:t>
              </w:r>
              <w:r>
                <w:rPr>
                  <w:rStyle w:val="a3"/>
                  <w:rFonts w:eastAsia="Times New Roman"/>
                  <w:sz w:val="20"/>
                  <w:szCs w:val="20"/>
                </w:rPr>
                <w:t>e Registrant's Registration Statement on Form S-8, filed June 4, 2018) (File No. 333-225400)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3.3</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7" w:history="1">
              <w:r>
                <w:rPr>
                  <w:rStyle w:val="a3"/>
                  <w:rFonts w:eastAsia="Times New Roman"/>
                  <w:sz w:val="20"/>
                  <w:szCs w:val="20"/>
                </w:rPr>
                <w:t>Certificate of Designation of Series A Jun</w:t>
              </w:r>
              <w:r>
                <w:rPr>
                  <w:rStyle w:val="a3"/>
                  <w:rFonts w:eastAsia="Times New Roman"/>
                  <w:sz w:val="20"/>
                  <w:szCs w:val="20"/>
                </w:rPr>
                <w:t>ior Participating Preferred Stock of comScore, Inc., as filed with the Secretary of State of the State of Delaware on February 9, 2017 (incorporated by reference to Exhibit 3.1 to the Registrant's Current Report on Form 8-K, filed February 9, 2017) (File N</w:t>
              </w:r>
              <w:r>
                <w:rPr>
                  <w:rStyle w:val="a3"/>
                  <w:rFonts w:eastAsia="Times New Roman"/>
                  <w:sz w:val="20"/>
                  <w:szCs w:val="20"/>
                </w:rPr>
                <w:t>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3.4</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8" w:history="1">
              <w:r>
                <w:rPr>
                  <w:rStyle w:val="a3"/>
                  <w:rFonts w:eastAsia="Times New Roman"/>
                  <w:sz w:val="20"/>
                  <w:szCs w:val="20"/>
                </w:rPr>
                <w:t xml:space="preserve">Certificate of Elimination of Designation of Series A Junior Participating Preferred Stock of comScore, Inc., as filed with the Secretary of State of the State of Delaware on September 29, 2017 (incorporated by reference to Exhibit 3.1 to the Registrant's </w:t>
              </w:r>
              <w:r>
                <w:rPr>
                  <w:rStyle w:val="a3"/>
                  <w:rFonts w:eastAsia="Times New Roman"/>
                  <w:sz w:val="20"/>
                  <w:szCs w:val="20"/>
                </w:rPr>
                <w:t>Current Report on Form 8-K, filed October 4, 2017)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3.5</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9" w:history="1">
              <w:r>
                <w:rPr>
                  <w:rStyle w:val="a3"/>
                  <w:rFonts w:eastAsia="Times New Roman"/>
                  <w:sz w:val="20"/>
                  <w:szCs w:val="20"/>
                </w:rPr>
                <w:t>Certificate of Amendment to Amended and Restated Certificate of Incorporation of comScore, Inc., dated March 10, 2021 (incorporated by reference to Exhibi</w:t>
              </w:r>
              <w:r>
                <w:rPr>
                  <w:rStyle w:val="a3"/>
                  <w:rFonts w:eastAsia="Times New Roman"/>
                  <w:sz w:val="20"/>
                  <w:szCs w:val="20"/>
                </w:rPr>
                <w:t>t 3.1 to the Registrant's Current Report on Form 8-K, filed March 15,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3.6</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10" w:history="1">
              <w:r>
                <w:rPr>
                  <w:rStyle w:val="a3"/>
                  <w:rFonts w:eastAsia="Times New Roman"/>
                  <w:sz w:val="20"/>
                  <w:szCs w:val="20"/>
                </w:rPr>
                <w:t>Certificate of Designations of Series B Convertible Preferred Stock, par value $0.001, of comScore, Inc. (incorporated by reference to Exhibit 3.2 to the Reg</w:t>
              </w:r>
              <w:r>
                <w:rPr>
                  <w:rStyle w:val="a3"/>
                  <w:rFonts w:eastAsia="Times New Roman"/>
                  <w:sz w:val="20"/>
                  <w:szCs w:val="20"/>
                </w:rPr>
                <w:t>istrant's Current Report on Form 8-K, filed March 15,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3.7</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11" w:history="1">
              <w:r>
                <w:rPr>
                  <w:rStyle w:val="a3"/>
                  <w:rFonts w:eastAsia="Times New Roman"/>
                  <w:sz w:val="20"/>
                  <w:szCs w:val="20"/>
                </w:rPr>
                <w:t>Amended and Restated Bylaws of comScore, Inc (incorporated by reference to Exhibit 3.2 to the Registrant's Quarterly Report on Form 10-Q for th</w:t>
              </w:r>
              <w:r>
                <w:rPr>
                  <w:rStyle w:val="a3"/>
                  <w:rFonts w:eastAsia="Times New Roman"/>
                  <w:sz w:val="20"/>
                  <w:szCs w:val="20"/>
                </w:rPr>
                <w:t>e period ended June 30, 2018, filed August 10, 2018)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12" w:history="1">
              <w:r>
                <w:rPr>
                  <w:rStyle w:val="a3"/>
                  <w:rFonts w:eastAsia="Times New Roman"/>
                  <w:sz w:val="20"/>
                  <w:szCs w:val="20"/>
                </w:rPr>
                <w:t>Stockholders Agreement, dated as of March 10, 2021, by and among comScore, Inc., Charter Communications Holding Company, LLC, Qurate Retail, Inc. and Pine I</w:t>
              </w:r>
              <w:r>
                <w:rPr>
                  <w:rStyle w:val="a3"/>
                  <w:rFonts w:eastAsia="Times New Roman"/>
                  <w:sz w:val="20"/>
                  <w:szCs w:val="20"/>
                </w:rPr>
                <w:t>nvestor, LLC (incorporated by reference to Exhibit 10.4 to the Registrant's Current Report on Form 8-K, filed March 15,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4.2</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13" w:history="1">
              <w:r>
                <w:rPr>
                  <w:rStyle w:val="a3"/>
                  <w:rFonts w:eastAsia="Times New Roman"/>
                  <w:sz w:val="20"/>
                  <w:szCs w:val="20"/>
                </w:rPr>
                <w:t>Registration Rights Agreement, dated as of March 10, 2021, by and among comScore, Inc., Charter Communications Holding Company, LLC, Qurate Retail, Inc. and Pine Investor, LLC (incorporated by reference to Exhibit 10.5 to the Registrant's Current Report on</w:t>
              </w:r>
              <w:r>
                <w:rPr>
                  <w:rStyle w:val="a3"/>
                  <w:rFonts w:eastAsia="Times New Roman"/>
                  <w:sz w:val="20"/>
                  <w:szCs w:val="20"/>
                </w:rPr>
                <w:t xml:space="preserve"> Form 8-K, filed March 15,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4.3</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14" w:history="1">
              <w:r>
                <w:rPr>
                  <w:rStyle w:val="a3"/>
                  <w:rFonts w:eastAsia="Times New Roman"/>
                  <w:sz w:val="20"/>
                  <w:szCs w:val="20"/>
                </w:rPr>
                <w:t xml:space="preserve">Specimen Common Stock Certificate (incorporated by reference to Exhibit 4.1 to the Registrant's Registration Statement on Form S-1, as amended, filed June </w:t>
              </w:r>
              <w:r>
                <w:rPr>
                  <w:rStyle w:val="a3"/>
                  <w:rFonts w:eastAsia="Times New Roman"/>
                  <w:sz w:val="20"/>
                  <w:szCs w:val="20"/>
                </w:rPr>
                <w:t>12, 2007) (File No. 333-141740)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4.4</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15" w:history="1">
              <w:r>
                <w:rPr>
                  <w:rStyle w:val="a3"/>
                  <w:rFonts w:eastAsia="Times New Roman"/>
                  <w:sz w:val="20"/>
                  <w:szCs w:val="20"/>
                </w:rPr>
                <w:t>Series A Warrant Issued to CVI Investments, Inc. (incorporated by reference to Exhibit 4.1 to the Registrant's Current Report on Form 8-K, filed June 26, 2019)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4.5</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16" w:history="1">
              <w:r>
                <w:rPr>
                  <w:rStyle w:val="a3"/>
                  <w:rFonts w:eastAsia="Times New Roman"/>
                  <w:sz w:val="20"/>
                  <w:szCs w:val="20"/>
                </w:rPr>
                <w:t>Registration Rights Agreement, dated June 26, 2019, between comScore, Inc and CVI Investments, Inc. (incorporated by reference to Exhibit 4.5 to the Registrant'</w:t>
              </w:r>
              <w:r>
                <w:rPr>
                  <w:rStyle w:val="a3"/>
                  <w:rFonts w:eastAsia="Times New Roman"/>
                  <w:sz w:val="20"/>
                  <w:szCs w:val="20"/>
                </w:rPr>
                <w:t>s Current Report on Form 8-K, filed June 26, 2019)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4.6</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17" w:history="1">
              <w:r>
                <w:rPr>
                  <w:rStyle w:val="a3"/>
                  <w:rFonts w:eastAsia="Times New Roman"/>
                  <w:sz w:val="20"/>
                  <w:szCs w:val="20"/>
                </w:rPr>
                <w:t xml:space="preserve">Voting Agreement, dated as of December 20, 2011, by and among comScore, Inc. and The Nielsen Company (US) LLC (incorporated by reference to Exhibit 10.3 to </w:t>
              </w:r>
              <w:r>
                <w:rPr>
                  <w:rStyle w:val="a3"/>
                  <w:rFonts w:eastAsia="Times New Roman"/>
                  <w:sz w:val="20"/>
                  <w:szCs w:val="20"/>
                </w:rPr>
                <w:t>the Registrant's Current Report on Form 8-K, filed December 21, 2011)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4.7</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18" w:history="1">
              <w:r>
                <w:rPr>
                  <w:rStyle w:val="a3"/>
                  <w:rFonts w:eastAsia="Times New Roman"/>
                  <w:sz w:val="20"/>
                  <w:szCs w:val="20"/>
                </w:rPr>
                <w:t>Stockholders Rights Agreement, dated as of February 11, 2015, by and among comScore, Inc., WPP Group USA, Inc. and Cavendish Square Holding B.V. (incorporat</w:t>
              </w:r>
              <w:r>
                <w:rPr>
                  <w:rStyle w:val="a3"/>
                  <w:rFonts w:eastAsia="Times New Roman"/>
                  <w:sz w:val="20"/>
                  <w:szCs w:val="20"/>
                </w:rPr>
                <w:t>ed by reference to Exhibit (d)(3) to Cavendish Square Holding B.V.'s and WPP plc's Tender Offer Statement on Schedule TO, filed February 20, 2015) (File No. 005-83687)</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4.8</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19" w:history="1">
              <w:r>
                <w:rPr>
                  <w:rStyle w:val="a3"/>
                  <w:rFonts w:eastAsia="Times New Roman"/>
                  <w:sz w:val="20"/>
                  <w:szCs w:val="20"/>
                </w:rPr>
                <w:t>Voting Agreement, dated as of February 11, 2015, by and among comScore, Inc., WPP Group USA, Inc. and Cavendish Square Holding B.V. (incorporated by referen</w:t>
              </w:r>
              <w:r>
                <w:rPr>
                  <w:rStyle w:val="a3"/>
                  <w:rFonts w:eastAsia="Times New Roman"/>
                  <w:sz w:val="20"/>
                  <w:szCs w:val="20"/>
                </w:rPr>
                <w:t>ce to Exhibit (d)(4) to Cavendish Square Holding B.V.'s and WPP plc's Tender Offer Statement on Schedule TO, filed February 20, 2015) (File No. 005-83687)</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4.9</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20" w:history="1">
              <w:r>
                <w:rPr>
                  <w:rStyle w:val="a3"/>
                  <w:rFonts w:eastAsia="Times New Roman"/>
                  <w:sz w:val="20"/>
                  <w:szCs w:val="20"/>
                </w:rPr>
                <w:t>Registration Rights Agreement, dated as of January 16, 2018, by and among comScore, Inc. and the investors listed on the Schedule of Buyers attached thereto</w:t>
              </w:r>
              <w:r>
                <w:rPr>
                  <w:rStyle w:val="a3"/>
                  <w:rFonts w:eastAsia="Times New Roman"/>
                  <w:sz w:val="20"/>
                  <w:szCs w:val="20"/>
                </w:rPr>
                <w:t xml:space="preserve"> (incorporated by reference to Exhibit 10.4 to the Registrant's Current Report on Form 8-K, filed January 16, 2018)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4.10+</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divId w:val="2099868834"/>
              <w:rPr>
                <w:rFonts w:eastAsia="Times New Roman"/>
              </w:rPr>
            </w:pPr>
            <w:hyperlink r:id="rId21" w:history="1">
              <w:r>
                <w:rPr>
                  <w:rStyle w:val="a3"/>
                  <w:rFonts w:eastAsia="Times New Roman"/>
                  <w:sz w:val="20"/>
                  <w:szCs w:val="20"/>
                </w:rPr>
                <w:t xml:space="preserve">Description of Securities </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divId w:val="298732297"/>
              <w:rPr>
                <w:rFonts w:eastAsia="Times New Roman"/>
              </w:rPr>
            </w:pPr>
            <w:hyperlink r:id="rId22" w:history="1">
              <w:r>
                <w:rPr>
                  <w:rStyle w:val="a3"/>
                  <w:rFonts w:eastAsia="Times New Roman"/>
                  <w:sz w:val="20"/>
                  <w:szCs w:val="20"/>
                </w:rPr>
                <w:t>Series B Convertible Preferred Stock Purchase Agreement, dated as of January 7, 2021, by and between comSc</w:t>
              </w:r>
              <w:r>
                <w:rPr>
                  <w:rStyle w:val="a3"/>
                  <w:rFonts w:eastAsia="Times New Roman"/>
                  <w:sz w:val="20"/>
                  <w:szCs w:val="20"/>
                </w:rPr>
                <w:t>ore, Inc. and Charter Communications Holding Company, LLC (incorporated by reference to Exhibit 10.1 to the Registrant's Current Report on Form 8-K, filed January 8,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divId w:val="944072708"/>
              <w:rPr>
                <w:rFonts w:eastAsia="Times New Roman"/>
              </w:rPr>
            </w:pPr>
            <w:hyperlink r:id="rId23" w:history="1">
              <w:r>
                <w:rPr>
                  <w:rStyle w:val="a3"/>
                  <w:rFonts w:eastAsia="Times New Roman"/>
                  <w:sz w:val="20"/>
                  <w:szCs w:val="20"/>
                </w:rPr>
                <w:t>Series B Convertible Preferred Stock Purchase Agreement, dated as of January 7, 2021, by and between comScore, Inc. and Qurate Retail, Inc. (incorporated by</w:t>
              </w:r>
              <w:r>
                <w:rPr>
                  <w:rStyle w:val="a3"/>
                  <w:rFonts w:eastAsia="Times New Roman"/>
                  <w:sz w:val="20"/>
                  <w:szCs w:val="20"/>
                </w:rPr>
                <w:t xml:space="preserve"> reference to Exhibit 10.2 to the Registrant's Current Report on Form 8-K, filed January 8,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divId w:val="460422566"/>
              <w:rPr>
                <w:rFonts w:eastAsia="Times New Roman"/>
              </w:rPr>
            </w:pPr>
            <w:hyperlink r:id="rId24" w:history="1">
              <w:r>
                <w:rPr>
                  <w:rStyle w:val="a3"/>
                  <w:rFonts w:eastAsia="Times New Roman"/>
                  <w:sz w:val="20"/>
                  <w:szCs w:val="20"/>
                </w:rPr>
                <w:t xml:space="preserve">Series B Convertible Preferred Stock Purchase Agreement, dated as of January 7, 2021, by and between comScore, Inc. and Pine Investor, LLC (incorporated by </w:t>
              </w:r>
              <w:r>
                <w:rPr>
                  <w:rStyle w:val="a3"/>
                  <w:rFonts w:eastAsia="Times New Roman"/>
                  <w:sz w:val="20"/>
                  <w:szCs w:val="20"/>
                </w:rPr>
                <w:t>reference to Exhibit 10.3 to the Registrant's Current Report on Form 8-K, filed January 8,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bl>
    <w:p w:rsidR="00000000" w:rsidRDefault="00971A12">
      <w:pPr>
        <w:jc w:val="center"/>
        <w:divId w:val="1318530779"/>
        <w:rPr>
          <w:rFonts w:eastAsia="Times New Roman"/>
        </w:rPr>
      </w:pPr>
      <w:r>
        <w:rPr>
          <w:rFonts w:eastAsia="Times New Roman"/>
          <w:color w:val="000000"/>
          <w:sz w:val="20"/>
          <w:szCs w:val="20"/>
        </w:rPr>
        <w:t>87</w:t>
      </w:r>
    </w:p>
    <w:p w:rsidR="00000000" w:rsidRDefault="00971A12">
      <w:pPr>
        <w:rPr>
          <w:rFonts w:eastAsia="Times New Roman"/>
        </w:rPr>
      </w:pPr>
      <w:r>
        <w:rPr>
          <w:rFonts w:eastAsia="Times New Roman"/>
        </w:rPr>
        <w:pict>
          <v:rect id="_x0000_i1115" style="width:0;height:1.5pt" o:hralign="center" o:hrstd="t" o:hr="t" fillcolor="#a0a0a0" stroked="f"/>
        </w:pict>
      </w:r>
    </w:p>
    <w:p w:rsidR="00000000" w:rsidRDefault="00971A12">
      <w:pPr>
        <w:divId w:val="242842516"/>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469906012"/>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2"/>
        <w:gridCol w:w="541"/>
        <w:gridCol w:w="36"/>
        <w:gridCol w:w="36"/>
        <w:gridCol w:w="36"/>
        <w:gridCol w:w="36"/>
        <w:gridCol w:w="53"/>
        <w:gridCol w:w="7460"/>
        <w:gridCol w:w="36"/>
      </w:tblGrid>
      <w:tr w:rsidR="00000000">
        <w:trPr>
          <w:jc w:val="center"/>
        </w:trPr>
        <w:tc>
          <w:tcPr>
            <w:tcW w:w="50" w:type="pct"/>
            <w:vAlign w:val="center"/>
            <w:hideMark/>
          </w:tcPr>
          <w:p w:rsidR="00000000" w:rsidRDefault="00971A12">
            <w:pPr>
              <w:rPr>
                <w:rFonts w:eastAsia="Times New Roman"/>
              </w:rPr>
            </w:pPr>
          </w:p>
        </w:tc>
        <w:tc>
          <w:tcPr>
            <w:tcW w:w="35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508"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divId w:val="86927987"/>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25" w:history="1">
              <w:r>
                <w:rPr>
                  <w:rStyle w:val="a3"/>
                  <w:rFonts w:eastAsia="Times New Roman"/>
                  <w:sz w:val="20"/>
                  <w:szCs w:val="20"/>
                </w:rPr>
                <w:t>Data License Agreement, dated as of March 10, 2021, by and between comScore, Inc. and Charter Communications Operating, LLC (incorporated by reference to Ex</w:t>
              </w:r>
              <w:r>
                <w:rPr>
                  <w:rStyle w:val="a3"/>
                  <w:rFonts w:eastAsia="Times New Roman"/>
                  <w:sz w:val="20"/>
                  <w:szCs w:val="20"/>
                </w:rPr>
                <w:t>hibit 10.6 to the Registrant's Current Report on Form 8-K, filed March 15,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10.5^</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26" w:history="1">
              <w:r>
                <w:rPr>
                  <w:rStyle w:val="a3"/>
                  <w:rFonts w:eastAsia="Times New Roman"/>
                  <w:sz w:val="20"/>
                  <w:szCs w:val="20"/>
                </w:rPr>
                <w:t>First Amendment to Data License Agreement, dated as of March 30, 2022, by and between comScore, Inc. and Charter Communications Operating, LLC</w:t>
              </w:r>
              <w:r>
                <w:rPr>
                  <w:rStyle w:val="a3"/>
                  <w:rFonts w:eastAsia="Times New Roman"/>
                  <w:sz w:val="20"/>
                  <w:szCs w:val="20"/>
                </w:rPr>
                <w:t xml:space="preserve"> (incorporated by reference to Exhibit 10.1 to the Registrant's Quarterly Report on Form 10-Q for the period ended March 31, 2022, filed May 10, 2022)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27" w:history="1">
              <w:r>
                <w:rPr>
                  <w:rStyle w:val="a3"/>
                  <w:rFonts w:eastAsia="Times New Roman"/>
                  <w:sz w:val="20"/>
                  <w:szCs w:val="20"/>
                </w:rPr>
                <w:t xml:space="preserve">Second Amendment to Data License Agreement, dated as of November 6, 2022, by and between comScore, Inc. and Charter Communications Operating, </w:t>
              </w:r>
              <w:r>
                <w:rPr>
                  <w:rStyle w:val="a3"/>
                  <w:rFonts w:eastAsia="Times New Roman"/>
                  <w:sz w:val="20"/>
                  <w:szCs w:val="20"/>
                </w:rPr>
                <w:t>LLC (incorporated by reference to Exhibit 10.1 to the Registrant's Current Report on Form 8-K, filed November 7, 2022)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10.7</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28" w:history="1">
              <w:r>
                <w:rPr>
                  <w:rStyle w:val="a3"/>
                  <w:rFonts w:eastAsia="Times New Roman"/>
                  <w:sz w:val="20"/>
                  <w:szCs w:val="20"/>
                </w:rPr>
                <w:t>Credit Agreement, dated as of May 5, 2021, among comScore, Inc. (as Borrower), certain subsidiaries of the Borrower (as Guarantors), Bank of Am</w:t>
              </w:r>
              <w:r>
                <w:rPr>
                  <w:rStyle w:val="a3"/>
                  <w:rFonts w:eastAsia="Times New Roman"/>
                  <w:sz w:val="20"/>
                  <w:szCs w:val="20"/>
                </w:rPr>
                <w:t>erica, N.A. (as Administrative Agent, Swing Line Lender, and L/C Issuer), and the lenders party thereto (incorporated by reference to Exhibit 10.1 to the Registrant's Quarterly Report on Form 10-Q for the period ended June 30, 2021, filed August 9, 2021) (</w:t>
              </w:r>
              <w:r>
                <w:rPr>
                  <w:rStyle w:val="a3"/>
                  <w:rFonts w:eastAsia="Times New Roman"/>
                  <w:sz w:val="20"/>
                  <w:szCs w:val="20"/>
                </w:rPr>
                <w:t>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10.8</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29" w:history="1">
              <w:r>
                <w:rPr>
                  <w:rStyle w:val="a3"/>
                  <w:rFonts w:eastAsia="Times New Roman"/>
                  <w:sz w:val="20"/>
                  <w:szCs w:val="20"/>
                </w:rPr>
                <w:t>First Amendment, dated as of February 25, 2022, to the Credit Agreement among comScore, Inc. (as Borrower), certain subsidiaries of the Borrow</w:t>
              </w:r>
              <w:r>
                <w:rPr>
                  <w:rStyle w:val="a3"/>
                  <w:rFonts w:eastAsia="Times New Roman"/>
                  <w:sz w:val="20"/>
                  <w:szCs w:val="20"/>
                </w:rPr>
                <w:t>er (as Guarantors), Bank of America, N.A. (as Administrative Agent), and the lenders party thereto (incorporated by reference to Exhibit 10.1 to the Registrant's Current Report on Form 8-K, filed February 28, 2022)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10.9</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30" w:history="1">
              <w:r>
                <w:rPr>
                  <w:rStyle w:val="a3"/>
                  <w:rFonts w:eastAsia="Times New Roman"/>
                  <w:sz w:val="20"/>
                  <w:szCs w:val="20"/>
                </w:rPr>
                <w:t>Second Amendment, dated as of February 24, 2023, to the Credit Agreement among comScore, Inc. (as Borrower), certain subsidiaries of the Bo</w:t>
              </w:r>
              <w:r>
                <w:rPr>
                  <w:rStyle w:val="a3"/>
                  <w:rFonts w:eastAsia="Times New Roman"/>
                  <w:sz w:val="20"/>
                  <w:szCs w:val="20"/>
                </w:rPr>
                <w:t>rrower (as Guarantors), Bank of America, N.A. (as Administrative Agent), and the lenders party thereto (incorporated by reference to Exhibit 10.1 to the Registrant's Current Report on Form 8-K, filed February 28, 2023)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10.10</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31" w:history="1">
              <w:r>
                <w:rPr>
                  <w:rStyle w:val="a3"/>
                  <w:rFonts w:eastAsia="Times New Roman"/>
                  <w:sz w:val="20"/>
                  <w:szCs w:val="20"/>
                </w:rPr>
                <w:t>Patent Purchase, License and Settlement Agreement, dated as of December 20, 2011, by and among comScore, Inc., The Nielsen Company (US) LLC and N</w:t>
              </w:r>
              <w:r>
                <w:rPr>
                  <w:rStyle w:val="a3"/>
                  <w:rFonts w:eastAsia="Times New Roman"/>
                  <w:sz w:val="20"/>
                  <w:szCs w:val="20"/>
                </w:rPr>
                <w:t>etRatings LLC (incorporated by reference to Exhibit 10.1 to the Registrant's Current Report on Form 8-K, filed December 21, 2011)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10.11</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32" w:history="1">
              <w:r>
                <w:rPr>
                  <w:rStyle w:val="a3"/>
                  <w:rFonts w:eastAsia="Times New Roman"/>
                  <w:sz w:val="20"/>
                  <w:szCs w:val="20"/>
                </w:rPr>
                <w:t>Purchase Agreement, dated as of December 20, 2011, by and among comScore, Inc. and The Nielsen Company (US) LLC (incorporated by reference to Exhibit 10.2 t</w:t>
              </w:r>
              <w:r>
                <w:rPr>
                  <w:rStyle w:val="a3"/>
                  <w:rFonts w:eastAsia="Times New Roman"/>
                  <w:sz w:val="20"/>
                  <w:szCs w:val="20"/>
                </w:rPr>
                <w:t>o the Registrant's Current Report on Form 8-K, filed December 21, 2011)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10.12</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33" w:history="1">
              <w:r>
                <w:rPr>
                  <w:rStyle w:val="a3"/>
                  <w:rFonts w:eastAsia="Times New Roman"/>
                  <w:sz w:val="20"/>
                  <w:szCs w:val="20"/>
                </w:rPr>
                <w:t>Stock Purchase Agreement, dated as of February 11, 2015, by and among Cavendish Square Holding B.V., WPP Group USA, Inc., CS Worldnet Holding B.V. and comSc</w:t>
              </w:r>
              <w:r>
                <w:rPr>
                  <w:rStyle w:val="a3"/>
                  <w:rFonts w:eastAsia="Times New Roman"/>
                  <w:sz w:val="20"/>
                  <w:szCs w:val="20"/>
                </w:rPr>
                <w:t>ore, Inc. (incorporated by reference to Exhibit (d)(1) to Cavendish Square Holding B.V.'s and WPP plc's Tender Offer Statement on Schedule TO, filed February 20, 2015) (File No. 005-83687)</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10.13</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34" w:history="1">
              <w:r>
                <w:rPr>
                  <w:rStyle w:val="a3"/>
                  <w:rFonts w:eastAsia="Times New Roman"/>
                  <w:sz w:val="20"/>
                  <w:szCs w:val="20"/>
                </w:rPr>
                <w:t>Strategic Alliance Agreement, dated February 11, 2015, by and between comScore, Inc. and WPP Group USA, Inc. (incorporated by reference to Exhibit (d)(5) to</w:t>
              </w:r>
              <w:r>
                <w:rPr>
                  <w:rStyle w:val="a3"/>
                  <w:rFonts w:eastAsia="Times New Roman"/>
                  <w:sz w:val="20"/>
                  <w:szCs w:val="20"/>
                </w:rPr>
                <w:t xml:space="preserve"> Cavendish Square Holding B.V.'s and WPP plc's Tender Offer Statement on Schedule TO, filed February 20, 2015) (File No. 005-83687)</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10.14</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35" w:history="1">
              <w:r>
                <w:rPr>
                  <w:rStyle w:val="a3"/>
                  <w:rFonts w:eastAsia="Times New Roman"/>
                  <w:sz w:val="20"/>
                  <w:szCs w:val="20"/>
                </w:rPr>
                <w:t>Purchase Agreement, dated as of April 1, 2015, by and between comScore, Inc. and Cavendish Square Holding B.V. (incorporated by reference to Ex</w:t>
              </w:r>
              <w:r>
                <w:rPr>
                  <w:rStyle w:val="a3"/>
                  <w:rFonts w:eastAsia="Times New Roman"/>
                  <w:sz w:val="20"/>
                  <w:szCs w:val="20"/>
                </w:rPr>
                <w:t>hibit 10.5 to the Registrant's Current Report on Form 8-K, filed April 3, 2015)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10.15</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36" w:history="1">
              <w:r>
                <w:rPr>
                  <w:rStyle w:val="a3"/>
                  <w:rFonts w:eastAsia="Times New Roman"/>
                  <w:sz w:val="20"/>
                  <w:szCs w:val="20"/>
                </w:rPr>
                <w:t xml:space="preserve">Securities Purchase Agreement, </w:t>
              </w:r>
              <w:r>
                <w:rPr>
                  <w:rStyle w:val="a3"/>
                  <w:rFonts w:eastAsia="Times New Roman"/>
                  <w:sz w:val="20"/>
                  <w:szCs w:val="20"/>
                </w:rPr>
                <w:t>dated as of June 23, 2019, by and among comScore, Inc. and CVI Investments, Inc. (incorporated by reference to Exhibit 10.1 to the Registrant's Current Report on Form 8-K, filed June 24, 2019)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10.16</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37" w:history="1">
              <w:r>
                <w:rPr>
                  <w:rStyle w:val="a3"/>
                  <w:rFonts w:eastAsia="Times New Roman"/>
                  <w:sz w:val="20"/>
                  <w:szCs w:val="20"/>
                </w:rPr>
                <w:t>Agreement and Plan of Merger, dated December 16, 2021, by and among comScore, Inc., SS Media Holdco, LLC, SS Media Merger Sub, Inc., Shareablee</w:t>
              </w:r>
              <w:r>
                <w:rPr>
                  <w:rStyle w:val="a3"/>
                  <w:rFonts w:eastAsia="Times New Roman"/>
                  <w:sz w:val="20"/>
                  <w:szCs w:val="20"/>
                </w:rPr>
                <w:t>, Inc., Shareablee Holdco, Inc., Shareablee Merger Sub, Inc. and Shareholder Representative Services LLC, as Stockholder Representative</w:t>
              </w:r>
            </w:hyperlink>
            <w:r>
              <w:rPr>
                <w:rFonts w:eastAsia="Times New Roman"/>
                <w:color w:val="0000FF"/>
                <w:sz w:val="20"/>
                <w:szCs w:val="20"/>
                <w:u w:val="single"/>
              </w:rPr>
              <w:t xml:space="preserve"> (incorporated by reference to Exhibit 10.1 to the Registrant's Current Report on Form 8-K, filed December 17, 2021) (Fil</w:t>
            </w:r>
            <w:r>
              <w:rPr>
                <w:rFonts w:eastAsia="Times New Roman"/>
                <w:color w:val="0000FF"/>
                <w:sz w:val="20"/>
                <w:szCs w:val="20"/>
                <w:u w:val="single"/>
              </w:rPr>
              <w:t>e No. 001-33520)</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10.17</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38" w:history="1">
              <w:r>
                <w:rPr>
                  <w:rStyle w:val="a3"/>
                  <w:rFonts w:eastAsia="Times New Roman"/>
                  <w:sz w:val="20"/>
                  <w:szCs w:val="20"/>
                </w:rPr>
                <w:t>Deed of Lease between South of Market LLC (as Landlord) and comScore, Inc. (as Tenant), dated December 21, 2007 (incorporated by reference to Exhibit 10.1 to the Registrant's Current Report on Form 8-K, filed February 5, 2008)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10.18</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39" w:history="1">
              <w:r>
                <w:rPr>
                  <w:rStyle w:val="a3"/>
                  <w:rFonts w:eastAsia="Times New Roman"/>
                  <w:sz w:val="20"/>
                  <w:szCs w:val="20"/>
                </w:rPr>
                <w:t>Amendment No. 6 to Deed of Lease, dated as of May 30, 2018, by and between South of Market LLC and comScore, Inc. (incorporated by reference to Exhibit 10.1 to the Registrant's Current Report on Form 8-K, filed June 5, 2018)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10.19</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40" w:history="1">
              <w:r>
                <w:rPr>
                  <w:rStyle w:val="a3"/>
                  <w:rFonts w:eastAsia="Times New Roman"/>
                  <w:sz w:val="20"/>
                  <w:szCs w:val="20"/>
                </w:rPr>
                <w:t xml:space="preserve">Amendment No. 7 to Deed of Lease, dated as of May 24, 2021, by and between South of Market LLC and comScore, Inc. (incorporated by reference to Exhibit 10.2 to the Registrant's Quarterly Report on Form 10-Q for the period ended June 30, 2021, filed August </w:t>
              </w:r>
              <w:r>
                <w:rPr>
                  <w:rStyle w:val="a3"/>
                  <w:rFonts w:eastAsia="Times New Roman"/>
                  <w:sz w:val="20"/>
                  <w:szCs w:val="20"/>
                </w:rPr>
                <w:t>9,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10.20*</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41" w:history="1">
              <w:r>
                <w:rPr>
                  <w:rStyle w:val="a3"/>
                  <w:rFonts w:eastAsia="Times New Roman"/>
                  <w:sz w:val="20"/>
                  <w:szCs w:val="20"/>
                </w:rPr>
                <w:t>comScore, Inc. 2018 Equity and Incentive Compensation Plan (as Amended and Restated Effective as of July 9, 2020) (incorporated by reference to Exhibit 10.1 to the Registrant's Current Report on Form 8-K, filed July 15, 2020)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bl>
    <w:p w:rsidR="00000000" w:rsidRDefault="00971A12">
      <w:pPr>
        <w:jc w:val="center"/>
        <w:divId w:val="12197136"/>
        <w:rPr>
          <w:rFonts w:eastAsia="Times New Roman"/>
        </w:rPr>
      </w:pPr>
      <w:r>
        <w:rPr>
          <w:rFonts w:eastAsia="Times New Roman"/>
          <w:color w:val="000000"/>
          <w:sz w:val="20"/>
          <w:szCs w:val="20"/>
        </w:rPr>
        <w:t>88</w:t>
      </w:r>
    </w:p>
    <w:p w:rsidR="00000000" w:rsidRDefault="00971A12">
      <w:pPr>
        <w:rPr>
          <w:rFonts w:eastAsia="Times New Roman"/>
        </w:rPr>
      </w:pPr>
      <w:r>
        <w:rPr>
          <w:rFonts w:eastAsia="Times New Roman"/>
        </w:rPr>
        <w:pict>
          <v:rect id="_x0000_i1116" style="width:0;height:1.5pt" o:hralign="center" o:hrstd="t" o:hr="t" fillcolor="#a0a0a0" stroked="f"/>
        </w:pict>
      </w:r>
    </w:p>
    <w:p w:rsidR="00000000" w:rsidRDefault="00971A12">
      <w:pPr>
        <w:divId w:val="1145782917"/>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2085754639"/>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2"/>
        <w:gridCol w:w="540"/>
        <w:gridCol w:w="36"/>
        <w:gridCol w:w="36"/>
        <w:gridCol w:w="36"/>
        <w:gridCol w:w="36"/>
        <w:gridCol w:w="53"/>
        <w:gridCol w:w="7460"/>
        <w:gridCol w:w="37"/>
      </w:tblGrid>
      <w:tr w:rsidR="00000000">
        <w:trPr>
          <w:jc w:val="center"/>
        </w:trPr>
        <w:tc>
          <w:tcPr>
            <w:tcW w:w="50" w:type="pct"/>
            <w:vAlign w:val="center"/>
            <w:hideMark/>
          </w:tcPr>
          <w:p w:rsidR="00000000" w:rsidRDefault="00971A12">
            <w:pPr>
              <w:rPr>
                <w:rFonts w:eastAsia="Times New Roman"/>
              </w:rPr>
            </w:pPr>
          </w:p>
        </w:tc>
        <w:tc>
          <w:tcPr>
            <w:tcW w:w="35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508"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10.21*</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42" w:history="1">
              <w:r>
                <w:rPr>
                  <w:rStyle w:val="a3"/>
                  <w:rFonts w:eastAsia="Times New Roman"/>
                  <w:sz w:val="20"/>
                  <w:szCs w:val="20"/>
                </w:rPr>
                <w:t>First Amendment to the comScore, Inc. Amended and Restated 2018 Equity and Incentive Compensation Plan (incorporated by reference to Exhibit 1</w:t>
              </w:r>
              <w:r>
                <w:rPr>
                  <w:rStyle w:val="a3"/>
                  <w:rFonts w:eastAsia="Times New Roman"/>
                  <w:sz w:val="20"/>
                  <w:szCs w:val="20"/>
                </w:rPr>
                <w:t>0.1 to the Registrant's Quarterly Report on Form 10-Q for the period ended June 30, 2022, filed August 9, 2022)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10.22*</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43" w:history="1">
              <w:r>
                <w:rPr>
                  <w:rStyle w:val="a3"/>
                  <w:rFonts w:eastAsia="Times New Roman"/>
                  <w:sz w:val="20"/>
                  <w:szCs w:val="20"/>
                </w:rPr>
                <w:t>Form of Restricted Stock Units Award Notice for Directors (incorporated by reference to Exhibit 10.5 to the Registrant's Current Report on Form 8-K</w:t>
              </w:r>
              <w:r>
                <w:rPr>
                  <w:rStyle w:val="a3"/>
                  <w:rFonts w:eastAsia="Times New Roman"/>
                  <w:sz w:val="20"/>
                  <w:szCs w:val="20"/>
                </w:rPr>
                <w:t>, filed June 5, 2018)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10.23*</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44" w:history="1">
              <w:r>
                <w:rPr>
                  <w:rStyle w:val="a3"/>
                  <w:rFonts w:eastAsia="Times New Roman"/>
                  <w:sz w:val="20"/>
                  <w:szCs w:val="20"/>
                </w:rPr>
                <w:t>Form of Restricted Stock Units Award Agreement for Employees (incorporated by reference to Exhibit 10.5 to the Registrant's Quarterly Report on Form 10-Q for the period ended September 30, 2018, filed November 9, 2018)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10.24*</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45" w:history="1">
              <w:r>
                <w:rPr>
                  <w:rStyle w:val="a3"/>
                  <w:rFonts w:eastAsia="Times New Roman"/>
                  <w:sz w:val="20"/>
                  <w:szCs w:val="20"/>
                </w:rPr>
                <w:t xml:space="preserve">Form of Change of Control and Severance Agreement (incorporated by reference to Exhibit 10.3 to the Registrant's Current Report on </w:t>
              </w:r>
              <w:r>
                <w:rPr>
                  <w:rStyle w:val="a3"/>
                  <w:rFonts w:eastAsia="Times New Roman"/>
                  <w:sz w:val="20"/>
                  <w:szCs w:val="20"/>
                </w:rPr>
                <w:t>Form 8-K, filed on September 10, 2018)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10.25*</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46" w:history="1">
              <w:r>
                <w:rPr>
                  <w:rStyle w:val="a3"/>
                  <w:rFonts w:eastAsia="Times New Roman"/>
                  <w:sz w:val="20"/>
                  <w:szCs w:val="20"/>
                </w:rPr>
                <w:t>Change of Control and Severance Agreement, executed on September 28, 2015, by and between comScore, Inc. and William Livek (incorporated by referen</w:t>
              </w:r>
              <w:r>
                <w:rPr>
                  <w:rStyle w:val="a3"/>
                  <w:rFonts w:eastAsia="Times New Roman"/>
                  <w:sz w:val="20"/>
                  <w:szCs w:val="20"/>
                </w:rPr>
                <w:t>ce to Exhibit 10.32 to the Registrant's Annual Report on Form 10-K for the period ended December 31, 2019, filed February 28, 2020)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10.26*</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47" w:history="1">
              <w:r>
                <w:rPr>
                  <w:rStyle w:val="a3"/>
                  <w:rFonts w:eastAsia="Times New Roman"/>
                  <w:sz w:val="20"/>
                  <w:szCs w:val="20"/>
                </w:rPr>
                <w:t>Form of Stock Option Grant Notice and Stock Option Agreement under 2018 Equity and Incentive Compensation Plan (incorporated by reference to Exhibit 10.33 to the Registrant's Annual Report on Form 10-K for the period ended De</w:t>
              </w:r>
              <w:r>
                <w:rPr>
                  <w:rStyle w:val="a3"/>
                  <w:rFonts w:eastAsia="Times New Roman"/>
                  <w:sz w:val="20"/>
                  <w:szCs w:val="20"/>
                </w:rPr>
                <w:t>cember 31, 2019, filed February 28, 2020)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10.27*</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48" w:history="1">
              <w:r>
                <w:rPr>
                  <w:rStyle w:val="a3"/>
                  <w:rFonts w:eastAsia="Times New Roman"/>
                  <w:sz w:val="20"/>
                  <w:szCs w:val="20"/>
                </w:rPr>
                <w:t>Form of Deferred Stock Units Award Agreement under 2018 Equity and Incentive Compensation Plan (incorporated by reference to Exhibit 10.34 to the R</w:t>
              </w:r>
              <w:r>
                <w:rPr>
                  <w:rStyle w:val="a3"/>
                  <w:rFonts w:eastAsia="Times New Roman"/>
                  <w:sz w:val="20"/>
                  <w:szCs w:val="20"/>
                </w:rPr>
                <w:t>egistrant's Annual Report on Form 10-K for the period ended December 31, 2019, filed February 28, 2020)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10.28*</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49" w:history="1">
              <w:r>
                <w:rPr>
                  <w:rStyle w:val="a3"/>
                  <w:rFonts w:eastAsia="Times New Roman"/>
                  <w:sz w:val="20"/>
                  <w:szCs w:val="20"/>
                </w:rPr>
                <w:t xml:space="preserve">Form of Performance Restricted Stock Units Award Agreement under 2018 Equity and Incentive Compensation Plan (incorporated by reference to Exhibit </w:t>
              </w:r>
              <w:r>
                <w:rPr>
                  <w:rStyle w:val="a3"/>
                  <w:rFonts w:eastAsia="Times New Roman"/>
                  <w:sz w:val="20"/>
                  <w:szCs w:val="20"/>
                </w:rPr>
                <w:t>10.35 to the Registrant's Annual Report on Form 10-K for the period ended December 31, 2019, filed February 28, 2020)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10.29*</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50" w:history="1">
              <w:r>
                <w:rPr>
                  <w:rStyle w:val="a3"/>
                  <w:rFonts w:eastAsia="Times New Roman"/>
                  <w:sz w:val="20"/>
                  <w:szCs w:val="20"/>
                </w:rPr>
                <w:t>Form of Restricted Stock Units Award Agreement under 2018 Equity and Incentive Compensation Plan (incorporated by reference to Exhibit 10.36 to the</w:t>
              </w:r>
              <w:r>
                <w:rPr>
                  <w:rStyle w:val="a3"/>
                  <w:rFonts w:eastAsia="Times New Roman"/>
                  <w:sz w:val="20"/>
                  <w:szCs w:val="20"/>
                </w:rPr>
                <w:t xml:space="preserve"> Registrant's Annual Report on Form 10-K for the period ended December 31, 2019, filed February 28, 2020)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10.30</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51" w:history="1">
              <w:r>
                <w:rPr>
                  <w:rStyle w:val="a3"/>
                  <w:rFonts w:eastAsia="Times New Roman"/>
                  <w:sz w:val="20"/>
                  <w:szCs w:val="20"/>
                </w:rPr>
                <w:t>Form of Indemnification Agreement for Directors and Executive Officers (incorporated by reference to Exhibit 10.5 to the Registrant's Quarterly</w:t>
              </w:r>
              <w:r>
                <w:rPr>
                  <w:rStyle w:val="a3"/>
                  <w:rFonts w:eastAsia="Times New Roman"/>
                  <w:sz w:val="20"/>
                  <w:szCs w:val="20"/>
                </w:rPr>
                <w:t xml:space="preserve"> Report on Form 10-Q for the period ended March 31, 2021, filed May 6, 2021) (File No. 001-33520)</w:t>
              </w:r>
            </w:hyperlink>
            <w:r>
              <w:rPr>
                <w:rFonts w:eastAsia="Times New Roman"/>
                <w:color w:val="000000"/>
                <w:sz w:val="20"/>
                <w:szCs w:val="20"/>
              </w:rPr>
              <w:t xml:space="preserve"> </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10.31*</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52" w:history="1">
              <w:r>
                <w:rPr>
                  <w:rStyle w:val="a3"/>
                  <w:rFonts w:eastAsia="Times New Roman"/>
                  <w:sz w:val="20"/>
                  <w:szCs w:val="20"/>
                </w:rPr>
                <w:t>Form of Restricted Stock Units Award Agreement (Other Executive Officers), dated March 10, 2021, under 2018 Equity and Incentive Compensation P</w:t>
              </w:r>
              <w:r>
                <w:rPr>
                  <w:rStyle w:val="a3"/>
                  <w:rFonts w:eastAsia="Times New Roman"/>
                  <w:sz w:val="20"/>
                  <w:szCs w:val="20"/>
                </w:rPr>
                <w:t>lan (incorporated by reference to Exhibit 10.7 to the Registrant's Quarterly Report on Form 10-Q for the period ended March 31, 2021, filed May 6,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10.32*</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53" w:history="1">
              <w:r>
                <w:rPr>
                  <w:rStyle w:val="a3"/>
                  <w:rFonts w:eastAsia="Times New Roman"/>
                  <w:sz w:val="20"/>
                  <w:szCs w:val="20"/>
                </w:rPr>
                <w:t>Form of Restricted Stock Units Award Notice (Chair), dated March 10, 2021, under 2018 Equity and Incentive Compensation Plan (incorporated by reference to Exhibit 10.8 to the Registrant's Quarterly Re</w:t>
              </w:r>
              <w:r>
                <w:rPr>
                  <w:rStyle w:val="a3"/>
                  <w:rFonts w:eastAsia="Times New Roman"/>
                  <w:sz w:val="20"/>
                  <w:szCs w:val="20"/>
                </w:rPr>
                <w:t>port on Form 10-Q for the period ended March 31, 2021, filed May 6,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10.33*</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54" w:history="1">
              <w:r>
                <w:rPr>
                  <w:rStyle w:val="a3"/>
                  <w:rFonts w:eastAsia="Times New Roman"/>
                  <w:sz w:val="20"/>
                  <w:szCs w:val="20"/>
                </w:rPr>
                <w:t>Severance Agreement, effective as of November 29, 2021, by and between comScore, Inc. and Jonathan Carpenter (incorporated by reference to E</w:t>
              </w:r>
              <w:r>
                <w:rPr>
                  <w:rStyle w:val="a3"/>
                  <w:rFonts w:eastAsia="Times New Roman"/>
                  <w:sz w:val="20"/>
                  <w:szCs w:val="20"/>
                </w:rPr>
                <w:t>xhibit 10.1 to the Registrant's Current Report on Form 8-K, filed October 25,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10.34*</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55" w:history="1">
              <w:r>
                <w:rPr>
                  <w:rStyle w:val="a3"/>
                  <w:rFonts w:eastAsia="Times New Roman"/>
                  <w:sz w:val="20"/>
                  <w:szCs w:val="20"/>
                </w:rPr>
                <w:t>Change of Control Agreement, effective as of November 29, 2021, by and between comScore, Inc. and Jonathan Carpenter (incorporated by refere</w:t>
              </w:r>
              <w:r>
                <w:rPr>
                  <w:rStyle w:val="a3"/>
                  <w:rFonts w:eastAsia="Times New Roman"/>
                  <w:sz w:val="20"/>
                  <w:szCs w:val="20"/>
                </w:rPr>
                <w:t>nce to Exhibit 10.2 to the Registrant's Current Report on Form 8-K, filed October 25,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10.35*</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56" w:history="1">
              <w:r>
                <w:rPr>
                  <w:rStyle w:val="a3"/>
                  <w:rFonts w:eastAsia="Times New Roman"/>
                  <w:sz w:val="20"/>
                  <w:szCs w:val="20"/>
                </w:rPr>
                <w:t>Restricted Stock Units Award Agreement, dated November 29, 2021, between comScore, Inc. and Jonathan Carpenter (incorporated by reference to Ex</w:t>
              </w:r>
              <w:r>
                <w:rPr>
                  <w:rStyle w:val="a3"/>
                  <w:rFonts w:eastAsia="Times New Roman"/>
                  <w:sz w:val="20"/>
                  <w:szCs w:val="20"/>
                </w:rPr>
                <w:t>hibit 99.5 to the Registrant's Registration Statement on Form S-8, filed December 23, 2021) (File No. 333-261890)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10.36*</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57" w:history="1">
              <w:r>
                <w:rPr>
                  <w:rStyle w:val="a3"/>
                  <w:rFonts w:eastAsia="Times New Roman"/>
                  <w:sz w:val="20"/>
                  <w:szCs w:val="20"/>
                </w:rPr>
                <w:t>Shareablee, Inc. 2013 Stock Option/Stock Issuance Plan (incorporated by reference to Exhibit 99.1 to the Registrant's Registration Statement on</w:t>
              </w:r>
              <w:r>
                <w:rPr>
                  <w:rStyle w:val="a3"/>
                  <w:rFonts w:eastAsia="Times New Roman"/>
                  <w:sz w:val="20"/>
                  <w:szCs w:val="20"/>
                </w:rPr>
                <w:t xml:space="preserve"> Form S-8, filed December 23, 2021) (File No. 333-261890)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10.37*</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58" w:history="1">
              <w:r>
                <w:rPr>
                  <w:rStyle w:val="a3"/>
                  <w:rFonts w:eastAsia="Times New Roman"/>
                  <w:sz w:val="20"/>
                  <w:szCs w:val="20"/>
                </w:rPr>
                <w:t>Amendment No. 1 to Shareablee, Inc. 2013 Stock Option/Stock Issuance Plan (incorporated by reference to Exhibit 99.2 to the Registrant's Regist</w:t>
              </w:r>
              <w:r>
                <w:rPr>
                  <w:rStyle w:val="a3"/>
                  <w:rFonts w:eastAsia="Times New Roman"/>
                  <w:sz w:val="20"/>
                  <w:szCs w:val="20"/>
                </w:rPr>
                <w:t>ration Statement on Form S-8, filed December 23, 2021) (File No. 333-261890)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10.38*</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59" w:history="1">
              <w:r>
                <w:rPr>
                  <w:rStyle w:val="a3"/>
                  <w:rFonts w:eastAsia="Times New Roman"/>
                  <w:sz w:val="20"/>
                  <w:szCs w:val="20"/>
                </w:rPr>
                <w:t xml:space="preserve">Amendment No. 2 to Shareablee, Inc. 2013 </w:t>
              </w:r>
              <w:r>
                <w:rPr>
                  <w:rStyle w:val="a3"/>
                  <w:rFonts w:eastAsia="Times New Roman"/>
                  <w:sz w:val="20"/>
                  <w:szCs w:val="20"/>
                </w:rPr>
                <w:t>Stock Option/Stock Issuance Plan (incorporated by reference to Exhibit 99.3 to the Registrant's Registration Statement on Form S-8, filed December 23, 2021) (File No. 333-261890)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10.39*</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60" w:history="1">
              <w:r>
                <w:rPr>
                  <w:rStyle w:val="a3"/>
                  <w:rFonts w:eastAsia="Times New Roman"/>
                  <w:sz w:val="20"/>
                  <w:szCs w:val="20"/>
                </w:rPr>
                <w:t>Amendment No. 3 to Shareablee, Inc. 2013 Stock Option/Stock Issuance Plan (incorporated by reference to Exhibit 99.4 to the Registrant's Regist</w:t>
              </w:r>
              <w:r>
                <w:rPr>
                  <w:rStyle w:val="a3"/>
                  <w:rFonts w:eastAsia="Times New Roman"/>
                  <w:sz w:val="20"/>
                  <w:szCs w:val="20"/>
                </w:rPr>
                <w:t>ration Statement on Form S-8, filed December 23, 2021) (File No. 333-261890)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10.40*</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61" w:history="1">
              <w:r>
                <w:rPr>
                  <w:rStyle w:val="a3"/>
                  <w:rFonts w:eastAsia="Times New Roman"/>
                  <w:sz w:val="20"/>
                  <w:szCs w:val="20"/>
                </w:rPr>
                <w:t>Transition and Separation Agreement, dated as of February 28, 2022, between comScore, Inc. and William Livek (incorporated by reference to Exh</w:t>
              </w:r>
              <w:r>
                <w:rPr>
                  <w:rStyle w:val="a3"/>
                  <w:rFonts w:eastAsia="Times New Roman"/>
                  <w:sz w:val="20"/>
                  <w:szCs w:val="20"/>
                </w:rPr>
                <w:t>ibit 10.2 to the Registrant's Current Report on Form 8-K, filed February 28, 2022)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10.41*</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62" w:history="1">
              <w:r>
                <w:rPr>
                  <w:rStyle w:val="a3"/>
                  <w:rFonts w:eastAsia="Times New Roman"/>
                  <w:sz w:val="20"/>
                  <w:szCs w:val="20"/>
                </w:rPr>
                <w:t>Letter Agreement, dated July 5, 2022, by and between comScore, Inc. and Jonathan Carpenter (incorporated by reference to Exhibit 10.1 to the R</w:t>
              </w:r>
              <w:r>
                <w:rPr>
                  <w:rStyle w:val="a3"/>
                  <w:rFonts w:eastAsia="Times New Roman"/>
                  <w:sz w:val="20"/>
                  <w:szCs w:val="20"/>
                </w:rPr>
                <w:t>egistrant's Current Report on Form 8-K, filed July 8, 2022)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bl>
    <w:p w:rsidR="00000000" w:rsidRDefault="00971A12">
      <w:pPr>
        <w:jc w:val="center"/>
        <w:divId w:val="555706861"/>
        <w:rPr>
          <w:rFonts w:eastAsia="Times New Roman"/>
        </w:rPr>
      </w:pPr>
      <w:r>
        <w:rPr>
          <w:rFonts w:eastAsia="Times New Roman"/>
          <w:color w:val="000000"/>
          <w:sz w:val="20"/>
          <w:szCs w:val="20"/>
        </w:rPr>
        <w:t>89</w:t>
      </w:r>
    </w:p>
    <w:p w:rsidR="00000000" w:rsidRDefault="00971A12">
      <w:pPr>
        <w:rPr>
          <w:rFonts w:eastAsia="Times New Roman"/>
        </w:rPr>
      </w:pPr>
      <w:r>
        <w:rPr>
          <w:rFonts w:eastAsia="Times New Roman"/>
        </w:rPr>
        <w:pict>
          <v:rect id="_x0000_i1117" style="width:0;height:1.5pt" o:hralign="center" o:hrstd="t" o:hr="t" fillcolor="#a0a0a0" stroked="f"/>
        </w:pict>
      </w:r>
    </w:p>
    <w:p w:rsidR="00000000" w:rsidRDefault="00971A12">
      <w:pPr>
        <w:divId w:val="1809124064"/>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307391157"/>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96"/>
        <w:gridCol w:w="675"/>
        <w:gridCol w:w="36"/>
        <w:gridCol w:w="36"/>
        <w:gridCol w:w="36"/>
        <w:gridCol w:w="36"/>
        <w:gridCol w:w="37"/>
        <w:gridCol w:w="7318"/>
        <w:gridCol w:w="36"/>
      </w:tblGrid>
      <w:tr w:rsidR="00000000">
        <w:trPr>
          <w:jc w:val="center"/>
        </w:trPr>
        <w:tc>
          <w:tcPr>
            <w:tcW w:w="50" w:type="pct"/>
            <w:vAlign w:val="center"/>
            <w:hideMark/>
          </w:tcPr>
          <w:p w:rsidR="00000000" w:rsidRDefault="00971A12">
            <w:pPr>
              <w:rPr>
                <w:rFonts w:eastAsia="Times New Roman"/>
              </w:rPr>
            </w:pPr>
          </w:p>
        </w:tc>
        <w:tc>
          <w:tcPr>
            <w:tcW w:w="35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508"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10.42*</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63" w:history="1">
              <w:r>
                <w:rPr>
                  <w:rStyle w:val="a3"/>
                  <w:rFonts w:eastAsia="Times New Roman"/>
                  <w:sz w:val="20"/>
                  <w:szCs w:val="20"/>
                </w:rPr>
                <w:t>First Amendment to the comScore, Inc. Change of Control Agreement, effective as of July 6, 2022, by and between comScore, Inc. and Jonathan Ca</w:t>
              </w:r>
              <w:r>
                <w:rPr>
                  <w:rStyle w:val="a3"/>
                  <w:rFonts w:eastAsia="Times New Roman"/>
                  <w:sz w:val="20"/>
                  <w:szCs w:val="20"/>
                </w:rPr>
                <w:t>rpenter (incorporated by reference to Exhibit 10.2 to the Registrant's Current Report on Form 8-K, filed July 8, 2022)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10.43*</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64" w:history="1">
              <w:r>
                <w:rPr>
                  <w:rStyle w:val="a3"/>
                  <w:rFonts w:eastAsia="Times New Roman"/>
                  <w:sz w:val="20"/>
                  <w:szCs w:val="20"/>
                </w:rPr>
                <w:t xml:space="preserve">First Amendment to the comScore, Inc. Severance Agreement, effective as of July 6, 2022, by and between comScore, Inc. and Jonathan Carpenter </w:t>
              </w:r>
              <w:r>
                <w:rPr>
                  <w:rStyle w:val="a3"/>
                  <w:rFonts w:eastAsia="Times New Roman"/>
                  <w:sz w:val="20"/>
                  <w:szCs w:val="20"/>
                </w:rPr>
                <w:t>(incorporated by reference to Exhibit 10.3 to the Registrant's Current Report on Form 8-K, filed July 8, 2022)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10.44*</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65" w:history="1">
              <w:r>
                <w:rPr>
                  <w:rStyle w:val="a3"/>
                  <w:rFonts w:eastAsia="Times New Roman"/>
                  <w:sz w:val="20"/>
                  <w:szCs w:val="20"/>
                </w:rPr>
                <w:t xml:space="preserve">Letter Agreement, dated July 5, 2022, by and between comScore, Inc. and Mary Margaret Curry (incorporated by reference to Exhibit 10.4 to the </w:t>
              </w:r>
              <w:r>
                <w:rPr>
                  <w:rStyle w:val="a3"/>
                  <w:rFonts w:eastAsia="Times New Roman"/>
                  <w:sz w:val="20"/>
                  <w:szCs w:val="20"/>
                </w:rPr>
                <w:t>Registrant's Current Report on Form 8-K, filed July 8, 2022)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10.45*</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66" w:history="1">
              <w:r>
                <w:rPr>
                  <w:rStyle w:val="a3"/>
                  <w:rFonts w:eastAsia="Times New Roman"/>
                  <w:sz w:val="20"/>
                  <w:szCs w:val="20"/>
                </w:rPr>
                <w:t>Change of Control Agreement, effective as of July 6, 2022, by and between comScore, Inc. and Mary Margaret Curry (incorporated by reference to</w:t>
              </w:r>
              <w:r>
                <w:rPr>
                  <w:rStyle w:val="a3"/>
                  <w:rFonts w:eastAsia="Times New Roman"/>
                  <w:sz w:val="20"/>
                  <w:szCs w:val="20"/>
                </w:rPr>
                <w:t xml:space="preserve"> Exhibit 10.5 to the Registrant's Current Report on Form 8-K, filed July 8, 2022)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10.46*</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67" w:history="1">
              <w:r>
                <w:rPr>
                  <w:rStyle w:val="a3"/>
                  <w:rFonts w:eastAsia="Times New Roman"/>
                  <w:sz w:val="20"/>
                  <w:szCs w:val="20"/>
                </w:rPr>
                <w:t>Severance Agreement, effective as of July 6, 2022, by and between comScore, Inc. and Mary Margaret Curry (incorporated by reference to Exhibit</w:t>
              </w:r>
              <w:r>
                <w:rPr>
                  <w:rStyle w:val="a3"/>
                  <w:rFonts w:eastAsia="Times New Roman"/>
                  <w:sz w:val="20"/>
                  <w:szCs w:val="20"/>
                </w:rPr>
                <w:t xml:space="preserve"> 10.6 to the Registrant's Current Report on Form 8-K, filed July 8, 2022)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10.47*</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68" w:history="1">
              <w:r>
                <w:rPr>
                  <w:rStyle w:val="a3"/>
                  <w:rFonts w:eastAsia="Times New Roman"/>
                  <w:sz w:val="20"/>
                  <w:szCs w:val="20"/>
                </w:rPr>
                <w:t>Form of Performance Restricted Stock Units Award Agreement for CEO (incorporated by reference to Exhibit 10.8 to the Registrant's Quarterly Re</w:t>
              </w:r>
              <w:r>
                <w:rPr>
                  <w:rStyle w:val="a3"/>
                  <w:rFonts w:eastAsia="Times New Roman"/>
                  <w:sz w:val="20"/>
                  <w:szCs w:val="20"/>
                </w:rPr>
                <w:t>port on Form 10-Q for the period ended June 30, 2022, filed August 9, 2022)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10.48*</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69" w:history="1">
              <w:r>
                <w:rPr>
                  <w:rStyle w:val="a3"/>
                  <w:rFonts w:eastAsia="Times New Roman"/>
                  <w:sz w:val="20"/>
                  <w:szCs w:val="20"/>
                </w:rPr>
                <w:t xml:space="preserve">Form of Performance </w:t>
              </w:r>
              <w:r>
                <w:rPr>
                  <w:rStyle w:val="a3"/>
                  <w:rFonts w:eastAsia="Times New Roman"/>
                  <w:sz w:val="20"/>
                  <w:szCs w:val="20"/>
                </w:rPr>
                <w:t>Restricted Stock Units Award Agreement for CFO (incorporated by reference to Exhibit 10.9 to the Registrant's Quarterly Report on Form 10-Q for the period ended June 30, 2022, filed August 9, 2022)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10.49*</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70" w:history="1">
              <w:r>
                <w:rPr>
                  <w:rStyle w:val="a3"/>
                  <w:rFonts w:eastAsia="Times New Roman"/>
                  <w:sz w:val="20"/>
                  <w:szCs w:val="20"/>
                </w:rPr>
                <w:t>Letter Agreement, dated August 22, 2022, by and between comScore, Inc. and Greg Dale (incorporated by reference to Exhibit 10.1 to the Registr</w:t>
              </w:r>
              <w:r>
                <w:rPr>
                  <w:rStyle w:val="a3"/>
                  <w:rFonts w:eastAsia="Times New Roman"/>
                  <w:sz w:val="20"/>
                  <w:szCs w:val="20"/>
                </w:rPr>
                <w:t>ant's Current Report on Form 8-K, filed August 26, 2022)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10.50*</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71" w:history="1">
              <w:r>
                <w:rPr>
                  <w:rStyle w:val="a3"/>
                  <w:rFonts w:eastAsia="Times New Roman"/>
                  <w:sz w:val="20"/>
                  <w:szCs w:val="20"/>
                </w:rPr>
                <w:t>Change of Control Agreement, effective as of August 23, 2022, by and between comScore, Inc. and Greg Dale (incorporated by reference to Exhibit 10.2 to the Registrant's Current Report on Form 8-K, filed August 26, 2022)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10.51*</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72" w:history="1">
              <w:r>
                <w:rPr>
                  <w:rStyle w:val="a3"/>
                  <w:rFonts w:eastAsia="Times New Roman"/>
                  <w:sz w:val="20"/>
                  <w:szCs w:val="20"/>
                </w:rPr>
                <w:t>Severance Agreement, effective as of August 23, 2022, by and between comScore, Inc. and Greg Dale (incorporated by reference to Ex</w:t>
              </w:r>
              <w:r>
                <w:rPr>
                  <w:rStyle w:val="a3"/>
                  <w:rFonts w:eastAsia="Times New Roman"/>
                  <w:sz w:val="20"/>
                  <w:szCs w:val="20"/>
                </w:rPr>
                <w:t>hibit 10.3 to the Registrant's Current Report on Form 8-K, filed August 26, 2022)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10.52*</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73" w:history="1">
              <w:r>
                <w:rPr>
                  <w:rStyle w:val="a3"/>
                  <w:rFonts w:eastAsia="Times New Roman"/>
                  <w:sz w:val="20"/>
                  <w:szCs w:val="20"/>
                </w:rPr>
                <w:t xml:space="preserve">Separation and General Release Agreement, dated August 25, 2022, by and between comScore, Inc. and Chris Wilson (incorporated by reference to </w:t>
              </w:r>
              <w:r>
                <w:rPr>
                  <w:rStyle w:val="a3"/>
                  <w:rFonts w:eastAsia="Times New Roman"/>
                  <w:sz w:val="20"/>
                  <w:szCs w:val="20"/>
                </w:rPr>
                <w:t>Exhibit 10.4 to the Registrant's Current Report on Form 8-K, filed August 26, 2022)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10.53*</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74" w:history="1">
              <w:r>
                <w:rPr>
                  <w:rStyle w:val="a3"/>
                  <w:rFonts w:eastAsia="Times New Roman"/>
                  <w:sz w:val="20"/>
                  <w:szCs w:val="20"/>
                </w:rPr>
                <w:t>Form of Performance Restricted Stock Units Award Agreement for COO (incorporated by reference to Exhibit 10.12 to the Registrant's Quarterly R</w:t>
              </w:r>
              <w:r>
                <w:rPr>
                  <w:rStyle w:val="a3"/>
                  <w:rFonts w:eastAsia="Times New Roman"/>
                  <w:sz w:val="20"/>
                  <w:szCs w:val="20"/>
                </w:rPr>
                <w:t>eport on Form 10-Q for the period ended September 30, 2022, filed November 9, 2022)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10.54*</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75" w:history="1">
              <w:r>
                <w:rPr>
                  <w:rStyle w:val="a3"/>
                  <w:rFonts w:eastAsia="Times New Roman"/>
                  <w:sz w:val="20"/>
                  <w:szCs w:val="20"/>
                </w:rPr>
                <w:t>Change of Co</w:t>
              </w:r>
              <w:r>
                <w:rPr>
                  <w:rStyle w:val="a3"/>
                  <w:rFonts w:eastAsia="Times New Roman"/>
                  <w:sz w:val="20"/>
                  <w:szCs w:val="20"/>
                </w:rPr>
                <w:t xml:space="preserve">ntrol Agreement, effective as of May 28, 2019, by and between comScore, Inc. and David Algranati (incorporated by reference to Exhibit 10.13 to the Registrant's Quarterly Report on Form 10-Q for the period ended September 30, 2022, filed November 9, 2022) </w:t>
              </w:r>
              <w:r>
                <w:rPr>
                  <w:rStyle w:val="a3"/>
                  <w:rFonts w:eastAsia="Times New Roman"/>
                  <w:sz w:val="20"/>
                  <w:szCs w:val="20"/>
                </w:rPr>
                <w:t>(File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10.55*</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76" w:history="1">
              <w:r>
                <w:rPr>
                  <w:rStyle w:val="a3"/>
                  <w:rFonts w:eastAsia="Times New Roman"/>
                  <w:sz w:val="20"/>
                  <w:szCs w:val="20"/>
                </w:rPr>
                <w:t>Severance Agreement, effective as of May 28, 2019, by and between comScore, Inc. and David Algranati (incorporated by reference to Exhibit 10.</w:t>
              </w:r>
              <w:r>
                <w:rPr>
                  <w:rStyle w:val="a3"/>
                  <w:rFonts w:eastAsia="Times New Roman"/>
                  <w:sz w:val="20"/>
                  <w:szCs w:val="20"/>
                </w:rPr>
                <w:t>14 to the Registrant's Quarterly Report on Form 10-Q for the period ended September 30, 2022, filed November 9, 2022)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21.1+</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77" w:history="1">
              <w:r>
                <w:rPr>
                  <w:rStyle w:val="a3"/>
                  <w:rFonts w:eastAsia="Times New Roman"/>
                  <w:sz w:val="20"/>
                  <w:szCs w:val="20"/>
                </w:rPr>
                <w:t>List of Subsidiaries</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23.1+</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78" w:history="1">
              <w:r>
                <w:rPr>
                  <w:rStyle w:val="a3"/>
                  <w:rFonts w:eastAsia="Times New Roman"/>
                  <w:sz w:val="20"/>
                  <w:szCs w:val="20"/>
                </w:rPr>
                <w:t>Consent of Deloitte &amp; Touche LLP</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79" w:history="1">
              <w:r>
                <w:rPr>
                  <w:rStyle w:val="a3"/>
                  <w:rFonts w:eastAsia="Times New Roman"/>
                  <w:sz w:val="20"/>
                  <w:szCs w:val="20"/>
                </w:rPr>
                <w:t>Certification of Principal Executive Officer pursuant to Rule 13a-14(a) and Rule 15d-14(a) of the Securities Exchange Act of 1934, as adopted pursuant to Section 302 of the Sarbanes-Oxley Act of 2002</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80" w:history="1">
              <w:r>
                <w:rPr>
                  <w:rStyle w:val="a3"/>
                  <w:rFonts w:eastAsia="Times New Roman"/>
                  <w:sz w:val="20"/>
                  <w:szCs w:val="20"/>
                </w:rPr>
                <w:t>Certification of Principal Financial Officer pursuant to Rule 13a-14(a) and Rule 15d-14(a) of the Securities Exchange Act of 1934, as adopted pursuant to Section 302 of the Sarbanes-Oxley Act of 2002</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81" w:history="1">
              <w:r>
                <w:rPr>
                  <w:rStyle w:val="a3"/>
                  <w:rFonts w:eastAsia="Times New Roman"/>
                  <w:sz w:val="20"/>
                  <w:szCs w:val="20"/>
                </w:rPr>
                <w:t>Certification of Principal Executive Officer pursuant to 18 U.S.C. Section 1350, as adopted pursuant to Section 906 of the Sarbanes-Oxley Act of 2002</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both"/>
              <w:rPr>
                <w:rFonts w:eastAsia="Times New Roman"/>
              </w:rPr>
            </w:pPr>
            <w:hyperlink r:id="rId82" w:history="1">
              <w:r>
                <w:rPr>
                  <w:rStyle w:val="a3"/>
                  <w:rFonts w:eastAsia="Times New Roman"/>
                  <w:sz w:val="20"/>
                  <w:szCs w:val="20"/>
                </w:rPr>
                <w:t>Certification of Principal Financial Officer pursuant to 18 U.S.C. Section 1350, as adopted pursuant to Section 906 of the Sarbanes-Oxley Act of 2002</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XBRL Taxonomy Extension Schema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XBRL Taxonomy Extension Calculation Linkbase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XBRL Taxonomy Extension Definition Linkbase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XBRL Taxonomy Extension Label Linkbase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bl>
    <w:p w:rsidR="00000000" w:rsidRDefault="00971A12">
      <w:pPr>
        <w:jc w:val="center"/>
        <w:divId w:val="1760716173"/>
        <w:rPr>
          <w:rFonts w:eastAsia="Times New Roman"/>
        </w:rPr>
      </w:pPr>
      <w:r>
        <w:rPr>
          <w:rFonts w:eastAsia="Times New Roman"/>
          <w:color w:val="000000"/>
          <w:sz w:val="20"/>
          <w:szCs w:val="20"/>
        </w:rPr>
        <w:t>90</w:t>
      </w:r>
    </w:p>
    <w:p w:rsidR="00000000" w:rsidRDefault="00971A12">
      <w:pPr>
        <w:rPr>
          <w:rFonts w:eastAsia="Times New Roman"/>
        </w:rPr>
      </w:pPr>
      <w:r>
        <w:rPr>
          <w:rFonts w:eastAsia="Times New Roman"/>
        </w:rPr>
        <w:pict>
          <v:rect id="_x0000_i1118" style="width:0;height:1.5pt" o:hralign="center" o:hrstd="t" o:hr="t" fillcolor="#a0a0a0" stroked="f"/>
        </w:pict>
      </w:r>
    </w:p>
    <w:p w:rsidR="00000000" w:rsidRDefault="00971A12">
      <w:pPr>
        <w:divId w:val="499321722"/>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40464588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93"/>
        <w:gridCol w:w="655"/>
        <w:gridCol w:w="36"/>
        <w:gridCol w:w="36"/>
        <w:gridCol w:w="36"/>
        <w:gridCol w:w="36"/>
        <w:gridCol w:w="38"/>
        <w:gridCol w:w="7339"/>
        <w:gridCol w:w="37"/>
      </w:tblGrid>
      <w:tr w:rsidR="00000000">
        <w:trPr>
          <w:jc w:val="center"/>
        </w:trPr>
        <w:tc>
          <w:tcPr>
            <w:tcW w:w="50" w:type="pct"/>
            <w:vAlign w:val="center"/>
            <w:hideMark/>
          </w:tcPr>
          <w:p w:rsidR="00000000" w:rsidRDefault="00971A12">
            <w:pPr>
              <w:rPr>
                <w:rFonts w:eastAsia="Times New Roman"/>
              </w:rPr>
            </w:pPr>
          </w:p>
        </w:tc>
        <w:tc>
          <w:tcPr>
            <w:tcW w:w="35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508"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XBRL Taxonomy Extension Presentation Linkbase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Cover Page Interactive Data File - the cover page iXBRL tags are embedded within the Inline XBRL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Management contract or compensatory plan or arrangement.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color w:val="000000"/>
                <w:sz w:val="20"/>
                <w:szCs w:val="20"/>
              </w:rPr>
              <w:t>Filed or furnished herewith</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71A1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971A12">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71A12">
            <w:pPr>
              <w:spacing w:after="100"/>
              <w:divId w:val="1148549922"/>
              <w:rPr>
                <w:rFonts w:eastAsia="Times New Roman"/>
              </w:rPr>
            </w:pPr>
            <w:r>
              <w:rPr>
                <w:rFonts w:eastAsia="Times New Roman"/>
                <w:color w:val="000000"/>
                <w:sz w:val="20"/>
                <w:szCs w:val="20"/>
              </w:rPr>
              <w:t>Specific terms in this exhibit (indicated therein by asterisks) have been omitted because such terms are both not material and of the type that the Registrant treats as private and confidential.</w:t>
            </w:r>
          </w:p>
        </w:tc>
      </w:tr>
    </w:tbl>
    <w:p w:rsidR="00000000" w:rsidRDefault="00971A12">
      <w:pPr>
        <w:divId w:val="1006905300"/>
        <w:rPr>
          <w:rFonts w:eastAsia="Times New Roman"/>
        </w:rPr>
      </w:pPr>
    </w:p>
    <w:p w:rsidR="00000000" w:rsidRDefault="00971A12">
      <w:pPr>
        <w:jc w:val="center"/>
        <w:divId w:val="2039162123"/>
        <w:rPr>
          <w:rFonts w:eastAsia="Times New Roman"/>
        </w:rPr>
      </w:pPr>
      <w:r>
        <w:rPr>
          <w:rFonts w:eastAsia="Times New Roman"/>
          <w:color w:val="000000"/>
          <w:sz w:val="20"/>
          <w:szCs w:val="20"/>
        </w:rPr>
        <w:t>91</w:t>
      </w:r>
    </w:p>
    <w:p w:rsidR="00000000" w:rsidRDefault="00971A12">
      <w:pPr>
        <w:rPr>
          <w:rFonts w:eastAsia="Times New Roman"/>
        </w:rPr>
      </w:pPr>
      <w:r>
        <w:rPr>
          <w:rFonts w:eastAsia="Times New Roman"/>
        </w:rPr>
        <w:pict>
          <v:rect id="_x0000_i1119" style="width:0;height:1.5pt" o:hralign="center" o:hrstd="t" o:hr="t" fillcolor="#a0a0a0" stroked="f"/>
        </w:pict>
      </w:r>
    </w:p>
    <w:p w:rsidR="00000000" w:rsidRDefault="00971A12">
      <w:pPr>
        <w:divId w:val="653876413"/>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140202075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684"/>
        <w:gridCol w:w="36"/>
        <w:gridCol w:w="69"/>
        <w:gridCol w:w="7412"/>
        <w:gridCol w:w="36"/>
      </w:tblGrid>
      <w:tr w:rsidR="00000000">
        <w:trPr>
          <w:divId w:val="802115536"/>
          <w:jc w:val="center"/>
        </w:trPr>
        <w:tc>
          <w:tcPr>
            <w:tcW w:w="50" w:type="pct"/>
            <w:vAlign w:val="center"/>
            <w:hideMark/>
          </w:tcPr>
          <w:p w:rsidR="00000000" w:rsidRDefault="00971A12">
            <w:pPr>
              <w:rPr>
                <w:rFonts w:eastAsia="Times New Roman"/>
              </w:rPr>
            </w:pPr>
          </w:p>
        </w:tc>
        <w:tc>
          <w:tcPr>
            <w:tcW w:w="420"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4469"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802115536"/>
          <w:jc w:val="center"/>
        </w:trPr>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color w:val="000000"/>
                <w:sz w:val="20"/>
                <w:szCs w:val="20"/>
              </w:rPr>
              <w:t>ITEM 16.</w:t>
            </w:r>
          </w:p>
        </w:tc>
        <w:tc>
          <w:tcPr>
            <w:tcW w:w="0" w:type="auto"/>
            <w:gridSpan w:val="3"/>
            <w:tcMar>
              <w:top w:w="30" w:type="dxa"/>
              <w:left w:w="20" w:type="dxa"/>
              <w:bottom w:w="30" w:type="dxa"/>
              <w:right w:w="20" w:type="dxa"/>
            </w:tcMar>
            <w:hideMark/>
          </w:tcPr>
          <w:p w:rsidR="00000000" w:rsidRDefault="00971A12">
            <w:pPr>
              <w:spacing w:after="100"/>
              <w:rPr>
                <w:rFonts w:eastAsia="Times New Roman"/>
              </w:rPr>
            </w:pPr>
            <w:r>
              <w:rPr>
                <w:rFonts w:eastAsia="Times New Roman"/>
                <w:b/>
                <w:bCs/>
                <w:i/>
                <w:iCs/>
                <w:color w:val="000000"/>
                <w:sz w:val="20"/>
                <w:szCs w:val="20"/>
              </w:rPr>
              <w:t>FORM 10-K SUMMARY</w:t>
            </w:r>
          </w:p>
        </w:tc>
      </w:tr>
    </w:tbl>
    <w:p w:rsidR="00000000" w:rsidRDefault="00971A12">
      <w:pPr>
        <w:divId w:val="1955284950"/>
        <w:rPr>
          <w:rFonts w:eastAsia="Times New Roman"/>
        </w:rPr>
      </w:pPr>
      <w:r>
        <w:rPr>
          <w:rFonts w:eastAsia="Times New Roman"/>
          <w:color w:val="000000"/>
          <w:sz w:val="20"/>
          <w:szCs w:val="20"/>
        </w:rPr>
        <w:t>None.</w:t>
      </w:r>
    </w:p>
    <w:p w:rsidR="00000000" w:rsidRDefault="00971A12">
      <w:pPr>
        <w:jc w:val="center"/>
        <w:divId w:val="8533217"/>
        <w:rPr>
          <w:rFonts w:eastAsia="Times New Roman"/>
        </w:rPr>
      </w:pPr>
      <w:r>
        <w:rPr>
          <w:rFonts w:eastAsia="Times New Roman"/>
          <w:color w:val="000000"/>
          <w:sz w:val="20"/>
          <w:szCs w:val="20"/>
        </w:rPr>
        <w:t>92</w:t>
      </w:r>
    </w:p>
    <w:p w:rsidR="00000000" w:rsidRDefault="00971A12">
      <w:pPr>
        <w:rPr>
          <w:rFonts w:eastAsia="Times New Roman"/>
        </w:rPr>
      </w:pPr>
      <w:r>
        <w:rPr>
          <w:rFonts w:eastAsia="Times New Roman"/>
        </w:rPr>
        <w:pict>
          <v:rect id="_x0000_i1120" style="width:0;height:1.5pt" o:hralign="center" o:hrstd="t" o:hr="t" fillcolor="#a0a0a0" stroked="f"/>
        </w:pict>
      </w:r>
    </w:p>
    <w:p w:rsidR="00000000" w:rsidRDefault="00971A12">
      <w:pPr>
        <w:divId w:val="1047604354"/>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249318798"/>
        <w:rPr>
          <w:rFonts w:eastAsia="Times New Roman"/>
        </w:rPr>
      </w:pPr>
    </w:p>
    <w:p w:rsidR="00000000" w:rsidRDefault="00971A12">
      <w:pPr>
        <w:jc w:val="center"/>
        <w:rPr>
          <w:rFonts w:eastAsia="Times New Roman"/>
        </w:rPr>
      </w:pPr>
      <w:r>
        <w:rPr>
          <w:rFonts w:eastAsia="Times New Roman"/>
          <w:b/>
          <w:bCs/>
          <w:color w:val="000000"/>
          <w:sz w:val="20"/>
          <w:szCs w:val="20"/>
        </w:rPr>
        <w:t>SIGNATURES</w:t>
      </w:r>
    </w:p>
    <w:p w:rsidR="00000000" w:rsidRDefault="00971A12">
      <w:pPr>
        <w:jc w:val="both"/>
        <w:divId w:val="1634671082"/>
        <w:rPr>
          <w:rFonts w:eastAsia="Times New Roman"/>
        </w:rPr>
      </w:pPr>
      <w:r>
        <w:rPr>
          <w:rFonts w:eastAsia="Times New Roman"/>
          <w:color w:val="000000"/>
          <w:sz w:val="20"/>
          <w:szCs w:val="20"/>
        </w:rPr>
        <w:t>Pursuant to the requirements of Section 13 or 15(d) of the Securities Exchange Act of 1934, the registrant has duly caused this report to be signed on its behalf by the undersigned thereunto duly authorized.</w:t>
      </w:r>
    </w:p>
    <w:p w:rsidR="00000000" w:rsidRDefault="00971A12">
      <w:pPr>
        <w:divId w:val="1001856641"/>
        <w:rPr>
          <w:rFonts w:eastAsia="Times New Roman"/>
        </w:rPr>
      </w:pP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68"/>
        <w:gridCol w:w="3668"/>
        <w:gridCol w:w="36"/>
        <w:gridCol w:w="82"/>
        <w:gridCol w:w="239"/>
        <w:gridCol w:w="37"/>
        <w:gridCol w:w="46"/>
        <w:gridCol w:w="933"/>
        <w:gridCol w:w="38"/>
        <w:gridCol w:w="69"/>
        <w:gridCol w:w="933"/>
        <w:gridCol w:w="37"/>
        <w:gridCol w:w="69"/>
        <w:gridCol w:w="933"/>
        <w:gridCol w:w="37"/>
        <w:gridCol w:w="69"/>
        <w:gridCol w:w="976"/>
        <w:gridCol w:w="36"/>
      </w:tblGrid>
      <w:tr w:rsidR="00000000">
        <w:trPr>
          <w:divId w:val="1877617241"/>
        </w:trPr>
        <w:tc>
          <w:tcPr>
            <w:tcW w:w="50" w:type="pct"/>
            <w:vAlign w:val="center"/>
            <w:hideMark/>
          </w:tcPr>
          <w:p w:rsidR="00000000" w:rsidRDefault="00971A12">
            <w:pPr>
              <w:rPr>
                <w:rFonts w:eastAsia="Times New Roman"/>
              </w:rPr>
            </w:pPr>
          </w:p>
        </w:tc>
        <w:tc>
          <w:tcPr>
            <w:tcW w:w="2217"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14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0"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0"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70"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596"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877617241"/>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971A12">
            <w:pPr>
              <w:spacing w:after="100"/>
              <w:divId w:val="1425955884"/>
              <w:rPr>
                <w:rFonts w:eastAsia="Times New Roman"/>
              </w:rPr>
            </w:pPr>
            <w:r>
              <w:rPr>
                <w:rFonts w:eastAsia="Times New Roman"/>
                <w:color w:val="000000"/>
                <w:sz w:val="16"/>
                <w:szCs w:val="16"/>
              </w:rPr>
              <w:t>COM</w:t>
            </w:r>
            <w:r>
              <w:rPr>
                <w:rFonts w:eastAsia="Times New Roman"/>
                <w:color w:val="000000"/>
                <w:sz w:val="20"/>
                <w:szCs w:val="20"/>
              </w:rPr>
              <w:t>S</w:t>
            </w:r>
            <w:r>
              <w:rPr>
                <w:rFonts w:eastAsia="Times New Roman"/>
                <w:color w:val="000000"/>
                <w:sz w:val="16"/>
                <w:szCs w:val="16"/>
              </w:rPr>
              <w:t>CORE</w:t>
            </w:r>
            <w:r>
              <w:rPr>
                <w:rFonts w:eastAsia="Times New Roman"/>
                <w:color w:val="000000"/>
                <w:sz w:val="20"/>
                <w:szCs w:val="20"/>
              </w:rPr>
              <w:t>, I</w:t>
            </w:r>
            <w:r>
              <w:rPr>
                <w:rFonts w:eastAsia="Times New Roman"/>
                <w:color w:val="000000"/>
                <w:sz w:val="16"/>
                <w:szCs w:val="16"/>
              </w:rPr>
              <w:t>NC</w:t>
            </w: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rPr>
            </w:pPr>
          </w:p>
        </w:tc>
      </w:tr>
      <w:tr w:rsidR="00000000">
        <w:trPr>
          <w:divId w:val="1877617241"/>
          <w:trHeight w:val="300"/>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877617241"/>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20"/>
                <w:szCs w:val="20"/>
              </w:rPr>
              <w:t>By:</w:t>
            </w: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/s/ Jonathan Carpenter</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r>
      <w:tr w:rsidR="00000000">
        <w:trPr>
          <w:divId w:val="1877617241"/>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Jonathan Carpenter</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r>
      <w:tr w:rsidR="00000000">
        <w:trPr>
          <w:divId w:val="1877617241"/>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Chief Executive Officer</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r>
      <w:tr w:rsidR="00000000">
        <w:trPr>
          <w:divId w:val="1877617241"/>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9"/>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20"/>
                <w:szCs w:val="20"/>
              </w:rPr>
              <w:t>(Principal Executive Officer)</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r>
      <w:tr w:rsidR="00000000">
        <w:trPr>
          <w:divId w:val="1877617241"/>
          <w:trHeight w:val="600"/>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877617241"/>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20"/>
                <w:szCs w:val="20"/>
              </w:rPr>
              <w:t xml:space="preserve">By: </w:t>
            </w: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/s/ Mary Margaret Curry</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r>
      <w:tr w:rsidR="00000000">
        <w:trPr>
          <w:divId w:val="1877617241"/>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Mary Margaret Curry</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r>
      <w:tr w:rsidR="00000000">
        <w:trPr>
          <w:divId w:val="1877617241"/>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Chief Financial Officer and Treasurer</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r>
      <w:tr w:rsidR="00000000">
        <w:trPr>
          <w:divId w:val="1877617241"/>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9"/>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20"/>
                <w:szCs w:val="20"/>
              </w:rPr>
              <w:t>(Principal Financial Officer and Principal Accounting Officer)</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r>
    </w:tbl>
    <w:p w:rsidR="00000000" w:rsidRDefault="00971A12">
      <w:pPr>
        <w:divId w:val="1877617241"/>
        <w:rPr>
          <w:rFonts w:eastAsia="Times New Roman"/>
        </w:rPr>
      </w:pPr>
      <w:r>
        <w:rPr>
          <w:rFonts w:eastAsia="Times New Roman"/>
          <w:color w:val="000000"/>
          <w:sz w:val="20"/>
          <w:szCs w:val="20"/>
        </w:rPr>
        <w:t>March 1, 2023</w:t>
      </w:r>
    </w:p>
    <w:p w:rsidR="00000000" w:rsidRDefault="00971A12">
      <w:pPr>
        <w:jc w:val="center"/>
        <w:divId w:val="675234879"/>
        <w:rPr>
          <w:rFonts w:eastAsia="Times New Roman"/>
        </w:rPr>
      </w:pPr>
      <w:r>
        <w:rPr>
          <w:rFonts w:eastAsia="Times New Roman"/>
          <w:color w:val="000000"/>
          <w:sz w:val="20"/>
          <w:szCs w:val="20"/>
        </w:rPr>
        <w:t>93</w:t>
      </w:r>
    </w:p>
    <w:p w:rsidR="00000000" w:rsidRDefault="00971A12">
      <w:pPr>
        <w:rPr>
          <w:rFonts w:eastAsia="Times New Roman"/>
        </w:rPr>
      </w:pPr>
      <w:r>
        <w:rPr>
          <w:rFonts w:eastAsia="Times New Roman"/>
        </w:rPr>
        <w:pict>
          <v:rect id="_x0000_i1121" style="width:0;height:1.5pt" o:hralign="center" o:hrstd="t" o:hr="t" fillcolor="#a0a0a0" stroked="f"/>
        </w:pict>
      </w:r>
    </w:p>
    <w:p w:rsidR="00000000" w:rsidRDefault="00971A12">
      <w:pPr>
        <w:divId w:val="1776438405"/>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561987763"/>
        <w:rPr>
          <w:rFonts w:eastAsia="Times New Roman"/>
        </w:rPr>
      </w:pPr>
    </w:p>
    <w:p w:rsidR="00000000" w:rsidRDefault="00971A12">
      <w:pPr>
        <w:jc w:val="both"/>
        <w:divId w:val="1184247257"/>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and on the dates indicated.</w:t>
      </w:r>
    </w:p>
    <w:p w:rsidR="00000000" w:rsidRDefault="00971A12">
      <w:pPr>
        <w:divId w:val="2124035649"/>
        <w:rPr>
          <w:rFonts w:eastAsia="Times New Roman"/>
        </w:rPr>
      </w:pP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62"/>
        <w:gridCol w:w="2063"/>
        <w:gridCol w:w="36"/>
        <w:gridCol w:w="36"/>
        <w:gridCol w:w="168"/>
        <w:gridCol w:w="36"/>
        <w:gridCol w:w="63"/>
        <w:gridCol w:w="3643"/>
        <w:gridCol w:w="37"/>
        <w:gridCol w:w="63"/>
        <w:gridCol w:w="2063"/>
        <w:gridCol w:w="36"/>
      </w:tblGrid>
      <w:tr w:rsidR="00000000">
        <w:trPr>
          <w:divId w:val="1229800993"/>
        </w:trPr>
        <w:tc>
          <w:tcPr>
            <w:tcW w:w="50" w:type="pct"/>
            <w:vAlign w:val="center"/>
            <w:hideMark/>
          </w:tcPr>
          <w:p w:rsidR="00000000" w:rsidRDefault="00971A12">
            <w:pPr>
              <w:rPr>
                <w:rFonts w:eastAsia="Times New Roman"/>
              </w:rPr>
            </w:pPr>
          </w:p>
        </w:tc>
        <w:tc>
          <w:tcPr>
            <w:tcW w:w="125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11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2204"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c>
          <w:tcPr>
            <w:tcW w:w="50" w:type="pct"/>
            <w:vAlign w:val="center"/>
            <w:hideMark/>
          </w:tcPr>
          <w:p w:rsidR="00000000" w:rsidRDefault="00971A12">
            <w:pPr>
              <w:spacing w:after="100"/>
              <w:rPr>
                <w:rFonts w:eastAsia="Times New Roman"/>
                <w:sz w:val="20"/>
                <w:szCs w:val="20"/>
              </w:rPr>
            </w:pPr>
          </w:p>
        </w:tc>
        <w:tc>
          <w:tcPr>
            <w:tcW w:w="1253" w:type="pct"/>
            <w:vAlign w:val="center"/>
            <w:hideMark/>
          </w:tcPr>
          <w:p w:rsidR="00000000" w:rsidRDefault="00971A12">
            <w:pPr>
              <w:spacing w:after="100"/>
              <w:rPr>
                <w:rFonts w:eastAsia="Times New Roman"/>
                <w:sz w:val="20"/>
                <w:szCs w:val="20"/>
              </w:rPr>
            </w:pPr>
          </w:p>
        </w:tc>
        <w:tc>
          <w:tcPr>
            <w:tcW w:w="5" w:type="pct"/>
            <w:vAlign w:val="center"/>
            <w:hideMark/>
          </w:tcPr>
          <w:p w:rsidR="00000000" w:rsidRDefault="00971A12">
            <w:pPr>
              <w:spacing w:after="100"/>
              <w:rPr>
                <w:rFonts w:eastAsia="Times New Roman"/>
                <w:sz w:val="20"/>
                <w:szCs w:val="20"/>
              </w:rPr>
            </w:pPr>
          </w:p>
        </w:tc>
      </w:tr>
      <w:tr w:rsidR="00000000">
        <w:trPr>
          <w:divId w:val="1229800993"/>
        </w:trPr>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u w:val="single"/>
              </w:rPr>
              <w:t>Signature</w:t>
            </w: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u w:val="single"/>
              </w:rPr>
              <w:t>Title</w:t>
            </w: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b/>
                <w:bCs/>
                <w:color w:val="000000"/>
                <w:sz w:val="16"/>
                <w:szCs w:val="16"/>
                <w:u w:val="single"/>
              </w:rPr>
              <w:t>Date</w:t>
            </w:r>
          </w:p>
        </w:tc>
      </w:tr>
      <w:tr w:rsidR="00000000">
        <w:trPr>
          <w:divId w:val="1229800993"/>
          <w:trHeight w:val="60"/>
        </w:trPr>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6"/>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229800993"/>
        </w:trPr>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/s/ Jonathan Carpenter</w:t>
            </w: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Chief Executive Officer</w:t>
            </w: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March 1, 2023</w:t>
            </w:r>
          </w:p>
        </w:tc>
      </w:tr>
      <w:tr w:rsidR="00000000">
        <w:trPr>
          <w:divId w:val="1229800993"/>
        </w:trPr>
        <w:tc>
          <w:tcPr>
            <w:tcW w:w="0" w:type="auto"/>
            <w:gridSpan w:val="3"/>
            <w:tcBorders>
              <w:top w:val="single" w:sz="8" w:space="0" w:color="000000"/>
            </w:tcBorders>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20"/>
                <w:szCs w:val="20"/>
              </w:rPr>
              <w:t>Jonathan Carpenter</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(Principal Executive Officer)</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r>
      <w:tr w:rsidR="00000000">
        <w:trPr>
          <w:divId w:val="1229800993"/>
          <w:trHeight w:val="60"/>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229800993"/>
        </w:trPr>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/s/ Mary Margaret Curry</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Chief Financial Officer and Treasurer</w:t>
            </w: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March 1, 2023</w:t>
            </w:r>
          </w:p>
        </w:tc>
      </w:tr>
      <w:tr w:rsidR="00000000">
        <w:trPr>
          <w:divId w:val="1229800993"/>
        </w:trPr>
        <w:tc>
          <w:tcPr>
            <w:tcW w:w="0" w:type="auto"/>
            <w:gridSpan w:val="3"/>
            <w:tcBorders>
              <w:top w:val="single" w:sz="8" w:space="0" w:color="000000"/>
            </w:tcBorders>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20"/>
                <w:szCs w:val="20"/>
              </w:rPr>
              <w:t>Mary Margaret Curry</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71A12">
            <w:pPr>
              <w:spacing w:after="100"/>
              <w:jc w:val="center"/>
              <w:rPr>
                <w:rFonts w:eastAsia="Times New Roman"/>
              </w:rPr>
            </w:pPr>
            <w:r>
              <w:rPr>
                <w:rFonts w:eastAsia="Times New Roman"/>
                <w:color w:val="000000"/>
                <w:sz w:val="20"/>
                <w:szCs w:val="20"/>
              </w:rPr>
              <w:t>(Principal Financial Officer and Principal Accounting Officer)</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r>
      <w:tr w:rsidR="00000000">
        <w:trPr>
          <w:divId w:val="1229800993"/>
          <w:trHeight w:val="60"/>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229800993"/>
        </w:trPr>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/s/ Nana Banerjee</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Non-Executive Chairman</w:t>
            </w: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March 1, 2023</w:t>
            </w:r>
          </w:p>
        </w:tc>
      </w:tr>
      <w:tr w:rsidR="00000000">
        <w:trPr>
          <w:divId w:val="1229800993"/>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Nana Banerjee</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229800993"/>
          <w:trHeight w:val="60"/>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229800993"/>
        </w:trPr>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/s/ William P. Livek</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Non-Executive Vice Chairman</w:t>
            </w: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March 1, 2023</w:t>
            </w:r>
          </w:p>
        </w:tc>
      </w:tr>
      <w:tr w:rsidR="00000000">
        <w:trPr>
          <w:divId w:val="1229800993"/>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William P. Livek</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229800993"/>
          <w:trHeight w:val="60"/>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229800993"/>
        </w:trPr>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/s/ Itzhak Fisher</w:t>
            </w:r>
          </w:p>
        </w:tc>
        <w:tc>
          <w:tcPr>
            <w:tcW w:w="0" w:type="auto"/>
            <w:gridSpan w:val="3"/>
            <w:tcMar>
              <w:top w:w="30" w:type="dxa"/>
              <w:left w:w="20" w:type="dxa"/>
              <w:bottom w:w="30" w:type="dxa"/>
              <w:right w:w="20" w:type="dxa"/>
            </w:tcMar>
            <w:vAlign w:val="bottom"/>
            <w:hideMark/>
          </w:tcPr>
          <w:p w:rsidR="00000000" w:rsidRDefault="00971A12">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March 1, 2023</w:t>
            </w:r>
          </w:p>
        </w:tc>
      </w:tr>
      <w:tr w:rsidR="00000000">
        <w:trPr>
          <w:divId w:val="1229800993"/>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Itzhak Fisher</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229800993"/>
          <w:trHeight w:val="60"/>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229800993"/>
        </w:trPr>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/s/ David Kline</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March 1, 2023</w:t>
            </w:r>
          </w:p>
        </w:tc>
      </w:tr>
      <w:tr w:rsidR="00000000">
        <w:trPr>
          <w:divId w:val="1229800993"/>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David Kline</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229800993"/>
          <w:trHeight w:val="60"/>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229800993"/>
        </w:trPr>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/s/ Pierre-Andre Liduena</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March 1, 2023</w:t>
            </w:r>
          </w:p>
        </w:tc>
      </w:tr>
      <w:tr w:rsidR="00000000">
        <w:trPr>
          <w:divId w:val="1229800993"/>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Pierre-Andre Liduena</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229800993"/>
          <w:trHeight w:val="60"/>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229800993"/>
        </w:trPr>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/s/ Kathleen Love</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March 1, 2023</w:t>
            </w:r>
          </w:p>
        </w:tc>
      </w:tr>
      <w:tr w:rsidR="00000000">
        <w:trPr>
          <w:divId w:val="1229800993"/>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Kathleen Love</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229800993"/>
          <w:trHeight w:val="60"/>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229800993"/>
        </w:trPr>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/s/ Marty Patterson</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March 1, 2023</w:t>
            </w:r>
          </w:p>
        </w:tc>
      </w:tr>
      <w:tr w:rsidR="00000000">
        <w:trPr>
          <w:divId w:val="1229800993"/>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Marty Patterson</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229800993"/>
          <w:trHeight w:val="60"/>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229800993"/>
        </w:trPr>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/s/ Brent D. Rosenthal</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March 1, 2023</w:t>
            </w:r>
          </w:p>
        </w:tc>
      </w:tr>
      <w:tr w:rsidR="00000000">
        <w:trPr>
          <w:divId w:val="1229800993"/>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Brent D. Rosenthal</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229800993"/>
          <w:trHeight w:val="60"/>
        </w:trPr>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r w:rsidR="00000000">
        <w:trPr>
          <w:divId w:val="1229800993"/>
        </w:trPr>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/s/ Brian Wendling</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March 1, 2023</w:t>
            </w:r>
          </w:p>
        </w:tc>
      </w:tr>
      <w:tr w:rsidR="00000000">
        <w:trPr>
          <w:divId w:val="1229800993"/>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71A12">
            <w:pPr>
              <w:spacing w:after="100"/>
              <w:jc w:val="center"/>
              <w:rPr>
                <w:rFonts w:eastAsia="Times New Roman"/>
              </w:rPr>
            </w:pPr>
            <w:r>
              <w:rPr>
                <w:rFonts w:eastAsia="Times New Roman"/>
                <w:color w:val="000000"/>
                <w:sz w:val="20"/>
                <w:szCs w:val="20"/>
              </w:rPr>
              <w:t>Brian Wendling</w:t>
            </w:r>
          </w:p>
        </w:tc>
        <w:tc>
          <w:tcPr>
            <w:tcW w:w="0" w:type="auto"/>
            <w:gridSpan w:val="3"/>
            <w:tcMar>
              <w:top w:w="0" w:type="dxa"/>
              <w:left w:w="20" w:type="dxa"/>
              <w:bottom w:w="0" w:type="dxa"/>
              <w:right w:w="20" w:type="dxa"/>
            </w:tcMar>
            <w:vAlign w:val="center"/>
            <w:hideMark/>
          </w:tcPr>
          <w:p w:rsidR="00000000" w:rsidRDefault="00971A1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71A12">
            <w:pPr>
              <w:spacing w:after="100"/>
              <w:rPr>
                <w:rFonts w:eastAsia="Times New Roman"/>
                <w:sz w:val="20"/>
                <w:szCs w:val="20"/>
              </w:rPr>
            </w:pPr>
          </w:p>
        </w:tc>
      </w:tr>
    </w:tbl>
    <w:p w:rsidR="00000000" w:rsidRDefault="00971A12">
      <w:pPr>
        <w:divId w:val="1785610804"/>
        <w:rPr>
          <w:rFonts w:eastAsia="Times New Roman"/>
        </w:rPr>
      </w:pPr>
    </w:p>
    <w:p w:rsidR="00000000" w:rsidRDefault="00971A12">
      <w:pPr>
        <w:jc w:val="center"/>
        <w:divId w:val="1330787386"/>
        <w:rPr>
          <w:rFonts w:eastAsia="Times New Roman"/>
        </w:rPr>
      </w:pPr>
      <w:r>
        <w:rPr>
          <w:rFonts w:eastAsia="Times New Roman"/>
          <w:color w:val="000000"/>
          <w:sz w:val="20"/>
          <w:szCs w:val="20"/>
        </w:rPr>
        <w:t>94</w:t>
      </w:r>
    </w:p>
    <w:p w:rsidR="00000000" w:rsidRDefault="00971A12">
      <w:pPr>
        <w:rPr>
          <w:rFonts w:eastAsia="Times New Roman"/>
        </w:rPr>
      </w:pPr>
      <w:r>
        <w:rPr>
          <w:rFonts w:eastAsia="Times New Roman"/>
        </w:rPr>
        <w:pict>
          <v:rect id="_x0000_i1122" style="width:0;height:1.5pt" o:hralign="center" o:hrstd="t" o:hr="t" fillcolor="#a0a0a0" stroked="f"/>
        </w:pict>
      </w:r>
    </w:p>
    <w:p w:rsidR="00000000" w:rsidRDefault="00971A12">
      <w:pPr>
        <w:divId w:val="473841515"/>
        <w:rPr>
          <w:rFonts w:eastAsia="Times New Roman"/>
        </w:rPr>
      </w:pPr>
      <w:hyperlink w:anchor="i0047531bd13046b986557e31951e34f8_7" w:history="1">
        <w:r>
          <w:rPr>
            <w:rStyle w:val="a3"/>
            <w:rFonts w:eastAsia="Times New Roman"/>
            <w:sz w:val="20"/>
            <w:szCs w:val="20"/>
          </w:rPr>
          <w:t>Table of Conte</w:t>
        </w:r>
      </w:hyperlink>
      <w:hyperlink w:anchor="i0047531bd13046b986557e31951e34f8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971A12">
      <w:pPr>
        <w:divId w:val="26225646"/>
        <w:rPr>
          <w:rFonts w:eastAsia="Times New Roman"/>
        </w:rPr>
      </w:pPr>
    </w:p>
    <w:p w:rsidR="00000000" w:rsidRDefault="00971A12">
      <w:pPr>
        <w:jc w:val="center"/>
        <w:divId w:val="1954827003"/>
        <w:rPr>
          <w:rFonts w:eastAsia="Times New Roman"/>
        </w:rPr>
      </w:pPr>
    </w:p>
    <w:p w:rsidR="00000000" w:rsidRDefault="00971A12">
      <w:pPr>
        <w:jc w:val="center"/>
        <w:divId w:val="454297647"/>
        <w:rPr>
          <w:rFonts w:eastAsia="Times New Roman"/>
        </w:rPr>
      </w:pPr>
    </w:p>
    <w:p w:rsidR="00000000" w:rsidRDefault="00971A12">
      <w:pPr>
        <w:spacing w:before="2500"/>
        <w:jc w:val="center"/>
        <w:divId w:val="178475951"/>
        <w:rPr>
          <w:rFonts w:eastAsia="Times New Roman"/>
        </w:rPr>
      </w:pPr>
      <w:r>
        <w:rPr>
          <w:rFonts w:eastAsia="Times New Roman"/>
          <w:noProof/>
        </w:rPr>
        <w:drawing>
          <wp:inline distT="0" distB="0" distL="0" distR="0">
            <wp:extent cx="304800" cy="3048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71A12" w:rsidRDefault="00971A12">
      <w:pPr>
        <w:divId w:val="128205319"/>
        <w:rPr>
          <w:rFonts w:eastAsia="Times New Roman"/>
        </w:rPr>
      </w:pPr>
    </w:p>
    <w:sectPr w:rsidR="00971A1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71A12"/>
    <w:rsid w:val="00971A12"/>
  </w:rsids>
  <m:mathPr>
    <m:mathFont m:val="Cambria Math"/>
    <m:brkBin m:val="before"/>
    <m:brkBinSub m:val="--"/>
    <m:smallFrac m:val="0"/>
    <m:dispDef/>
    <m:lMargin m:val="0"/>
    <m:rMargin m:val="0"/>
    <m:defJc m:val="centerGroup"/>
    <m:wrapIndent m:val="1440"/>
    <m:intLim m:val="subSup"/>
    <m:naryLim m:val="undOvr"/>
  </m:mathPr>
  <w:attachedSchema w:val="http://fasb.org/us-gaap/2022"/>
  <w:attachedSchema w:val="http://www.sec.gov/inlineXBRL/transformation/2015-08-31"/>
  <w:attachedSchema w:val="http://www.xbrl.org/2009/utr"/>
  <w:attachedSchema w:val="http://www.xbrl.org/2003/linkbase"/>
  <w:attachedSchema w:val="http://xbrl.org/2006/xbrldi"/>
  <w:attachedSchema w:val="http://xbrl.sec.gov/country/2022"/>
  <w:attachedSchema w:val="http://www.xbrl.org/inlineXBRL/transformation/2020-02-12"/>
  <w:attachedSchema w:val="http://www.xbrl.org/2003/iso4217"/>
  <w:attachedSchema w:val="http://www.w3.org/1999/xlink"/>
  <w:attachedSchema w:val="http://www.xbrl.org/2013/inlineXBRL"/>
  <w:attachedSchema w:val="http://www.comscore.com/20221231"/>
  <w:attachedSchema w:val="http://xbrl.sec.gov/dei/2022"/>
  <w:attachedSchema w:val="http://www.xbrl.org/2003/instance"/>
  <w:attachedSchema w:val="http://fasb.org/srt/202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777">
      <w:marLeft w:val="0"/>
      <w:marRight w:val="0"/>
      <w:marTop w:val="60"/>
      <w:marBottom w:val="0"/>
      <w:divBdr>
        <w:top w:val="none" w:sz="0" w:space="0" w:color="auto"/>
        <w:left w:val="none" w:sz="0" w:space="0" w:color="auto"/>
        <w:bottom w:val="none" w:sz="0" w:space="0" w:color="auto"/>
        <w:right w:val="none" w:sz="0" w:space="0" w:color="auto"/>
      </w:divBdr>
    </w:div>
    <w:div w:id="2049325">
      <w:marLeft w:val="0"/>
      <w:marRight w:val="0"/>
      <w:marTop w:val="100"/>
      <w:marBottom w:val="0"/>
      <w:divBdr>
        <w:top w:val="none" w:sz="0" w:space="0" w:color="auto"/>
        <w:left w:val="none" w:sz="0" w:space="0" w:color="auto"/>
        <w:bottom w:val="none" w:sz="0" w:space="0" w:color="auto"/>
        <w:right w:val="none" w:sz="0" w:space="0" w:color="auto"/>
      </w:divBdr>
    </w:div>
    <w:div w:id="3636243">
      <w:marLeft w:val="0"/>
      <w:marRight w:val="0"/>
      <w:marTop w:val="240"/>
      <w:marBottom w:val="0"/>
      <w:divBdr>
        <w:top w:val="none" w:sz="0" w:space="0" w:color="auto"/>
        <w:left w:val="none" w:sz="0" w:space="0" w:color="auto"/>
        <w:bottom w:val="none" w:sz="0" w:space="0" w:color="auto"/>
        <w:right w:val="none" w:sz="0" w:space="0" w:color="auto"/>
      </w:divBdr>
    </w:div>
    <w:div w:id="3822793">
      <w:marLeft w:val="0"/>
      <w:marRight w:val="0"/>
      <w:marTop w:val="100"/>
      <w:marBottom w:val="0"/>
      <w:divBdr>
        <w:top w:val="none" w:sz="0" w:space="0" w:color="auto"/>
        <w:left w:val="none" w:sz="0" w:space="0" w:color="auto"/>
        <w:bottom w:val="none" w:sz="0" w:space="0" w:color="auto"/>
        <w:right w:val="none" w:sz="0" w:space="0" w:color="auto"/>
      </w:divBdr>
    </w:div>
    <w:div w:id="4601375">
      <w:marLeft w:val="0"/>
      <w:marRight w:val="0"/>
      <w:marTop w:val="0"/>
      <w:marBottom w:val="0"/>
      <w:divBdr>
        <w:top w:val="none" w:sz="0" w:space="0" w:color="auto"/>
        <w:left w:val="none" w:sz="0" w:space="0" w:color="auto"/>
        <w:bottom w:val="none" w:sz="0" w:space="0" w:color="auto"/>
        <w:right w:val="none" w:sz="0" w:space="0" w:color="auto"/>
      </w:divBdr>
      <w:divsChild>
        <w:div w:id="231164309">
          <w:marLeft w:val="0"/>
          <w:marRight w:val="0"/>
          <w:marTop w:val="0"/>
          <w:marBottom w:val="0"/>
          <w:divBdr>
            <w:top w:val="none" w:sz="0" w:space="0" w:color="auto"/>
            <w:left w:val="none" w:sz="0" w:space="0" w:color="auto"/>
            <w:bottom w:val="none" w:sz="0" w:space="0" w:color="auto"/>
            <w:right w:val="none" w:sz="0" w:space="0" w:color="auto"/>
          </w:divBdr>
        </w:div>
        <w:div w:id="1847937479">
          <w:marLeft w:val="0"/>
          <w:marRight w:val="0"/>
          <w:marTop w:val="0"/>
          <w:marBottom w:val="0"/>
          <w:divBdr>
            <w:top w:val="none" w:sz="0" w:space="0" w:color="auto"/>
            <w:left w:val="none" w:sz="0" w:space="0" w:color="auto"/>
            <w:bottom w:val="none" w:sz="0" w:space="0" w:color="auto"/>
            <w:right w:val="none" w:sz="0" w:space="0" w:color="auto"/>
          </w:divBdr>
        </w:div>
      </w:divsChild>
    </w:div>
    <w:div w:id="10452158">
      <w:marLeft w:val="0"/>
      <w:marRight w:val="0"/>
      <w:marTop w:val="100"/>
      <w:marBottom w:val="0"/>
      <w:divBdr>
        <w:top w:val="none" w:sz="0" w:space="0" w:color="auto"/>
        <w:left w:val="none" w:sz="0" w:space="0" w:color="auto"/>
        <w:bottom w:val="none" w:sz="0" w:space="0" w:color="auto"/>
        <w:right w:val="none" w:sz="0" w:space="0" w:color="auto"/>
      </w:divBdr>
    </w:div>
    <w:div w:id="12197631">
      <w:marLeft w:val="0"/>
      <w:marRight w:val="0"/>
      <w:marTop w:val="0"/>
      <w:marBottom w:val="0"/>
      <w:divBdr>
        <w:top w:val="none" w:sz="0" w:space="0" w:color="auto"/>
        <w:left w:val="none" w:sz="0" w:space="0" w:color="auto"/>
        <w:bottom w:val="none" w:sz="0" w:space="0" w:color="auto"/>
        <w:right w:val="none" w:sz="0" w:space="0" w:color="auto"/>
      </w:divBdr>
      <w:divsChild>
        <w:div w:id="614556429">
          <w:marLeft w:val="0"/>
          <w:marRight w:val="0"/>
          <w:marTop w:val="0"/>
          <w:marBottom w:val="0"/>
          <w:divBdr>
            <w:top w:val="none" w:sz="0" w:space="0" w:color="auto"/>
            <w:left w:val="none" w:sz="0" w:space="0" w:color="auto"/>
            <w:bottom w:val="none" w:sz="0" w:space="0" w:color="auto"/>
            <w:right w:val="none" w:sz="0" w:space="0" w:color="auto"/>
          </w:divBdr>
        </w:div>
      </w:divsChild>
    </w:div>
    <w:div w:id="12610283">
      <w:marLeft w:val="0"/>
      <w:marRight w:val="0"/>
      <w:marTop w:val="0"/>
      <w:marBottom w:val="0"/>
      <w:divBdr>
        <w:top w:val="none" w:sz="0" w:space="0" w:color="auto"/>
        <w:left w:val="none" w:sz="0" w:space="0" w:color="auto"/>
        <w:bottom w:val="none" w:sz="0" w:space="0" w:color="auto"/>
        <w:right w:val="none" w:sz="0" w:space="0" w:color="auto"/>
      </w:divBdr>
      <w:divsChild>
        <w:div w:id="1712605809">
          <w:marLeft w:val="0"/>
          <w:marRight w:val="0"/>
          <w:marTop w:val="0"/>
          <w:marBottom w:val="0"/>
          <w:divBdr>
            <w:top w:val="none" w:sz="0" w:space="0" w:color="auto"/>
            <w:left w:val="none" w:sz="0" w:space="0" w:color="auto"/>
            <w:bottom w:val="none" w:sz="0" w:space="0" w:color="auto"/>
            <w:right w:val="none" w:sz="0" w:space="0" w:color="auto"/>
          </w:divBdr>
        </w:div>
      </w:divsChild>
    </w:div>
    <w:div w:id="20253278">
      <w:marLeft w:val="0"/>
      <w:marRight w:val="0"/>
      <w:marTop w:val="100"/>
      <w:marBottom w:val="0"/>
      <w:divBdr>
        <w:top w:val="none" w:sz="0" w:space="0" w:color="auto"/>
        <w:left w:val="none" w:sz="0" w:space="0" w:color="auto"/>
        <w:bottom w:val="none" w:sz="0" w:space="0" w:color="auto"/>
        <w:right w:val="none" w:sz="0" w:space="0" w:color="auto"/>
      </w:divBdr>
    </w:div>
    <w:div w:id="21054460">
      <w:marLeft w:val="0"/>
      <w:marRight w:val="0"/>
      <w:marTop w:val="100"/>
      <w:marBottom w:val="0"/>
      <w:divBdr>
        <w:top w:val="none" w:sz="0" w:space="0" w:color="auto"/>
        <w:left w:val="none" w:sz="0" w:space="0" w:color="auto"/>
        <w:bottom w:val="none" w:sz="0" w:space="0" w:color="auto"/>
        <w:right w:val="none" w:sz="0" w:space="0" w:color="auto"/>
      </w:divBdr>
    </w:div>
    <w:div w:id="23411776">
      <w:marLeft w:val="0"/>
      <w:marRight w:val="0"/>
      <w:marTop w:val="60"/>
      <w:marBottom w:val="0"/>
      <w:divBdr>
        <w:top w:val="none" w:sz="0" w:space="0" w:color="auto"/>
        <w:left w:val="none" w:sz="0" w:space="0" w:color="auto"/>
        <w:bottom w:val="none" w:sz="0" w:space="0" w:color="auto"/>
        <w:right w:val="none" w:sz="0" w:space="0" w:color="auto"/>
      </w:divBdr>
    </w:div>
    <w:div w:id="24445432">
      <w:marLeft w:val="0"/>
      <w:marRight w:val="0"/>
      <w:marTop w:val="100"/>
      <w:marBottom w:val="0"/>
      <w:divBdr>
        <w:top w:val="none" w:sz="0" w:space="0" w:color="auto"/>
        <w:left w:val="none" w:sz="0" w:space="0" w:color="auto"/>
        <w:bottom w:val="none" w:sz="0" w:space="0" w:color="auto"/>
        <w:right w:val="none" w:sz="0" w:space="0" w:color="auto"/>
      </w:divBdr>
    </w:div>
    <w:div w:id="24991405">
      <w:marLeft w:val="0"/>
      <w:marRight w:val="0"/>
      <w:marTop w:val="0"/>
      <w:marBottom w:val="0"/>
      <w:divBdr>
        <w:top w:val="none" w:sz="0" w:space="0" w:color="auto"/>
        <w:left w:val="none" w:sz="0" w:space="0" w:color="auto"/>
        <w:bottom w:val="none" w:sz="0" w:space="0" w:color="auto"/>
        <w:right w:val="none" w:sz="0" w:space="0" w:color="auto"/>
      </w:divBdr>
      <w:divsChild>
        <w:div w:id="1121925646">
          <w:marLeft w:val="0"/>
          <w:marRight w:val="0"/>
          <w:marTop w:val="0"/>
          <w:marBottom w:val="0"/>
          <w:divBdr>
            <w:top w:val="none" w:sz="0" w:space="0" w:color="auto"/>
            <w:left w:val="none" w:sz="0" w:space="0" w:color="auto"/>
            <w:bottom w:val="none" w:sz="0" w:space="0" w:color="auto"/>
            <w:right w:val="none" w:sz="0" w:space="0" w:color="auto"/>
          </w:divBdr>
        </w:div>
        <w:div w:id="1433554132">
          <w:marLeft w:val="0"/>
          <w:marRight w:val="0"/>
          <w:marTop w:val="0"/>
          <w:marBottom w:val="0"/>
          <w:divBdr>
            <w:top w:val="none" w:sz="0" w:space="0" w:color="auto"/>
            <w:left w:val="none" w:sz="0" w:space="0" w:color="auto"/>
            <w:bottom w:val="none" w:sz="0" w:space="0" w:color="auto"/>
            <w:right w:val="none" w:sz="0" w:space="0" w:color="auto"/>
          </w:divBdr>
        </w:div>
      </w:divsChild>
    </w:div>
    <w:div w:id="25982448">
      <w:marLeft w:val="0"/>
      <w:marRight w:val="0"/>
      <w:marTop w:val="100"/>
      <w:marBottom w:val="0"/>
      <w:divBdr>
        <w:top w:val="none" w:sz="0" w:space="0" w:color="auto"/>
        <w:left w:val="none" w:sz="0" w:space="0" w:color="auto"/>
        <w:bottom w:val="none" w:sz="0" w:space="0" w:color="auto"/>
        <w:right w:val="none" w:sz="0" w:space="0" w:color="auto"/>
      </w:divBdr>
    </w:div>
    <w:div w:id="27222317">
      <w:marLeft w:val="0"/>
      <w:marRight w:val="0"/>
      <w:marTop w:val="100"/>
      <w:marBottom w:val="0"/>
      <w:divBdr>
        <w:top w:val="none" w:sz="0" w:space="0" w:color="auto"/>
        <w:left w:val="none" w:sz="0" w:space="0" w:color="auto"/>
        <w:bottom w:val="none" w:sz="0" w:space="0" w:color="auto"/>
        <w:right w:val="none" w:sz="0" w:space="0" w:color="auto"/>
      </w:divBdr>
    </w:div>
    <w:div w:id="28456106">
      <w:marLeft w:val="0"/>
      <w:marRight w:val="0"/>
      <w:marTop w:val="240"/>
      <w:marBottom w:val="0"/>
      <w:divBdr>
        <w:top w:val="none" w:sz="0" w:space="0" w:color="auto"/>
        <w:left w:val="none" w:sz="0" w:space="0" w:color="auto"/>
        <w:bottom w:val="none" w:sz="0" w:space="0" w:color="auto"/>
        <w:right w:val="none" w:sz="0" w:space="0" w:color="auto"/>
      </w:divBdr>
    </w:div>
    <w:div w:id="29578765">
      <w:marLeft w:val="0"/>
      <w:marRight w:val="0"/>
      <w:marTop w:val="100"/>
      <w:marBottom w:val="0"/>
      <w:divBdr>
        <w:top w:val="none" w:sz="0" w:space="0" w:color="auto"/>
        <w:left w:val="none" w:sz="0" w:space="0" w:color="auto"/>
        <w:bottom w:val="none" w:sz="0" w:space="0" w:color="auto"/>
        <w:right w:val="none" w:sz="0" w:space="0" w:color="auto"/>
      </w:divBdr>
    </w:div>
    <w:div w:id="30568867">
      <w:marLeft w:val="0"/>
      <w:marRight w:val="0"/>
      <w:marTop w:val="100"/>
      <w:marBottom w:val="0"/>
      <w:divBdr>
        <w:top w:val="none" w:sz="0" w:space="0" w:color="auto"/>
        <w:left w:val="none" w:sz="0" w:space="0" w:color="auto"/>
        <w:bottom w:val="none" w:sz="0" w:space="0" w:color="auto"/>
        <w:right w:val="none" w:sz="0" w:space="0" w:color="auto"/>
      </w:divBdr>
    </w:div>
    <w:div w:id="31273755">
      <w:marLeft w:val="0"/>
      <w:marRight w:val="0"/>
      <w:marTop w:val="100"/>
      <w:marBottom w:val="0"/>
      <w:divBdr>
        <w:top w:val="none" w:sz="0" w:space="0" w:color="auto"/>
        <w:left w:val="none" w:sz="0" w:space="0" w:color="auto"/>
        <w:bottom w:val="none" w:sz="0" w:space="0" w:color="auto"/>
        <w:right w:val="none" w:sz="0" w:space="0" w:color="auto"/>
      </w:divBdr>
    </w:div>
    <w:div w:id="32000391">
      <w:marLeft w:val="0"/>
      <w:marRight w:val="0"/>
      <w:marTop w:val="100"/>
      <w:marBottom w:val="0"/>
      <w:divBdr>
        <w:top w:val="none" w:sz="0" w:space="0" w:color="auto"/>
        <w:left w:val="none" w:sz="0" w:space="0" w:color="auto"/>
        <w:bottom w:val="none" w:sz="0" w:space="0" w:color="auto"/>
        <w:right w:val="none" w:sz="0" w:space="0" w:color="auto"/>
      </w:divBdr>
    </w:div>
    <w:div w:id="32310793">
      <w:marLeft w:val="0"/>
      <w:marRight w:val="0"/>
      <w:marTop w:val="100"/>
      <w:marBottom w:val="0"/>
      <w:divBdr>
        <w:top w:val="none" w:sz="0" w:space="0" w:color="auto"/>
        <w:left w:val="none" w:sz="0" w:space="0" w:color="auto"/>
        <w:bottom w:val="none" w:sz="0" w:space="0" w:color="auto"/>
        <w:right w:val="none" w:sz="0" w:space="0" w:color="auto"/>
      </w:divBdr>
    </w:div>
    <w:div w:id="32659516">
      <w:marLeft w:val="0"/>
      <w:marRight w:val="0"/>
      <w:marTop w:val="100"/>
      <w:marBottom w:val="0"/>
      <w:divBdr>
        <w:top w:val="none" w:sz="0" w:space="0" w:color="auto"/>
        <w:left w:val="none" w:sz="0" w:space="0" w:color="auto"/>
        <w:bottom w:val="none" w:sz="0" w:space="0" w:color="auto"/>
        <w:right w:val="none" w:sz="0" w:space="0" w:color="auto"/>
      </w:divBdr>
    </w:div>
    <w:div w:id="34280290">
      <w:marLeft w:val="0"/>
      <w:marRight w:val="0"/>
      <w:marTop w:val="240"/>
      <w:marBottom w:val="0"/>
      <w:divBdr>
        <w:top w:val="none" w:sz="0" w:space="0" w:color="auto"/>
        <w:left w:val="none" w:sz="0" w:space="0" w:color="auto"/>
        <w:bottom w:val="none" w:sz="0" w:space="0" w:color="auto"/>
        <w:right w:val="none" w:sz="0" w:space="0" w:color="auto"/>
      </w:divBdr>
    </w:div>
    <w:div w:id="34357130">
      <w:marLeft w:val="0"/>
      <w:marRight w:val="0"/>
      <w:marTop w:val="0"/>
      <w:marBottom w:val="0"/>
      <w:divBdr>
        <w:top w:val="none" w:sz="0" w:space="0" w:color="auto"/>
        <w:left w:val="none" w:sz="0" w:space="0" w:color="auto"/>
        <w:bottom w:val="none" w:sz="0" w:space="0" w:color="auto"/>
        <w:right w:val="none" w:sz="0" w:space="0" w:color="auto"/>
      </w:divBdr>
      <w:divsChild>
        <w:div w:id="1301807413">
          <w:marLeft w:val="0"/>
          <w:marRight w:val="0"/>
          <w:marTop w:val="0"/>
          <w:marBottom w:val="0"/>
          <w:divBdr>
            <w:top w:val="none" w:sz="0" w:space="0" w:color="auto"/>
            <w:left w:val="none" w:sz="0" w:space="0" w:color="auto"/>
            <w:bottom w:val="none" w:sz="0" w:space="0" w:color="auto"/>
            <w:right w:val="none" w:sz="0" w:space="0" w:color="auto"/>
          </w:divBdr>
        </w:div>
        <w:div w:id="1522864619">
          <w:marLeft w:val="0"/>
          <w:marRight w:val="0"/>
          <w:marTop w:val="0"/>
          <w:marBottom w:val="0"/>
          <w:divBdr>
            <w:top w:val="none" w:sz="0" w:space="0" w:color="auto"/>
            <w:left w:val="none" w:sz="0" w:space="0" w:color="auto"/>
            <w:bottom w:val="none" w:sz="0" w:space="0" w:color="auto"/>
            <w:right w:val="none" w:sz="0" w:space="0" w:color="auto"/>
          </w:divBdr>
        </w:div>
      </w:divsChild>
    </w:div>
    <w:div w:id="35666775">
      <w:marLeft w:val="0"/>
      <w:marRight w:val="0"/>
      <w:marTop w:val="0"/>
      <w:marBottom w:val="0"/>
      <w:divBdr>
        <w:top w:val="none" w:sz="0" w:space="0" w:color="auto"/>
        <w:left w:val="none" w:sz="0" w:space="0" w:color="auto"/>
        <w:bottom w:val="none" w:sz="0" w:space="0" w:color="auto"/>
        <w:right w:val="none" w:sz="0" w:space="0" w:color="auto"/>
      </w:divBdr>
      <w:divsChild>
        <w:div w:id="532570849">
          <w:marLeft w:val="0"/>
          <w:marRight w:val="0"/>
          <w:marTop w:val="0"/>
          <w:marBottom w:val="0"/>
          <w:divBdr>
            <w:top w:val="none" w:sz="0" w:space="0" w:color="auto"/>
            <w:left w:val="none" w:sz="0" w:space="0" w:color="auto"/>
            <w:bottom w:val="none" w:sz="0" w:space="0" w:color="auto"/>
            <w:right w:val="none" w:sz="0" w:space="0" w:color="auto"/>
          </w:divBdr>
        </w:div>
      </w:divsChild>
    </w:div>
    <w:div w:id="37241235">
      <w:marLeft w:val="0"/>
      <w:marRight w:val="0"/>
      <w:marTop w:val="100"/>
      <w:marBottom w:val="0"/>
      <w:divBdr>
        <w:top w:val="none" w:sz="0" w:space="0" w:color="auto"/>
        <w:left w:val="none" w:sz="0" w:space="0" w:color="auto"/>
        <w:bottom w:val="none" w:sz="0" w:space="0" w:color="auto"/>
        <w:right w:val="none" w:sz="0" w:space="0" w:color="auto"/>
      </w:divBdr>
    </w:div>
    <w:div w:id="40330390">
      <w:marLeft w:val="0"/>
      <w:marRight w:val="0"/>
      <w:marTop w:val="60"/>
      <w:marBottom w:val="0"/>
      <w:divBdr>
        <w:top w:val="none" w:sz="0" w:space="0" w:color="auto"/>
        <w:left w:val="none" w:sz="0" w:space="0" w:color="auto"/>
        <w:bottom w:val="none" w:sz="0" w:space="0" w:color="auto"/>
        <w:right w:val="none" w:sz="0" w:space="0" w:color="auto"/>
      </w:divBdr>
    </w:div>
    <w:div w:id="42875392">
      <w:marLeft w:val="0"/>
      <w:marRight w:val="0"/>
      <w:marTop w:val="100"/>
      <w:marBottom w:val="0"/>
      <w:divBdr>
        <w:top w:val="none" w:sz="0" w:space="0" w:color="auto"/>
        <w:left w:val="none" w:sz="0" w:space="0" w:color="auto"/>
        <w:bottom w:val="none" w:sz="0" w:space="0" w:color="auto"/>
        <w:right w:val="none" w:sz="0" w:space="0" w:color="auto"/>
      </w:divBdr>
    </w:div>
    <w:div w:id="44499432">
      <w:marLeft w:val="0"/>
      <w:marRight w:val="0"/>
      <w:marTop w:val="100"/>
      <w:marBottom w:val="0"/>
      <w:divBdr>
        <w:top w:val="none" w:sz="0" w:space="0" w:color="auto"/>
        <w:left w:val="none" w:sz="0" w:space="0" w:color="auto"/>
        <w:bottom w:val="none" w:sz="0" w:space="0" w:color="auto"/>
        <w:right w:val="none" w:sz="0" w:space="0" w:color="auto"/>
      </w:divBdr>
    </w:div>
    <w:div w:id="46150220">
      <w:marLeft w:val="0"/>
      <w:marRight w:val="0"/>
      <w:marTop w:val="240"/>
      <w:marBottom w:val="0"/>
      <w:divBdr>
        <w:top w:val="none" w:sz="0" w:space="0" w:color="auto"/>
        <w:left w:val="none" w:sz="0" w:space="0" w:color="auto"/>
        <w:bottom w:val="none" w:sz="0" w:space="0" w:color="auto"/>
        <w:right w:val="none" w:sz="0" w:space="0" w:color="auto"/>
      </w:divBdr>
    </w:div>
    <w:div w:id="46804879">
      <w:marLeft w:val="0"/>
      <w:marRight w:val="0"/>
      <w:marTop w:val="100"/>
      <w:marBottom w:val="0"/>
      <w:divBdr>
        <w:top w:val="none" w:sz="0" w:space="0" w:color="auto"/>
        <w:left w:val="none" w:sz="0" w:space="0" w:color="auto"/>
        <w:bottom w:val="none" w:sz="0" w:space="0" w:color="auto"/>
        <w:right w:val="none" w:sz="0" w:space="0" w:color="auto"/>
      </w:divBdr>
    </w:div>
    <w:div w:id="48117752">
      <w:marLeft w:val="0"/>
      <w:marRight w:val="0"/>
      <w:marTop w:val="100"/>
      <w:marBottom w:val="0"/>
      <w:divBdr>
        <w:top w:val="none" w:sz="0" w:space="0" w:color="auto"/>
        <w:left w:val="none" w:sz="0" w:space="0" w:color="auto"/>
        <w:bottom w:val="none" w:sz="0" w:space="0" w:color="auto"/>
        <w:right w:val="none" w:sz="0" w:space="0" w:color="auto"/>
      </w:divBdr>
    </w:div>
    <w:div w:id="49350462">
      <w:marLeft w:val="0"/>
      <w:marRight w:val="0"/>
      <w:marTop w:val="100"/>
      <w:marBottom w:val="0"/>
      <w:divBdr>
        <w:top w:val="none" w:sz="0" w:space="0" w:color="auto"/>
        <w:left w:val="none" w:sz="0" w:space="0" w:color="auto"/>
        <w:bottom w:val="none" w:sz="0" w:space="0" w:color="auto"/>
        <w:right w:val="none" w:sz="0" w:space="0" w:color="auto"/>
      </w:divBdr>
    </w:div>
    <w:div w:id="54474774">
      <w:marLeft w:val="0"/>
      <w:marRight w:val="0"/>
      <w:marTop w:val="100"/>
      <w:marBottom w:val="0"/>
      <w:divBdr>
        <w:top w:val="none" w:sz="0" w:space="0" w:color="auto"/>
        <w:left w:val="none" w:sz="0" w:space="0" w:color="auto"/>
        <w:bottom w:val="none" w:sz="0" w:space="0" w:color="auto"/>
        <w:right w:val="none" w:sz="0" w:space="0" w:color="auto"/>
      </w:divBdr>
    </w:div>
    <w:div w:id="55475828">
      <w:marLeft w:val="0"/>
      <w:marRight w:val="0"/>
      <w:marTop w:val="240"/>
      <w:marBottom w:val="0"/>
      <w:divBdr>
        <w:top w:val="none" w:sz="0" w:space="0" w:color="auto"/>
        <w:left w:val="none" w:sz="0" w:space="0" w:color="auto"/>
        <w:bottom w:val="none" w:sz="0" w:space="0" w:color="auto"/>
        <w:right w:val="none" w:sz="0" w:space="0" w:color="auto"/>
      </w:divBdr>
    </w:div>
    <w:div w:id="60058254">
      <w:marLeft w:val="0"/>
      <w:marRight w:val="0"/>
      <w:marTop w:val="0"/>
      <w:marBottom w:val="0"/>
      <w:divBdr>
        <w:top w:val="none" w:sz="0" w:space="0" w:color="auto"/>
        <w:left w:val="none" w:sz="0" w:space="0" w:color="auto"/>
        <w:bottom w:val="none" w:sz="0" w:space="0" w:color="auto"/>
        <w:right w:val="none" w:sz="0" w:space="0" w:color="auto"/>
      </w:divBdr>
      <w:divsChild>
        <w:div w:id="1840535885">
          <w:marLeft w:val="0"/>
          <w:marRight w:val="0"/>
          <w:marTop w:val="0"/>
          <w:marBottom w:val="0"/>
          <w:divBdr>
            <w:top w:val="none" w:sz="0" w:space="0" w:color="auto"/>
            <w:left w:val="none" w:sz="0" w:space="0" w:color="auto"/>
            <w:bottom w:val="none" w:sz="0" w:space="0" w:color="auto"/>
            <w:right w:val="none" w:sz="0" w:space="0" w:color="auto"/>
          </w:divBdr>
        </w:div>
        <w:div w:id="1944455939">
          <w:marLeft w:val="0"/>
          <w:marRight w:val="0"/>
          <w:marTop w:val="0"/>
          <w:marBottom w:val="0"/>
          <w:divBdr>
            <w:top w:val="none" w:sz="0" w:space="0" w:color="auto"/>
            <w:left w:val="none" w:sz="0" w:space="0" w:color="auto"/>
            <w:bottom w:val="none" w:sz="0" w:space="0" w:color="auto"/>
            <w:right w:val="none" w:sz="0" w:space="0" w:color="auto"/>
          </w:divBdr>
        </w:div>
      </w:divsChild>
    </w:div>
    <w:div w:id="64184518">
      <w:marLeft w:val="0"/>
      <w:marRight w:val="0"/>
      <w:marTop w:val="100"/>
      <w:marBottom w:val="0"/>
      <w:divBdr>
        <w:top w:val="none" w:sz="0" w:space="0" w:color="auto"/>
        <w:left w:val="none" w:sz="0" w:space="0" w:color="auto"/>
        <w:bottom w:val="none" w:sz="0" w:space="0" w:color="auto"/>
        <w:right w:val="none" w:sz="0" w:space="0" w:color="auto"/>
      </w:divBdr>
    </w:div>
    <w:div w:id="65274148">
      <w:marLeft w:val="0"/>
      <w:marRight w:val="0"/>
      <w:marTop w:val="60"/>
      <w:marBottom w:val="0"/>
      <w:divBdr>
        <w:top w:val="none" w:sz="0" w:space="0" w:color="auto"/>
        <w:left w:val="none" w:sz="0" w:space="0" w:color="auto"/>
        <w:bottom w:val="none" w:sz="0" w:space="0" w:color="auto"/>
        <w:right w:val="none" w:sz="0" w:space="0" w:color="auto"/>
      </w:divBdr>
    </w:div>
    <w:div w:id="65612428">
      <w:marLeft w:val="0"/>
      <w:marRight w:val="0"/>
      <w:marTop w:val="0"/>
      <w:marBottom w:val="0"/>
      <w:divBdr>
        <w:top w:val="none" w:sz="0" w:space="0" w:color="auto"/>
        <w:left w:val="none" w:sz="0" w:space="0" w:color="auto"/>
        <w:bottom w:val="none" w:sz="0" w:space="0" w:color="auto"/>
        <w:right w:val="none" w:sz="0" w:space="0" w:color="auto"/>
      </w:divBdr>
      <w:divsChild>
        <w:div w:id="526872972">
          <w:marLeft w:val="0"/>
          <w:marRight w:val="0"/>
          <w:marTop w:val="0"/>
          <w:marBottom w:val="0"/>
          <w:divBdr>
            <w:top w:val="none" w:sz="0" w:space="0" w:color="auto"/>
            <w:left w:val="none" w:sz="0" w:space="0" w:color="auto"/>
            <w:bottom w:val="none" w:sz="0" w:space="0" w:color="auto"/>
            <w:right w:val="none" w:sz="0" w:space="0" w:color="auto"/>
          </w:divBdr>
        </w:div>
        <w:div w:id="786432107">
          <w:marLeft w:val="0"/>
          <w:marRight w:val="0"/>
          <w:marTop w:val="0"/>
          <w:marBottom w:val="0"/>
          <w:divBdr>
            <w:top w:val="none" w:sz="0" w:space="0" w:color="auto"/>
            <w:left w:val="none" w:sz="0" w:space="0" w:color="auto"/>
            <w:bottom w:val="none" w:sz="0" w:space="0" w:color="auto"/>
            <w:right w:val="none" w:sz="0" w:space="0" w:color="auto"/>
          </w:divBdr>
        </w:div>
      </w:divsChild>
    </w:div>
    <w:div w:id="66151469">
      <w:marLeft w:val="0"/>
      <w:marRight w:val="0"/>
      <w:marTop w:val="100"/>
      <w:marBottom w:val="0"/>
      <w:divBdr>
        <w:top w:val="none" w:sz="0" w:space="0" w:color="auto"/>
        <w:left w:val="none" w:sz="0" w:space="0" w:color="auto"/>
        <w:bottom w:val="none" w:sz="0" w:space="0" w:color="auto"/>
        <w:right w:val="none" w:sz="0" w:space="0" w:color="auto"/>
      </w:divBdr>
    </w:div>
    <w:div w:id="67197114">
      <w:marLeft w:val="0"/>
      <w:marRight w:val="0"/>
      <w:marTop w:val="60"/>
      <w:marBottom w:val="0"/>
      <w:divBdr>
        <w:top w:val="none" w:sz="0" w:space="0" w:color="auto"/>
        <w:left w:val="none" w:sz="0" w:space="0" w:color="auto"/>
        <w:bottom w:val="none" w:sz="0" w:space="0" w:color="auto"/>
        <w:right w:val="none" w:sz="0" w:space="0" w:color="auto"/>
      </w:divBdr>
    </w:div>
    <w:div w:id="68432131">
      <w:marLeft w:val="0"/>
      <w:marRight w:val="0"/>
      <w:marTop w:val="100"/>
      <w:marBottom w:val="0"/>
      <w:divBdr>
        <w:top w:val="none" w:sz="0" w:space="0" w:color="auto"/>
        <w:left w:val="none" w:sz="0" w:space="0" w:color="auto"/>
        <w:bottom w:val="none" w:sz="0" w:space="0" w:color="auto"/>
        <w:right w:val="none" w:sz="0" w:space="0" w:color="auto"/>
      </w:divBdr>
    </w:div>
    <w:div w:id="74982851">
      <w:marLeft w:val="0"/>
      <w:marRight w:val="0"/>
      <w:marTop w:val="0"/>
      <w:marBottom w:val="0"/>
      <w:divBdr>
        <w:top w:val="none" w:sz="0" w:space="0" w:color="auto"/>
        <w:left w:val="none" w:sz="0" w:space="0" w:color="auto"/>
        <w:bottom w:val="none" w:sz="0" w:space="0" w:color="auto"/>
        <w:right w:val="none" w:sz="0" w:space="0" w:color="auto"/>
      </w:divBdr>
      <w:divsChild>
        <w:div w:id="1068963878">
          <w:marLeft w:val="0"/>
          <w:marRight w:val="0"/>
          <w:marTop w:val="0"/>
          <w:marBottom w:val="0"/>
          <w:divBdr>
            <w:top w:val="none" w:sz="0" w:space="0" w:color="auto"/>
            <w:left w:val="none" w:sz="0" w:space="0" w:color="auto"/>
            <w:bottom w:val="none" w:sz="0" w:space="0" w:color="auto"/>
            <w:right w:val="none" w:sz="0" w:space="0" w:color="auto"/>
          </w:divBdr>
        </w:div>
      </w:divsChild>
    </w:div>
    <w:div w:id="79915956">
      <w:marLeft w:val="0"/>
      <w:marRight w:val="0"/>
      <w:marTop w:val="100"/>
      <w:marBottom w:val="0"/>
      <w:divBdr>
        <w:top w:val="none" w:sz="0" w:space="0" w:color="auto"/>
        <w:left w:val="none" w:sz="0" w:space="0" w:color="auto"/>
        <w:bottom w:val="none" w:sz="0" w:space="0" w:color="auto"/>
        <w:right w:val="none" w:sz="0" w:space="0" w:color="auto"/>
      </w:divBdr>
    </w:div>
    <w:div w:id="81463143">
      <w:marLeft w:val="0"/>
      <w:marRight w:val="0"/>
      <w:marTop w:val="100"/>
      <w:marBottom w:val="0"/>
      <w:divBdr>
        <w:top w:val="none" w:sz="0" w:space="0" w:color="auto"/>
        <w:left w:val="none" w:sz="0" w:space="0" w:color="auto"/>
        <w:bottom w:val="none" w:sz="0" w:space="0" w:color="auto"/>
        <w:right w:val="none" w:sz="0" w:space="0" w:color="auto"/>
      </w:divBdr>
    </w:div>
    <w:div w:id="82189044">
      <w:marLeft w:val="0"/>
      <w:marRight w:val="0"/>
      <w:marTop w:val="100"/>
      <w:marBottom w:val="0"/>
      <w:divBdr>
        <w:top w:val="none" w:sz="0" w:space="0" w:color="auto"/>
        <w:left w:val="none" w:sz="0" w:space="0" w:color="auto"/>
        <w:bottom w:val="none" w:sz="0" w:space="0" w:color="auto"/>
        <w:right w:val="none" w:sz="0" w:space="0" w:color="auto"/>
      </w:divBdr>
    </w:div>
    <w:div w:id="82773827">
      <w:marLeft w:val="0"/>
      <w:marRight w:val="0"/>
      <w:marTop w:val="100"/>
      <w:marBottom w:val="0"/>
      <w:divBdr>
        <w:top w:val="none" w:sz="0" w:space="0" w:color="auto"/>
        <w:left w:val="none" w:sz="0" w:space="0" w:color="auto"/>
        <w:bottom w:val="none" w:sz="0" w:space="0" w:color="auto"/>
        <w:right w:val="none" w:sz="0" w:space="0" w:color="auto"/>
      </w:divBdr>
    </w:div>
    <w:div w:id="83192187">
      <w:marLeft w:val="0"/>
      <w:marRight w:val="0"/>
      <w:marTop w:val="140"/>
      <w:marBottom w:val="0"/>
      <w:divBdr>
        <w:top w:val="none" w:sz="0" w:space="0" w:color="auto"/>
        <w:left w:val="none" w:sz="0" w:space="0" w:color="auto"/>
        <w:bottom w:val="none" w:sz="0" w:space="0" w:color="auto"/>
        <w:right w:val="none" w:sz="0" w:space="0" w:color="auto"/>
      </w:divBdr>
      <w:divsChild>
        <w:div w:id="2026440007">
          <w:marLeft w:val="0"/>
          <w:marRight w:val="0"/>
          <w:marTop w:val="0"/>
          <w:marBottom w:val="0"/>
          <w:divBdr>
            <w:top w:val="none" w:sz="0" w:space="0" w:color="auto"/>
            <w:left w:val="none" w:sz="0" w:space="0" w:color="auto"/>
            <w:bottom w:val="none" w:sz="0" w:space="0" w:color="auto"/>
            <w:right w:val="none" w:sz="0" w:space="0" w:color="auto"/>
          </w:divBdr>
        </w:div>
        <w:div w:id="175854416">
          <w:marLeft w:val="0"/>
          <w:marRight w:val="0"/>
          <w:marTop w:val="0"/>
          <w:marBottom w:val="0"/>
          <w:divBdr>
            <w:top w:val="none" w:sz="0" w:space="0" w:color="auto"/>
            <w:left w:val="none" w:sz="0" w:space="0" w:color="auto"/>
            <w:bottom w:val="none" w:sz="0" w:space="0" w:color="auto"/>
            <w:right w:val="none" w:sz="0" w:space="0" w:color="auto"/>
          </w:divBdr>
        </w:div>
        <w:div w:id="1299342654">
          <w:marLeft w:val="0"/>
          <w:marRight w:val="0"/>
          <w:marTop w:val="0"/>
          <w:marBottom w:val="0"/>
          <w:divBdr>
            <w:top w:val="none" w:sz="0" w:space="0" w:color="auto"/>
            <w:left w:val="none" w:sz="0" w:space="0" w:color="auto"/>
            <w:bottom w:val="none" w:sz="0" w:space="0" w:color="auto"/>
            <w:right w:val="none" w:sz="0" w:space="0" w:color="auto"/>
          </w:divBdr>
        </w:div>
        <w:div w:id="859197057">
          <w:marLeft w:val="0"/>
          <w:marRight w:val="0"/>
          <w:marTop w:val="0"/>
          <w:marBottom w:val="0"/>
          <w:divBdr>
            <w:top w:val="none" w:sz="0" w:space="0" w:color="auto"/>
            <w:left w:val="none" w:sz="0" w:space="0" w:color="auto"/>
            <w:bottom w:val="none" w:sz="0" w:space="0" w:color="auto"/>
            <w:right w:val="none" w:sz="0" w:space="0" w:color="auto"/>
          </w:divBdr>
        </w:div>
        <w:div w:id="950161902">
          <w:marLeft w:val="0"/>
          <w:marRight w:val="0"/>
          <w:marTop w:val="0"/>
          <w:marBottom w:val="0"/>
          <w:divBdr>
            <w:top w:val="none" w:sz="0" w:space="0" w:color="auto"/>
            <w:left w:val="none" w:sz="0" w:space="0" w:color="auto"/>
            <w:bottom w:val="none" w:sz="0" w:space="0" w:color="auto"/>
            <w:right w:val="none" w:sz="0" w:space="0" w:color="auto"/>
          </w:divBdr>
        </w:div>
        <w:div w:id="793328823">
          <w:marLeft w:val="0"/>
          <w:marRight w:val="0"/>
          <w:marTop w:val="0"/>
          <w:marBottom w:val="0"/>
          <w:divBdr>
            <w:top w:val="none" w:sz="0" w:space="0" w:color="auto"/>
            <w:left w:val="none" w:sz="0" w:space="0" w:color="auto"/>
            <w:bottom w:val="none" w:sz="0" w:space="0" w:color="auto"/>
            <w:right w:val="none" w:sz="0" w:space="0" w:color="auto"/>
          </w:divBdr>
        </w:div>
      </w:divsChild>
    </w:div>
    <w:div w:id="84957103">
      <w:marLeft w:val="0"/>
      <w:marRight w:val="0"/>
      <w:marTop w:val="100"/>
      <w:marBottom w:val="0"/>
      <w:divBdr>
        <w:top w:val="none" w:sz="0" w:space="0" w:color="auto"/>
        <w:left w:val="none" w:sz="0" w:space="0" w:color="auto"/>
        <w:bottom w:val="none" w:sz="0" w:space="0" w:color="auto"/>
        <w:right w:val="none" w:sz="0" w:space="0" w:color="auto"/>
      </w:divBdr>
    </w:div>
    <w:div w:id="86848876">
      <w:marLeft w:val="0"/>
      <w:marRight w:val="0"/>
      <w:marTop w:val="60"/>
      <w:marBottom w:val="0"/>
      <w:divBdr>
        <w:top w:val="none" w:sz="0" w:space="0" w:color="auto"/>
        <w:left w:val="none" w:sz="0" w:space="0" w:color="auto"/>
        <w:bottom w:val="none" w:sz="0" w:space="0" w:color="auto"/>
        <w:right w:val="none" w:sz="0" w:space="0" w:color="auto"/>
      </w:divBdr>
    </w:div>
    <w:div w:id="86927987">
      <w:marLeft w:val="0"/>
      <w:marRight w:val="0"/>
      <w:marTop w:val="0"/>
      <w:marBottom w:val="0"/>
      <w:divBdr>
        <w:top w:val="none" w:sz="0" w:space="0" w:color="auto"/>
        <w:left w:val="none" w:sz="0" w:space="0" w:color="auto"/>
        <w:bottom w:val="none" w:sz="0" w:space="0" w:color="auto"/>
        <w:right w:val="none" w:sz="0" w:space="0" w:color="auto"/>
      </w:divBdr>
    </w:div>
    <w:div w:id="87435154">
      <w:marLeft w:val="0"/>
      <w:marRight w:val="0"/>
      <w:marTop w:val="100"/>
      <w:marBottom w:val="0"/>
      <w:divBdr>
        <w:top w:val="none" w:sz="0" w:space="0" w:color="auto"/>
        <w:left w:val="none" w:sz="0" w:space="0" w:color="auto"/>
        <w:bottom w:val="none" w:sz="0" w:space="0" w:color="auto"/>
        <w:right w:val="none" w:sz="0" w:space="0" w:color="auto"/>
      </w:divBdr>
    </w:div>
    <w:div w:id="88817313">
      <w:marLeft w:val="0"/>
      <w:marRight w:val="0"/>
      <w:marTop w:val="100"/>
      <w:marBottom w:val="0"/>
      <w:divBdr>
        <w:top w:val="none" w:sz="0" w:space="0" w:color="auto"/>
        <w:left w:val="none" w:sz="0" w:space="0" w:color="auto"/>
        <w:bottom w:val="none" w:sz="0" w:space="0" w:color="auto"/>
        <w:right w:val="none" w:sz="0" w:space="0" w:color="auto"/>
      </w:divBdr>
    </w:div>
    <w:div w:id="90662252">
      <w:marLeft w:val="0"/>
      <w:marRight w:val="0"/>
      <w:marTop w:val="100"/>
      <w:marBottom w:val="0"/>
      <w:divBdr>
        <w:top w:val="none" w:sz="0" w:space="0" w:color="auto"/>
        <w:left w:val="none" w:sz="0" w:space="0" w:color="auto"/>
        <w:bottom w:val="none" w:sz="0" w:space="0" w:color="auto"/>
        <w:right w:val="none" w:sz="0" w:space="0" w:color="auto"/>
      </w:divBdr>
    </w:div>
    <w:div w:id="92677908">
      <w:marLeft w:val="0"/>
      <w:marRight w:val="0"/>
      <w:marTop w:val="100"/>
      <w:marBottom w:val="0"/>
      <w:divBdr>
        <w:top w:val="none" w:sz="0" w:space="0" w:color="auto"/>
        <w:left w:val="none" w:sz="0" w:space="0" w:color="auto"/>
        <w:bottom w:val="none" w:sz="0" w:space="0" w:color="auto"/>
        <w:right w:val="none" w:sz="0" w:space="0" w:color="auto"/>
      </w:divBdr>
    </w:div>
    <w:div w:id="94712203">
      <w:marLeft w:val="0"/>
      <w:marRight w:val="0"/>
      <w:marTop w:val="0"/>
      <w:marBottom w:val="0"/>
      <w:divBdr>
        <w:top w:val="none" w:sz="0" w:space="0" w:color="auto"/>
        <w:left w:val="none" w:sz="0" w:space="0" w:color="auto"/>
        <w:bottom w:val="none" w:sz="0" w:space="0" w:color="auto"/>
        <w:right w:val="none" w:sz="0" w:space="0" w:color="auto"/>
      </w:divBdr>
      <w:divsChild>
        <w:div w:id="336349895">
          <w:marLeft w:val="0"/>
          <w:marRight w:val="0"/>
          <w:marTop w:val="0"/>
          <w:marBottom w:val="0"/>
          <w:divBdr>
            <w:top w:val="none" w:sz="0" w:space="0" w:color="auto"/>
            <w:left w:val="none" w:sz="0" w:space="0" w:color="auto"/>
            <w:bottom w:val="none" w:sz="0" w:space="0" w:color="auto"/>
            <w:right w:val="none" w:sz="0" w:space="0" w:color="auto"/>
          </w:divBdr>
        </w:div>
        <w:div w:id="1423376958">
          <w:marLeft w:val="0"/>
          <w:marRight w:val="0"/>
          <w:marTop w:val="0"/>
          <w:marBottom w:val="0"/>
          <w:divBdr>
            <w:top w:val="none" w:sz="0" w:space="0" w:color="auto"/>
            <w:left w:val="none" w:sz="0" w:space="0" w:color="auto"/>
            <w:bottom w:val="none" w:sz="0" w:space="0" w:color="auto"/>
            <w:right w:val="none" w:sz="0" w:space="0" w:color="auto"/>
          </w:divBdr>
        </w:div>
      </w:divsChild>
    </w:div>
    <w:div w:id="98531157">
      <w:marLeft w:val="0"/>
      <w:marRight w:val="0"/>
      <w:marTop w:val="100"/>
      <w:marBottom w:val="0"/>
      <w:divBdr>
        <w:top w:val="none" w:sz="0" w:space="0" w:color="auto"/>
        <w:left w:val="none" w:sz="0" w:space="0" w:color="auto"/>
        <w:bottom w:val="none" w:sz="0" w:space="0" w:color="auto"/>
        <w:right w:val="none" w:sz="0" w:space="0" w:color="auto"/>
      </w:divBdr>
    </w:div>
    <w:div w:id="99186074">
      <w:marLeft w:val="0"/>
      <w:marRight w:val="0"/>
      <w:marTop w:val="100"/>
      <w:marBottom w:val="0"/>
      <w:divBdr>
        <w:top w:val="none" w:sz="0" w:space="0" w:color="auto"/>
        <w:left w:val="none" w:sz="0" w:space="0" w:color="auto"/>
        <w:bottom w:val="none" w:sz="0" w:space="0" w:color="auto"/>
        <w:right w:val="none" w:sz="0" w:space="0" w:color="auto"/>
      </w:divBdr>
    </w:div>
    <w:div w:id="99499347">
      <w:marLeft w:val="0"/>
      <w:marRight w:val="0"/>
      <w:marTop w:val="60"/>
      <w:marBottom w:val="0"/>
      <w:divBdr>
        <w:top w:val="none" w:sz="0" w:space="0" w:color="auto"/>
        <w:left w:val="none" w:sz="0" w:space="0" w:color="auto"/>
        <w:bottom w:val="none" w:sz="0" w:space="0" w:color="auto"/>
        <w:right w:val="none" w:sz="0" w:space="0" w:color="auto"/>
      </w:divBdr>
    </w:div>
    <w:div w:id="102579220">
      <w:marLeft w:val="0"/>
      <w:marRight w:val="0"/>
      <w:marTop w:val="100"/>
      <w:marBottom w:val="0"/>
      <w:divBdr>
        <w:top w:val="none" w:sz="0" w:space="0" w:color="auto"/>
        <w:left w:val="none" w:sz="0" w:space="0" w:color="auto"/>
        <w:bottom w:val="none" w:sz="0" w:space="0" w:color="auto"/>
        <w:right w:val="none" w:sz="0" w:space="0" w:color="auto"/>
      </w:divBdr>
    </w:div>
    <w:div w:id="106120437">
      <w:marLeft w:val="0"/>
      <w:marRight w:val="0"/>
      <w:marTop w:val="0"/>
      <w:marBottom w:val="0"/>
      <w:divBdr>
        <w:top w:val="none" w:sz="0" w:space="0" w:color="auto"/>
        <w:left w:val="none" w:sz="0" w:space="0" w:color="auto"/>
        <w:bottom w:val="none" w:sz="0" w:space="0" w:color="auto"/>
        <w:right w:val="none" w:sz="0" w:space="0" w:color="auto"/>
      </w:divBdr>
      <w:divsChild>
        <w:div w:id="1447119307">
          <w:marLeft w:val="0"/>
          <w:marRight w:val="0"/>
          <w:marTop w:val="0"/>
          <w:marBottom w:val="0"/>
          <w:divBdr>
            <w:top w:val="none" w:sz="0" w:space="0" w:color="auto"/>
            <w:left w:val="none" w:sz="0" w:space="0" w:color="auto"/>
            <w:bottom w:val="none" w:sz="0" w:space="0" w:color="auto"/>
            <w:right w:val="none" w:sz="0" w:space="0" w:color="auto"/>
          </w:divBdr>
        </w:div>
      </w:divsChild>
    </w:div>
    <w:div w:id="106197878">
      <w:marLeft w:val="0"/>
      <w:marRight w:val="0"/>
      <w:marTop w:val="240"/>
      <w:marBottom w:val="0"/>
      <w:divBdr>
        <w:top w:val="none" w:sz="0" w:space="0" w:color="auto"/>
        <w:left w:val="none" w:sz="0" w:space="0" w:color="auto"/>
        <w:bottom w:val="none" w:sz="0" w:space="0" w:color="auto"/>
        <w:right w:val="none" w:sz="0" w:space="0" w:color="auto"/>
      </w:divBdr>
    </w:div>
    <w:div w:id="106433224">
      <w:marLeft w:val="0"/>
      <w:marRight w:val="0"/>
      <w:marTop w:val="0"/>
      <w:marBottom w:val="0"/>
      <w:divBdr>
        <w:top w:val="none" w:sz="0" w:space="0" w:color="auto"/>
        <w:left w:val="none" w:sz="0" w:space="0" w:color="auto"/>
        <w:bottom w:val="none" w:sz="0" w:space="0" w:color="auto"/>
        <w:right w:val="none" w:sz="0" w:space="0" w:color="auto"/>
      </w:divBdr>
      <w:divsChild>
        <w:div w:id="1760716173">
          <w:marLeft w:val="0"/>
          <w:marRight w:val="0"/>
          <w:marTop w:val="0"/>
          <w:marBottom w:val="0"/>
          <w:divBdr>
            <w:top w:val="none" w:sz="0" w:space="0" w:color="auto"/>
            <w:left w:val="none" w:sz="0" w:space="0" w:color="auto"/>
            <w:bottom w:val="none" w:sz="0" w:space="0" w:color="auto"/>
            <w:right w:val="none" w:sz="0" w:space="0" w:color="auto"/>
          </w:divBdr>
        </w:div>
      </w:divsChild>
    </w:div>
    <w:div w:id="111242919">
      <w:marLeft w:val="0"/>
      <w:marRight w:val="0"/>
      <w:marTop w:val="100"/>
      <w:marBottom w:val="0"/>
      <w:divBdr>
        <w:top w:val="none" w:sz="0" w:space="0" w:color="auto"/>
        <w:left w:val="none" w:sz="0" w:space="0" w:color="auto"/>
        <w:bottom w:val="none" w:sz="0" w:space="0" w:color="auto"/>
        <w:right w:val="none" w:sz="0" w:space="0" w:color="auto"/>
      </w:divBdr>
    </w:div>
    <w:div w:id="114105906">
      <w:marLeft w:val="0"/>
      <w:marRight w:val="0"/>
      <w:marTop w:val="100"/>
      <w:marBottom w:val="0"/>
      <w:divBdr>
        <w:top w:val="none" w:sz="0" w:space="0" w:color="auto"/>
        <w:left w:val="none" w:sz="0" w:space="0" w:color="auto"/>
        <w:bottom w:val="none" w:sz="0" w:space="0" w:color="auto"/>
        <w:right w:val="none" w:sz="0" w:space="0" w:color="auto"/>
      </w:divBdr>
    </w:div>
    <w:div w:id="116876789">
      <w:marLeft w:val="0"/>
      <w:marRight w:val="0"/>
      <w:marTop w:val="60"/>
      <w:marBottom w:val="0"/>
      <w:divBdr>
        <w:top w:val="none" w:sz="0" w:space="0" w:color="auto"/>
        <w:left w:val="none" w:sz="0" w:space="0" w:color="auto"/>
        <w:bottom w:val="none" w:sz="0" w:space="0" w:color="auto"/>
        <w:right w:val="none" w:sz="0" w:space="0" w:color="auto"/>
      </w:divBdr>
    </w:div>
    <w:div w:id="118914670">
      <w:marLeft w:val="0"/>
      <w:marRight w:val="0"/>
      <w:marTop w:val="0"/>
      <w:marBottom w:val="0"/>
      <w:divBdr>
        <w:top w:val="none" w:sz="0" w:space="0" w:color="auto"/>
        <w:left w:val="none" w:sz="0" w:space="0" w:color="auto"/>
        <w:bottom w:val="none" w:sz="0" w:space="0" w:color="auto"/>
        <w:right w:val="none" w:sz="0" w:space="0" w:color="auto"/>
      </w:divBdr>
      <w:divsChild>
        <w:div w:id="1637493644">
          <w:marLeft w:val="0"/>
          <w:marRight w:val="0"/>
          <w:marTop w:val="0"/>
          <w:marBottom w:val="0"/>
          <w:divBdr>
            <w:top w:val="none" w:sz="0" w:space="0" w:color="auto"/>
            <w:left w:val="none" w:sz="0" w:space="0" w:color="auto"/>
            <w:bottom w:val="none" w:sz="0" w:space="0" w:color="auto"/>
            <w:right w:val="none" w:sz="0" w:space="0" w:color="auto"/>
          </w:divBdr>
        </w:div>
        <w:div w:id="506674984">
          <w:marLeft w:val="0"/>
          <w:marRight w:val="0"/>
          <w:marTop w:val="0"/>
          <w:marBottom w:val="0"/>
          <w:divBdr>
            <w:top w:val="none" w:sz="0" w:space="0" w:color="auto"/>
            <w:left w:val="none" w:sz="0" w:space="0" w:color="auto"/>
            <w:bottom w:val="none" w:sz="0" w:space="0" w:color="auto"/>
            <w:right w:val="none" w:sz="0" w:space="0" w:color="auto"/>
          </w:divBdr>
        </w:div>
      </w:divsChild>
    </w:div>
    <w:div w:id="120853514">
      <w:marLeft w:val="0"/>
      <w:marRight w:val="0"/>
      <w:marTop w:val="0"/>
      <w:marBottom w:val="0"/>
      <w:divBdr>
        <w:top w:val="none" w:sz="0" w:space="0" w:color="auto"/>
        <w:left w:val="none" w:sz="0" w:space="0" w:color="auto"/>
        <w:bottom w:val="none" w:sz="0" w:space="0" w:color="auto"/>
        <w:right w:val="none" w:sz="0" w:space="0" w:color="auto"/>
      </w:divBdr>
      <w:divsChild>
        <w:div w:id="653876413">
          <w:marLeft w:val="0"/>
          <w:marRight w:val="0"/>
          <w:marTop w:val="0"/>
          <w:marBottom w:val="0"/>
          <w:divBdr>
            <w:top w:val="none" w:sz="0" w:space="0" w:color="auto"/>
            <w:left w:val="none" w:sz="0" w:space="0" w:color="auto"/>
            <w:bottom w:val="none" w:sz="0" w:space="0" w:color="auto"/>
            <w:right w:val="none" w:sz="0" w:space="0" w:color="auto"/>
          </w:divBdr>
        </w:div>
        <w:div w:id="1402020753">
          <w:marLeft w:val="0"/>
          <w:marRight w:val="0"/>
          <w:marTop w:val="0"/>
          <w:marBottom w:val="0"/>
          <w:divBdr>
            <w:top w:val="none" w:sz="0" w:space="0" w:color="auto"/>
            <w:left w:val="none" w:sz="0" w:space="0" w:color="auto"/>
            <w:bottom w:val="none" w:sz="0" w:space="0" w:color="auto"/>
            <w:right w:val="none" w:sz="0" w:space="0" w:color="auto"/>
          </w:divBdr>
        </w:div>
      </w:divsChild>
    </w:div>
    <w:div w:id="121770759">
      <w:marLeft w:val="0"/>
      <w:marRight w:val="0"/>
      <w:marTop w:val="100"/>
      <w:marBottom w:val="0"/>
      <w:divBdr>
        <w:top w:val="none" w:sz="0" w:space="0" w:color="auto"/>
        <w:left w:val="none" w:sz="0" w:space="0" w:color="auto"/>
        <w:bottom w:val="none" w:sz="0" w:space="0" w:color="auto"/>
        <w:right w:val="none" w:sz="0" w:space="0" w:color="auto"/>
      </w:divBdr>
    </w:div>
    <w:div w:id="121964409">
      <w:marLeft w:val="0"/>
      <w:marRight w:val="0"/>
      <w:marTop w:val="100"/>
      <w:marBottom w:val="0"/>
      <w:divBdr>
        <w:top w:val="none" w:sz="0" w:space="0" w:color="auto"/>
        <w:left w:val="none" w:sz="0" w:space="0" w:color="auto"/>
        <w:bottom w:val="none" w:sz="0" w:space="0" w:color="auto"/>
        <w:right w:val="none" w:sz="0" w:space="0" w:color="auto"/>
      </w:divBdr>
    </w:div>
    <w:div w:id="123743418">
      <w:marLeft w:val="0"/>
      <w:marRight w:val="0"/>
      <w:marTop w:val="100"/>
      <w:marBottom w:val="0"/>
      <w:divBdr>
        <w:top w:val="none" w:sz="0" w:space="0" w:color="auto"/>
        <w:left w:val="none" w:sz="0" w:space="0" w:color="auto"/>
        <w:bottom w:val="none" w:sz="0" w:space="0" w:color="auto"/>
        <w:right w:val="none" w:sz="0" w:space="0" w:color="auto"/>
      </w:divBdr>
    </w:div>
    <w:div w:id="128481183">
      <w:marLeft w:val="0"/>
      <w:marRight w:val="0"/>
      <w:marTop w:val="240"/>
      <w:marBottom w:val="0"/>
      <w:divBdr>
        <w:top w:val="none" w:sz="0" w:space="0" w:color="auto"/>
        <w:left w:val="none" w:sz="0" w:space="0" w:color="auto"/>
        <w:bottom w:val="none" w:sz="0" w:space="0" w:color="auto"/>
        <w:right w:val="none" w:sz="0" w:space="0" w:color="auto"/>
      </w:divBdr>
    </w:div>
    <w:div w:id="131215117">
      <w:marLeft w:val="0"/>
      <w:marRight w:val="0"/>
      <w:marTop w:val="0"/>
      <w:marBottom w:val="0"/>
      <w:divBdr>
        <w:top w:val="none" w:sz="0" w:space="0" w:color="auto"/>
        <w:left w:val="none" w:sz="0" w:space="0" w:color="auto"/>
        <w:bottom w:val="none" w:sz="0" w:space="0" w:color="auto"/>
        <w:right w:val="none" w:sz="0" w:space="0" w:color="auto"/>
      </w:divBdr>
    </w:div>
    <w:div w:id="131289204">
      <w:marLeft w:val="0"/>
      <w:marRight w:val="0"/>
      <w:marTop w:val="0"/>
      <w:marBottom w:val="0"/>
      <w:divBdr>
        <w:top w:val="none" w:sz="0" w:space="0" w:color="auto"/>
        <w:left w:val="none" w:sz="0" w:space="0" w:color="auto"/>
        <w:bottom w:val="none" w:sz="0" w:space="0" w:color="auto"/>
        <w:right w:val="none" w:sz="0" w:space="0" w:color="auto"/>
      </w:divBdr>
    </w:div>
    <w:div w:id="137723752">
      <w:marLeft w:val="0"/>
      <w:marRight w:val="0"/>
      <w:marTop w:val="100"/>
      <w:marBottom w:val="0"/>
      <w:divBdr>
        <w:top w:val="none" w:sz="0" w:space="0" w:color="auto"/>
        <w:left w:val="none" w:sz="0" w:space="0" w:color="auto"/>
        <w:bottom w:val="none" w:sz="0" w:space="0" w:color="auto"/>
        <w:right w:val="none" w:sz="0" w:space="0" w:color="auto"/>
      </w:divBdr>
    </w:div>
    <w:div w:id="138232827">
      <w:marLeft w:val="0"/>
      <w:marRight w:val="0"/>
      <w:marTop w:val="100"/>
      <w:marBottom w:val="0"/>
      <w:divBdr>
        <w:top w:val="none" w:sz="0" w:space="0" w:color="auto"/>
        <w:left w:val="none" w:sz="0" w:space="0" w:color="auto"/>
        <w:bottom w:val="none" w:sz="0" w:space="0" w:color="auto"/>
        <w:right w:val="none" w:sz="0" w:space="0" w:color="auto"/>
      </w:divBdr>
    </w:div>
    <w:div w:id="138420819">
      <w:marLeft w:val="0"/>
      <w:marRight w:val="0"/>
      <w:marTop w:val="100"/>
      <w:marBottom w:val="0"/>
      <w:divBdr>
        <w:top w:val="none" w:sz="0" w:space="0" w:color="auto"/>
        <w:left w:val="none" w:sz="0" w:space="0" w:color="auto"/>
        <w:bottom w:val="none" w:sz="0" w:space="0" w:color="auto"/>
        <w:right w:val="none" w:sz="0" w:space="0" w:color="auto"/>
      </w:divBdr>
    </w:div>
    <w:div w:id="138965049">
      <w:marLeft w:val="0"/>
      <w:marRight w:val="0"/>
      <w:marTop w:val="100"/>
      <w:marBottom w:val="0"/>
      <w:divBdr>
        <w:top w:val="none" w:sz="0" w:space="0" w:color="auto"/>
        <w:left w:val="none" w:sz="0" w:space="0" w:color="auto"/>
        <w:bottom w:val="none" w:sz="0" w:space="0" w:color="auto"/>
        <w:right w:val="none" w:sz="0" w:space="0" w:color="auto"/>
      </w:divBdr>
    </w:div>
    <w:div w:id="139927990">
      <w:marLeft w:val="0"/>
      <w:marRight w:val="0"/>
      <w:marTop w:val="240"/>
      <w:marBottom w:val="0"/>
      <w:divBdr>
        <w:top w:val="none" w:sz="0" w:space="0" w:color="auto"/>
        <w:left w:val="none" w:sz="0" w:space="0" w:color="auto"/>
        <w:bottom w:val="none" w:sz="0" w:space="0" w:color="auto"/>
        <w:right w:val="none" w:sz="0" w:space="0" w:color="auto"/>
      </w:divBdr>
    </w:div>
    <w:div w:id="141509782">
      <w:marLeft w:val="0"/>
      <w:marRight w:val="0"/>
      <w:marTop w:val="240"/>
      <w:marBottom w:val="0"/>
      <w:divBdr>
        <w:top w:val="none" w:sz="0" w:space="0" w:color="auto"/>
        <w:left w:val="none" w:sz="0" w:space="0" w:color="auto"/>
        <w:bottom w:val="none" w:sz="0" w:space="0" w:color="auto"/>
        <w:right w:val="none" w:sz="0" w:space="0" w:color="auto"/>
      </w:divBdr>
    </w:div>
    <w:div w:id="145098551">
      <w:marLeft w:val="0"/>
      <w:marRight w:val="0"/>
      <w:marTop w:val="100"/>
      <w:marBottom w:val="0"/>
      <w:divBdr>
        <w:top w:val="none" w:sz="0" w:space="0" w:color="auto"/>
        <w:left w:val="none" w:sz="0" w:space="0" w:color="auto"/>
        <w:bottom w:val="none" w:sz="0" w:space="0" w:color="auto"/>
        <w:right w:val="none" w:sz="0" w:space="0" w:color="auto"/>
      </w:divBdr>
    </w:div>
    <w:div w:id="147403852">
      <w:marLeft w:val="0"/>
      <w:marRight w:val="0"/>
      <w:marTop w:val="100"/>
      <w:marBottom w:val="0"/>
      <w:divBdr>
        <w:top w:val="none" w:sz="0" w:space="0" w:color="auto"/>
        <w:left w:val="none" w:sz="0" w:space="0" w:color="auto"/>
        <w:bottom w:val="none" w:sz="0" w:space="0" w:color="auto"/>
        <w:right w:val="none" w:sz="0" w:space="0" w:color="auto"/>
      </w:divBdr>
    </w:div>
    <w:div w:id="147671250">
      <w:marLeft w:val="0"/>
      <w:marRight w:val="0"/>
      <w:marTop w:val="240"/>
      <w:marBottom w:val="0"/>
      <w:divBdr>
        <w:top w:val="none" w:sz="0" w:space="0" w:color="auto"/>
        <w:left w:val="none" w:sz="0" w:space="0" w:color="auto"/>
        <w:bottom w:val="none" w:sz="0" w:space="0" w:color="auto"/>
        <w:right w:val="none" w:sz="0" w:space="0" w:color="auto"/>
      </w:divBdr>
    </w:div>
    <w:div w:id="156774854">
      <w:marLeft w:val="0"/>
      <w:marRight w:val="0"/>
      <w:marTop w:val="100"/>
      <w:marBottom w:val="0"/>
      <w:divBdr>
        <w:top w:val="none" w:sz="0" w:space="0" w:color="auto"/>
        <w:left w:val="none" w:sz="0" w:space="0" w:color="auto"/>
        <w:bottom w:val="none" w:sz="0" w:space="0" w:color="auto"/>
        <w:right w:val="none" w:sz="0" w:space="0" w:color="auto"/>
      </w:divBdr>
    </w:div>
    <w:div w:id="159928577">
      <w:marLeft w:val="0"/>
      <w:marRight w:val="0"/>
      <w:marTop w:val="100"/>
      <w:marBottom w:val="0"/>
      <w:divBdr>
        <w:top w:val="none" w:sz="0" w:space="0" w:color="auto"/>
        <w:left w:val="none" w:sz="0" w:space="0" w:color="auto"/>
        <w:bottom w:val="none" w:sz="0" w:space="0" w:color="auto"/>
        <w:right w:val="none" w:sz="0" w:space="0" w:color="auto"/>
      </w:divBdr>
    </w:div>
    <w:div w:id="160391872">
      <w:marLeft w:val="0"/>
      <w:marRight w:val="0"/>
      <w:marTop w:val="180"/>
      <w:marBottom w:val="180"/>
      <w:divBdr>
        <w:top w:val="none" w:sz="0" w:space="0" w:color="auto"/>
        <w:left w:val="none" w:sz="0" w:space="0" w:color="auto"/>
        <w:bottom w:val="none" w:sz="0" w:space="0" w:color="auto"/>
        <w:right w:val="none" w:sz="0" w:space="0" w:color="auto"/>
      </w:divBdr>
    </w:div>
    <w:div w:id="163325562">
      <w:marLeft w:val="0"/>
      <w:marRight w:val="0"/>
      <w:marTop w:val="100"/>
      <w:marBottom w:val="0"/>
      <w:divBdr>
        <w:top w:val="none" w:sz="0" w:space="0" w:color="auto"/>
        <w:left w:val="none" w:sz="0" w:space="0" w:color="auto"/>
        <w:bottom w:val="none" w:sz="0" w:space="0" w:color="auto"/>
        <w:right w:val="none" w:sz="0" w:space="0" w:color="auto"/>
      </w:divBdr>
    </w:div>
    <w:div w:id="166403832">
      <w:marLeft w:val="0"/>
      <w:marRight w:val="0"/>
      <w:marTop w:val="0"/>
      <w:marBottom w:val="0"/>
      <w:divBdr>
        <w:top w:val="none" w:sz="0" w:space="0" w:color="auto"/>
        <w:left w:val="none" w:sz="0" w:space="0" w:color="auto"/>
        <w:bottom w:val="none" w:sz="0" w:space="0" w:color="auto"/>
        <w:right w:val="none" w:sz="0" w:space="0" w:color="auto"/>
      </w:divBdr>
      <w:divsChild>
        <w:div w:id="610825134">
          <w:marLeft w:val="0"/>
          <w:marRight w:val="0"/>
          <w:marTop w:val="0"/>
          <w:marBottom w:val="0"/>
          <w:divBdr>
            <w:top w:val="none" w:sz="0" w:space="0" w:color="auto"/>
            <w:left w:val="none" w:sz="0" w:space="0" w:color="auto"/>
            <w:bottom w:val="none" w:sz="0" w:space="0" w:color="auto"/>
            <w:right w:val="none" w:sz="0" w:space="0" w:color="auto"/>
          </w:divBdr>
          <w:divsChild>
            <w:div w:id="1282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5682">
      <w:marLeft w:val="0"/>
      <w:marRight w:val="0"/>
      <w:marTop w:val="240"/>
      <w:marBottom w:val="0"/>
      <w:divBdr>
        <w:top w:val="none" w:sz="0" w:space="0" w:color="auto"/>
        <w:left w:val="none" w:sz="0" w:space="0" w:color="auto"/>
        <w:bottom w:val="none" w:sz="0" w:space="0" w:color="auto"/>
        <w:right w:val="none" w:sz="0" w:space="0" w:color="auto"/>
      </w:divBdr>
    </w:div>
    <w:div w:id="167642618">
      <w:marLeft w:val="0"/>
      <w:marRight w:val="0"/>
      <w:marTop w:val="100"/>
      <w:marBottom w:val="0"/>
      <w:divBdr>
        <w:top w:val="none" w:sz="0" w:space="0" w:color="auto"/>
        <w:left w:val="none" w:sz="0" w:space="0" w:color="auto"/>
        <w:bottom w:val="none" w:sz="0" w:space="0" w:color="auto"/>
        <w:right w:val="none" w:sz="0" w:space="0" w:color="auto"/>
      </w:divBdr>
    </w:div>
    <w:div w:id="169222786">
      <w:marLeft w:val="0"/>
      <w:marRight w:val="0"/>
      <w:marTop w:val="100"/>
      <w:marBottom w:val="0"/>
      <w:divBdr>
        <w:top w:val="none" w:sz="0" w:space="0" w:color="auto"/>
        <w:left w:val="none" w:sz="0" w:space="0" w:color="auto"/>
        <w:bottom w:val="none" w:sz="0" w:space="0" w:color="auto"/>
        <w:right w:val="none" w:sz="0" w:space="0" w:color="auto"/>
      </w:divBdr>
    </w:div>
    <w:div w:id="170725824">
      <w:marLeft w:val="0"/>
      <w:marRight w:val="0"/>
      <w:marTop w:val="40"/>
      <w:marBottom w:val="0"/>
      <w:divBdr>
        <w:top w:val="none" w:sz="0" w:space="0" w:color="auto"/>
        <w:left w:val="none" w:sz="0" w:space="0" w:color="auto"/>
        <w:bottom w:val="none" w:sz="0" w:space="0" w:color="auto"/>
        <w:right w:val="none" w:sz="0" w:space="0" w:color="auto"/>
      </w:divBdr>
    </w:div>
    <w:div w:id="174618953">
      <w:marLeft w:val="0"/>
      <w:marRight w:val="0"/>
      <w:marTop w:val="100"/>
      <w:marBottom w:val="0"/>
      <w:divBdr>
        <w:top w:val="none" w:sz="0" w:space="0" w:color="auto"/>
        <w:left w:val="none" w:sz="0" w:space="0" w:color="auto"/>
        <w:bottom w:val="none" w:sz="0" w:space="0" w:color="auto"/>
        <w:right w:val="none" w:sz="0" w:space="0" w:color="auto"/>
      </w:divBdr>
    </w:div>
    <w:div w:id="175047744">
      <w:marLeft w:val="0"/>
      <w:marRight w:val="0"/>
      <w:marTop w:val="100"/>
      <w:marBottom w:val="0"/>
      <w:divBdr>
        <w:top w:val="none" w:sz="0" w:space="0" w:color="auto"/>
        <w:left w:val="none" w:sz="0" w:space="0" w:color="auto"/>
        <w:bottom w:val="none" w:sz="0" w:space="0" w:color="auto"/>
        <w:right w:val="none" w:sz="0" w:space="0" w:color="auto"/>
      </w:divBdr>
    </w:div>
    <w:div w:id="177891943">
      <w:marLeft w:val="0"/>
      <w:marRight w:val="0"/>
      <w:marTop w:val="100"/>
      <w:marBottom w:val="0"/>
      <w:divBdr>
        <w:top w:val="none" w:sz="0" w:space="0" w:color="auto"/>
        <w:left w:val="none" w:sz="0" w:space="0" w:color="auto"/>
        <w:bottom w:val="none" w:sz="0" w:space="0" w:color="auto"/>
        <w:right w:val="none" w:sz="0" w:space="0" w:color="auto"/>
      </w:divBdr>
    </w:div>
    <w:div w:id="178475951">
      <w:marLeft w:val="0"/>
      <w:marRight w:val="0"/>
      <w:marTop w:val="2500"/>
      <w:marBottom w:val="0"/>
      <w:divBdr>
        <w:top w:val="none" w:sz="0" w:space="0" w:color="auto"/>
        <w:left w:val="none" w:sz="0" w:space="0" w:color="auto"/>
        <w:bottom w:val="none" w:sz="0" w:space="0" w:color="auto"/>
        <w:right w:val="none" w:sz="0" w:space="0" w:color="auto"/>
      </w:divBdr>
    </w:div>
    <w:div w:id="178929144">
      <w:marLeft w:val="0"/>
      <w:marRight w:val="0"/>
      <w:marTop w:val="100"/>
      <w:marBottom w:val="0"/>
      <w:divBdr>
        <w:top w:val="none" w:sz="0" w:space="0" w:color="auto"/>
        <w:left w:val="none" w:sz="0" w:space="0" w:color="auto"/>
        <w:bottom w:val="none" w:sz="0" w:space="0" w:color="auto"/>
        <w:right w:val="none" w:sz="0" w:space="0" w:color="auto"/>
      </w:divBdr>
    </w:div>
    <w:div w:id="179246850">
      <w:marLeft w:val="0"/>
      <w:marRight w:val="0"/>
      <w:marTop w:val="0"/>
      <w:marBottom w:val="0"/>
      <w:divBdr>
        <w:top w:val="none" w:sz="0" w:space="0" w:color="auto"/>
        <w:left w:val="none" w:sz="0" w:space="0" w:color="auto"/>
        <w:bottom w:val="none" w:sz="0" w:space="0" w:color="auto"/>
        <w:right w:val="none" w:sz="0" w:space="0" w:color="auto"/>
      </w:divBdr>
      <w:divsChild>
        <w:div w:id="1023630993">
          <w:marLeft w:val="0"/>
          <w:marRight w:val="0"/>
          <w:marTop w:val="0"/>
          <w:marBottom w:val="0"/>
          <w:divBdr>
            <w:top w:val="none" w:sz="0" w:space="0" w:color="auto"/>
            <w:left w:val="none" w:sz="0" w:space="0" w:color="auto"/>
            <w:bottom w:val="none" w:sz="0" w:space="0" w:color="auto"/>
            <w:right w:val="none" w:sz="0" w:space="0" w:color="auto"/>
          </w:divBdr>
        </w:div>
      </w:divsChild>
    </w:div>
    <w:div w:id="179466999">
      <w:marLeft w:val="0"/>
      <w:marRight w:val="0"/>
      <w:marTop w:val="0"/>
      <w:marBottom w:val="0"/>
      <w:divBdr>
        <w:top w:val="none" w:sz="0" w:space="0" w:color="auto"/>
        <w:left w:val="none" w:sz="0" w:space="0" w:color="auto"/>
        <w:bottom w:val="none" w:sz="0" w:space="0" w:color="auto"/>
        <w:right w:val="none" w:sz="0" w:space="0" w:color="auto"/>
      </w:divBdr>
      <w:divsChild>
        <w:div w:id="1811902589">
          <w:marLeft w:val="0"/>
          <w:marRight w:val="0"/>
          <w:marTop w:val="0"/>
          <w:marBottom w:val="0"/>
          <w:divBdr>
            <w:top w:val="none" w:sz="0" w:space="0" w:color="auto"/>
            <w:left w:val="none" w:sz="0" w:space="0" w:color="auto"/>
            <w:bottom w:val="none" w:sz="0" w:space="0" w:color="auto"/>
            <w:right w:val="none" w:sz="0" w:space="0" w:color="auto"/>
          </w:divBdr>
        </w:div>
      </w:divsChild>
    </w:div>
    <w:div w:id="180435448">
      <w:marLeft w:val="0"/>
      <w:marRight w:val="0"/>
      <w:marTop w:val="100"/>
      <w:marBottom w:val="0"/>
      <w:divBdr>
        <w:top w:val="none" w:sz="0" w:space="0" w:color="auto"/>
        <w:left w:val="none" w:sz="0" w:space="0" w:color="auto"/>
        <w:bottom w:val="none" w:sz="0" w:space="0" w:color="auto"/>
        <w:right w:val="none" w:sz="0" w:space="0" w:color="auto"/>
      </w:divBdr>
    </w:div>
    <w:div w:id="180701494">
      <w:marLeft w:val="0"/>
      <w:marRight w:val="0"/>
      <w:marTop w:val="0"/>
      <w:marBottom w:val="0"/>
      <w:divBdr>
        <w:top w:val="none" w:sz="0" w:space="0" w:color="auto"/>
        <w:left w:val="none" w:sz="0" w:space="0" w:color="auto"/>
        <w:bottom w:val="none" w:sz="0" w:space="0" w:color="auto"/>
        <w:right w:val="none" w:sz="0" w:space="0" w:color="auto"/>
      </w:divBdr>
      <w:divsChild>
        <w:div w:id="2100561110">
          <w:marLeft w:val="0"/>
          <w:marRight w:val="0"/>
          <w:marTop w:val="0"/>
          <w:marBottom w:val="0"/>
          <w:divBdr>
            <w:top w:val="none" w:sz="0" w:space="0" w:color="auto"/>
            <w:left w:val="none" w:sz="0" w:space="0" w:color="auto"/>
            <w:bottom w:val="none" w:sz="0" w:space="0" w:color="auto"/>
            <w:right w:val="none" w:sz="0" w:space="0" w:color="auto"/>
          </w:divBdr>
        </w:div>
      </w:divsChild>
    </w:div>
    <w:div w:id="181435580">
      <w:marLeft w:val="0"/>
      <w:marRight w:val="0"/>
      <w:marTop w:val="100"/>
      <w:marBottom w:val="0"/>
      <w:divBdr>
        <w:top w:val="none" w:sz="0" w:space="0" w:color="auto"/>
        <w:left w:val="none" w:sz="0" w:space="0" w:color="auto"/>
        <w:bottom w:val="none" w:sz="0" w:space="0" w:color="auto"/>
        <w:right w:val="none" w:sz="0" w:space="0" w:color="auto"/>
      </w:divBdr>
    </w:div>
    <w:div w:id="182936829">
      <w:marLeft w:val="0"/>
      <w:marRight w:val="0"/>
      <w:marTop w:val="240"/>
      <w:marBottom w:val="0"/>
      <w:divBdr>
        <w:top w:val="none" w:sz="0" w:space="0" w:color="auto"/>
        <w:left w:val="none" w:sz="0" w:space="0" w:color="auto"/>
        <w:bottom w:val="none" w:sz="0" w:space="0" w:color="auto"/>
        <w:right w:val="none" w:sz="0" w:space="0" w:color="auto"/>
      </w:divBdr>
    </w:div>
    <w:div w:id="184488208">
      <w:marLeft w:val="0"/>
      <w:marRight w:val="0"/>
      <w:marTop w:val="100"/>
      <w:marBottom w:val="0"/>
      <w:divBdr>
        <w:top w:val="none" w:sz="0" w:space="0" w:color="auto"/>
        <w:left w:val="none" w:sz="0" w:space="0" w:color="auto"/>
        <w:bottom w:val="none" w:sz="0" w:space="0" w:color="auto"/>
        <w:right w:val="none" w:sz="0" w:space="0" w:color="auto"/>
      </w:divBdr>
    </w:div>
    <w:div w:id="185365961">
      <w:marLeft w:val="0"/>
      <w:marRight w:val="0"/>
      <w:marTop w:val="240"/>
      <w:marBottom w:val="0"/>
      <w:divBdr>
        <w:top w:val="none" w:sz="0" w:space="0" w:color="auto"/>
        <w:left w:val="none" w:sz="0" w:space="0" w:color="auto"/>
        <w:bottom w:val="none" w:sz="0" w:space="0" w:color="auto"/>
        <w:right w:val="none" w:sz="0" w:space="0" w:color="auto"/>
      </w:divBdr>
    </w:div>
    <w:div w:id="186067002">
      <w:marLeft w:val="0"/>
      <w:marRight w:val="0"/>
      <w:marTop w:val="280"/>
      <w:marBottom w:val="0"/>
      <w:divBdr>
        <w:top w:val="none" w:sz="0" w:space="0" w:color="auto"/>
        <w:left w:val="none" w:sz="0" w:space="0" w:color="auto"/>
        <w:bottom w:val="none" w:sz="0" w:space="0" w:color="auto"/>
        <w:right w:val="none" w:sz="0" w:space="0" w:color="auto"/>
      </w:divBdr>
    </w:div>
    <w:div w:id="187454783">
      <w:marLeft w:val="0"/>
      <w:marRight w:val="0"/>
      <w:marTop w:val="100"/>
      <w:marBottom w:val="0"/>
      <w:divBdr>
        <w:top w:val="none" w:sz="0" w:space="0" w:color="auto"/>
        <w:left w:val="none" w:sz="0" w:space="0" w:color="auto"/>
        <w:bottom w:val="none" w:sz="0" w:space="0" w:color="auto"/>
        <w:right w:val="none" w:sz="0" w:space="0" w:color="auto"/>
      </w:divBdr>
    </w:div>
    <w:div w:id="187647910">
      <w:marLeft w:val="0"/>
      <w:marRight w:val="0"/>
      <w:marTop w:val="100"/>
      <w:marBottom w:val="0"/>
      <w:divBdr>
        <w:top w:val="none" w:sz="0" w:space="0" w:color="auto"/>
        <w:left w:val="none" w:sz="0" w:space="0" w:color="auto"/>
        <w:bottom w:val="none" w:sz="0" w:space="0" w:color="auto"/>
        <w:right w:val="none" w:sz="0" w:space="0" w:color="auto"/>
      </w:divBdr>
      <w:divsChild>
        <w:div w:id="1363243721">
          <w:marLeft w:val="0"/>
          <w:marRight w:val="0"/>
          <w:marTop w:val="0"/>
          <w:marBottom w:val="0"/>
          <w:divBdr>
            <w:top w:val="none" w:sz="0" w:space="0" w:color="auto"/>
            <w:left w:val="none" w:sz="0" w:space="0" w:color="auto"/>
            <w:bottom w:val="none" w:sz="0" w:space="0" w:color="auto"/>
            <w:right w:val="none" w:sz="0" w:space="0" w:color="auto"/>
          </w:divBdr>
        </w:div>
        <w:div w:id="1098870249">
          <w:marLeft w:val="0"/>
          <w:marRight w:val="0"/>
          <w:marTop w:val="0"/>
          <w:marBottom w:val="0"/>
          <w:divBdr>
            <w:top w:val="none" w:sz="0" w:space="0" w:color="auto"/>
            <w:left w:val="none" w:sz="0" w:space="0" w:color="auto"/>
            <w:bottom w:val="none" w:sz="0" w:space="0" w:color="auto"/>
            <w:right w:val="none" w:sz="0" w:space="0" w:color="auto"/>
          </w:divBdr>
        </w:div>
        <w:div w:id="922496090">
          <w:marLeft w:val="0"/>
          <w:marRight w:val="0"/>
          <w:marTop w:val="0"/>
          <w:marBottom w:val="0"/>
          <w:divBdr>
            <w:top w:val="none" w:sz="0" w:space="0" w:color="auto"/>
            <w:left w:val="none" w:sz="0" w:space="0" w:color="auto"/>
            <w:bottom w:val="none" w:sz="0" w:space="0" w:color="auto"/>
            <w:right w:val="none" w:sz="0" w:space="0" w:color="auto"/>
          </w:divBdr>
        </w:div>
        <w:div w:id="2061127548">
          <w:marLeft w:val="0"/>
          <w:marRight w:val="0"/>
          <w:marTop w:val="0"/>
          <w:marBottom w:val="0"/>
          <w:divBdr>
            <w:top w:val="none" w:sz="0" w:space="0" w:color="auto"/>
            <w:left w:val="none" w:sz="0" w:space="0" w:color="auto"/>
            <w:bottom w:val="none" w:sz="0" w:space="0" w:color="auto"/>
            <w:right w:val="none" w:sz="0" w:space="0" w:color="auto"/>
          </w:divBdr>
        </w:div>
        <w:div w:id="1997681989">
          <w:marLeft w:val="0"/>
          <w:marRight w:val="0"/>
          <w:marTop w:val="0"/>
          <w:marBottom w:val="0"/>
          <w:divBdr>
            <w:top w:val="none" w:sz="0" w:space="0" w:color="auto"/>
            <w:left w:val="none" w:sz="0" w:space="0" w:color="auto"/>
            <w:bottom w:val="none" w:sz="0" w:space="0" w:color="auto"/>
            <w:right w:val="none" w:sz="0" w:space="0" w:color="auto"/>
          </w:divBdr>
        </w:div>
        <w:div w:id="753744656">
          <w:marLeft w:val="0"/>
          <w:marRight w:val="0"/>
          <w:marTop w:val="0"/>
          <w:marBottom w:val="0"/>
          <w:divBdr>
            <w:top w:val="none" w:sz="0" w:space="0" w:color="auto"/>
            <w:left w:val="none" w:sz="0" w:space="0" w:color="auto"/>
            <w:bottom w:val="none" w:sz="0" w:space="0" w:color="auto"/>
            <w:right w:val="none" w:sz="0" w:space="0" w:color="auto"/>
          </w:divBdr>
        </w:div>
        <w:div w:id="1799253347">
          <w:marLeft w:val="0"/>
          <w:marRight w:val="0"/>
          <w:marTop w:val="0"/>
          <w:marBottom w:val="0"/>
          <w:divBdr>
            <w:top w:val="none" w:sz="0" w:space="0" w:color="auto"/>
            <w:left w:val="none" w:sz="0" w:space="0" w:color="auto"/>
            <w:bottom w:val="none" w:sz="0" w:space="0" w:color="auto"/>
            <w:right w:val="none" w:sz="0" w:space="0" w:color="auto"/>
          </w:divBdr>
        </w:div>
        <w:div w:id="411977257">
          <w:marLeft w:val="0"/>
          <w:marRight w:val="0"/>
          <w:marTop w:val="0"/>
          <w:marBottom w:val="0"/>
          <w:divBdr>
            <w:top w:val="none" w:sz="0" w:space="0" w:color="auto"/>
            <w:left w:val="none" w:sz="0" w:space="0" w:color="auto"/>
            <w:bottom w:val="none" w:sz="0" w:space="0" w:color="auto"/>
            <w:right w:val="none" w:sz="0" w:space="0" w:color="auto"/>
          </w:divBdr>
        </w:div>
        <w:div w:id="771123039">
          <w:marLeft w:val="0"/>
          <w:marRight w:val="0"/>
          <w:marTop w:val="0"/>
          <w:marBottom w:val="0"/>
          <w:divBdr>
            <w:top w:val="none" w:sz="0" w:space="0" w:color="auto"/>
            <w:left w:val="none" w:sz="0" w:space="0" w:color="auto"/>
            <w:bottom w:val="none" w:sz="0" w:space="0" w:color="auto"/>
            <w:right w:val="none" w:sz="0" w:space="0" w:color="auto"/>
          </w:divBdr>
        </w:div>
        <w:div w:id="1339498477">
          <w:marLeft w:val="0"/>
          <w:marRight w:val="0"/>
          <w:marTop w:val="0"/>
          <w:marBottom w:val="0"/>
          <w:divBdr>
            <w:top w:val="none" w:sz="0" w:space="0" w:color="auto"/>
            <w:left w:val="none" w:sz="0" w:space="0" w:color="auto"/>
            <w:bottom w:val="none" w:sz="0" w:space="0" w:color="auto"/>
            <w:right w:val="none" w:sz="0" w:space="0" w:color="auto"/>
          </w:divBdr>
        </w:div>
        <w:div w:id="1756245257">
          <w:marLeft w:val="0"/>
          <w:marRight w:val="0"/>
          <w:marTop w:val="0"/>
          <w:marBottom w:val="0"/>
          <w:divBdr>
            <w:top w:val="none" w:sz="0" w:space="0" w:color="auto"/>
            <w:left w:val="none" w:sz="0" w:space="0" w:color="auto"/>
            <w:bottom w:val="none" w:sz="0" w:space="0" w:color="auto"/>
            <w:right w:val="none" w:sz="0" w:space="0" w:color="auto"/>
          </w:divBdr>
        </w:div>
      </w:divsChild>
    </w:div>
    <w:div w:id="189225935">
      <w:marLeft w:val="0"/>
      <w:marRight w:val="0"/>
      <w:marTop w:val="100"/>
      <w:marBottom w:val="0"/>
      <w:divBdr>
        <w:top w:val="none" w:sz="0" w:space="0" w:color="auto"/>
        <w:left w:val="none" w:sz="0" w:space="0" w:color="auto"/>
        <w:bottom w:val="none" w:sz="0" w:space="0" w:color="auto"/>
        <w:right w:val="none" w:sz="0" w:space="0" w:color="auto"/>
      </w:divBdr>
    </w:div>
    <w:div w:id="189343146">
      <w:marLeft w:val="0"/>
      <w:marRight w:val="0"/>
      <w:marTop w:val="100"/>
      <w:marBottom w:val="0"/>
      <w:divBdr>
        <w:top w:val="none" w:sz="0" w:space="0" w:color="auto"/>
        <w:left w:val="none" w:sz="0" w:space="0" w:color="auto"/>
        <w:bottom w:val="none" w:sz="0" w:space="0" w:color="auto"/>
        <w:right w:val="none" w:sz="0" w:space="0" w:color="auto"/>
      </w:divBdr>
      <w:divsChild>
        <w:div w:id="745810291">
          <w:marLeft w:val="0"/>
          <w:marRight w:val="0"/>
          <w:marTop w:val="0"/>
          <w:marBottom w:val="0"/>
          <w:divBdr>
            <w:top w:val="none" w:sz="0" w:space="0" w:color="auto"/>
            <w:left w:val="none" w:sz="0" w:space="0" w:color="auto"/>
            <w:bottom w:val="none" w:sz="0" w:space="0" w:color="auto"/>
            <w:right w:val="none" w:sz="0" w:space="0" w:color="auto"/>
          </w:divBdr>
        </w:div>
        <w:div w:id="638806296">
          <w:marLeft w:val="0"/>
          <w:marRight w:val="0"/>
          <w:marTop w:val="0"/>
          <w:marBottom w:val="0"/>
          <w:divBdr>
            <w:top w:val="none" w:sz="0" w:space="0" w:color="auto"/>
            <w:left w:val="none" w:sz="0" w:space="0" w:color="auto"/>
            <w:bottom w:val="none" w:sz="0" w:space="0" w:color="auto"/>
            <w:right w:val="none" w:sz="0" w:space="0" w:color="auto"/>
          </w:divBdr>
        </w:div>
        <w:div w:id="1759404746">
          <w:marLeft w:val="0"/>
          <w:marRight w:val="0"/>
          <w:marTop w:val="0"/>
          <w:marBottom w:val="0"/>
          <w:divBdr>
            <w:top w:val="none" w:sz="0" w:space="0" w:color="auto"/>
            <w:left w:val="none" w:sz="0" w:space="0" w:color="auto"/>
            <w:bottom w:val="none" w:sz="0" w:space="0" w:color="auto"/>
            <w:right w:val="none" w:sz="0" w:space="0" w:color="auto"/>
          </w:divBdr>
        </w:div>
      </w:divsChild>
    </w:div>
    <w:div w:id="191572147">
      <w:marLeft w:val="0"/>
      <w:marRight w:val="0"/>
      <w:marTop w:val="60"/>
      <w:marBottom w:val="0"/>
      <w:divBdr>
        <w:top w:val="none" w:sz="0" w:space="0" w:color="auto"/>
        <w:left w:val="none" w:sz="0" w:space="0" w:color="auto"/>
        <w:bottom w:val="none" w:sz="0" w:space="0" w:color="auto"/>
        <w:right w:val="none" w:sz="0" w:space="0" w:color="auto"/>
      </w:divBdr>
    </w:div>
    <w:div w:id="192353603">
      <w:marLeft w:val="0"/>
      <w:marRight w:val="0"/>
      <w:marTop w:val="100"/>
      <w:marBottom w:val="0"/>
      <w:divBdr>
        <w:top w:val="none" w:sz="0" w:space="0" w:color="auto"/>
        <w:left w:val="none" w:sz="0" w:space="0" w:color="auto"/>
        <w:bottom w:val="none" w:sz="0" w:space="0" w:color="auto"/>
        <w:right w:val="none" w:sz="0" w:space="0" w:color="auto"/>
      </w:divBdr>
    </w:div>
    <w:div w:id="193932195">
      <w:marLeft w:val="0"/>
      <w:marRight w:val="0"/>
      <w:marTop w:val="100"/>
      <w:marBottom w:val="0"/>
      <w:divBdr>
        <w:top w:val="none" w:sz="0" w:space="0" w:color="auto"/>
        <w:left w:val="none" w:sz="0" w:space="0" w:color="auto"/>
        <w:bottom w:val="none" w:sz="0" w:space="0" w:color="auto"/>
        <w:right w:val="none" w:sz="0" w:space="0" w:color="auto"/>
      </w:divBdr>
      <w:divsChild>
        <w:div w:id="1160804782">
          <w:marLeft w:val="0"/>
          <w:marRight w:val="0"/>
          <w:marTop w:val="0"/>
          <w:marBottom w:val="0"/>
          <w:divBdr>
            <w:top w:val="none" w:sz="0" w:space="0" w:color="auto"/>
            <w:left w:val="none" w:sz="0" w:space="0" w:color="auto"/>
            <w:bottom w:val="none" w:sz="0" w:space="0" w:color="auto"/>
            <w:right w:val="none" w:sz="0" w:space="0" w:color="auto"/>
          </w:divBdr>
        </w:div>
        <w:div w:id="873157637">
          <w:marLeft w:val="0"/>
          <w:marRight w:val="0"/>
          <w:marTop w:val="0"/>
          <w:marBottom w:val="0"/>
          <w:divBdr>
            <w:top w:val="none" w:sz="0" w:space="0" w:color="auto"/>
            <w:left w:val="none" w:sz="0" w:space="0" w:color="auto"/>
            <w:bottom w:val="none" w:sz="0" w:space="0" w:color="auto"/>
            <w:right w:val="none" w:sz="0" w:space="0" w:color="auto"/>
          </w:divBdr>
        </w:div>
      </w:divsChild>
    </w:div>
    <w:div w:id="194393177">
      <w:marLeft w:val="0"/>
      <w:marRight w:val="0"/>
      <w:marTop w:val="240"/>
      <w:marBottom w:val="0"/>
      <w:divBdr>
        <w:top w:val="none" w:sz="0" w:space="0" w:color="auto"/>
        <w:left w:val="none" w:sz="0" w:space="0" w:color="auto"/>
        <w:bottom w:val="none" w:sz="0" w:space="0" w:color="auto"/>
        <w:right w:val="none" w:sz="0" w:space="0" w:color="auto"/>
      </w:divBdr>
    </w:div>
    <w:div w:id="195654105">
      <w:marLeft w:val="0"/>
      <w:marRight w:val="0"/>
      <w:marTop w:val="100"/>
      <w:marBottom w:val="0"/>
      <w:divBdr>
        <w:top w:val="none" w:sz="0" w:space="0" w:color="auto"/>
        <w:left w:val="none" w:sz="0" w:space="0" w:color="auto"/>
        <w:bottom w:val="none" w:sz="0" w:space="0" w:color="auto"/>
        <w:right w:val="none" w:sz="0" w:space="0" w:color="auto"/>
      </w:divBdr>
    </w:div>
    <w:div w:id="195968658">
      <w:marLeft w:val="0"/>
      <w:marRight w:val="0"/>
      <w:marTop w:val="100"/>
      <w:marBottom w:val="0"/>
      <w:divBdr>
        <w:top w:val="none" w:sz="0" w:space="0" w:color="auto"/>
        <w:left w:val="none" w:sz="0" w:space="0" w:color="auto"/>
        <w:bottom w:val="none" w:sz="0" w:space="0" w:color="auto"/>
        <w:right w:val="none" w:sz="0" w:space="0" w:color="auto"/>
      </w:divBdr>
    </w:div>
    <w:div w:id="197622546">
      <w:marLeft w:val="0"/>
      <w:marRight w:val="0"/>
      <w:marTop w:val="0"/>
      <w:marBottom w:val="0"/>
      <w:divBdr>
        <w:top w:val="none" w:sz="0" w:space="0" w:color="auto"/>
        <w:left w:val="none" w:sz="0" w:space="0" w:color="auto"/>
        <w:bottom w:val="none" w:sz="0" w:space="0" w:color="auto"/>
        <w:right w:val="none" w:sz="0" w:space="0" w:color="auto"/>
      </w:divBdr>
    </w:div>
    <w:div w:id="198513020">
      <w:marLeft w:val="0"/>
      <w:marRight w:val="0"/>
      <w:marTop w:val="100"/>
      <w:marBottom w:val="0"/>
      <w:divBdr>
        <w:top w:val="none" w:sz="0" w:space="0" w:color="auto"/>
        <w:left w:val="none" w:sz="0" w:space="0" w:color="auto"/>
        <w:bottom w:val="none" w:sz="0" w:space="0" w:color="auto"/>
        <w:right w:val="none" w:sz="0" w:space="0" w:color="auto"/>
      </w:divBdr>
    </w:div>
    <w:div w:id="199318288">
      <w:marLeft w:val="0"/>
      <w:marRight w:val="0"/>
      <w:marTop w:val="100"/>
      <w:marBottom w:val="0"/>
      <w:divBdr>
        <w:top w:val="none" w:sz="0" w:space="0" w:color="auto"/>
        <w:left w:val="none" w:sz="0" w:space="0" w:color="auto"/>
        <w:bottom w:val="none" w:sz="0" w:space="0" w:color="auto"/>
        <w:right w:val="none" w:sz="0" w:space="0" w:color="auto"/>
      </w:divBdr>
    </w:div>
    <w:div w:id="201593957">
      <w:marLeft w:val="0"/>
      <w:marRight w:val="0"/>
      <w:marTop w:val="100"/>
      <w:marBottom w:val="0"/>
      <w:divBdr>
        <w:top w:val="none" w:sz="0" w:space="0" w:color="auto"/>
        <w:left w:val="none" w:sz="0" w:space="0" w:color="auto"/>
        <w:bottom w:val="none" w:sz="0" w:space="0" w:color="auto"/>
        <w:right w:val="none" w:sz="0" w:space="0" w:color="auto"/>
      </w:divBdr>
    </w:div>
    <w:div w:id="205024576">
      <w:marLeft w:val="0"/>
      <w:marRight w:val="0"/>
      <w:marTop w:val="0"/>
      <w:marBottom w:val="0"/>
      <w:divBdr>
        <w:top w:val="none" w:sz="0" w:space="0" w:color="auto"/>
        <w:left w:val="none" w:sz="0" w:space="0" w:color="auto"/>
        <w:bottom w:val="none" w:sz="0" w:space="0" w:color="auto"/>
        <w:right w:val="none" w:sz="0" w:space="0" w:color="auto"/>
      </w:divBdr>
      <w:divsChild>
        <w:div w:id="24673164">
          <w:marLeft w:val="0"/>
          <w:marRight w:val="0"/>
          <w:marTop w:val="0"/>
          <w:marBottom w:val="0"/>
          <w:divBdr>
            <w:top w:val="none" w:sz="0" w:space="0" w:color="auto"/>
            <w:left w:val="none" w:sz="0" w:space="0" w:color="auto"/>
            <w:bottom w:val="none" w:sz="0" w:space="0" w:color="auto"/>
            <w:right w:val="none" w:sz="0" w:space="0" w:color="auto"/>
          </w:divBdr>
        </w:div>
        <w:div w:id="1150250866">
          <w:marLeft w:val="0"/>
          <w:marRight w:val="0"/>
          <w:marTop w:val="0"/>
          <w:marBottom w:val="0"/>
          <w:divBdr>
            <w:top w:val="none" w:sz="0" w:space="0" w:color="auto"/>
            <w:left w:val="none" w:sz="0" w:space="0" w:color="auto"/>
            <w:bottom w:val="none" w:sz="0" w:space="0" w:color="auto"/>
            <w:right w:val="none" w:sz="0" w:space="0" w:color="auto"/>
          </w:divBdr>
        </w:div>
      </w:divsChild>
    </w:div>
    <w:div w:id="206797306">
      <w:marLeft w:val="0"/>
      <w:marRight w:val="0"/>
      <w:marTop w:val="0"/>
      <w:marBottom w:val="0"/>
      <w:divBdr>
        <w:top w:val="none" w:sz="0" w:space="0" w:color="auto"/>
        <w:left w:val="none" w:sz="0" w:space="0" w:color="auto"/>
        <w:bottom w:val="none" w:sz="0" w:space="0" w:color="auto"/>
        <w:right w:val="none" w:sz="0" w:space="0" w:color="auto"/>
      </w:divBdr>
      <w:divsChild>
        <w:div w:id="1784110153">
          <w:marLeft w:val="0"/>
          <w:marRight w:val="0"/>
          <w:marTop w:val="0"/>
          <w:marBottom w:val="0"/>
          <w:divBdr>
            <w:top w:val="none" w:sz="0" w:space="0" w:color="auto"/>
            <w:left w:val="none" w:sz="0" w:space="0" w:color="auto"/>
            <w:bottom w:val="none" w:sz="0" w:space="0" w:color="auto"/>
            <w:right w:val="none" w:sz="0" w:space="0" w:color="auto"/>
          </w:divBdr>
        </w:div>
      </w:divsChild>
    </w:div>
    <w:div w:id="208030960">
      <w:marLeft w:val="0"/>
      <w:marRight w:val="0"/>
      <w:marTop w:val="240"/>
      <w:marBottom w:val="0"/>
      <w:divBdr>
        <w:top w:val="none" w:sz="0" w:space="0" w:color="auto"/>
        <w:left w:val="none" w:sz="0" w:space="0" w:color="auto"/>
        <w:bottom w:val="none" w:sz="0" w:space="0" w:color="auto"/>
        <w:right w:val="none" w:sz="0" w:space="0" w:color="auto"/>
      </w:divBdr>
    </w:div>
    <w:div w:id="208491163">
      <w:marLeft w:val="0"/>
      <w:marRight w:val="0"/>
      <w:marTop w:val="40"/>
      <w:marBottom w:val="0"/>
      <w:divBdr>
        <w:top w:val="none" w:sz="0" w:space="0" w:color="auto"/>
        <w:left w:val="none" w:sz="0" w:space="0" w:color="auto"/>
        <w:bottom w:val="none" w:sz="0" w:space="0" w:color="auto"/>
        <w:right w:val="none" w:sz="0" w:space="0" w:color="auto"/>
      </w:divBdr>
    </w:div>
    <w:div w:id="210968744">
      <w:marLeft w:val="0"/>
      <w:marRight w:val="0"/>
      <w:marTop w:val="100"/>
      <w:marBottom w:val="0"/>
      <w:divBdr>
        <w:top w:val="none" w:sz="0" w:space="0" w:color="auto"/>
        <w:left w:val="none" w:sz="0" w:space="0" w:color="auto"/>
        <w:bottom w:val="none" w:sz="0" w:space="0" w:color="auto"/>
        <w:right w:val="none" w:sz="0" w:space="0" w:color="auto"/>
      </w:divBdr>
    </w:div>
    <w:div w:id="212155230">
      <w:marLeft w:val="0"/>
      <w:marRight w:val="0"/>
      <w:marTop w:val="100"/>
      <w:marBottom w:val="0"/>
      <w:divBdr>
        <w:top w:val="none" w:sz="0" w:space="0" w:color="auto"/>
        <w:left w:val="none" w:sz="0" w:space="0" w:color="auto"/>
        <w:bottom w:val="none" w:sz="0" w:space="0" w:color="auto"/>
        <w:right w:val="none" w:sz="0" w:space="0" w:color="auto"/>
      </w:divBdr>
    </w:div>
    <w:div w:id="212666756">
      <w:marLeft w:val="0"/>
      <w:marRight w:val="0"/>
      <w:marTop w:val="100"/>
      <w:marBottom w:val="0"/>
      <w:divBdr>
        <w:top w:val="none" w:sz="0" w:space="0" w:color="auto"/>
        <w:left w:val="none" w:sz="0" w:space="0" w:color="auto"/>
        <w:bottom w:val="none" w:sz="0" w:space="0" w:color="auto"/>
        <w:right w:val="none" w:sz="0" w:space="0" w:color="auto"/>
      </w:divBdr>
    </w:div>
    <w:div w:id="213590045">
      <w:marLeft w:val="0"/>
      <w:marRight w:val="0"/>
      <w:marTop w:val="100"/>
      <w:marBottom w:val="0"/>
      <w:divBdr>
        <w:top w:val="none" w:sz="0" w:space="0" w:color="auto"/>
        <w:left w:val="none" w:sz="0" w:space="0" w:color="auto"/>
        <w:bottom w:val="none" w:sz="0" w:space="0" w:color="auto"/>
        <w:right w:val="none" w:sz="0" w:space="0" w:color="auto"/>
      </w:divBdr>
    </w:div>
    <w:div w:id="217862629">
      <w:marLeft w:val="0"/>
      <w:marRight w:val="0"/>
      <w:marTop w:val="100"/>
      <w:marBottom w:val="0"/>
      <w:divBdr>
        <w:top w:val="none" w:sz="0" w:space="0" w:color="auto"/>
        <w:left w:val="none" w:sz="0" w:space="0" w:color="auto"/>
        <w:bottom w:val="none" w:sz="0" w:space="0" w:color="auto"/>
        <w:right w:val="none" w:sz="0" w:space="0" w:color="auto"/>
      </w:divBdr>
    </w:div>
    <w:div w:id="219100560">
      <w:marLeft w:val="0"/>
      <w:marRight w:val="0"/>
      <w:marTop w:val="60"/>
      <w:marBottom w:val="0"/>
      <w:divBdr>
        <w:top w:val="none" w:sz="0" w:space="0" w:color="auto"/>
        <w:left w:val="none" w:sz="0" w:space="0" w:color="auto"/>
        <w:bottom w:val="none" w:sz="0" w:space="0" w:color="auto"/>
        <w:right w:val="none" w:sz="0" w:space="0" w:color="auto"/>
      </w:divBdr>
    </w:div>
    <w:div w:id="226917531">
      <w:marLeft w:val="0"/>
      <w:marRight w:val="0"/>
      <w:marTop w:val="100"/>
      <w:marBottom w:val="0"/>
      <w:divBdr>
        <w:top w:val="none" w:sz="0" w:space="0" w:color="auto"/>
        <w:left w:val="none" w:sz="0" w:space="0" w:color="auto"/>
        <w:bottom w:val="none" w:sz="0" w:space="0" w:color="auto"/>
        <w:right w:val="none" w:sz="0" w:space="0" w:color="auto"/>
      </w:divBdr>
    </w:div>
    <w:div w:id="230504933">
      <w:marLeft w:val="0"/>
      <w:marRight w:val="0"/>
      <w:marTop w:val="40"/>
      <w:marBottom w:val="0"/>
      <w:divBdr>
        <w:top w:val="none" w:sz="0" w:space="0" w:color="auto"/>
        <w:left w:val="none" w:sz="0" w:space="0" w:color="auto"/>
        <w:bottom w:val="none" w:sz="0" w:space="0" w:color="auto"/>
        <w:right w:val="none" w:sz="0" w:space="0" w:color="auto"/>
      </w:divBdr>
    </w:div>
    <w:div w:id="233928900">
      <w:marLeft w:val="0"/>
      <w:marRight w:val="0"/>
      <w:marTop w:val="100"/>
      <w:marBottom w:val="0"/>
      <w:divBdr>
        <w:top w:val="none" w:sz="0" w:space="0" w:color="auto"/>
        <w:left w:val="none" w:sz="0" w:space="0" w:color="auto"/>
        <w:bottom w:val="none" w:sz="0" w:space="0" w:color="auto"/>
        <w:right w:val="none" w:sz="0" w:space="0" w:color="auto"/>
      </w:divBdr>
    </w:div>
    <w:div w:id="235282233">
      <w:marLeft w:val="0"/>
      <w:marRight w:val="0"/>
      <w:marTop w:val="240"/>
      <w:marBottom w:val="0"/>
      <w:divBdr>
        <w:top w:val="none" w:sz="0" w:space="0" w:color="auto"/>
        <w:left w:val="none" w:sz="0" w:space="0" w:color="auto"/>
        <w:bottom w:val="none" w:sz="0" w:space="0" w:color="auto"/>
        <w:right w:val="none" w:sz="0" w:space="0" w:color="auto"/>
      </w:divBdr>
    </w:div>
    <w:div w:id="237833779">
      <w:marLeft w:val="0"/>
      <w:marRight w:val="0"/>
      <w:marTop w:val="100"/>
      <w:marBottom w:val="0"/>
      <w:divBdr>
        <w:top w:val="none" w:sz="0" w:space="0" w:color="auto"/>
        <w:left w:val="none" w:sz="0" w:space="0" w:color="auto"/>
        <w:bottom w:val="none" w:sz="0" w:space="0" w:color="auto"/>
        <w:right w:val="none" w:sz="0" w:space="0" w:color="auto"/>
      </w:divBdr>
    </w:div>
    <w:div w:id="238562356">
      <w:marLeft w:val="0"/>
      <w:marRight w:val="0"/>
      <w:marTop w:val="100"/>
      <w:marBottom w:val="0"/>
      <w:divBdr>
        <w:top w:val="none" w:sz="0" w:space="0" w:color="auto"/>
        <w:left w:val="none" w:sz="0" w:space="0" w:color="auto"/>
        <w:bottom w:val="none" w:sz="0" w:space="0" w:color="auto"/>
        <w:right w:val="none" w:sz="0" w:space="0" w:color="auto"/>
      </w:divBdr>
    </w:div>
    <w:div w:id="238902429">
      <w:marLeft w:val="0"/>
      <w:marRight w:val="0"/>
      <w:marTop w:val="0"/>
      <w:marBottom w:val="0"/>
      <w:divBdr>
        <w:top w:val="none" w:sz="0" w:space="0" w:color="auto"/>
        <w:left w:val="none" w:sz="0" w:space="0" w:color="auto"/>
        <w:bottom w:val="none" w:sz="0" w:space="0" w:color="auto"/>
        <w:right w:val="none" w:sz="0" w:space="0" w:color="auto"/>
      </w:divBdr>
      <w:divsChild>
        <w:div w:id="1951741326">
          <w:marLeft w:val="0"/>
          <w:marRight w:val="0"/>
          <w:marTop w:val="0"/>
          <w:marBottom w:val="0"/>
          <w:divBdr>
            <w:top w:val="none" w:sz="0" w:space="0" w:color="auto"/>
            <w:left w:val="none" w:sz="0" w:space="0" w:color="auto"/>
            <w:bottom w:val="none" w:sz="0" w:space="0" w:color="auto"/>
            <w:right w:val="none" w:sz="0" w:space="0" w:color="auto"/>
          </w:divBdr>
        </w:div>
      </w:divsChild>
    </w:div>
    <w:div w:id="241989083">
      <w:marLeft w:val="0"/>
      <w:marRight w:val="0"/>
      <w:marTop w:val="40"/>
      <w:marBottom w:val="0"/>
      <w:divBdr>
        <w:top w:val="none" w:sz="0" w:space="0" w:color="auto"/>
        <w:left w:val="none" w:sz="0" w:space="0" w:color="auto"/>
        <w:bottom w:val="none" w:sz="0" w:space="0" w:color="auto"/>
        <w:right w:val="none" w:sz="0" w:space="0" w:color="auto"/>
      </w:divBdr>
    </w:div>
    <w:div w:id="242766236">
      <w:marLeft w:val="0"/>
      <w:marRight w:val="0"/>
      <w:marTop w:val="60"/>
      <w:marBottom w:val="0"/>
      <w:divBdr>
        <w:top w:val="none" w:sz="0" w:space="0" w:color="auto"/>
        <w:left w:val="none" w:sz="0" w:space="0" w:color="auto"/>
        <w:bottom w:val="none" w:sz="0" w:space="0" w:color="auto"/>
        <w:right w:val="none" w:sz="0" w:space="0" w:color="auto"/>
      </w:divBdr>
    </w:div>
    <w:div w:id="243606751">
      <w:marLeft w:val="0"/>
      <w:marRight w:val="0"/>
      <w:marTop w:val="240"/>
      <w:marBottom w:val="0"/>
      <w:divBdr>
        <w:top w:val="none" w:sz="0" w:space="0" w:color="auto"/>
        <w:left w:val="none" w:sz="0" w:space="0" w:color="auto"/>
        <w:bottom w:val="none" w:sz="0" w:space="0" w:color="auto"/>
        <w:right w:val="none" w:sz="0" w:space="0" w:color="auto"/>
      </w:divBdr>
    </w:div>
    <w:div w:id="246305408">
      <w:marLeft w:val="0"/>
      <w:marRight w:val="0"/>
      <w:marTop w:val="0"/>
      <w:marBottom w:val="0"/>
      <w:divBdr>
        <w:top w:val="none" w:sz="0" w:space="0" w:color="auto"/>
        <w:left w:val="none" w:sz="0" w:space="0" w:color="auto"/>
        <w:bottom w:val="none" w:sz="0" w:space="0" w:color="auto"/>
        <w:right w:val="none" w:sz="0" w:space="0" w:color="auto"/>
      </w:divBdr>
      <w:divsChild>
        <w:div w:id="1853911015">
          <w:marLeft w:val="0"/>
          <w:marRight w:val="0"/>
          <w:marTop w:val="0"/>
          <w:marBottom w:val="0"/>
          <w:divBdr>
            <w:top w:val="none" w:sz="0" w:space="0" w:color="auto"/>
            <w:left w:val="none" w:sz="0" w:space="0" w:color="auto"/>
            <w:bottom w:val="none" w:sz="0" w:space="0" w:color="auto"/>
            <w:right w:val="none" w:sz="0" w:space="0" w:color="auto"/>
          </w:divBdr>
        </w:div>
      </w:divsChild>
    </w:div>
    <w:div w:id="246693980">
      <w:marLeft w:val="0"/>
      <w:marRight w:val="0"/>
      <w:marTop w:val="100"/>
      <w:marBottom w:val="0"/>
      <w:divBdr>
        <w:top w:val="none" w:sz="0" w:space="0" w:color="auto"/>
        <w:left w:val="none" w:sz="0" w:space="0" w:color="auto"/>
        <w:bottom w:val="none" w:sz="0" w:space="0" w:color="auto"/>
        <w:right w:val="none" w:sz="0" w:space="0" w:color="auto"/>
      </w:divBdr>
    </w:div>
    <w:div w:id="251084970">
      <w:marLeft w:val="0"/>
      <w:marRight w:val="0"/>
      <w:marTop w:val="100"/>
      <w:marBottom w:val="0"/>
      <w:divBdr>
        <w:top w:val="none" w:sz="0" w:space="0" w:color="auto"/>
        <w:left w:val="none" w:sz="0" w:space="0" w:color="auto"/>
        <w:bottom w:val="none" w:sz="0" w:space="0" w:color="auto"/>
        <w:right w:val="none" w:sz="0" w:space="0" w:color="auto"/>
      </w:divBdr>
    </w:div>
    <w:div w:id="251088175">
      <w:marLeft w:val="0"/>
      <w:marRight w:val="0"/>
      <w:marTop w:val="100"/>
      <w:marBottom w:val="0"/>
      <w:divBdr>
        <w:top w:val="none" w:sz="0" w:space="0" w:color="auto"/>
        <w:left w:val="none" w:sz="0" w:space="0" w:color="auto"/>
        <w:bottom w:val="none" w:sz="0" w:space="0" w:color="auto"/>
        <w:right w:val="none" w:sz="0" w:space="0" w:color="auto"/>
      </w:divBdr>
    </w:div>
    <w:div w:id="256057570">
      <w:marLeft w:val="0"/>
      <w:marRight w:val="0"/>
      <w:marTop w:val="240"/>
      <w:marBottom w:val="0"/>
      <w:divBdr>
        <w:top w:val="none" w:sz="0" w:space="0" w:color="auto"/>
        <w:left w:val="none" w:sz="0" w:space="0" w:color="auto"/>
        <w:bottom w:val="none" w:sz="0" w:space="0" w:color="auto"/>
        <w:right w:val="none" w:sz="0" w:space="0" w:color="auto"/>
      </w:divBdr>
    </w:div>
    <w:div w:id="256711890">
      <w:marLeft w:val="0"/>
      <w:marRight w:val="0"/>
      <w:marTop w:val="240"/>
      <w:marBottom w:val="0"/>
      <w:divBdr>
        <w:top w:val="none" w:sz="0" w:space="0" w:color="auto"/>
        <w:left w:val="none" w:sz="0" w:space="0" w:color="auto"/>
        <w:bottom w:val="none" w:sz="0" w:space="0" w:color="auto"/>
        <w:right w:val="none" w:sz="0" w:space="0" w:color="auto"/>
      </w:divBdr>
    </w:div>
    <w:div w:id="256793369">
      <w:marLeft w:val="0"/>
      <w:marRight w:val="0"/>
      <w:marTop w:val="240"/>
      <w:marBottom w:val="0"/>
      <w:divBdr>
        <w:top w:val="none" w:sz="0" w:space="0" w:color="auto"/>
        <w:left w:val="none" w:sz="0" w:space="0" w:color="auto"/>
        <w:bottom w:val="none" w:sz="0" w:space="0" w:color="auto"/>
        <w:right w:val="none" w:sz="0" w:space="0" w:color="auto"/>
      </w:divBdr>
    </w:div>
    <w:div w:id="260191173">
      <w:marLeft w:val="0"/>
      <w:marRight w:val="0"/>
      <w:marTop w:val="60"/>
      <w:marBottom w:val="0"/>
      <w:divBdr>
        <w:top w:val="none" w:sz="0" w:space="0" w:color="auto"/>
        <w:left w:val="none" w:sz="0" w:space="0" w:color="auto"/>
        <w:bottom w:val="none" w:sz="0" w:space="0" w:color="auto"/>
        <w:right w:val="none" w:sz="0" w:space="0" w:color="auto"/>
      </w:divBdr>
    </w:div>
    <w:div w:id="260771088">
      <w:marLeft w:val="0"/>
      <w:marRight w:val="0"/>
      <w:marTop w:val="60"/>
      <w:marBottom w:val="0"/>
      <w:divBdr>
        <w:top w:val="none" w:sz="0" w:space="0" w:color="auto"/>
        <w:left w:val="none" w:sz="0" w:space="0" w:color="auto"/>
        <w:bottom w:val="none" w:sz="0" w:space="0" w:color="auto"/>
        <w:right w:val="none" w:sz="0" w:space="0" w:color="auto"/>
      </w:divBdr>
    </w:div>
    <w:div w:id="261036458">
      <w:marLeft w:val="0"/>
      <w:marRight w:val="0"/>
      <w:marTop w:val="60"/>
      <w:marBottom w:val="0"/>
      <w:divBdr>
        <w:top w:val="none" w:sz="0" w:space="0" w:color="auto"/>
        <w:left w:val="none" w:sz="0" w:space="0" w:color="auto"/>
        <w:bottom w:val="none" w:sz="0" w:space="0" w:color="auto"/>
        <w:right w:val="none" w:sz="0" w:space="0" w:color="auto"/>
      </w:divBdr>
    </w:div>
    <w:div w:id="261114235">
      <w:marLeft w:val="0"/>
      <w:marRight w:val="0"/>
      <w:marTop w:val="240"/>
      <w:marBottom w:val="0"/>
      <w:divBdr>
        <w:top w:val="none" w:sz="0" w:space="0" w:color="auto"/>
        <w:left w:val="none" w:sz="0" w:space="0" w:color="auto"/>
        <w:bottom w:val="none" w:sz="0" w:space="0" w:color="auto"/>
        <w:right w:val="none" w:sz="0" w:space="0" w:color="auto"/>
      </w:divBdr>
    </w:div>
    <w:div w:id="262420685">
      <w:marLeft w:val="0"/>
      <w:marRight w:val="0"/>
      <w:marTop w:val="100"/>
      <w:marBottom w:val="0"/>
      <w:divBdr>
        <w:top w:val="none" w:sz="0" w:space="0" w:color="auto"/>
        <w:left w:val="none" w:sz="0" w:space="0" w:color="auto"/>
        <w:bottom w:val="none" w:sz="0" w:space="0" w:color="auto"/>
        <w:right w:val="none" w:sz="0" w:space="0" w:color="auto"/>
      </w:divBdr>
    </w:div>
    <w:div w:id="262537628">
      <w:marLeft w:val="0"/>
      <w:marRight w:val="0"/>
      <w:marTop w:val="0"/>
      <w:marBottom w:val="0"/>
      <w:divBdr>
        <w:top w:val="none" w:sz="0" w:space="0" w:color="auto"/>
        <w:left w:val="none" w:sz="0" w:space="0" w:color="auto"/>
        <w:bottom w:val="none" w:sz="0" w:space="0" w:color="auto"/>
        <w:right w:val="none" w:sz="0" w:space="0" w:color="auto"/>
      </w:divBdr>
      <w:divsChild>
        <w:div w:id="12197136">
          <w:marLeft w:val="0"/>
          <w:marRight w:val="0"/>
          <w:marTop w:val="0"/>
          <w:marBottom w:val="0"/>
          <w:divBdr>
            <w:top w:val="none" w:sz="0" w:space="0" w:color="auto"/>
            <w:left w:val="none" w:sz="0" w:space="0" w:color="auto"/>
            <w:bottom w:val="none" w:sz="0" w:space="0" w:color="auto"/>
            <w:right w:val="none" w:sz="0" w:space="0" w:color="auto"/>
          </w:divBdr>
        </w:div>
      </w:divsChild>
    </w:div>
    <w:div w:id="263154537">
      <w:marLeft w:val="0"/>
      <w:marRight w:val="0"/>
      <w:marTop w:val="60"/>
      <w:marBottom w:val="0"/>
      <w:divBdr>
        <w:top w:val="none" w:sz="0" w:space="0" w:color="auto"/>
        <w:left w:val="none" w:sz="0" w:space="0" w:color="auto"/>
        <w:bottom w:val="none" w:sz="0" w:space="0" w:color="auto"/>
        <w:right w:val="none" w:sz="0" w:space="0" w:color="auto"/>
      </w:divBdr>
    </w:div>
    <w:div w:id="264115647">
      <w:marLeft w:val="0"/>
      <w:marRight w:val="0"/>
      <w:marTop w:val="100"/>
      <w:marBottom w:val="0"/>
      <w:divBdr>
        <w:top w:val="none" w:sz="0" w:space="0" w:color="auto"/>
        <w:left w:val="none" w:sz="0" w:space="0" w:color="auto"/>
        <w:bottom w:val="none" w:sz="0" w:space="0" w:color="auto"/>
        <w:right w:val="none" w:sz="0" w:space="0" w:color="auto"/>
      </w:divBdr>
    </w:div>
    <w:div w:id="266011810">
      <w:marLeft w:val="0"/>
      <w:marRight w:val="0"/>
      <w:marTop w:val="100"/>
      <w:marBottom w:val="0"/>
      <w:divBdr>
        <w:top w:val="none" w:sz="0" w:space="0" w:color="auto"/>
        <w:left w:val="none" w:sz="0" w:space="0" w:color="auto"/>
        <w:bottom w:val="none" w:sz="0" w:space="0" w:color="auto"/>
        <w:right w:val="none" w:sz="0" w:space="0" w:color="auto"/>
      </w:divBdr>
    </w:div>
    <w:div w:id="266741636">
      <w:marLeft w:val="0"/>
      <w:marRight w:val="0"/>
      <w:marTop w:val="100"/>
      <w:marBottom w:val="0"/>
      <w:divBdr>
        <w:top w:val="none" w:sz="0" w:space="0" w:color="auto"/>
        <w:left w:val="none" w:sz="0" w:space="0" w:color="auto"/>
        <w:bottom w:val="none" w:sz="0" w:space="0" w:color="auto"/>
        <w:right w:val="none" w:sz="0" w:space="0" w:color="auto"/>
      </w:divBdr>
      <w:divsChild>
        <w:div w:id="861356415">
          <w:marLeft w:val="0"/>
          <w:marRight w:val="0"/>
          <w:marTop w:val="0"/>
          <w:marBottom w:val="0"/>
          <w:divBdr>
            <w:top w:val="none" w:sz="0" w:space="0" w:color="auto"/>
            <w:left w:val="none" w:sz="0" w:space="0" w:color="auto"/>
            <w:bottom w:val="none" w:sz="0" w:space="0" w:color="auto"/>
            <w:right w:val="none" w:sz="0" w:space="0" w:color="auto"/>
          </w:divBdr>
        </w:div>
        <w:div w:id="924266007">
          <w:marLeft w:val="0"/>
          <w:marRight w:val="0"/>
          <w:marTop w:val="0"/>
          <w:marBottom w:val="0"/>
          <w:divBdr>
            <w:top w:val="none" w:sz="0" w:space="0" w:color="auto"/>
            <w:left w:val="none" w:sz="0" w:space="0" w:color="auto"/>
            <w:bottom w:val="none" w:sz="0" w:space="0" w:color="auto"/>
            <w:right w:val="none" w:sz="0" w:space="0" w:color="auto"/>
          </w:divBdr>
        </w:div>
      </w:divsChild>
    </w:div>
    <w:div w:id="269356670">
      <w:marLeft w:val="0"/>
      <w:marRight w:val="0"/>
      <w:marTop w:val="240"/>
      <w:marBottom w:val="0"/>
      <w:divBdr>
        <w:top w:val="none" w:sz="0" w:space="0" w:color="auto"/>
        <w:left w:val="none" w:sz="0" w:space="0" w:color="auto"/>
        <w:bottom w:val="none" w:sz="0" w:space="0" w:color="auto"/>
        <w:right w:val="none" w:sz="0" w:space="0" w:color="auto"/>
      </w:divBdr>
    </w:div>
    <w:div w:id="274025063">
      <w:marLeft w:val="0"/>
      <w:marRight w:val="0"/>
      <w:marTop w:val="240"/>
      <w:marBottom w:val="0"/>
      <w:divBdr>
        <w:top w:val="none" w:sz="0" w:space="0" w:color="auto"/>
        <w:left w:val="none" w:sz="0" w:space="0" w:color="auto"/>
        <w:bottom w:val="none" w:sz="0" w:space="0" w:color="auto"/>
        <w:right w:val="none" w:sz="0" w:space="0" w:color="auto"/>
      </w:divBdr>
    </w:div>
    <w:div w:id="274867629">
      <w:marLeft w:val="0"/>
      <w:marRight w:val="0"/>
      <w:marTop w:val="100"/>
      <w:marBottom w:val="0"/>
      <w:divBdr>
        <w:top w:val="none" w:sz="0" w:space="0" w:color="auto"/>
        <w:left w:val="none" w:sz="0" w:space="0" w:color="auto"/>
        <w:bottom w:val="none" w:sz="0" w:space="0" w:color="auto"/>
        <w:right w:val="none" w:sz="0" w:space="0" w:color="auto"/>
      </w:divBdr>
    </w:div>
    <w:div w:id="277683658">
      <w:marLeft w:val="0"/>
      <w:marRight w:val="0"/>
      <w:marTop w:val="240"/>
      <w:marBottom w:val="0"/>
      <w:divBdr>
        <w:top w:val="none" w:sz="0" w:space="0" w:color="auto"/>
        <w:left w:val="none" w:sz="0" w:space="0" w:color="auto"/>
        <w:bottom w:val="none" w:sz="0" w:space="0" w:color="auto"/>
        <w:right w:val="none" w:sz="0" w:space="0" w:color="auto"/>
      </w:divBdr>
    </w:div>
    <w:div w:id="279184885">
      <w:marLeft w:val="0"/>
      <w:marRight w:val="0"/>
      <w:marTop w:val="100"/>
      <w:marBottom w:val="0"/>
      <w:divBdr>
        <w:top w:val="none" w:sz="0" w:space="0" w:color="auto"/>
        <w:left w:val="none" w:sz="0" w:space="0" w:color="auto"/>
        <w:bottom w:val="none" w:sz="0" w:space="0" w:color="auto"/>
        <w:right w:val="none" w:sz="0" w:space="0" w:color="auto"/>
      </w:divBdr>
    </w:div>
    <w:div w:id="283464279">
      <w:marLeft w:val="0"/>
      <w:marRight w:val="0"/>
      <w:marTop w:val="240"/>
      <w:marBottom w:val="0"/>
      <w:divBdr>
        <w:top w:val="none" w:sz="0" w:space="0" w:color="auto"/>
        <w:left w:val="none" w:sz="0" w:space="0" w:color="auto"/>
        <w:bottom w:val="none" w:sz="0" w:space="0" w:color="auto"/>
        <w:right w:val="none" w:sz="0" w:space="0" w:color="auto"/>
      </w:divBdr>
    </w:div>
    <w:div w:id="286283849">
      <w:marLeft w:val="0"/>
      <w:marRight w:val="0"/>
      <w:marTop w:val="100"/>
      <w:marBottom w:val="0"/>
      <w:divBdr>
        <w:top w:val="none" w:sz="0" w:space="0" w:color="auto"/>
        <w:left w:val="none" w:sz="0" w:space="0" w:color="auto"/>
        <w:bottom w:val="none" w:sz="0" w:space="0" w:color="auto"/>
        <w:right w:val="none" w:sz="0" w:space="0" w:color="auto"/>
      </w:divBdr>
      <w:divsChild>
        <w:div w:id="1371028012">
          <w:marLeft w:val="0"/>
          <w:marRight w:val="0"/>
          <w:marTop w:val="0"/>
          <w:marBottom w:val="0"/>
          <w:divBdr>
            <w:top w:val="none" w:sz="0" w:space="0" w:color="auto"/>
            <w:left w:val="none" w:sz="0" w:space="0" w:color="auto"/>
            <w:bottom w:val="none" w:sz="0" w:space="0" w:color="auto"/>
            <w:right w:val="none" w:sz="0" w:space="0" w:color="auto"/>
          </w:divBdr>
        </w:div>
        <w:div w:id="819931614">
          <w:marLeft w:val="0"/>
          <w:marRight w:val="0"/>
          <w:marTop w:val="0"/>
          <w:marBottom w:val="0"/>
          <w:divBdr>
            <w:top w:val="none" w:sz="0" w:space="0" w:color="auto"/>
            <w:left w:val="none" w:sz="0" w:space="0" w:color="auto"/>
            <w:bottom w:val="none" w:sz="0" w:space="0" w:color="auto"/>
            <w:right w:val="none" w:sz="0" w:space="0" w:color="auto"/>
          </w:divBdr>
        </w:div>
      </w:divsChild>
    </w:div>
    <w:div w:id="287470240">
      <w:marLeft w:val="0"/>
      <w:marRight w:val="0"/>
      <w:marTop w:val="60"/>
      <w:marBottom w:val="0"/>
      <w:divBdr>
        <w:top w:val="none" w:sz="0" w:space="0" w:color="auto"/>
        <w:left w:val="none" w:sz="0" w:space="0" w:color="auto"/>
        <w:bottom w:val="none" w:sz="0" w:space="0" w:color="auto"/>
        <w:right w:val="none" w:sz="0" w:space="0" w:color="auto"/>
      </w:divBdr>
    </w:div>
    <w:div w:id="288320498">
      <w:marLeft w:val="0"/>
      <w:marRight w:val="0"/>
      <w:marTop w:val="100"/>
      <w:marBottom w:val="0"/>
      <w:divBdr>
        <w:top w:val="none" w:sz="0" w:space="0" w:color="auto"/>
        <w:left w:val="none" w:sz="0" w:space="0" w:color="auto"/>
        <w:bottom w:val="none" w:sz="0" w:space="0" w:color="auto"/>
        <w:right w:val="none" w:sz="0" w:space="0" w:color="auto"/>
      </w:divBdr>
    </w:div>
    <w:div w:id="289094489">
      <w:marLeft w:val="0"/>
      <w:marRight w:val="0"/>
      <w:marTop w:val="280"/>
      <w:marBottom w:val="0"/>
      <w:divBdr>
        <w:top w:val="none" w:sz="0" w:space="0" w:color="auto"/>
        <w:left w:val="none" w:sz="0" w:space="0" w:color="auto"/>
        <w:bottom w:val="none" w:sz="0" w:space="0" w:color="auto"/>
        <w:right w:val="none" w:sz="0" w:space="0" w:color="auto"/>
      </w:divBdr>
    </w:div>
    <w:div w:id="289870801">
      <w:marLeft w:val="0"/>
      <w:marRight w:val="0"/>
      <w:marTop w:val="100"/>
      <w:marBottom w:val="0"/>
      <w:divBdr>
        <w:top w:val="none" w:sz="0" w:space="0" w:color="auto"/>
        <w:left w:val="none" w:sz="0" w:space="0" w:color="auto"/>
        <w:bottom w:val="none" w:sz="0" w:space="0" w:color="auto"/>
        <w:right w:val="none" w:sz="0" w:space="0" w:color="auto"/>
      </w:divBdr>
    </w:div>
    <w:div w:id="290207240">
      <w:marLeft w:val="0"/>
      <w:marRight w:val="0"/>
      <w:marTop w:val="100"/>
      <w:marBottom w:val="0"/>
      <w:divBdr>
        <w:top w:val="none" w:sz="0" w:space="0" w:color="auto"/>
        <w:left w:val="none" w:sz="0" w:space="0" w:color="auto"/>
        <w:bottom w:val="none" w:sz="0" w:space="0" w:color="auto"/>
        <w:right w:val="none" w:sz="0" w:space="0" w:color="auto"/>
      </w:divBdr>
    </w:div>
    <w:div w:id="290333168">
      <w:marLeft w:val="0"/>
      <w:marRight w:val="0"/>
      <w:marTop w:val="60"/>
      <w:marBottom w:val="0"/>
      <w:divBdr>
        <w:top w:val="none" w:sz="0" w:space="0" w:color="auto"/>
        <w:left w:val="none" w:sz="0" w:space="0" w:color="auto"/>
        <w:bottom w:val="none" w:sz="0" w:space="0" w:color="auto"/>
        <w:right w:val="none" w:sz="0" w:space="0" w:color="auto"/>
      </w:divBdr>
    </w:div>
    <w:div w:id="292029301">
      <w:marLeft w:val="0"/>
      <w:marRight w:val="0"/>
      <w:marTop w:val="100"/>
      <w:marBottom w:val="0"/>
      <w:divBdr>
        <w:top w:val="none" w:sz="0" w:space="0" w:color="auto"/>
        <w:left w:val="none" w:sz="0" w:space="0" w:color="auto"/>
        <w:bottom w:val="none" w:sz="0" w:space="0" w:color="auto"/>
        <w:right w:val="none" w:sz="0" w:space="0" w:color="auto"/>
      </w:divBdr>
    </w:div>
    <w:div w:id="292492726">
      <w:marLeft w:val="0"/>
      <w:marRight w:val="0"/>
      <w:marTop w:val="240"/>
      <w:marBottom w:val="0"/>
      <w:divBdr>
        <w:top w:val="none" w:sz="0" w:space="0" w:color="auto"/>
        <w:left w:val="none" w:sz="0" w:space="0" w:color="auto"/>
        <w:bottom w:val="none" w:sz="0" w:space="0" w:color="auto"/>
        <w:right w:val="none" w:sz="0" w:space="0" w:color="auto"/>
      </w:divBdr>
    </w:div>
    <w:div w:id="292952191">
      <w:marLeft w:val="0"/>
      <w:marRight w:val="0"/>
      <w:marTop w:val="100"/>
      <w:marBottom w:val="0"/>
      <w:divBdr>
        <w:top w:val="none" w:sz="0" w:space="0" w:color="auto"/>
        <w:left w:val="none" w:sz="0" w:space="0" w:color="auto"/>
        <w:bottom w:val="none" w:sz="0" w:space="0" w:color="auto"/>
        <w:right w:val="none" w:sz="0" w:space="0" w:color="auto"/>
      </w:divBdr>
    </w:div>
    <w:div w:id="293679409">
      <w:marLeft w:val="0"/>
      <w:marRight w:val="0"/>
      <w:marTop w:val="100"/>
      <w:marBottom w:val="0"/>
      <w:divBdr>
        <w:top w:val="none" w:sz="0" w:space="0" w:color="auto"/>
        <w:left w:val="none" w:sz="0" w:space="0" w:color="auto"/>
        <w:bottom w:val="none" w:sz="0" w:space="0" w:color="auto"/>
        <w:right w:val="none" w:sz="0" w:space="0" w:color="auto"/>
      </w:divBdr>
    </w:div>
    <w:div w:id="295377369">
      <w:marLeft w:val="0"/>
      <w:marRight w:val="0"/>
      <w:marTop w:val="0"/>
      <w:marBottom w:val="0"/>
      <w:divBdr>
        <w:top w:val="none" w:sz="0" w:space="0" w:color="auto"/>
        <w:left w:val="none" w:sz="0" w:space="0" w:color="auto"/>
        <w:bottom w:val="none" w:sz="0" w:space="0" w:color="auto"/>
        <w:right w:val="none" w:sz="0" w:space="0" w:color="auto"/>
      </w:divBdr>
    </w:div>
    <w:div w:id="297537455">
      <w:marLeft w:val="0"/>
      <w:marRight w:val="0"/>
      <w:marTop w:val="0"/>
      <w:marBottom w:val="0"/>
      <w:divBdr>
        <w:top w:val="none" w:sz="0" w:space="0" w:color="auto"/>
        <w:left w:val="none" w:sz="0" w:space="0" w:color="auto"/>
        <w:bottom w:val="none" w:sz="0" w:space="0" w:color="auto"/>
        <w:right w:val="none" w:sz="0" w:space="0" w:color="auto"/>
      </w:divBdr>
      <w:divsChild>
        <w:div w:id="416752126">
          <w:marLeft w:val="0"/>
          <w:marRight w:val="0"/>
          <w:marTop w:val="0"/>
          <w:marBottom w:val="0"/>
          <w:divBdr>
            <w:top w:val="none" w:sz="0" w:space="0" w:color="auto"/>
            <w:left w:val="none" w:sz="0" w:space="0" w:color="auto"/>
            <w:bottom w:val="none" w:sz="0" w:space="0" w:color="auto"/>
            <w:right w:val="none" w:sz="0" w:space="0" w:color="auto"/>
          </w:divBdr>
        </w:div>
        <w:div w:id="396172437">
          <w:marLeft w:val="0"/>
          <w:marRight w:val="0"/>
          <w:marTop w:val="0"/>
          <w:marBottom w:val="0"/>
          <w:divBdr>
            <w:top w:val="none" w:sz="0" w:space="0" w:color="auto"/>
            <w:left w:val="none" w:sz="0" w:space="0" w:color="auto"/>
            <w:bottom w:val="none" w:sz="0" w:space="0" w:color="auto"/>
            <w:right w:val="none" w:sz="0" w:space="0" w:color="auto"/>
          </w:divBdr>
        </w:div>
      </w:divsChild>
    </w:div>
    <w:div w:id="298732297">
      <w:marLeft w:val="0"/>
      <w:marRight w:val="0"/>
      <w:marTop w:val="0"/>
      <w:marBottom w:val="0"/>
      <w:divBdr>
        <w:top w:val="none" w:sz="0" w:space="0" w:color="auto"/>
        <w:left w:val="none" w:sz="0" w:space="0" w:color="auto"/>
        <w:bottom w:val="none" w:sz="0" w:space="0" w:color="auto"/>
        <w:right w:val="none" w:sz="0" w:space="0" w:color="auto"/>
      </w:divBdr>
    </w:div>
    <w:div w:id="299238290">
      <w:marLeft w:val="0"/>
      <w:marRight w:val="0"/>
      <w:marTop w:val="100"/>
      <w:marBottom w:val="0"/>
      <w:divBdr>
        <w:top w:val="none" w:sz="0" w:space="0" w:color="auto"/>
        <w:left w:val="none" w:sz="0" w:space="0" w:color="auto"/>
        <w:bottom w:val="none" w:sz="0" w:space="0" w:color="auto"/>
        <w:right w:val="none" w:sz="0" w:space="0" w:color="auto"/>
      </w:divBdr>
    </w:div>
    <w:div w:id="299699104">
      <w:marLeft w:val="0"/>
      <w:marRight w:val="0"/>
      <w:marTop w:val="240"/>
      <w:marBottom w:val="0"/>
      <w:divBdr>
        <w:top w:val="none" w:sz="0" w:space="0" w:color="auto"/>
        <w:left w:val="none" w:sz="0" w:space="0" w:color="auto"/>
        <w:bottom w:val="none" w:sz="0" w:space="0" w:color="auto"/>
        <w:right w:val="none" w:sz="0" w:space="0" w:color="auto"/>
      </w:divBdr>
    </w:div>
    <w:div w:id="301080906">
      <w:marLeft w:val="0"/>
      <w:marRight w:val="0"/>
      <w:marTop w:val="100"/>
      <w:marBottom w:val="0"/>
      <w:divBdr>
        <w:top w:val="none" w:sz="0" w:space="0" w:color="auto"/>
        <w:left w:val="none" w:sz="0" w:space="0" w:color="auto"/>
        <w:bottom w:val="none" w:sz="0" w:space="0" w:color="auto"/>
        <w:right w:val="none" w:sz="0" w:space="0" w:color="auto"/>
      </w:divBdr>
    </w:div>
    <w:div w:id="301542525">
      <w:marLeft w:val="0"/>
      <w:marRight w:val="0"/>
      <w:marTop w:val="100"/>
      <w:marBottom w:val="0"/>
      <w:divBdr>
        <w:top w:val="none" w:sz="0" w:space="0" w:color="auto"/>
        <w:left w:val="none" w:sz="0" w:space="0" w:color="auto"/>
        <w:bottom w:val="none" w:sz="0" w:space="0" w:color="auto"/>
        <w:right w:val="none" w:sz="0" w:space="0" w:color="auto"/>
      </w:divBdr>
    </w:div>
    <w:div w:id="302274808">
      <w:marLeft w:val="0"/>
      <w:marRight w:val="0"/>
      <w:marTop w:val="60"/>
      <w:marBottom w:val="0"/>
      <w:divBdr>
        <w:top w:val="none" w:sz="0" w:space="0" w:color="auto"/>
        <w:left w:val="none" w:sz="0" w:space="0" w:color="auto"/>
        <w:bottom w:val="none" w:sz="0" w:space="0" w:color="auto"/>
        <w:right w:val="none" w:sz="0" w:space="0" w:color="auto"/>
      </w:divBdr>
    </w:div>
    <w:div w:id="303001334">
      <w:marLeft w:val="0"/>
      <w:marRight w:val="0"/>
      <w:marTop w:val="40"/>
      <w:marBottom w:val="0"/>
      <w:divBdr>
        <w:top w:val="none" w:sz="0" w:space="0" w:color="auto"/>
        <w:left w:val="none" w:sz="0" w:space="0" w:color="auto"/>
        <w:bottom w:val="none" w:sz="0" w:space="0" w:color="auto"/>
        <w:right w:val="none" w:sz="0" w:space="0" w:color="auto"/>
      </w:divBdr>
    </w:div>
    <w:div w:id="303241111">
      <w:marLeft w:val="0"/>
      <w:marRight w:val="0"/>
      <w:marTop w:val="240"/>
      <w:marBottom w:val="0"/>
      <w:divBdr>
        <w:top w:val="none" w:sz="0" w:space="0" w:color="auto"/>
        <w:left w:val="none" w:sz="0" w:space="0" w:color="auto"/>
        <w:bottom w:val="none" w:sz="0" w:space="0" w:color="auto"/>
        <w:right w:val="none" w:sz="0" w:space="0" w:color="auto"/>
      </w:divBdr>
    </w:div>
    <w:div w:id="303314572">
      <w:marLeft w:val="0"/>
      <w:marRight w:val="0"/>
      <w:marTop w:val="100"/>
      <w:marBottom w:val="0"/>
      <w:divBdr>
        <w:top w:val="none" w:sz="0" w:space="0" w:color="auto"/>
        <w:left w:val="none" w:sz="0" w:space="0" w:color="auto"/>
        <w:bottom w:val="none" w:sz="0" w:space="0" w:color="auto"/>
        <w:right w:val="none" w:sz="0" w:space="0" w:color="auto"/>
      </w:divBdr>
    </w:div>
    <w:div w:id="303899202">
      <w:marLeft w:val="0"/>
      <w:marRight w:val="0"/>
      <w:marTop w:val="100"/>
      <w:marBottom w:val="0"/>
      <w:divBdr>
        <w:top w:val="none" w:sz="0" w:space="0" w:color="auto"/>
        <w:left w:val="none" w:sz="0" w:space="0" w:color="auto"/>
        <w:bottom w:val="none" w:sz="0" w:space="0" w:color="auto"/>
        <w:right w:val="none" w:sz="0" w:space="0" w:color="auto"/>
      </w:divBdr>
    </w:div>
    <w:div w:id="304046368">
      <w:marLeft w:val="0"/>
      <w:marRight w:val="0"/>
      <w:marTop w:val="240"/>
      <w:marBottom w:val="0"/>
      <w:divBdr>
        <w:top w:val="none" w:sz="0" w:space="0" w:color="auto"/>
        <w:left w:val="none" w:sz="0" w:space="0" w:color="auto"/>
        <w:bottom w:val="none" w:sz="0" w:space="0" w:color="auto"/>
        <w:right w:val="none" w:sz="0" w:space="0" w:color="auto"/>
      </w:divBdr>
    </w:div>
    <w:div w:id="305664238">
      <w:marLeft w:val="0"/>
      <w:marRight w:val="0"/>
      <w:marTop w:val="0"/>
      <w:marBottom w:val="0"/>
      <w:divBdr>
        <w:top w:val="none" w:sz="0" w:space="0" w:color="auto"/>
        <w:left w:val="none" w:sz="0" w:space="0" w:color="auto"/>
        <w:bottom w:val="none" w:sz="0" w:space="0" w:color="auto"/>
        <w:right w:val="none" w:sz="0" w:space="0" w:color="auto"/>
      </w:divBdr>
      <w:divsChild>
        <w:div w:id="430973598">
          <w:marLeft w:val="0"/>
          <w:marRight w:val="0"/>
          <w:marTop w:val="0"/>
          <w:marBottom w:val="0"/>
          <w:divBdr>
            <w:top w:val="none" w:sz="0" w:space="0" w:color="auto"/>
            <w:left w:val="none" w:sz="0" w:space="0" w:color="auto"/>
            <w:bottom w:val="none" w:sz="0" w:space="0" w:color="auto"/>
            <w:right w:val="none" w:sz="0" w:space="0" w:color="auto"/>
          </w:divBdr>
        </w:div>
      </w:divsChild>
    </w:div>
    <w:div w:id="305863169">
      <w:marLeft w:val="0"/>
      <w:marRight w:val="0"/>
      <w:marTop w:val="0"/>
      <w:marBottom w:val="0"/>
      <w:divBdr>
        <w:top w:val="none" w:sz="0" w:space="0" w:color="auto"/>
        <w:left w:val="none" w:sz="0" w:space="0" w:color="auto"/>
        <w:bottom w:val="none" w:sz="0" w:space="0" w:color="auto"/>
        <w:right w:val="none" w:sz="0" w:space="0" w:color="auto"/>
      </w:divBdr>
    </w:div>
    <w:div w:id="308705733">
      <w:marLeft w:val="0"/>
      <w:marRight w:val="0"/>
      <w:marTop w:val="60"/>
      <w:marBottom w:val="0"/>
      <w:divBdr>
        <w:top w:val="none" w:sz="0" w:space="0" w:color="auto"/>
        <w:left w:val="none" w:sz="0" w:space="0" w:color="auto"/>
        <w:bottom w:val="none" w:sz="0" w:space="0" w:color="auto"/>
        <w:right w:val="none" w:sz="0" w:space="0" w:color="auto"/>
      </w:divBdr>
    </w:div>
    <w:div w:id="310258724">
      <w:marLeft w:val="0"/>
      <w:marRight w:val="0"/>
      <w:marTop w:val="100"/>
      <w:marBottom w:val="0"/>
      <w:divBdr>
        <w:top w:val="none" w:sz="0" w:space="0" w:color="auto"/>
        <w:left w:val="none" w:sz="0" w:space="0" w:color="auto"/>
        <w:bottom w:val="none" w:sz="0" w:space="0" w:color="auto"/>
        <w:right w:val="none" w:sz="0" w:space="0" w:color="auto"/>
      </w:divBdr>
    </w:div>
    <w:div w:id="313225247">
      <w:marLeft w:val="0"/>
      <w:marRight w:val="0"/>
      <w:marTop w:val="100"/>
      <w:marBottom w:val="0"/>
      <w:divBdr>
        <w:top w:val="none" w:sz="0" w:space="0" w:color="auto"/>
        <w:left w:val="none" w:sz="0" w:space="0" w:color="auto"/>
        <w:bottom w:val="none" w:sz="0" w:space="0" w:color="auto"/>
        <w:right w:val="none" w:sz="0" w:space="0" w:color="auto"/>
      </w:divBdr>
    </w:div>
    <w:div w:id="313530076">
      <w:marLeft w:val="0"/>
      <w:marRight w:val="0"/>
      <w:marTop w:val="100"/>
      <w:marBottom w:val="0"/>
      <w:divBdr>
        <w:top w:val="none" w:sz="0" w:space="0" w:color="auto"/>
        <w:left w:val="none" w:sz="0" w:space="0" w:color="auto"/>
        <w:bottom w:val="none" w:sz="0" w:space="0" w:color="auto"/>
        <w:right w:val="none" w:sz="0" w:space="0" w:color="auto"/>
      </w:divBdr>
    </w:div>
    <w:div w:id="313922709">
      <w:marLeft w:val="0"/>
      <w:marRight w:val="0"/>
      <w:marTop w:val="100"/>
      <w:marBottom w:val="0"/>
      <w:divBdr>
        <w:top w:val="none" w:sz="0" w:space="0" w:color="auto"/>
        <w:left w:val="none" w:sz="0" w:space="0" w:color="auto"/>
        <w:bottom w:val="none" w:sz="0" w:space="0" w:color="auto"/>
        <w:right w:val="none" w:sz="0" w:space="0" w:color="auto"/>
      </w:divBdr>
      <w:divsChild>
        <w:div w:id="1961909705">
          <w:marLeft w:val="0"/>
          <w:marRight w:val="0"/>
          <w:marTop w:val="0"/>
          <w:marBottom w:val="0"/>
          <w:divBdr>
            <w:top w:val="none" w:sz="0" w:space="0" w:color="auto"/>
            <w:left w:val="none" w:sz="0" w:space="0" w:color="auto"/>
            <w:bottom w:val="none" w:sz="0" w:space="0" w:color="auto"/>
            <w:right w:val="none" w:sz="0" w:space="0" w:color="auto"/>
          </w:divBdr>
        </w:div>
      </w:divsChild>
    </w:div>
    <w:div w:id="315576281">
      <w:marLeft w:val="0"/>
      <w:marRight w:val="0"/>
      <w:marTop w:val="100"/>
      <w:marBottom w:val="0"/>
      <w:divBdr>
        <w:top w:val="none" w:sz="0" w:space="0" w:color="auto"/>
        <w:left w:val="none" w:sz="0" w:space="0" w:color="auto"/>
        <w:bottom w:val="none" w:sz="0" w:space="0" w:color="auto"/>
        <w:right w:val="none" w:sz="0" w:space="0" w:color="auto"/>
      </w:divBdr>
    </w:div>
    <w:div w:id="316032061">
      <w:marLeft w:val="0"/>
      <w:marRight w:val="0"/>
      <w:marTop w:val="100"/>
      <w:marBottom w:val="0"/>
      <w:divBdr>
        <w:top w:val="none" w:sz="0" w:space="0" w:color="auto"/>
        <w:left w:val="none" w:sz="0" w:space="0" w:color="auto"/>
        <w:bottom w:val="none" w:sz="0" w:space="0" w:color="auto"/>
        <w:right w:val="none" w:sz="0" w:space="0" w:color="auto"/>
      </w:divBdr>
    </w:div>
    <w:div w:id="317341485">
      <w:marLeft w:val="0"/>
      <w:marRight w:val="0"/>
      <w:marTop w:val="40"/>
      <w:marBottom w:val="0"/>
      <w:divBdr>
        <w:top w:val="none" w:sz="0" w:space="0" w:color="auto"/>
        <w:left w:val="none" w:sz="0" w:space="0" w:color="auto"/>
        <w:bottom w:val="none" w:sz="0" w:space="0" w:color="auto"/>
        <w:right w:val="none" w:sz="0" w:space="0" w:color="auto"/>
      </w:divBdr>
    </w:div>
    <w:div w:id="320161755">
      <w:marLeft w:val="0"/>
      <w:marRight w:val="0"/>
      <w:marTop w:val="100"/>
      <w:marBottom w:val="0"/>
      <w:divBdr>
        <w:top w:val="none" w:sz="0" w:space="0" w:color="auto"/>
        <w:left w:val="none" w:sz="0" w:space="0" w:color="auto"/>
        <w:bottom w:val="none" w:sz="0" w:space="0" w:color="auto"/>
        <w:right w:val="none" w:sz="0" w:space="0" w:color="auto"/>
      </w:divBdr>
    </w:div>
    <w:div w:id="320621407">
      <w:marLeft w:val="0"/>
      <w:marRight w:val="0"/>
      <w:marTop w:val="0"/>
      <w:marBottom w:val="0"/>
      <w:divBdr>
        <w:top w:val="none" w:sz="0" w:space="0" w:color="auto"/>
        <w:left w:val="none" w:sz="0" w:space="0" w:color="auto"/>
        <w:bottom w:val="none" w:sz="0" w:space="0" w:color="auto"/>
        <w:right w:val="none" w:sz="0" w:space="0" w:color="auto"/>
      </w:divBdr>
      <w:divsChild>
        <w:div w:id="1064841140">
          <w:marLeft w:val="0"/>
          <w:marRight w:val="0"/>
          <w:marTop w:val="0"/>
          <w:marBottom w:val="0"/>
          <w:divBdr>
            <w:top w:val="none" w:sz="0" w:space="0" w:color="auto"/>
            <w:left w:val="none" w:sz="0" w:space="0" w:color="auto"/>
            <w:bottom w:val="none" w:sz="0" w:space="0" w:color="auto"/>
            <w:right w:val="none" w:sz="0" w:space="0" w:color="auto"/>
          </w:divBdr>
        </w:div>
      </w:divsChild>
    </w:div>
    <w:div w:id="326246782">
      <w:marLeft w:val="0"/>
      <w:marRight w:val="0"/>
      <w:marTop w:val="60"/>
      <w:marBottom w:val="0"/>
      <w:divBdr>
        <w:top w:val="none" w:sz="0" w:space="0" w:color="auto"/>
        <w:left w:val="none" w:sz="0" w:space="0" w:color="auto"/>
        <w:bottom w:val="none" w:sz="0" w:space="0" w:color="auto"/>
        <w:right w:val="none" w:sz="0" w:space="0" w:color="auto"/>
      </w:divBdr>
    </w:div>
    <w:div w:id="326399253">
      <w:marLeft w:val="0"/>
      <w:marRight w:val="0"/>
      <w:marTop w:val="100"/>
      <w:marBottom w:val="0"/>
      <w:divBdr>
        <w:top w:val="none" w:sz="0" w:space="0" w:color="auto"/>
        <w:left w:val="none" w:sz="0" w:space="0" w:color="auto"/>
        <w:bottom w:val="none" w:sz="0" w:space="0" w:color="auto"/>
        <w:right w:val="none" w:sz="0" w:space="0" w:color="auto"/>
      </w:divBdr>
    </w:div>
    <w:div w:id="327245455">
      <w:marLeft w:val="0"/>
      <w:marRight w:val="0"/>
      <w:marTop w:val="240"/>
      <w:marBottom w:val="0"/>
      <w:divBdr>
        <w:top w:val="none" w:sz="0" w:space="0" w:color="auto"/>
        <w:left w:val="none" w:sz="0" w:space="0" w:color="auto"/>
        <w:bottom w:val="none" w:sz="0" w:space="0" w:color="auto"/>
        <w:right w:val="none" w:sz="0" w:space="0" w:color="auto"/>
      </w:divBdr>
    </w:div>
    <w:div w:id="331690899">
      <w:marLeft w:val="0"/>
      <w:marRight w:val="0"/>
      <w:marTop w:val="60"/>
      <w:marBottom w:val="0"/>
      <w:divBdr>
        <w:top w:val="none" w:sz="0" w:space="0" w:color="auto"/>
        <w:left w:val="none" w:sz="0" w:space="0" w:color="auto"/>
        <w:bottom w:val="none" w:sz="0" w:space="0" w:color="auto"/>
        <w:right w:val="none" w:sz="0" w:space="0" w:color="auto"/>
      </w:divBdr>
    </w:div>
    <w:div w:id="332267541">
      <w:marLeft w:val="0"/>
      <w:marRight w:val="0"/>
      <w:marTop w:val="0"/>
      <w:marBottom w:val="0"/>
      <w:divBdr>
        <w:top w:val="none" w:sz="0" w:space="0" w:color="auto"/>
        <w:left w:val="none" w:sz="0" w:space="0" w:color="auto"/>
        <w:bottom w:val="none" w:sz="0" w:space="0" w:color="auto"/>
        <w:right w:val="none" w:sz="0" w:space="0" w:color="auto"/>
      </w:divBdr>
    </w:div>
    <w:div w:id="333192104">
      <w:marLeft w:val="0"/>
      <w:marRight w:val="0"/>
      <w:marTop w:val="100"/>
      <w:marBottom w:val="0"/>
      <w:divBdr>
        <w:top w:val="none" w:sz="0" w:space="0" w:color="auto"/>
        <w:left w:val="none" w:sz="0" w:space="0" w:color="auto"/>
        <w:bottom w:val="none" w:sz="0" w:space="0" w:color="auto"/>
        <w:right w:val="none" w:sz="0" w:space="0" w:color="auto"/>
      </w:divBdr>
    </w:div>
    <w:div w:id="334497049">
      <w:marLeft w:val="0"/>
      <w:marRight w:val="0"/>
      <w:marTop w:val="0"/>
      <w:marBottom w:val="0"/>
      <w:divBdr>
        <w:top w:val="none" w:sz="0" w:space="0" w:color="auto"/>
        <w:left w:val="none" w:sz="0" w:space="0" w:color="auto"/>
        <w:bottom w:val="none" w:sz="0" w:space="0" w:color="auto"/>
        <w:right w:val="none" w:sz="0" w:space="0" w:color="auto"/>
      </w:divBdr>
      <w:divsChild>
        <w:div w:id="768506005">
          <w:marLeft w:val="0"/>
          <w:marRight w:val="0"/>
          <w:marTop w:val="0"/>
          <w:marBottom w:val="0"/>
          <w:divBdr>
            <w:top w:val="none" w:sz="0" w:space="0" w:color="auto"/>
            <w:left w:val="none" w:sz="0" w:space="0" w:color="auto"/>
            <w:bottom w:val="none" w:sz="0" w:space="0" w:color="auto"/>
            <w:right w:val="none" w:sz="0" w:space="0" w:color="auto"/>
          </w:divBdr>
        </w:div>
      </w:divsChild>
    </w:div>
    <w:div w:id="335620500">
      <w:marLeft w:val="0"/>
      <w:marRight w:val="0"/>
      <w:marTop w:val="100"/>
      <w:marBottom w:val="0"/>
      <w:divBdr>
        <w:top w:val="none" w:sz="0" w:space="0" w:color="auto"/>
        <w:left w:val="none" w:sz="0" w:space="0" w:color="auto"/>
        <w:bottom w:val="none" w:sz="0" w:space="0" w:color="auto"/>
        <w:right w:val="none" w:sz="0" w:space="0" w:color="auto"/>
      </w:divBdr>
    </w:div>
    <w:div w:id="337076903">
      <w:marLeft w:val="0"/>
      <w:marRight w:val="0"/>
      <w:marTop w:val="0"/>
      <w:marBottom w:val="0"/>
      <w:divBdr>
        <w:top w:val="none" w:sz="0" w:space="0" w:color="auto"/>
        <w:left w:val="none" w:sz="0" w:space="0" w:color="auto"/>
        <w:bottom w:val="none" w:sz="0" w:space="0" w:color="auto"/>
        <w:right w:val="none" w:sz="0" w:space="0" w:color="auto"/>
      </w:divBdr>
      <w:divsChild>
        <w:div w:id="1761951729">
          <w:marLeft w:val="0"/>
          <w:marRight w:val="0"/>
          <w:marTop w:val="0"/>
          <w:marBottom w:val="0"/>
          <w:divBdr>
            <w:top w:val="none" w:sz="0" w:space="0" w:color="auto"/>
            <w:left w:val="none" w:sz="0" w:space="0" w:color="auto"/>
            <w:bottom w:val="none" w:sz="0" w:space="0" w:color="auto"/>
            <w:right w:val="none" w:sz="0" w:space="0" w:color="auto"/>
          </w:divBdr>
        </w:div>
      </w:divsChild>
    </w:div>
    <w:div w:id="337199668">
      <w:marLeft w:val="0"/>
      <w:marRight w:val="0"/>
      <w:marTop w:val="0"/>
      <w:marBottom w:val="0"/>
      <w:divBdr>
        <w:top w:val="none" w:sz="0" w:space="0" w:color="auto"/>
        <w:left w:val="none" w:sz="0" w:space="0" w:color="auto"/>
        <w:bottom w:val="none" w:sz="0" w:space="0" w:color="auto"/>
        <w:right w:val="none" w:sz="0" w:space="0" w:color="auto"/>
      </w:divBdr>
    </w:div>
    <w:div w:id="337738036">
      <w:marLeft w:val="0"/>
      <w:marRight w:val="0"/>
      <w:marTop w:val="60"/>
      <w:marBottom w:val="0"/>
      <w:divBdr>
        <w:top w:val="none" w:sz="0" w:space="0" w:color="auto"/>
        <w:left w:val="none" w:sz="0" w:space="0" w:color="auto"/>
        <w:bottom w:val="none" w:sz="0" w:space="0" w:color="auto"/>
        <w:right w:val="none" w:sz="0" w:space="0" w:color="auto"/>
      </w:divBdr>
    </w:div>
    <w:div w:id="338238913">
      <w:marLeft w:val="0"/>
      <w:marRight w:val="0"/>
      <w:marTop w:val="100"/>
      <w:marBottom w:val="0"/>
      <w:divBdr>
        <w:top w:val="none" w:sz="0" w:space="0" w:color="auto"/>
        <w:left w:val="none" w:sz="0" w:space="0" w:color="auto"/>
        <w:bottom w:val="none" w:sz="0" w:space="0" w:color="auto"/>
        <w:right w:val="none" w:sz="0" w:space="0" w:color="auto"/>
      </w:divBdr>
    </w:div>
    <w:div w:id="341708736">
      <w:marLeft w:val="0"/>
      <w:marRight w:val="0"/>
      <w:marTop w:val="240"/>
      <w:marBottom w:val="0"/>
      <w:divBdr>
        <w:top w:val="none" w:sz="0" w:space="0" w:color="auto"/>
        <w:left w:val="none" w:sz="0" w:space="0" w:color="auto"/>
        <w:bottom w:val="none" w:sz="0" w:space="0" w:color="auto"/>
        <w:right w:val="none" w:sz="0" w:space="0" w:color="auto"/>
      </w:divBdr>
    </w:div>
    <w:div w:id="343824461">
      <w:marLeft w:val="0"/>
      <w:marRight w:val="0"/>
      <w:marTop w:val="100"/>
      <w:marBottom w:val="0"/>
      <w:divBdr>
        <w:top w:val="none" w:sz="0" w:space="0" w:color="auto"/>
        <w:left w:val="none" w:sz="0" w:space="0" w:color="auto"/>
        <w:bottom w:val="none" w:sz="0" w:space="0" w:color="auto"/>
        <w:right w:val="none" w:sz="0" w:space="0" w:color="auto"/>
      </w:divBdr>
    </w:div>
    <w:div w:id="344551450">
      <w:marLeft w:val="0"/>
      <w:marRight w:val="0"/>
      <w:marTop w:val="0"/>
      <w:marBottom w:val="0"/>
      <w:divBdr>
        <w:top w:val="none" w:sz="0" w:space="0" w:color="auto"/>
        <w:left w:val="none" w:sz="0" w:space="0" w:color="auto"/>
        <w:bottom w:val="none" w:sz="0" w:space="0" w:color="auto"/>
        <w:right w:val="none" w:sz="0" w:space="0" w:color="auto"/>
      </w:divBdr>
      <w:divsChild>
        <w:div w:id="287664570">
          <w:marLeft w:val="0"/>
          <w:marRight w:val="0"/>
          <w:marTop w:val="0"/>
          <w:marBottom w:val="0"/>
          <w:divBdr>
            <w:top w:val="none" w:sz="0" w:space="0" w:color="auto"/>
            <w:left w:val="none" w:sz="0" w:space="0" w:color="auto"/>
            <w:bottom w:val="none" w:sz="0" w:space="0" w:color="auto"/>
            <w:right w:val="none" w:sz="0" w:space="0" w:color="auto"/>
          </w:divBdr>
        </w:div>
        <w:div w:id="776407912">
          <w:marLeft w:val="0"/>
          <w:marRight w:val="0"/>
          <w:marTop w:val="0"/>
          <w:marBottom w:val="0"/>
          <w:divBdr>
            <w:top w:val="none" w:sz="0" w:space="0" w:color="auto"/>
            <w:left w:val="none" w:sz="0" w:space="0" w:color="auto"/>
            <w:bottom w:val="none" w:sz="0" w:space="0" w:color="auto"/>
            <w:right w:val="none" w:sz="0" w:space="0" w:color="auto"/>
          </w:divBdr>
        </w:div>
      </w:divsChild>
    </w:div>
    <w:div w:id="345059040">
      <w:marLeft w:val="0"/>
      <w:marRight w:val="0"/>
      <w:marTop w:val="100"/>
      <w:marBottom w:val="0"/>
      <w:divBdr>
        <w:top w:val="none" w:sz="0" w:space="0" w:color="auto"/>
        <w:left w:val="none" w:sz="0" w:space="0" w:color="auto"/>
        <w:bottom w:val="none" w:sz="0" w:space="0" w:color="auto"/>
        <w:right w:val="none" w:sz="0" w:space="0" w:color="auto"/>
      </w:divBdr>
    </w:div>
    <w:div w:id="345984965">
      <w:marLeft w:val="0"/>
      <w:marRight w:val="0"/>
      <w:marTop w:val="0"/>
      <w:marBottom w:val="0"/>
      <w:divBdr>
        <w:top w:val="none" w:sz="0" w:space="0" w:color="auto"/>
        <w:left w:val="none" w:sz="0" w:space="0" w:color="auto"/>
        <w:bottom w:val="none" w:sz="0" w:space="0" w:color="auto"/>
        <w:right w:val="none" w:sz="0" w:space="0" w:color="auto"/>
      </w:divBdr>
      <w:divsChild>
        <w:div w:id="1510296715">
          <w:marLeft w:val="0"/>
          <w:marRight w:val="0"/>
          <w:marTop w:val="0"/>
          <w:marBottom w:val="0"/>
          <w:divBdr>
            <w:top w:val="none" w:sz="0" w:space="0" w:color="auto"/>
            <w:left w:val="none" w:sz="0" w:space="0" w:color="auto"/>
            <w:bottom w:val="none" w:sz="0" w:space="0" w:color="auto"/>
            <w:right w:val="none" w:sz="0" w:space="0" w:color="auto"/>
          </w:divBdr>
        </w:div>
      </w:divsChild>
    </w:div>
    <w:div w:id="347489478">
      <w:marLeft w:val="0"/>
      <w:marRight w:val="0"/>
      <w:marTop w:val="240"/>
      <w:marBottom w:val="0"/>
      <w:divBdr>
        <w:top w:val="none" w:sz="0" w:space="0" w:color="auto"/>
        <w:left w:val="none" w:sz="0" w:space="0" w:color="auto"/>
        <w:bottom w:val="none" w:sz="0" w:space="0" w:color="auto"/>
        <w:right w:val="none" w:sz="0" w:space="0" w:color="auto"/>
      </w:divBdr>
    </w:div>
    <w:div w:id="347872260">
      <w:marLeft w:val="0"/>
      <w:marRight w:val="0"/>
      <w:marTop w:val="100"/>
      <w:marBottom w:val="0"/>
      <w:divBdr>
        <w:top w:val="none" w:sz="0" w:space="0" w:color="auto"/>
        <w:left w:val="none" w:sz="0" w:space="0" w:color="auto"/>
        <w:bottom w:val="none" w:sz="0" w:space="0" w:color="auto"/>
        <w:right w:val="none" w:sz="0" w:space="0" w:color="auto"/>
      </w:divBdr>
    </w:div>
    <w:div w:id="351615790">
      <w:marLeft w:val="0"/>
      <w:marRight w:val="0"/>
      <w:marTop w:val="0"/>
      <w:marBottom w:val="0"/>
      <w:divBdr>
        <w:top w:val="none" w:sz="0" w:space="0" w:color="auto"/>
        <w:left w:val="none" w:sz="0" w:space="0" w:color="auto"/>
        <w:bottom w:val="none" w:sz="0" w:space="0" w:color="auto"/>
        <w:right w:val="none" w:sz="0" w:space="0" w:color="auto"/>
      </w:divBdr>
      <w:divsChild>
        <w:div w:id="767191054">
          <w:marLeft w:val="0"/>
          <w:marRight w:val="0"/>
          <w:marTop w:val="0"/>
          <w:marBottom w:val="0"/>
          <w:divBdr>
            <w:top w:val="none" w:sz="0" w:space="0" w:color="auto"/>
            <w:left w:val="none" w:sz="0" w:space="0" w:color="auto"/>
            <w:bottom w:val="none" w:sz="0" w:space="0" w:color="auto"/>
            <w:right w:val="none" w:sz="0" w:space="0" w:color="auto"/>
          </w:divBdr>
        </w:div>
        <w:div w:id="33896456">
          <w:marLeft w:val="0"/>
          <w:marRight w:val="0"/>
          <w:marTop w:val="0"/>
          <w:marBottom w:val="0"/>
          <w:divBdr>
            <w:top w:val="none" w:sz="0" w:space="0" w:color="auto"/>
            <w:left w:val="none" w:sz="0" w:space="0" w:color="auto"/>
            <w:bottom w:val="none" w:sz="0" w:space="0" w:color="auto"/>
            <w:right w:val="none" w:sz="0" w:space="0" w:color="auto"/>
          </w:divBdr>
        </w:div>
      </w:divsChild>
    </w:div>
    <w:div w:id="354111756">
      <w:marLeft w:val="0"/>
      <w:marRight w:val="0"/>
      <w:marTop w:val="240"/>
      <w:marBottom w:val="0"/>
      <w:divBdr>
        <w:top w:val="none" w:sz="0" w:space="0" w:color="auto"/>
        <w:left w:val="none" w:sz="0" w:space="0" w:color="auto"/>
        <w:bottom w:val="none" w:sz="0" w:space="0" w:color="auto"/>
        <w:right w:val="none" w:sz="0" w:space="0" w:color="auto"/>
      </w:divBdr>
    </w:div>
    <w:div w:id="364411640">
      <w:marLeft w:val="0"/>
      <w:marRight w:val="0"/>
      <w:marTop w:val="100"/>
      <w:marBottom w:val="0"/>
      <w:divBdr>
        <w:top w:val="none" w:sz="0" w:space="0" w:color="auto"/>
        <w:left w:val="none" w:sz="0" w:space="0" w:color="auto"/>
        <w:bottom w:val="none" w:sz="0" w:space="0" w:color="auto"/>
        <w:right w:val="none" w:sz="0" w:space="0" w:color="auto"/>
      </w:divBdr>
    </w:div>
    <w:div w:id="365567788">
      <w:marLeft w:val="0"/>
      <w:marRight w:val="0"/>
      <w:marTop w:val="100"/>
      <w:marBottom w:val="0"/>
      <w:divBdr>
        <w:top w:val="none" w:sz="0" w:space="0" w:color="auto"/>
        <w:left w:val="none" w:sz="0" w:space="0" w:color="auto"/>
        <w:bottom w:val="none" w:sz="0" w:space="0" w:color="auto"/>
        <w:right w:val="none" w:sz="0" w:space="0" w:color="auto"/>
      </w:divBdr>
    </w:div>
    <w:div w:id="368066300">
      <w:marLeft w:val="0"/>
      <w:marRight w:val="0"/>
      <w:marTop w:val="100"/>
      <w:marBottom w:val="0"/>
      <w:divBdr>
        <w:top w:val="none" w:sz="0" w:space="0" w:color="auto"/>
        <w:left w:val="none" w:sz="0" w:space="0" w:color="auto"/>
        <w:bottom w:val="none" w:sz="0" w:space="0" w:color="auto"/>
        <w:right w:val="none" w:sz="0" w:space="0" w:color="auto"/>
      </w:divBdr>
    </w:div>
    <w:div w:id="368652572">
      <w:marLeft w:val="0"/>
      <w:marRight w:val="0"/>
      <w:marTop w:val="60"/>
      <w:marBottom w:val="0"/>
      <w:divBdr>
        <w:top w:val="none" w:sz="0" w:space="0" w:color="auto"/>
        <w:left w:val="none" w:sz="0" w:space="0" w:color="auto"/>
        <w:bottom w:val="none" w:sz="0" w:space="0" w:color="auto"/>
        <w:right w:val="none" w:sz="0" w:space="0" w:color="auto"/>
      </w:divBdr>
    </w:div>
    <w:div w:id="369110905">
      <w:marLeft w:val="0"/>
      <w:marRight w:val="0"/>
      <w:marTop w:val="0"/>
      <w:marBottom w:val="0"/>
      <w:divBdr>
        <w:top w:val="none" w:sz="0" w:space="0" w:color="auto"/>
        <w:left w:val="none" w:sz="0" w:space="0" w:color="auto"/>
        <w:bottom w:val="none" w:sz="0" w:space="0" w:color="auto"/>
        <w:right w:val="none" w:sz="0" w:space="0" w:color="auto"/>
      </w:divBdr>
      <w:divsChild>
        <w:div w:id="131294389">
          <w:marLeft w:val="0"/>
          <w:marRight w:val="0"/>
          <w:marTop w:val="0"/>
          <w:marBottom w:val="0"/>
          <w:divBdr>
            <w:top w:val="none" w:sz="0" w:space="0" w:color="auto"/>
            <w:left w:val="none" w:sz="0" w:space="0" w:color="auto"/>
            <w:bottom w:val="none" w:sz="0" w:space="0" w:color="auto"/>
            <w:right w:val="none" w:sz="0" w:space="0" w:color="auto"/>
          </w:divBdr>
        </w:div>
      </w:divsChild>
    </w:div>
    <w:div w:id="370737739">
      <w:marLeft w:val="0"/>
      <w:marRight w:val="0"/>
      <w:marTop w:val="240"/>
      <w:marBottom w:val="0"/>
      <w:divBdr>
        <w:top w:val="none" w:sz="0" w:space="0" w:color="auto"/>
        <w:left w:val="none" w:sz="0" w:space="0" w:color="auto"/>
        <w:bottom w:val="none" w:sz="0" w:space="0" w:color="auto"/>
        <w:right w:val="none" w:sz="0" w:space="0" w:color="auto"/>
      </w:divBdr>
    </w:div>
    <w:div w:id="373972010">
      <w:marLeft w:val="0"/>
      <w:marRight w:val="0"/>
      <w:marTop w:val="100"/>
      <w:marBottom w:val="0"/>
      <w:divBdr>
        <w:top w:val="none" w:sz="0" w:space="0" w:color="auto"/>
        <w:left w:val="none" w:sz="0" w:space="0" w:color="auto"/>
        <w:bottom w:val="none" w:sz="0" w:space="0" w:color="auto"/>
        <w:right w:val="none" w:sz="0" w:space="0" w:color="auto"/>
      </w:divBdr>
    </w:div>
    <w:div w:id="374044694">
      <w:marLeft w:val="0"/>
      <w:marRight w:val="0"/>
      <w:marTop w:val="100"/>
      <w:marBottom w:val="0"/>
      <w:divBdr>
        <w:top w:val="none" w:sz="0" w:space="0" w:color="auto"/>
        <w:left w:val="none" w:sz="0" w:space="0" w:color="auto"/>
        <w:bottom w:val="none" w:sz="0" w:space="0" w:color="auto"/>
        <w:right w:val="none" w:sz="0" w:space="0" w:color="auto"/>
      </w:divBdr>
    </w:div>
    <w:div w:id="376126508">
      <w:marLeft w:val="0"/>
      <w:marRight w:val="0"/>
      <w:marTop w:val="100"/>
      <w:marBottom w:val="0"/>
      <w:divBdr>
        <w:top w:val="none" w:sz="0" w:space="0" w:color="auto"/>
        <w:left w:val="none" w:sz="0" w:space="0" w:color="auto"/>
        <w:bottom w:val="none" w:sz="0" w:space="0" w:color="auto"/>
        <w:right w:val="none" w:sz="0" w:space="0" w:color="auto"/>
      </w:divBdr>
    </w:div>
    <w:div w:id="378087786">
      <w:marLeft w:val="0"/>
      <w:marRight w:val="0"/>
      <w:marTop w:val="100"/>
      <w:marBottom w:val="0"/>
      <w:divBdr>
        <w:top w:val="none" w:sz="0" w:space="0" w:color="auto"/>
        <w:left w:val="none" w:sz="0" w:space="0" w:color="auto"/>
        <w:bottom w:val="none" w:sz="0" w:space="0" w:color="auto"/>
        <w:right w:val="none" w:sz="0" w:space="0" w:color="auto"/>
      </w:divBdr>
    </w:div>
    <w:div w:id="378818292">
      <w:marLeft w:val="0"/>
      <w:marRight w:val="0"/>
      <w:marTop w:val="100"/>
      <w:marBottom w:val="0"/>
      <w:divBdr>
        <w:top w:val="none" w:sz="0" w:space="0" w:color="auto"/>
        <w:left w:val="none" w:sz="0" w:space="0" w:color="auto"/>
        <w:bottom w:val="none" w:sz="0" w:space="0" w:color="auto"/>
        <w:right w:val="none" w:sz="0" w:space="0" w:color="auto"/>
      </w:divBdr>
    </w:div>
    <w:div w:id="379327084">
      <w:marLeft w:val="0"/>
      <w:marRight w:val="0"/>
      <w:marTop w:val="100"/>
      <w:marBottom w:val="0"/>
      <w:divBdr>
        <w:top w:val="none" w:sz="0" w:space="0" w:color="auto"/>
        <w:left w:val="none" w:sz="0" w:space="0" w:color="auto"/>
        <w:bottom w:val="none" w:sz="0" w:space="0" w:color="auto"/>
        <w:right w:val="none" w:sz="0" w:space="0" w:color="auto"/>
      </w:divBdr>
    </w:div>
    <w:div w:id="379401827">
      <w:marLeft w:val="0"/>
      <w:marRight w:val="0"/>
      <w:marTop w:val="0"/>
      <w:marBottom w:val="0"/>
      <w:divBdr>
        <w:top w:val="none" w:sz="0" w:space="0" w:color="auto"/>
        <w:left w:val="none" w:sz="0" w:space="0" w:color="auto"/>
        <w:bottom w:val="none" w:sz="0" w:space="0" w:color="auto"/>
        <w:right w:val="none" w:sz="0" w:space="0" w:color="auto"/>
      </w:divBdr>
      <w:divsChild>
        <w:div w:id="558706745">
          <w:marLeft w:val="0"/>
          <w:marRight w:val="0"/>
          <w:marTop w:val="0"/>
          <w:marBottom w:val="0"/>
          <w:divBdr>
            <w:top w:val="none" w:sz="0" w:space="0" w:color="auto"/>
            <w:left w:val="none" w:sz="0" w:space="0" w:color="auto"/>
            <w:bottom w:val="none" w:sz="0" w:space="0" w:color="auto"/>
            <w:right w:val="none" w:sz="0" w:space="0" w:color="auto"/>
          </w:divBdr>
        </w:div>
      </w:divsChild>
    </w:div>
    <w:div w:id="381367984">
      <w:marLeft w:val="0"/>
      <w:marRight w:val="0"/>
      <w:marTop w:val="100"/>
      <w:marBottom w:val="0"/>
      <w:divBdr>
        <w:top w:val="none" w:sz="0" w:space="0" w:color="auto"/>
        <w:left w:val="none" w:sz="0" w:space="0" w:color="auto"/>
        <w:bottom w:val="none" w:sz="0" w:space="0" w:color="auto"/>
        <w:right w:val="none" w:sz="0" w:space="0" w:color="auto"/>
      </w:divBdr>
    </w:div>
    <w:div w:id="381945449">
      <w:marLeft w:val="0"/>
      <w:marRight w:val="0"/>
      <w:marTop w:val="100"/>
      <w:marBottom w:val="0"/>
      <w:divBdr>
        <w:top w:val="none" w:sz="0" w:space="0" w:color="auto"/>
        <w:left w:val="none" w:sz="0" w:space="0" w:color="auto"/>
        <w:bottom w:val="none" w:sz="0" w:space="0" w:color="auto"/>
        <w:right w:val="none" w:sz="0" w:space="0" w:color="auto"/>
      </w:divBdr>
    </w:div>
    <w:div w:id="383725301">
      <w:marLeft w:val="0"/>
      <w:marRight w:val="0"/>
      <w:marTop w:val="100"/>
      <w:marBottom w:val="0"/>
      <w:divBdr>
        <w:top w:val="none" w:sz="0" w:space="0" w:color="auto"/>
        <w:left w:val="none" w:sz="0" w:space="0" w:color="auto"/>
        <w:bottom w:val="none" w:sz="0" w:space="0" w:color="auto"/>
        <w:right w:val="none" w:sz="0" w:space="0" w:color="auto"/>
      </w:divBdr>
    </w:div>
    <w:div w:id="385835096">
      <w:marLeft w:val="0"/>
      <w:marRight w:val="0"/>
      <w:marTop w:val="100"/>
      <w:marBottom w:val="0"/>
      <w:divBdr>
        <w:top w:val="none" w:sz="0" w:space="0" w:color="auto"/>
        <w:left w:val="none" w:sz="0" w:space="0" w:color="auto"/>
        <w:bottom w:val="none" w:sz="0" w:space="0" w:color="auto"/>
        <w:right w:val="none" w:sz="0" w:space="0" w:color="auto"/>
      </w:divBdr>
    </w:div>
    <w:div w:id="388119470">
      <w:marLeft w:val="0"/>
      <w:marRight w:val="0"/>
      <w:marTop w:val="240"/>
      <w:marBottom w:val="0"/>
      <w:divBdr>
        <w:top w:val="none" w:sz="0" w:space="0" w:color="auto"/>
        <w:left w:val="none" w:sz="0" w:space="0" w:color="auto"/>
        <w:bottom w:val="none" w:sz="0" w:space="0" w:color="auto"/>
        <w:right w:val="none" w:sz="0" w:space="0" w:color="auto"/>
      </w:divBdr>
    </w:div>
    <w:div w:id="390008838">
      <w:marLeft w:val="0"/>
      <w:marRight w:val="0"/>
      <w:marTop w:val="240"/>
      <w:marBottom w:val="0"/>
      <w:divBdr>
        <w:top w:val="none" w:sz="0" w:space="0" w:color="auto"/>
        <w:left w:val="none" w:sz="0" w:space="0" w:color="auto"/>
        <w:bottom w:val="none" w:sz="0" w:space="0" w:color="auto"/>
        <w:right w:val="none" w:sz="0" w:space="0" w:color="auto"/>
      </w:divBdr>
    </w:div>
    <w:div w:id="390736331">
      <w:marLeft w:val="0"/>
      <w:marRight w:val="0"/>
      <w:marTop w:val="100"/>
      <w:marBottom w:val="0"/>
      <w:divBdr>
        <w:top w:val="none" w:sz="0" w:space="0" w:color="auto"/>
        <w:left w:val="none" w:sz="0" w:space="0" w:color="auto"/>
        <w:bottom w:val="none" w:sz="0" w:space="0" w:color="auto"/>
        <w:right w:val="none" w:sz="0" w:space="0" w:color="auto"/>
      </w:divBdr>
    </w:div>
    <w:div w:id="391849320">
      <w:marLeft w:val="0"/>
      <w:marRight w:val="0"/>
      <w:marTop w:val="0"/>
      <w:marBottom w:val="0"/>
      <w:divBdr>
        <w:top w:val="none" w:sz="0" w:space="0" w:color="auto"/>
        <w:left w:val="none" w:sz="0" w:space="0" w:color="auto"/>
        <w:bottom w:val="none" w:sz="0" w:space="0" w:color="auto"/>
        <w:right w:val="none" w:sz="0" w:space="0" w:color="auto"/>
      </w:divBdr>
      <w:divsChild>
        <w:div w:id="1311979498">
          <w:marLeft w:val="0"/>
          <w:marRight w:val="0"/>
          <w:marTop w:val="0"/>
          <w:marBottom w:val="0"/>
          <w:divBdr>
            <w:top w:val="none" w:sz="0" w:space="0" w:color="auto"/>
            <w:left w:val="none" w:sz="0" w:space="0" w:color="auto"/>
            <w:bottom w:val="none" w:sz="0" w:space="0" w:color="auto"/>
            <w:right w:val="none" w:sz="0" w:space="0" w:color="auto"/>
          </w:divBdr>
        </w:div>
      </w:divsChild>
    </w:div>
    <w:div w:id="391924323">
      <w:marLeft w:val="0"/>
      <w:marRight w:val="0"/>
      <w:marTop w:val="60"/>
      <w:marBottom w:val="0"/>
      <w:divBdr>
        <w:top w:val="none" w:sz="0" w:space="0" w:color="auto"/>
        <w:left w:val="none" w:sz="0" w:space="0" w:color="auto"/>
        <w:bottom w:val="none" w:sz="0" w:space="0" w:color="auto"/>
        <w:right w:val="none" w:sz="0" w:space="0" w:color="auto"/>
      </w:divBdr>
    </w:div>
    <w:div w:id="392890637">
      <w:marLeft w:val="0"/>
      <w:marRight w:val="0"/>
      <w:marTop w:val="100"/>
      <w:marBottom w:val="0"/>
      <w:divBdr>
        <w:top w:val="none" w:sz="0" w:space="0" w:color="auto"/>
        <w:left w:val="none" w:sz="0" w:space="0" w:color="auto"/>
        <w:bottom w:val="none" w:sz="0" w:space="0" w:color="auto"/>
        <w:right w:val="none" w:sz="0" w:space="0" w:color="auto"/>
      </w:divBdr>
    </w:div>
    <w:div w:id="392969303">
      <w:marLeft w:val="0"/>
      <w:marRight w:val="0"/>
      <w:marTop w:val="100"/>
      <w:marBottom w:val="0"/>
      <w:divBdr>
        <w:top w:val="none" w:sz="0" w:space="0" w:color="auto"/>
        <w:left w:val="none" w:sz="0" w:space="0" w:color="auto"/>
        <w:bottom w:val="none" w:sz="0" w:space="0" w:color="auto"/>
        <w:right w:val="none" w:sz="0" w:space="0" w:color="auto"/>
      </w:divBdr>
    </w:div>
    <w:div w:id="394284253">
      <w:marLeft w:val="0"/>
      <w:marRight w:val="0"/>
      <w:marTop w:val="100"/>
      <w:marBottom w:val="0"/>
      <w:divBdr>
        <w:top w:val="none" w:sz="0" w:space="0" w:color="auto"/>
        <w:left w:val="none" w:sz="0" w:space="0" w:color="auto"/>
        <w:bottom w:val="none" w:sz="0" w:space="0" w:color="auto"/>
        <w:right w:val="none" w:sz="0" w:space="0" w:color="auto"/>
      </w:divBdr>
    </w:div>
    <w:div w:id="394544686">
      <w:marLeft w:val="0"/>
      <w:marRight w:val="0"/>
      <w:marTop w:val="0"/>
      <w:marBottom w:val="0"/>
      <w:divBdr>
        <w:top w:val="none" w:sz="0" w:space="0" w:color="auto"/>
        <w:left w:val="none" w:sz="0" w:space="0" w:color="auto"/>
        <w:bottom w:val="none" w:sz="0" w:space="0" w:color="auto"/>
        <w:right w:val="none" w:sz="0" w:space="0" w:color="auto"/>
      </w:divBdr>
      <w:divsChild>
        <w:div w:id="1555583400">
          <w:marLeft w:val="0"/>
          <w:marRight w:val="0"/>
          <w:marTop w:val="0"/>
          <w:marBottom w:val="0"/>
          <w:divBdr>
            <w:top w:val="none" w:sz="0" w:space="0" w:color="auto"/>
            <w:left w:val="none" w:sz="0" w:space="0" w:color="auto"/>
            <w:bottom w:val="none" w:sz="0" w:space="0" w:color="auto"/>
            <w:right w:val="none" w:sz="0" w:space="0" w:color="auto"/>
          </w:divBdr>
        </w:div>
        <w:div w:id="894973916">
          <w:marLeft w:val="0"/>
          <w:marRight w:val="0"/>
          <w:marTop w:val="0"/>
          <w:marBottom w:val="0"/>
          <w:divBdr>
            <w:top w:val="none" w:sz="0" w:space="0" w:color="auto"/>
            <w:left w:val="none" w:sz="0" w:space="0" w:color="auto"/>
            <w:bottom w:val="none" w:sz="0" w:space="0" w:color="auto"/>
            <w:right w:val="none" w:sz="0" w:space="0" w:color="auto"/>
          </w:divBdr>
        </w:div>
      </w:divsChild>
    </w:div>
    <w:div w:id="402990299">
      <w:marLeft w:val="0"/>
      <w:marRight w:val="0"/>
      <w:marTop w:val="60"/>
      <w:marBottom w:val="0"/>
      <w:divBdr>
        <w:top w:val="none" w:sz="0" w:space="0" w:color="auto"/>
        <w:left w:val="none" w:sz="0" w:space="0" w:color="auto"/>
        <w:bottom w:val="none" w:sz="0" w:space="0" w:color="auto"/>
        <w:right w:val="none" w:sz="0" w:space="0" w:color="auto"/>
      </w:divBdr>
    </w:div>
    <w:div w:id="404032899">
      <w:marLeft w:val="0"/>
      <w:marRight w:val="0"/>
      <w:marTop w:val="100"/>
      <w:marBottom w:val="0"/>
      <w:divBdr>
        <w:top w:val="none" w:sz="0" w:space="0" w:color="auto"/>
        <w:left w:val="none" w:sz="0" w:space="0" w:color="auto"/>
        <w:bottom w:val="none" w:sz="0" w:space="0" w:color="auto"/>
        <w:right w:val="none" w:sz="0" w:space="0" w:color="auto"/>
      </w:divBdr>
    </w:div>
    <w:div w:id="407001407">
      <w:marLeft w:val="0"/>
      <w:marRight w:val="0"/>
      <w:marTop w:val="240"/>
      <w:marBottom w:val="0"/>
      <w:divBdr>
        <w:top w:val="none" w:sz="0" w:space="0" w:color="auto"/>
        <w:left w:val="none" w:sz="0" w:space="0" w:color="auto"/>
        <w:bottom w:val="none" w:sz="0" w:space="0" w:color="auto"/>
        <w:right w:val="none" w:sz="0" w:space="0" w:color="auto"/>
      </w:divBdr>
    </w:div>
    <w:div w:id="408502187">
      <w:marLeft w:val="0"/>
      <w:marRight w:val="0"/>
      <w:marTop w:val="100"/>
      <w:marBottom w:val="0"/>
      <w:divBdr>
        <w:top w:val="none" w:sz="0" w:space="0" w:color="auto"/>
        <w:left w:val="none" w:sz="0" w:space="0" w:color="auto"/>
        <w:bottom w:val="none" w:sz="0" w:space="0" w:color="auto"/>
        <w:right w:val="none" w:sz="0" w:space="0" w:color="auto"/>
      </w:divBdr>
    </w:div>
    <w:div w:id="409742645">
      <w:marLeft w:val="0"/>
      <w:marRight w:val="0"/>
      <w:marTop w:val="60"/>
      <w:marBottom w:val="0"/>
      <w:divBdr>
        <w:top w:val="none" w:sz="0" w:space="0" w:color="auto"/>
        <w:left w:val="none" w:sz="0" w:space="0" w:color="auto"/>
        <w:bottom w:val="none" w:sz="0" w:space="0" w:color="auto"/>
        <w:right w:val="none" w:sz="0" w:space="0" w:color="auto"/>
      </w:divBdr>
    </w:div>
    <w:div w:id="410978397">
      <w:marLeft w:val="0"/>
      <w:marRight w:val="0"/>
      <w:marTop w:val="240"/>
      <w:marBottom w:val="0"/>
      <w:divBdr>
        <w:top w:val="none" w:sz="0" w:space="0" w:color="auto"/>
        <w:left w:val="none" w:sz="0" w:space="0" w:color="auto"/>
        <w:bottom w:val="none" w:sz="0" w:space="0" w:color="auto"/>
        <w:right w:val="none" w:sz="0" w:space="0" w:color="auto"/>
      </w:divBdr>
    </w:div>
    <w:div w:id="411853735">
      <w:marLeft w:val="0"/>
      <w:marRight w:val="0"/>
      <w:marTop w:val="100"/>
      <w:marBottom w:val="0"/>
      <w:divBdr>
        <w:top w:val="none" w:sz="0" w:space="0" w:color="auto"/>
        <w:left w:val="none" w:sz="0" w:space="0" w:color="auto"/>
        <w:bottom w:val="none" w:sz="0" w:space="0" w:color="auto"/>
        <w:right w:val="none" w:sz="0" w:space="0" w:color="auto"/>
      </w:divBdr>
    </w:div>
    <w:div w:id="412549351">
      <w:marLeft w:val="0"/>
      <w:marRight w:val="0"/>
      <w:marTop w:val="240"/>
      <w:marBottom w:val="0"/>
      <w:divBdr>
        <w:top w:val="none" w:sz="0" w:space="0" w:color="auto"/>
        <w:left w:val="none" w:sz="0" w:space="0" w:color="auto"/>
        <w:bottom w:val="none" w:sz="0" w:space="0" w:color="auto"/>
        <w:right w:val="none" w:sz="0" w:space="0" w:color="auto"/>
      </w:divBdr>
    </w:div>
    <w:div w:id="413012267">
      <w:marLeft w:val="0"/>
      <w:marRight w:val="0"/>
      <w:marTop w:val="60"/>
      <w:marBottom w:val="0"/>
      <w:divBdr>
        <w:top w:val="none" w:sz="0" w:space="0" w:color="auto"/>
        <w:left w:val="none" w:sz="0" w:space="0" w:color="auto"/>
        <w:bottom w:val="none" w:sz="0" w:space="0" w:color="auto"/>
        <w:right w:val="none" w:sz="0" w:space="0" w:color="auto"/>
      </w:divBdr>
    </w:div>
    <w:div w:id="417364023">
      <w:marLeft w:val="0"/>
      <w:marRight w:val="0"/>
      <w:marTop w:val="240"/>
      <w:marBottom w:val="0"/>
      <w:divBdr>
        <w:top w:val="none" w:sz="0" w:space="0" w:color="auto"/>
        <w:left w:val="none" w:sz="0" w:space="0" w:color="auto"/>
        <w:bottom w:val="none" w:sz="0" w:space="0" w:color="auto"/>
        <w:right w:val="none" w:sz="0" w:space="0" w:color="auto"/>
      </w:divBdr>
    </w:div>
    <w:div w:id="418254943">
      <w:marLeft w:val="0"/>
      <w:marRight w:val="0"/>
      <w:marTop w:val="0"/>
      <w:marBottom w:val="0"/>
      <w:divBdr>
        <w:top w:val="none" w:sz="0" w:space="0" w:color="auto"/>
        <w:left w:val="none" w:sz="0" w:space="0" w:color="auto"/>
        <w:bottom w:val="none" w:sz="0" w:space="0" w:color="auto"/>
        <w:right w:val="none" w:sz="0" w:space="0" w:color="auto"/>
      </w:divBdr>
      <w:divsChild>
        <w:div w:id="2027056463">
          <w:marLeft w:val="0"/>
          <w:marRight w:val="0"/>
          <w:marTop w:val="0"/>
          <w:marBottom w:val="0"/>
          <w:divBdr>
            <w:top w:val="none" w:sz="0" w:space="0" w:color="auto"/>
            <w:left w:val="none" w:sz="0" w:space="0" w:color="auto"/>
            <w:bottom w:val="none" w:sz="0" w:space="0" w:color="auto"/>
            <w:right w:val="none" w:sz="0" w:space="0" w:color="auto"/>
          </w:divBdr>
        </w:div>
      </w:divsChild>
    </w:div>
    <w:div w:id="424496274">
      <w:marLeft w:val="0"/>
      <w:marRight w:val="0"/>
      <w:marTop w:val="100"/>
      <w:marBottom w:val="0"/>
      <w:divBdr>
        <w:top w:val="none" w:sz="0" w:space="0" w:color="auto"/>
        <w:left w:val="none" w:sz="0" w:space="0" w:color="auto"/>
        <w:bottom w:val="none" w:sz="0" w:space="0" w:color="auto"/>
        <w:right w:val="none" w:sz="0" w:space="0" w:color="auto"/>
      </w:divBdr>
    </w:div>
    <w:div w:id="424618504">
      <w:marLeft w:val="0"/>
      <w:marRight w:val="0"/>
      <w:marTop w:val="100"/>
      <w:marBottom w:val="0"/>
      <w:divBdr>
        <w:top w:val="none" w:sz="0" w:space="0" w:color="auto"/>
        <w:left w:val="none" w:sz="0" w:space="0" w:color="auto"/>
        <w:bottom w:val="none" w:sz="0" w:space="0" w:color="auto"/>
        <w:right w:val="none" w:sz="0" w:space="0" w:color="auto"/>
      </w:divBdr>
    </w:div>
    <w:div w:id="425537228">
      <w:marLeft w:val="0"/>
      <w:marRight w:val="0"/>
      <w:marTop w:val="100"/>
      <w:marBottom w:val="0"/>
      <w:divBdr>
        <w:top w:val="none" w:sz="0" w:space="0" w:color="auto"/>
        <w:left w:val="none" w:sz="0" w:space="0" w:color="auto"/>
        <w:bottom w:val="none" w:sz="0" w:space="0" w:color="auto"/>
        <w:right w:val="none" w:sz="0" w:space="0" w:color="auto"/>
      </w:divBdr>
    </w:div>
    <w:div w:id="426273707">
      <w:marLeft w:val="0"/>
      <w:marRight w:val="0"/>
      <w:marTop w:val="0"/>
      <w:marBottom w:val="0"/>
      <w:divBdr>
        <w:top w:val="none" w:sz="0" w:space="0" w:color="auto"/>
        <w:left w:val="none" w:sz="0" w:space="0" w:color="auto"/>
        <w:bottom w:val="none" w:sz="0" w:space="0" w:color="auto"/>
        <w:right w:val="none" w:sz="0" w:space="0" w:color="auto"/>
      </w:divBdr>
      <w:divsChild>
        <w:div w:id="2093818108">
          <w:marLeft w:val="0"/>
          <w:marRight w:val="0"/>
          <w:marTop w:val="0"/>
          <w:marBottom w:val="0"/>
          <w:divBdr>
            <w:top w:val="none" w:sz="0" w:space="0" w:color="auto"/>
            <w:left w:val="none" w:sz="0" w:space="0" w:color="auto"/>
            <w:bottom w:val="none" w:sz="0" w:space="0" w:color="auto"/>
            <w:right w:val="none" w:sz="0" w:space="0" w:color="auto"/>
          </w:divBdr>
        </w:div>
        <w:div w:id="1837761383">
          <w:marLeft w:val="0"/>
          <w:marRight w:val="0"/>
          <w:marTop w:val="0"/>
          <w:marBottom w:val="0"/>
          <w:divBdr>
            <w:top w:val="none" w:sz="0" w:space="0" w:color="auto"/>
            <w:left w:val="none" w:sz="0" w:space="0" w:color="auto"/>
            <w:bottom w:val="none" w:sz="0" w:space="0" w:color="auto"/>
            <w:right w:val="none" w:sz="0" w:space="0" w:color="auto"/>
          </w:divBdr>
        </w:div>
      </w:divsChild>
    </w:div>
    <w:div w:id="426511515">
      <w:marLeft w:val="0"/>
      <w:marRight w:val="0"/>
      <w:marTop w:val="60"/>
      <w:marBottom w:val="0"/>
      <w:divBdr>
        <w:top w:val="none" w:sz="0" w:space="0" w:color="auto"/>
        <w:left w:val="none" w:sz="0" w:space="0" w:color="auto"/>
        <w:bottom w:val="none" w:sz="0" w:space="0" w:color="auto"/>
        <w:right w:val="none" w:sz="0" w:space="0" w:color="auto"/>
      </w:divBdr>
    </w:div>
    <w:div w:id="427623667">
      <w:marLeft w:val="0"/>
      <w:marRight w:val="0"/>
      <w:marTop w:val="0"/>
      <w:marBottom w:val="0"/>
      <w:divBdr>
        <w:top w:val="none" w:sz="0" w:space="0" w:color="auto"/>
        <w:left w:val="none" w:sz="0" w:space="0" w:color="auto"/>
        <w:bottom w:val="none" w:sz="0" w:space="0" w:color="auto"/>
        <w:right w:val="none" w:sz="0" w:space="0" w:color="auto"/>
      </w:divBdr>
      <w:divsChild>
        <w:div w:id="1857226209">
          <w:marLeft w:val="0"/>
          <w:marRight w:val="0"/>
          <w:marTop w:val="0"/>
          <w:marBottom w:val="0"/>
          <w:divBdr>
            <w:top w:val="none" w:sz="0" w:space="0" w:color="auto"/>
            <w:left w:val="none" w:sz="0" w:space="0" w:color="auto"/>
            <w:bottom w:val="none" w:sz="0" w:space="0" w:color="auto"/>
            <w:right w:val="none" w:sz="0" w:space="0" w:color="auto"/>
          </w:divBdr>
        </w:div>
      </w:divsChild>
    </w:div>
    <w:div w:id="431122510">
      <w:marLeft w:val="0"/>
      <w:marRight w:val="0"/>
      <w:marTop w:val="100"/>
      <w:marBottom w:val="0"/>
      <w:divBdr>
        <w:top w:val="none" w:sz="0" w:space="0" w:color="auto"/>
        <w:left w:val="none" w:sz="0" w:space="0" w:color="auto"/>
        <w:bottom w:val="none" w:sz="0" w:space="0" w:color="auto"/>
        <w:right w:val="none" w:sz="0" w:space="0" w:color="auto"/>
      </w:divBdr>
    </w:div>
    <w:div w:id="433088390">
      <w:marLeft w:val="0"/>
      <w:marRight w:val="0"/>
      <w:marTop w:val="100"/>
      <w:marBottom w:val="0"/>
      <w:divBdr>
        <w:top w:val="none" w:sz="0" w:space="0" w:color="auto"/>
        <w:left w:val="none" w:sz="0" w:space="0" w:color="auto"/>
        <w:bottom w:val="none" w:sz="0" w:space="0" w:color="auto"/>
        <w:right w:val="none" w:sz="0" w:space="0" w:color="auto"/>
      </w:divBdr>
    </w:div>
    <w:div w:id="433940063">
      <w:marLeft w:val="0"/>
      <w:marRight w:val="0"/>
      <w:marTop w:val="100"/>
      <w:marBottom w:val="0"/>
      <w:divBdr>
        <w:top w:val="none" w:sz="0" w:space="0" w:color="auto"/>
        <w:left w:val="none" w:sz="0" w:space="0" w:color="auto"/>
        <w:bottom w:val="none" w:sz="0" w:space="0" w:color="auto"/>
        <w:right w:val="none" w:sz="0" w:space="0" w:color="auto"/>
      </w:divBdr>
    </w:div>
    <w:div w:id="434055142">
      <w:marLeft w:val="0"/>
      <w:marRight w:val="0"/>
      <w:marTop w:val="240"/>
      <w:marBottom w:val="0"/>
      <w:divBdr>
        <w:top w:val="none" w:sz="0" w:space="0" w:color="auto"/>
        <w:left w:val="none" w:sz="0" w:space="0" w:color="auto"/>
        <w:bottom w:val="none" w:sz="0" w:space="0" w:color="auto"/>
        <w:right w:val="none" w:sz="0" w:space="0" w:color="auto"/>
      </w:divBdr>
    </w:div>
    <w:div w:id="435826477">
      <w:marLeft w:val="0"/>
      <w:marRight w:val="0"/>
      <w:marTop w:val="60"/>
      <w:marBottom w:val="0"/>
      <w:divBdr>
        <w:top w:val="none" w:sz="0" w:space="0" w:color="auto"/>
        <w:left w:val="none" w:sz="0" w:space="0" w:color="auto"/>
        <w:bottom w:val="none" w:sz="0" w:space="0" w:color="auto"/>
        <w:right w:val="none" w:sz="0" w:space="0" w:color="auto"/>
      </w:divBdr>
    </w:div>
    <w:div w:id="436756999">
      <w:marLeft w:val="0"/>
      <w:marRight w:val="0"/>
      <w:marTop w:val="60"/>
      <w:marBottom w:val="0"/>
      <w:divBdr>
        <w:top w:val="none" w:sz="0" w:space="0" w:color="auto"/>
        <w:left w:val="none" w:sz="0" w:space="0" w:color="auto"/>
        <w:bottom w:val="none" w:sz="0" w:space="0" w:color="auto"/>
        <w:right w:val="none" w:sz="0" w:space="0" w:color="auto"/>
      </w:divBdr>
    </w:div>
    <w:div w:id="438914649">
      <w:marLeft w:val="0"/>
      <w:marRight w:val="0"/>
      <w:marTop w:val="0"/>
      <w:marBottom w:val="0"/>
      <w:divBdr>
        <w:top w:val="none" w:sz="0" w:space="0" w:color="auto"/>
        <w:left w:val="none" w:sz="0" w:space="0" w:color="auto"/>
        <w:bottom w:val="none" w:sz="0" w:space="0" w:color="auto"/>
        <w:right w:val="none" w:sz="0" w:space="0" w:color="auto"/>
      </w:divBdr>
      <w:divsChild>
        <w:div w:id="145123069">
          <w:marLeft w:val="0"/>
          <w:marRight w:val="0"/>
          <w:marTop w:val="0"/>
          <w:marBottom w:val="0"/>
          <w:divBdr>
            <w:top w:val="none" w:sz="0" w:space="0" w:color="auto"/>
            <w:left w:val="none" w:sz="0" w:space="0" w:color="auto"/>
            <w:bottom w:val="none" w:sz="0" w:space="0" w:color="auto"/>
            <w:right w:val="none" w:sz="0" w:space="0" w:color="auto"/>
          </w:divBdr>
        </w:div>
        <w:div w:id="195124418">
          <w:marLeft w:val="0"/>
          <w:marRight w:val="0"/>
          <w:marTop w:val="0"/>
          <w:marBottom w:val="0"/>
          <w:divBdr>
            <w:top w:val="none" w:sz="0" w:space="0" w:color="auto"/>
            <w:left w:val="none" w:sz="0" w:space="0" w:color="auto"/>
            <w:bottom w:val="none" w:sz="0" w:space="0" w:color="auto"/>
            <w:right w:val="none" w:sz="0" w:space="0" w:color="auto"/>
          </w:divBdr>
        </w:div>
      </w:divsChild>
    </w:div>
    <w:div w:id="440683276">
      <w:marLeft w:val="0"/>
      <w:marRight w:val="0"/>
      <w:marTop w:val="0"/>
      <w:marBottom w:val="0"/>
      <w:divBdr>
        <w:top w:val="none" w:sz="0" w:space="0" w:color="auto"/>
        <w:left w:val="none" w:sz="0" w:space="0" w:color="auto"/>
        <w:bottom w:val="none" w:sz="0" w:space="0" w:color="auto"/>
        <w:right w:val="none" w:sz="0" w:space="0" w:color="auto"/>
      </w:divBdr>
    </w:div>
    <w:div w:id="441149049">
      <w:marLeft w:val="0"/>
      <w:marRight w:val="0"/>
      <w:marTop w:val="60"/>
      <w:marBottom w:val="0"/>
      <w:divBdr>
        <w:top w:val="none" w:sz="0" w:space="0" w:color="auto"/>
        <w:left w:val="none" w:sz="0" w:space="0" w:color="auto"/>
        <w:bottom w:val="none" w:sz="0" w:space="0" w:color="auto"/>
        <w:right w:val="none" w:sz="0" w:space="0" w:color="auto"/>
      </w:divBdr>
    </w:div>
    <w:div w:id="442774247">
      <w:marLeft w:val="0"/>
      <w:marRight w:val="0"/>
      <w:marTop w:val="60"/>
      <w:marBottom w:val="0"/>
      <w:divBdr>
        <w:top w:val="none" w:sz="0" w:space="0" w:color="auto"/>
        <w:left w:val="none" w:sz="0" w:space="0" w:color="auto"/>
        <w:bottom w:val="none" w:sz="0" w:space="0" w:color="auto"/>
        <w:right w:val="none" w:sz="0" w:space="0" w:color="auto"/>
      </w:divBdr>
    </w:div>
    <w:div w:id="443187015">
      <w:marLeft w:val="0"/>
      <w:marRight w:val="0"/>
      <w:marTop w:val="100"/>
      <w:marBottom w:val="0"/>
      <w:divBdr>
        <w:top w:val="none" w:sz="0" w:space="0" w:color="auto"/>
        <w:left w:val="none" w:sz="0" w:space="0" w:color="auto"/>
        <w:bottom w:val="none" w:sz="0" w:space="0" w:color="auto"/>
        <w:right w:val="none" w:sz="0" w:space="0" w:color="auto"/>
      </w:divBdr>
    </w:div>
    <w:div w:id="443620097">
      <w:marLeft w:val="0"/>
      <w:marRight w:val="0"/>
      <w:marTop w:val="60"/>
      <w:marBottom w:val="0"/>
      <w:divBdr>
        <w:top w:val="none" w:sz="0" w:space="0" w:color="auto"/>
        <w:left w:val="none" w:sz="0" w:space="0" w:color="auto"/>
        <w:bottom w:val="none" w:sz="0" w:space="0" w:color="auto"/>
        <w:right w:val="none" w:sz="0" w:space="0" w:color="auto"/>
      </w:divBdr>
    </w:div>
    <w:div w:id="443817093">
      <w:marLeft w:val="0"/>
      <w:marRight w:val="0"/>
      <w:marTop w:val="100"/>
      <w:marBottom w:val="0"/>
      <w:divBdr>
        <w:top w:val="none" w:sz="0" w:space="0" w:color="auto"/>
        <w:left w:val="none" w:sz="0" w:space="0" w:color="auto"/>
        <w:bottom w:val="none" w:sz="0" w:space="0" w:color="auto"/>
        <w:right w:val="none" w:sz="0" w:space="0" w:color="auto"/>
      </w:divBdr>
    </w:div>
    <w:div w:id="444038501">
      <w:marLeft w:val="0"/>
      <w:marRight w:val="0"/>
      <w:marTop w:val="100"/>
      <w:marBottom w:val="0"/>
      <w:divBdr>
        <w:top w:val="none" w:sz="0" w:space="0" w:color="auto"/>
        <w:left w:val="none" w:sz="0" w:space="0" w:color="auto"/>
        <w:bottom w:val="none" w:sz="0" w:space="0" w:color="auto"/>
        <w:right w:val="none" w:sz="0" w:space="0" w:color="auto"/>
      </w:divBdr>
    </w:div>
    <w:div w:id="448209260">
      <w:marLeft w:val="0"/>
      <w:marRight w:val="0"/>
      <w:marTop w:val="100"/>
      <w:marBottom w:val="0"/>
      <w:divBdr>
        <w:top w:val="none" w:sz="0" w:space="0" w:color="auto"/>
        <w:left w:val="none" w:sz="0" w:space="0" w:color="auto"/>
        <w:bottom w:val="none" w:sz="0" w:space="0" w:color="auto"/>
        <w:right w:val="none" w:sz="0" w:space="0" w:color="auto"/>
      </w:divBdr>
    </w:div>
    <w:div w:id="451098372">
      <w:marLeft w:val="0"/>
      <w:marRight w:val="0"/>
      <w:marTop w:val="100"/>
      <w:marBottom w:val="0"/>
      <w:divBdr>
        <w:top w:val="none" w:sz="0" w:space="0" w:color="auto"/>
        <w:left w:val="none" w:sz="0" w:space="0" w:color="auto"/>
        <w:bottom w:val="none" w:sz="0" w:space="0" w:color="auto"/>
        <w:right w:val="none" w:sz="0" w:space="0" w:color="auto"/>
      </w:divBdr>
    </w:div>
    <w:div w:id="452021115">
      <w:marLeft w:val="0"/>
      <w:marRight w:val="0"/>
      <w:marTop w:val="0"/>
      <w:marBottom w:val="0"/>
      <w:divBdr>
        <w:top w:val="none" w:sz="0" w:space="0" w:color="auto"/>
        <w:left w:val="none" w:sz="0" w:space="0" w:color="auto"/>
        <w:bottom w:val="none" w:sz="0" w:space="0" w:color="auto"/>
        <w:right w:val="none" w:sz="0" w:space="0" w:color="auto"/>
      </w:divBdr>
      <w:divsChild>
        <w:div w:id="1386031077">
          <w:marLeft w:val="0"/>
          <w:marRight w:val="0"/>
          <w:marTop w:val="0"/>
          <w:marBottom w:val="0"/>
          <w:divBdr>
            <w:top w:val="none" w:sz="0" w:space="0" w:color="auto"/>
            <w:left w:val="none" w:sz="0" w:space="0" w:color="auto"/>
            <w:bottom w:val="none" w:sz="0" w:space="0" w:color="auto"/>
            <w:right w:val="none" w:sz="0" w:space="0" w:color="auto"/>
          </w:divBdr>
        </w:div>
      </w:divsChild>
    </w:div>
    <w:div w:id="452797134">
      <w:marLeft w:val="0"/>
      <w:marRight w:val="0"/>
      <w:marTop w:val="100"/>
      <w:marBottom w:val="0"/>
      <w:divBdr>
        <w:top w:val="none" w:sz="0" w:space="0" w:color="auto"/>
        <w:left w:val="none" w:sz="0" w:space="0" w:color="auto"/>
        <w:bottom w:val="none" w:sz="0" w:space="0" w:color="auto"/>
        <w:right w:val="none" w:sz="0" w:space="0" w:color="auto"/>
      </w:divBdr>
    </w:div>
    <w:div w:id="453719558">
      <w:marLeft w:val="0"/>
      <w:marRight w:val="0"/>
      <w:marTop w:val="100"/>
      <w:marBottom w:val="0"/>
      <w:divBdr>
        <w:top w:val="none" w:sz="0" w:space="0" w:color="auto"/>
        <w:left w:val="none" w:sz="0" w:space="0" w:color="auto"/>
        <w:bottom w:val="none" w:sz="0" w:space="0" w:color="auto"/>
        <w:right w:val="none" w:sz="0" w:space="0" w:color="auto"/>
      </w:divBdr>
    </w:div>
    <w:div w:id="454297647">
      <w:marLeft w:val="0"/>
      <w:marRight w:val="0"/>
      <w:marTop w:val="2500"/>
      <w:marBottom w:val="0"/>
      <w:divBdr>
        <w:top w:val="none" w:sz="0" w:space="0" w:color="auto"/>
        <w:left w:val="none" w:sz="0" w:space="0" w:color="auto"/>
        <w:bottom w:val="none" w:sz="0" w:space="0" w:color="auto"/>
        <w:right w:val="none" w:sz="0" w:space="0" w:color="auto"/>
      </w:divBdr>
    </w:div>
    <w:div w:id="454913168">
      <w:marLeft w:val="0"/>
      <w:marRight w:val="0"/>
      <w:marTop w:val="60"/>
      <w:marBottom w:val="0"/>
      <w:divBdr>
        <w:top w:val="none" w:sz="0" w:space="0" w:color="auto"/>
        <w:left w:val="none" w:sz="0" w:space="0" w:color="auto"/>
        <w:bottom w:val="none" w:sz="0" w:space="0" w:color="auto"/>
        <w:right w:val="none" w:sz="0" w:space="0" w:color="auto"/>
      </w:divBdr>
    </w:div>
    <w:div w:id="456877830">
      <w:marLeft w:val="0"/>
      <w:marRight w:val="0"/>
      <w:marTop w:val="100"/>
      <w:marBottom w:val="0"/>
      <w:divBdr>
        <w:top w:val="none" w:sz="0" w:space="0" w:color="auto"/>
        <w:left w:val="none" w:sz="0" w:space="0" w:color="auto"/>
        <w:bottom w:val="none" w:sz="0" w:space="0" w:color="auto"/>
        <w:right w:val="none" w:sz="0" w:space="0" w:color="auto"/>
      </w:divBdr>
    </w:div>
    <w:div w:id="459107622">
      <w:marLeft w:val="0"/>
      <w:marRight w:val="0"/>
      <w:marTop w:val="100"/>
      <w:marBottom w:val="0"/>
      <w:divBdr>
        <w:top w:val="none" w:sz="0" w:space="0" w:color="auto"/>
        <w:left w:val="none" w:sz="0" w:space="0" w:color="auto"/>
        <w:bottom w:val="none" w:sz="0" w:space="0" w:color="auto"/>
        <w:right w:val="none" w:sz="0" w:space="0" w:color="auto"/>
      </w:divBdr>
    </w:div>
    <w:div w:id="460422566">
      <w:marLeft w:val="0"/>
      <w:marRight w:val="0"/>
      <w:marTop w:val="0"/>
      <w:marBottom w:val="0"/>
      <w:divBdr>
        <w:top w:val="none" w:sz="0" w:space="0" w:color="auto"/>
        <w:left w:val="none" w:sz="0" w:space="0" w:color="auto"/>
        <w:bottom w:val="none" w:sz="0" w:space="0" w:color="auto"/>
        <w:right w:val="none" w:sz="0" w:space="0" w:color="auto"/>
      </w:divBdr>
    </w:div>
    <w:div w:id="460927652">
      <w:marLeft w:val="0"/>
      <w:marRight w:val="0"/>
      <w:marTop w:val="100"/>
      <w:marBottom w:val="0"/>
      <w:divBdr>
        <w:top w:val="none" w:sz="0" w:space="0" w:color="auto"/>
        <w:left w:val="none" w:sz="0" w:space="0" w:color="auto"/>
        <w:bottom w:val="none" w:sz="0" w:space="0" w:color="auto"/>
        <w:right w:val="none" w:sz="0" w:space="0" w:color="auto"/>
      </w:divBdr>
    </w:div>
    <w:div w:id="461845788">
      <w:marLeft w:val="0"/>
      <w:marRight w:val="0"/>
      <w:marTop w:val="100"/>
      <w:marBottom w:val="0"/>
      <w:divBdr>
        <w:top w:val="none" w:sz="0" w:space="0" w:color="auto"/>
        <w:left w:val="none" w:sz="0" w:space="0" w:color="auto"/>
        <w:bottom w:val="none" w:sz="0" w:space="0" w:color="auto"/>
        <w:right w:val="none" w:sz="0" w:space="0" w:color="auto"/>
      </w:divBdr>
    </w:div>
    <w:div w:id="463357433">
      <w:marLeft w:val="0"/>
      <w:marRight w:val="0"/>
      <w:marTop w:val="100"/>
      <w:marBottom w:val="0"/>
      <w:divBdr>
        <w:top w:val="none" w:sz="0" w:space="0" w:color="auto"/>
        <w:left w:val="none" w:sz="0" w:space="0" w:color="auto"/>
        <w:bottom w:val="none" w:sz="0" w:space="0" w:color="auto"/>
        <w:right w:val="none" w:sz="0" w:space="0" w:color="auto"/>
      </w:divBdr>
    </w:div>
    <w:div w:id="464471251">
      <w:marLeft w:val="0"/>
      <w:marRight w:val="0"/>
      <w:marTop w:val="0"/>
      <w:marBottom w:val="0"/>
      <w:divBdr>
        <w:top w:val="none" w:sz="0" w:space="0" w:color="auto"/>
        <w:left w:val="none" w:sz="0" w:space="0" w:color="auto"/>
        <w:bottom w:val="none" w:sz="0" w:space="0" w:color="auto"/>
        <w:right w:val="none" w:sz="0" w:space="0" w:color="auto"/>
      </w:divBdr>
      <w:divsChild>
        <w:div w:id="1583752899">
          <w:marLeft w:val="0"/>
          <w:marRight w:val="0"/>
          <w:marTop w:val="0"/>
          <w:marBottom w:val="0"/>
          <w:divBdr>
            <w:top w:val="none" w:sz="0" w:space="0" w:color="auto"/>
            <w:left w:val="none" w:sz="0" w:space="0" w:color="auto"/>
            <w:bottom w:val="none" w:sz="0" w:space="0" w:color="auto"/>
            <w:right w:val="none" w:sz="0" w:space="0" w:color="auto"/>
          </w:divBdr>
        </w:div>
      </w:divsChild>
    </w:div>
    <w:div w:id="467281869">
      <w:marLeft w:val="0"/>
      <w:marRight w:val="0"/>
      <w:marTop w:val="240"/>
      <w:marBottom w:val="0"/>
      <w:divBdr>
        <w:top w:val="none" w:sz="0" w:space="0" w:color="auto"/>
        <w:left w:val="none" w:sz="0" w:space="0" w:color="auto"/>
        <w:bottom w:val="none" w:sz="0" w:space="0" w:color="auto"/>
        <w:right w:val="none" w:sz="0" w:space="0" w:color="auto"/>
      </w:divBdr>
    </w:div>
    <w:div w:id="470292850">
      <w:marLeft w:val="0"/>
      <w:marRight w:val="0"/>
      <w:marTop w:val="100"/>
      <w:marBottom w:val="0"/>
      <w:divBdr>
        <w:top w:val="none" w:sz="0" w:space="0" w:color="auto"/>
        <w:left w:val="none" w:sz="0" w:space="0" w:color="auto"/>
        <w:bottom w:val="none" w:sz="0" w:space="0" w:color="auto"/>
        <w:right w:val="none" w:sz="0" w:space="0" w:color="auto"/>
      </w:divBdr>
    </w:div>
    <w:div w:id="471678049">
      <w:marLeft w:val="0"/>
      <w:marRight w:val="0"/>
      <w:marTop w:val="180"/>
      <w:marBottom w:val="0"/>
      <w:divBdr>
        <w:top w:val="none" w:sz="0" w:space="0" w:color="auto"/>
        <w:left w:val="none" w:sz="0" w:space="0" w:color="auto"/>
        <w:bottom w:val="none" w:sz="0" w:space="0" w:color="auto"/>
        <w:right w:val="none" w:sz="0" w:space="0" w:color="auto"/>
      </w:divBdr>
    </w:div>
    <w:div w:id="472403678">
      <w:marLeft w:val="0"/>
      <w:marRight w:val="0"/>
      <w:marTop w:val="100"/>
      <w:marBottom w:val="0"/>
      <w:divBdr>
        <w:top w:val="none" w:sz="0" w:space="0" w:color="auto"/>
        <w:left w:val="none" w:sz="0" w:space="0" w:color="auto"/>
        <w:bottom w:val="none" w:sz="0" w:space="0" w:color="auto"/>
        <w:right w:val="none" w:sz="0" w:space="0" w:color="auto"/>
      </w:divBdr>
      <w:divsChild>
        <w:div w:id="2128045360">
          <w:marLeft w:val="0"/>
          <w:marRight w:val="0"/>
          <w:marTop w:val="0"/>
          <w:marBottom w:val="0"/>
          <w:divBdr>
            <w:top w:val="none" w:sz="0" w:space="0" w:color="auto"/>
            <w:left w:val="none" w:sz="0" w:space="0" w:color="auto"/>
            <w:bottom w:val="none" w:sz="0" w:space="0" w:color="auto"/>
            <w:right w:val="none" w:sz="0" w:space="0" w:color="auto"/>
          </w:divBdr>
        </w:div>
        <w:div w:id="2077823872">
          <w:marLeft w:val="0"/>
          <w:marRight w:val="0"/>
          <w:marTop w:val="0"/>
          <w:marBottom w:val="0"/>
          <w:divBdr>
            <w:top w:val="none" w:sz="0" w:space="0" w:color="auto"/>
            <w:left w:val="none" w:sz="0" w:space="0" w:color="auto"/>
            <w:bottom w:val="none" w:sz="0" w:space="0" w:color="auto"/>
            <w:right w:val="none" w:sz="0" w:space="0" w:color="auto"/>
          </w:divBdr>
        </w:div>
      </w:divsChild>
    </w:div>
    <w:div w:id="472409332">
      <w:marLeft w:val="0"/>
      <w:marRight w:val="0"/>
      <w:marTop w:val="100"/>
      <w:marBottom w:val="0"/>
      <w:divBdr>
        <w:top w:val="none" w:sz="0" w:space="0" w:color="auto"/>
        <w:left w:val="none" w:sz="0" w:space="0" w:color="auto"/>
        <w:bottom w:val="none" w:sz="0" w:space="0" w:color="auto"/>
        <w:right w:val="none" w:sz="0" w:space="0" w:color="auto"/>
      </w:divBdr>
    </w:div>
    <w:div w:id="480538541">
      <w:marLeft w:val="0"/>
      <w:marRight w:val="0"/>
      <w:marTop w:val="100"/>
      <w:marBottom w:val="0"/>
      <w:divBdr>
        <w:top w:val="none" w:sz="0" w:space="0" w:color="auto"/>
        <w:left w:val="none" w:sz="0" w:space="0" w:color="auto"/>
        <w:bottom w:val="none" w:sz="0" w:space="0" w:color="auto"/>
        <w:right w:val="none" w:sz="0" w:space="0" w:color="auto"/>
      </w:divBdr>
    </w:div>
    <w:div w:id="481584185">
      <w:marLeft w:val="0"/>
      <w:marRight w:val="0"/>
      <w:marTop w:val="180"/>
      <w:marBottom w:val="0"/>
      <w:divBdr>
        <w:top w:val="none" w:sz="0" w:space="0" w:color="auto"/>
        <w:left w:val="none" w:sz="0" w:space="0" w:color="auto"/>
        <w:bottom w:val="none" w:sz="0" w:space="0" w:color="auto"/>
        <w:right w:val="none" w:sz="0" w:space="0" w:color="auto"/>
      </w:divBdr>
    </w:div>
    <w:div w:id="485510564">
      <w:marLeft w:val="0"/>
      <w:marRight w:val="0"/>
      <w:marTop w:val="0"/>
      <w:marBottom w:val="0"/>
      <w:divBdr>
        <w:top w:val="none" w:sz="0" w:space="0" w:color="auto"/>
        <w:left w:val="none" w:sz="0" w:space="0" w:color="auto"/>
        <w:bottom w:val="none" w:sz="0" w:space="0" w:color="auto"/>
        <w:right w:val="none" w:sz="0" w:space="0" w:color="auto"/>
      </w:divBdr>
      <w:divsChild>
        <w:div w:id="1980069768">
          <w:marLeft w:val="0"/>
          <w:marRight w:val="0"/>
          <w:marTop w:val="0"/>
          <w:marBottom w:val="0"/>
          <w:divBdr>
            <w:top w:val="none" w:sz="0" w:space="0" w:color="auto"/>
            <w:left w:val="none" w:sz="0" w:space="0" w:color="auto"/>
            <w:bottom w:val="none" w:sz="0" w:space="0" w:color="auto"/>
            <w:right w:val="none" w:sz="0" w:space="0" w:color="auto"/>
          </w:divBdr>
        </w:div>
        <w:div w:id="896403814">
          <w:marLeft w:val="0"/>
          <w:marRight w:val="0"/>
          <w:marTop w:val="0"/>
          <w:marBottom w:val="0"/>
          <w:divBdr>
            <w:top w:val="none" w:sz="0" w:space="0" w:color="auto"/>
            <w:left w:val="none" w:sz="0" w:space="0" w:color="auto"/>
            <w:bottom w:val="none" w:sz="0" w:space="0" w:color="auto"/>
            <w:right w:val="none" w:sz="0" w:space="0" w:color="auto"/>
          </w:divBdr>
        </w:div>
      </w:divsChild>
    </w:div>
    <w:div w:id="486553906">
      <w:marLeft w:val="0"/>
      <w:marRight w:val="0"/>
      <w:marTop w:val="60"/>
      <w:marBottom w:val="0"/>
      <w:divBdr>
        <w:top w:val="none" w:sz="0" w:space="0" w:color="auto"/>
        <w:left w:val="none" w:sz="0" w:space="0" w:color="auto"/>
        <w:bottom w:val="none" w:sz="0" w:space="0" w:color="auto"/>
        <w:right w:val="none" w:sz="0" w:space="0" w:color="auto"/>
      </w:divBdr>
    </w:div>
    <w:div w:id="486557093">
      <w:marLeft w:val="0"/>
      <w:marRight w:val="0"/>
      <w:marTop w:val="100"/>
      <w:marBottom w:val="0"/>
      <w:divBdr>
        <w:top w:val="none" w:sz="0" w:space="0" w:color="auto"/>
        <w:left w:val="none" w:sz="0" w:space="0" w:color="auto"/>
        <w:bottom w:val="none" w:sz="0" w:space="0" w:color="auto"/>
        <w:right w:val="none" w:sz="0" w:space="0" w:color="auto"/>
      </w:divBdr>
    </w:div>
    <w:div w:id="486631249">
      <w:marLeft w:val="0"/>
      <w:marRight w:val="0"/>
      <w:marTop w:val="100"/>
      <w:marBottom w:val="0"/>
      <w:divBdr>
        <w:top w:val="none" w:sz="0" w:space="0" w:color="auto"/>
        <w:left w:val="none" w:sz="0" w:space="0" w:color="auto"/>
        <w:bottom w:val="none" w:sz="0" w:space="0" w:color="auto"/>
        <w:right w:val="none" w:sz="0" w:space="0" w:color="auto"/>
      </w:divBdr>
    </w:div>
    <w:div w:id="487983134">
      <w:marLeft w:val="0"/>
      <w:marRight w:val="0"/>
      <w:marTop w:val="100"/>
      <w:marBottom w:val="0"/>
      <w:divBdr>
        <w:top w:val="none" w:sz="0" w:space="0" w:color="auto"/>
        <w:left w:val="none" w:sz="0" w:space="0" w:color="auto"/>
        <w:bottom w:val="none" w:sz="0" w:space="0" w:color="auto"/>
        <w:right w:val="none" w:sz="0" w:space="0" w:color="auto"/>
      </w:divBdr>
    </w:div>
    <w:div w:id="492721008">
      <w:marLeft w:val="0"/>
      <w:marRight w:val="0"/>
      <w:marTop w:val="100"/>
      <w:marBottom w:val="0"/>
      <w:divBdr>
        <w:top w:val="none" w:sz="0" w:space="0" w:color="auto"/>
        <w:left w:val="none" w:sz="0" w:space="0" w:color="auto"/>
        <w:bottom w:val="none" w:sz="0" w:space="0" w:color="auto"/>
        <w:right w:val="none" w:sz="0" w:space="0" w:color="auto"/>
      </w:divBdr>
    </w:div>
    <w:div w:id="496961190">
      <w:marLeft w:val="0"/>
      <w:marRight w:val="0"/>
      <w:marTop w:val="0"/>
      <w:marBottom w:val="0"/>
      <w:divBdr>
        <w:top w:val="none" w:sz="0" w:space="0" w:color="auto"/>
        <w:left w:val="none" w:sz="0" w:space="0" w:color="auto"/>
        <w:bottom w:val="none" w:sz="0" w:space="0" w:color="auto"/>
        <w:right w:val="none" w:sz="0" w:space="0" w:color="auto"/>
      </w:divBdr>
      <w:divsChild>
        <w:div w:id="1418136570">
          <w:marLeft w:val="0"/>
          <w:marRight w:val="0"/>
          <w:marTop w:val="0"/>
          <w:marBottom w:val="0"/>
          <w:divBdr>
            <w:top w:val="none" w:sz="0" w:space="0" w:color="auto"/>
            <w:left w:val="none" w:sz="0" w:space="0" w:color="auto"/>
            <w:bottom w:val="none" w:sz="0" w:space="0" w:color="auto"/>
            <w:right w:val="none" w:sz="0" w:space="0" w:color="auto"/>
          </w:divBdr>
        </w:div>
        <w:div w:id="281958770">
          <w:marLeft w:val="0"/>
          <w:marRight w:val="0"/>
          <w:marTop w:val="0"/>
          <w:marBottom w:val="0"/>
          <w:divBdr>
            <w:top w:val="none" w:sz="0" w:space="0" w:color="auto"/>
            <w:left w:val="none" w:sz="0" w:space="0" w:color="auto"/>
            <w:bottom w:val="none" w:sz="0" w:space="0" w:color="auto"/>
            <w:right w:val="none" w:sz="0" w:space="0" w:color="auto"/>
          </w:divBdr>
        </w:div>
      </w:divsChild>
    </w:div>
    <w:div w:id="498469861">
      <w:marLeft w:val="0"/>
      <w:marRight w:val="0"/>
      <w:marTop w:val="0"/>
      <w:marBottom w:val="0"/>
      <w:divBdr>
        <w:top w:val="none" w:sz="0" w:space="0" w:color="auto"/>
        <w:left w:val="none" w:sz="0" w:space="0" w:color="auto"/>
        <w:bottom w:val="none" w:sz="0" w:space="0" w:color="auto"/>
        <w:right w:val="none" w:sz="0" w:space="0" w:color="auto"/>
      </w:divBdr>
      <w:divsChild>
        <w:div w:id="1452748039">
          <w:marLeft w:val="0"/>
          <w:marRight w:val="0"/>
          <w:marTop w:val="0"/>
          <w:marBottom w:val="0"/>
          <w:divBdr>
            <w:top w:val="none" w:sz="0" w:space="0" w:color="auto"/>
            <w:left w:val="none" w:sz="0" w:space="0" w:color="auto"/>
            <w:bottom w:val="none" w:sz="0" w:space="0" w:color="auto"/>
            <w:right w:val="none" w:sz="0" w:space="0" w:color="auto"/>
          </w:divBdr>
        </w:div>
        <w:div w:id="1923372936">
          <w:marLeft w:val="0"/>
          <w:marRight w:val="0"/>
          <w:marTop w:val="0"/>
          <w:marBottom w:val="0"/>
          <w:divBdr>
            <w:top w:val="none" w:sz="0" w:space="0" w:color="auto"/>
            <w:left w:val="none" w:sz="0" w:space="0" w:color="auto"/>
            <w:bottom w:val="none" w:sz="0" w:space="0" w:color="auto"/>
            <w:right w:val="none" w:sz="0" w:space="0" w:color="auto"/>
          </w:divBdr>
        </w:div>
      </w:divsChild>
    </w:div>
    <w:div w:id="498693819">
      <w:marLeft w:val="0"/>
      <w:marRight w:val="0"/>
      <w:marTop w:val="240"/>
      <w:marBottom w:val="0"/>
      <w:divBdr>
        <w:top w:val="none" w:sz="0" w:space="0" w:color="auto"/>
        <w:left w:val="none" w:sz="0" w:space="0" w:color="auto"/>
        <w:bottom w:val="none" w:sz="0" w:space="0" w:color="auto"/>
        <w:right w:val="none" w:sz="0" w:space="0" w:color="auto"/>
      </w:divBdr>
    </w:div>
    <w:div w:id="499783718">
      <w:marLeft w:val="0"/>
      <w:marRight w:val="0"/>
      <w:marTop w:val="100"/>
      <w:marBottom w:val="0"/>
      <w:divBdr>
        <w:top w:val="none" w:sz="0" w:space="0" w:color="auto"/>
        <w:left w:val="none" w:sz="0" w:space="0" w:color="auto"/>
        <w:bottom w:val="none" w:sz="0" w:space="0" w:color="auto"/>
        <w:right w:val="none" w:sz="0" w:space="0" w:color="auto"/>
      </w:divBdr>
    </w:div>
    <w:div w:id="502428060">
      <w:marLeft w:val="0"/>
      <w:marRight w:val="0"/>
      <w:marTop w:val="100"/>
      <w:marBottom w:val="0"/>
      <w:divBdr>
        <w:top w:val="none" w:sz="0" w:space="0" w:color="auto"/>
        <w:left w:val="none" w:sz="0" w:space="0" w:color="auto"/>
        <w:bottom w:val="none" w:sz="0" w:space="0" w:color="auto"/>
        <w:right w:val="none" w:sz="0" w:space="0" w:color="auto"/>
      </w:divBdr>
    </w:div>
    <w:div w:id="505561274">
      <w:marLeft w:val="0"/>
      <w:marRight w:val="0"/>
      <w:marTop w:val="40"/>
      <w:marBottom w:val="0"/>
      <w:divBdr>
        <w:top w:val="none" w:sz="0" w:space="0" w:color="auto"/>
        <w:left w:val="none" w:sz="0" w:space="0" w:color="auto"/>
        <w:bottom w:val="none" w:sz="0" w:space="0" w:color="auto"/>
        <w:right w:val="none" w:sz="0" w:space="0" w:color="auto"/>
      </w:divBdr>
    </w:div>
    <w:div w:id="506287548">
      <w:marLeft w:val="0"/>
      <w:marRight w:val="0"/>
      <w:marTop w:val="240"/>
      <w:marBottom w:val="0"/>
      <w:divBdr>
        <w:top w:val="none" w:sz="0" w:space="0" w:color="auto"/>
        <w:left w:val="none" w:sz="0" w:space="0" w:color="auto"/>
        <w:bottom w:val="none" w:sz="0" w:space="0" w:color="auto"/>
        <w:right w:val="none" w:sz="0" w:space="0" w:color="auto"/>
      </w:divBdr>
    </w:div>
    <w:div w:id="507867461">
      <w:marLeft w:val="0"/>
      <w:marRight w:val="0"/>
      <w:marTop w:val="60"/>
      <w:marBottom w:val="0"/>
      <w:divBdr>
        <w:top w:val="none" w:sz="0" w:space="0" w:color="auto"/>
        <w:left w:val="none" w:sz="0" w:space="0" w:color="auto"/>
        <w:bottom w:val="none" w:sz="0" w:space="0" w:color="auto"/>
        <w:right w:val="none" w:sz="0" w:space="0" w:color="auto"/>
      </w:divBdr>
    </w:div>
    <w:div w:id="508371906">
      <w:marLeft w:val="0"/>
      <w:marRight w:val="0"/>
      <w:marTop w:val="100"/>
      <w:marBottom w:val="0"/>
      <w:divBdr>
        <w:top w:val="none" w:sz="0" w:space="0" w:color="auto"/>
        <w:left w:val="none" w:sz="0" w:space="0" w:color="auto"/>
        <w:bottom w:val="none" w:sz="0" w:space="0" w:color="auto"/>
        <w:right w:val="none" w:sz="0" w:space="0" w:color="auto"/>
      </w:divBdr>
      <w:divsChild>
        <w:div w:id="376777852">
          <w:marLeft w:val="0"/>
          <w:marRight w:val="0"/>
          <w:marTop w:val="0"/>
          <w:marBottom w:val="0"/>
          <w:divBdr>
            <w:top w:val="none" w:sz="0" w:space="0" w:color="auto"/>
            <w:left w:val="none" w:sz="0" w:space="0" w:color="auto"/>
            <w:bottom w:val="none" w:sz="0" w:space="0" w:color="auto"/>
            <w:right w:val="none" w:sz="0" w:space="0" w:color="auto"/>
          </w:divBdr>
        </w:div>
        <w:div w:id="492993664">
          <w:marLeft w:val="0"/>
          <w:marRight w:val="0"/>
          <w:marTop w:val="0"/>
          <w:marBottom w:val="0"/>
          <w:divBdr>
            <w:top w:val="none" w:sz="0" w:space="0" w:color="auto"/>
            <w:left w:val="none" w:sz="0" w:space="0" w:color="auto"/>
            <w:bottom w:val="none" w:sz="0" w:space="0" w:color="auto"/>
            <w:right w:val="none" w:sz="0" w:space="0" w:color="auto"/>
          </w:divBdr>
        </w:div>
        <w:div w:id="1981881469">
          <w:marLeft w:val="0"/>
          <w:marRight w:val="0"/>
          <w:marTop w:val="0"/>
          <w:marBottom w:val="0"/>
          <w:divBdr>
            <w:top w:val="none" w:sz="0" w:space="0" w:color="auto"/>
            <w:left w:val="none" w:sz="0" w:space="0" w:color="auto"/>
            <w:bottom w:val="none" w:sz="0" w:space="0" w:color="auto"/>
            <w:right w:val="none" w:sz="0" w:space="0" w:color="auto"/>
          </w:divBdr>
        </w:div>
        <w:div w:id="1923220363">
          <w:marLeft w:val="0"/>
          <w:marRight w:val="0"/>
          <w:marTop w:val="0"/>
          <w:marBottom w:val="0"/>
          <w:divBdr>
            <w:top w:val="none" w:sz="0" w:space="0" w:color="auto"/>
            <w:left w:val="none" w:sz="0" w:space="0" w:color="auto"/>
            <w:bottom w:val="none" w:sz="0" w:space="0" w:color="auto"/>
            <w:right w:val="none" w:sz="0" w:space="0" w:color="auto"/>
          </w:divBdr>
        </w:div>
        <w:div w:id="8529634">
          <w:marLeft w:val="0"/>
          <w:marRight w:val="0"/>
          <w:marTop w:val="0"/>
          <w:marBottom w:val="0"/>
          <w:divBdr>
            <w:top w:val="none" w:sz="0" w:space="0" w:color="auto"/>
            <w:left w:val="none" w:sz="0" w:space="0" w:color="auto"/>
            <w:bottom w:val="none" w:sz="0" w:space="0" w:color="auto"/>
            <w:right w:val="none" w:sz="0" w:space="0" w:color="auto"/>
          </w:divBdr>
        </w:div>
        <w:div w:id="1035736320">
          <w:marLeft w:val="0"/>
          <w:marRight w:val="0"/>
          <w:marTop w:val="0"/>
          <w:marBottom w:val="0"/>
          <w:divBdr>
            <w:top w:val="none" w:sz="0" w:space="0" w:color="auto"/>
            <w:left w:val="none" w:sz="0" w:space="0" w:color="auto"/>
            <w:bottom w:val="none" w:sz="0" w:space="0" w:color="auto"/>
            <w:right w:val="none" w:sz="0" w:space="0" w:color="auto"/>
          </w:divBdr>
        </w:div>
      </w:divsChild>
    </w:div>
    <w:div w:id="508757462">
      <w:marLeft w:val="0"/>
      <w:marRight w:val="0"/>
      <w:marTop w:val="100"/>
      <w:marBottom w:val="0"/>
      <w:divBdr>
        <w:top w:val="none" w:sz="0" w:space="0" w:color="auto"/>
        <w:left w:val="none" w:sz="0" w:space="0" w:color="auto"/>
        <w:bottom w:val="none" w:sz="0" w:space="0" w:color="auto"/>
        <w:right w:val="none" w:sz="0" w:space="0" w:color="auto"/>
      </w:divBdr>
    </w:div>
    <w:div w:id="512452338">
      <w:marLeft w:val="0"/>
      <w:marRight w:val="0"/>
      <w:marTop w:val="0"/>
      <w:marBottom w:val="0"/>
      <w:divBdr>
        <w:top w:val="none" w:sz="0" w:space="0" w:color="auto"/>
        <w:left w:val="none" w:sz="0" w:space="0" w:color="auto"/>
        <w:bottom w:val="none" w:sz="0" w:space="0" w:color="auto"/>
        <w:right w:val="none" w:sz="0" w:space="0" w:color="auto"/>
      </w:divBdr>
      <w:divsChild>
        <w:div w:id="278688670">
          <w:marLeft w:val="0"/>
          <w:marRight w:val="0"/>
          <w:marTop w:val="0"/>
          <w:marBottom w:val="0"/>
          <w:divBdr>
            <w:top w:val="none" w:sz="0" w:space="0" w:color="auto"/>
            <w:left w:val="none" w:sz="0" w:space="0" w:color="auto"/>
            <w:bottom w:val="none" w:sz="0" w:space="0" w:color="auto"/>
            <w:right w:val="none" w:sz="0" w:space="0" w:color="auto"/>
          </w:divBdr>
        </w:div>
        <w:div w:id="832837581">
          <w:marLeft w:val="0"/>
          <w:marRight w:val="0"/>
          <w:marTop w:val="0"/>
          <w:marBottom w:val="0"/>
          <w:divBdr>
            <w:top w:val="none" w:sz="0" w:space="0" w:color="auto"/>
            <w:left w:val="none" w:sz="0" w:space="0" w:color="auto"/>
            <w:bottom w:val="none" w:sz="0" w:space="0" w:color="auto"/>
            <w:right w:val="none" w:sz="0" w:space="0" w:color="auto"/>
          </w:divBdr>
        </w:div>
      </w:divsChild>
    </w:div>
    <w:div w:id="514807314">
      <w:marLeft w:val="0"/>
      <w:marRight w:val="0"/>
      <w:marTop w:val="100"/>
      <w:marBottom w:val="0"/>
      <w:divBdr>
        <w:top w:val="none" w:sz="0" w:space="0" w:color="auto"/>
        <w:left w:val="none" w:sz="0" w:space="0" w:color="auto"/>
        <w:bottom w:val="none" w:sz="0" w:space="0" w:color="auto"/>
        <w:right w:val="none" w:sz="0" w:space="0" w:color="auto"/>
      </w:divBdr>
    </w:div>
    <w:div w:id="519128238">
      <w:marLeft w:val="0"/>
      <w:marRight w:val="0"/>
      <w:marTop w:val="100"/>
      <w:marBottom w:val="0"/>
      <w:divBdr>
        <w:top w:val="none" w:sz="0" w:space="0" w:color="auto"/>
        <w:left w:val="none" w:sz="0" w:space="0" w:color="auto"/>
        <w:bottom w:val="none" w:sz="0" w:space="0" w:color="auto"/>
        <w:right w:val="none" w:sz="0" w:space="0" w:color="auto"/>
      </w:divBdr>
    </w:div>
    <w:div w:id="520095926">
      <w:marLeft w:val="0"/>
      <w:marRight w:val="0"/>
      <w:marTop w:val="0"/>
      <w:marBottom w:val="0"/>
      <w:divBdr>
        <w:top w:val="none" w:sz="0" w:space="0" w:color="auto"/>
        <w:left w:val="none" w:sz="0" w:space="0" w:color="auto"/>
        <w:bottom w:val="none" w:sz="0" w:space="0" w:color="auto"/>
        <w:right w:val="none" w:sz="0" w:space="0" w:color="auto"/>
      </w:divBdr>
      <w:divsChild>
        <w:div w:id="1085223273">
          <w:marLeft w:val="0"/>
          <w:marRight w:val="0"/>
          <w:marTop w:val="0"/>
          <w:marBottom w:val="0"/>
          <w:divBdr>
            <w:top w:val="none" w:sz="0" w:space="0" w:color="auto"/>
            <w:left w:val="none" w:sz="0" w:space="0" w:color="auto"/>
            <w:bottom w:val="none" w:sz="0" w:space="0" w:color="auto"/>
            <w:right w:val="none" w:sz="0" w:space="0" w:color="auto"/>
          </w:divBdr>
        </w:div>
      </w:divsChild>
    </w:div>
    <w:div w:id="523592415">
      <w:marLeft w:val="0"/>
      <w:marRight w:val="0"/>
      <w:marTop w:val="100"/>
      <w:marBottom w:val="0"/>
      <w:divBdr>
        <w:top w:val="none" w:sz="0" w:space="0" w:color="auto"/>
        <w:left w:val="none" w:sz="0" w:space="0" w:color="auto"/>
        <w:bottom w:val="none" w:sz="0" w:space="0" w:color="auto"/>
        <w:right w:val="none" w:sz="0" w:space="0" w:color="auto"/>
      </w:divBdr>
    </w:div>
    <w:div w:id="525292911">
      <w:marLeft w:val="0"/>
      <w:marRight w:val="0"/>
      <w:marTop w:val="280"/>
      <w:marBottom w:val="0"/>
      <w:divBdr>
        <w:top w:val="none" w:sz="0" w:space="0" w:color="auto"/>
        <w:left w:val="none" w:sz="0" w:space="0" w:color="auto"/>
        <w:bottom w:val="none" w:sz="0" w:space="0" w:color="auto"/>
        <w:right w:val="none" w:sz="0" w:space="0" w:color="auto"/>
      </w:divBdr>
      <w:divsChild>
        <w:div w:id="2147308270">
          <w:marLeft w:val="0"/>
          <w:marRight w:val="0"/>
          <w:marTop w:val="0"/>
          <w:marBottom w:val="0"/>
          <w:divBdr>
            <w:top w:val="none" w:sz="0" w:space="0" w:color="auto"/>
            <w:left w:val="none" w:sz="0" w:space="0" w:color="auto"/>
            <w:bottom w:val="none" w:sz="0" w:space="0" w:color="auto"/>
            <w:right w:val="none" w:sz="0" w:space="0" w:color="auto"/>
          </w:divBdr>
        </w:div>
        <w:div w:id="220796544">
          <w:marLeft w:val="0"/>
          <w:marRight w:val="0"/>
          <w:marTop w:val="0"/>
          <w:marBottom w:val="0"/>
          <w:divBdr>
            <w:top w:val="none" w:sz="0" w:space="0" w:color="auto"/>
            <w:left w:val="none" w:sz="0" w:space="0" w:color="auto"/>
            <w:bottom w:val="none" w:sz="0" w:space="0" w:color="auto"/>
            <w:right w:val="none" w:sz="0" w:space="0" w:color="auto"/>
          </w:divBdr>
        </w:div>
        <w:div w:id="1092510447">
          <w:marLeft w:val="0"/>
          <w:marRight w:val="0"/>
          <w:marTop w:val="0"/>
          <w:marBottom w:val="0"/>
          <w:divBdr>
            <w:top w:val="none" w:sz="0" w:space="0" w:color="auto"/>
            <w:left w:val="none" w:sz="0" w:space="0" w:color="auto"/>
            <w:bottom w:val="none" w:sz="0" w:space="0" w:color="auto"/>
            <w:right w:val="none" w:sz="0" w:space="0" w:color="auto"/>
          </w:divBdr>
        </w:div>
        <w:div w:id="483548171">
          <w:marLeft w:val="0"/>
          <w:marRight w:val="0"/>
          <w:marTop w:val="0"/>
          <w:marBottom w:val="0"/>
          <w:divBdr>
            <w:top w:val="none" w:sz="0" w:space="0" w:color="auto"/>
            <w:left w:val="none" w:sz="0" w:space="0" w:color="auto"/>
            <w:bottom w:val="none" w:sz="0" w:space="0" w:color="auto"/>
            <w:right w:val="none" w:sz="0" w:space="0" w:color="auto"/>
          </w:divBdr>
        </w:div>
        <w:div w:id="643123575">
          <w:marLeft w:val="0"/>
          <w:marRight w:val="0"/>
          <w:marTop w:val="0"/>
          <w:marBottom w:val="0"/>
          <w:divBdr>
            <w:top w:val="none" w:sz="0" w:space="0" w:color="auto"/>
            <w:left w:val="none" w:sz="0" w:space="0" w:color="auto"/>
            <w:bottom w:val="none" w:sz="0" w:space="0" w:color="auto"/>
            <w:right w:val="none" w:sz="0" w:space="0" w:color="auto"/>
          </w:divBdr>
        </w:div>
        <w:div w:id="1806772286">
          <w:marLeft w:val="0"/>
          <w:marRight w:val="0"/>
          <w:marTop w:val="0"/>
          <w:marBottom w:val="0"/>
          <w:divBdr>
            <w:top w:val="none" w:sz="0" w:space="0" w:color="auto"/>
            <w:left w:val="none" w:sz="0" w:space="0" w:color="auto"/>
            <w:bottom w:val="none" w:sz="0" w:space="0" w:color="auto"/>
            <w:right w:val="none" w:sz="0" w:space="0" w:color="auto"/>
          </w:divBdr>
        </w:div>
        <w:div w:id="1604460159">
          <w:marLeft w:val="0"/>
          <w:marRight w:val="0"/>
          <w:marTop w:val="0"/>
          <w:marBottom w:val="0"/>
          <w:divBdr>
            <w:top w:val="none" w:sz="0" w:space="0" w:color="auto"/>
            <w:left w:val="none" w:sz="0" w:space="0" w:color="auto"/>
            <w:bottom w:val="none" w:sz="0" w:space="0" w:color="auto"/>
            <w:right w:val="none" w:sz="0" w:space="0" w:color="auto"/>
          </w:divBdr>
        </w:div>
        <w:div w:id="217791052">
          <w:marLeft w:val="0"/>
          <w:marRight w:val="0"/>
          <w:marTop w:val="0"/>
          <w:marBottom w:val="0"/>
          <w:divBdr>
            <w:top w:val="none" w:sz="0" w:space="0" w:color="auto"/>
            <w:left w:val="none" w:sz="0" w:space="0" w:color="auto"/>
            <w:bottom w:val="none" w:sz="0" w:space="0" w:color="auto"/>
            <w:right w:val="none" w:sz="0" w:space="0" w:color="auto"/>
          </w:divBdr>
        </w:div>
        <w:div w:id="92209976">
          <w:marLeft w:val="0"/>
          <w:marRight w:val="0"/>
          <w:marTop w:val="0"/>
          <w:marBottom w:val="0"/>
          <w:divBdr>
            <w:top w:val="none" w:sz="0" w:space="0" w:color="auto"/>
            <w:left w:val="none" w:sz="0" w:space="0" w:color="auto"/>
            <w:bottom w:val="none" w:sz="0" w:space="0" w:color="auto"/>
            <w:right w:val="none" w:sz="0" w:space="0" w:color="auto"/>
          </w:divBdr>
        </w:div>
        <w:div w:id="2092771872">
          <w:marLeft w:val="0"/>
          <w:marRight w:val="0"/>
          <w:marTop w:val="0"/>
          <w:marBottom w:val="0"/>
          <w:divBdr>
            <w:top w:val="none" w:sz="0" w:space="0" w:color="auto"/>
            <w:left w:val="none" w:sz="0" w:space="0" w:color="auto"/>
            <w:bottom w:val="none" w:sz="0" w:space="0" w:color="auto"/>
            <w:right w:val="none" w:sz="0" w:space="0" w:color="auto"/>
          </w:divBdr>
        </w:div>
        <w:div w:id="696540484">
          <w:marLeft w:val="0"/>
          <w:marRight w:val="0"/>
          <w:marTop w:val="0"/>
          <w:marBottom w:val="0"/>
          <w:divBdr>
            <w:top w:val="none" w:sz="0" w:space="0" w:color="auto"/>
            <w:left w:val="none" w:sz="0" w:space="0" w:color="auto"/>
            <w:bottom w:val="none" w:sz="0" w:space="0" w:color="auto"/>
            <w:right w:val="none" w:sz="0" w:space="0" w:color="auto"/>
          </w:divBdr>
        </w:div>
        <w:div w:id="391469674">
          <w:marLeft w:val="0"/>
          <w:marRight w:val="0"/>
          <w:marTop w:val="0"/>
          <w:marBottom w:val="0"/>
          <w:divBdr>
            <w:top w:val="none" w:sz="0" w:space="0" w:color="auto"/>
            <w:left w:val="none" w:sz="0" w:space="0" w:color="auto"/>
            <w:bottom w:val="none" w:sz="0" w:space="0" w:color="auto"/>
            <w:right w:val="none" w:sz="0" w:space="0" w:color="auto"/>
          </w:divBdr>
        </w:div>
        <w:div w:id="752513575">
          <w:marLeft w:val="0"/>
          <w:marRight w:val="0"/>
          <w:marTop w:val="0"/>
          <w:marBottom w:val="0"/>
          <w:divBdr>
            <w:top w:val="none" w:sz="0" w:space="0" w:color="auto"/>
            <w:left w:val="none" w:sz="0" w:space="0" w:color="auto"/>
            <w:bottom w:val="none" w:sz="0" w:space="0" w:color="auto"/>
            <w:right w:val="none" w:sz="0" w:space="0" w:color="auto"/>
          </w:divBdr>
        </w:div>
        <w:div w:id="1932160094">
          <w:marLeft w:val="0"/>
          <w:marRight w:val="0"/>
          <w:marTop w:val="0"/>
          <w:marBottom w:val="0"/>
          <w:divBdr>
            <w:top w:val="none" w:sz="0" w:space="0" w:color="auto"/>
            <w:left w:val="none" w:sz="0" w:space="0" w:color="auto"/>
            <w:bottom w:val="none" w:sz="0" w:space="0" w:color="auto"/>
            <w:right w:val="none" w:sz="0" w:space="0" w:color="auto"/>
          </w:divBdr>
        </w:div>
        <w:div w:id="1757630090">
          <w:marLeft w:val="0"/>
          <w:marRight w:val="0"/>
          <w:marTop w:val="0"/>
          <w:marBottom w:val="0"/>
          <w:divBdr>
            <w:top w:val="none" w:sz="0" w:space="0" w:color="auto"/>
            <w:left w:val="none" w:sz="0" w:space="0" w:color="auto"/>
            <w:bottom w:val="none" w:sz="0" w:space="0" w:color="auto"/>
            <w:right w:val="none" w:sz="0" w:space="0" w:color="auto"/>
          </w:divBdr>
        </w:div>
        <w:div w:id="404187380">
          <w:marLeft w:val="0"/>
          <w:marRight w:val="0"/>
          <w:marTop w:val="0"/>
          <w:marBottom w:val="0"/>
          <w:divBdr>
            <w:top w:val="none" w:sz="0" w:space="0" w:color="auto"/>
            <w:left w:val="none" w:sz="0" w:space="0" w:color="auto"/>
            <w:bottom w:val="none" w:sz="0" w:space="0" w:color="auto"/>
            <w:right w:val="none" w:sz="0" w:space="0" w:color="auto"/>
          </w:divBdr>
        </w:div>
        <w:div w:id="2131435341">
          <w:marLeft w:val="0"/>
          <w:marRight w:val="0"/>
          <w:marTop w:val="0"/>
          <w:marBottom w:val="0"/>
          <w:divBdr>
            <w:top w:val="none" w:sz="0" w:space="0" w:color="auto"/>
            <w:left w:val="none" w:sz="0" w:space="0" w:color="auto"/>
            <w:bottom w:val="none" w:sz="0" w:space="0" w:color="auto"/>
            <w:right w:val="none" w:sz="0" w:space="0" w:color="auto"/>
          </w:divBdr>
        </w:div>
        <w:div w:id="1635521735">
          <w:marLeft w:val="0"/>
          <w:marRight w:val="0"/>
          <w:marTop w:val="0"/>
          <w:marBottom w:val="0"/>
          <w:divBdr>
            <w:top w:val="none" w:sz="0" w:space="0" w:color="auto"/>
            <w:left w:val="none" w:sz="0" w:space="0" w:color="auto"/>
            <w:bottom w:val="none" w:sz="0" w:space="0" w:color="auto"/>
            <w:right w:val="none" w:sz="0" w:space="0" w:color="auto"/>
          </w:divBdr>
        </w:div>
        <w:div w:id="437723371">
          <w:marLeft w:val="0"/>
          <w:marRight w:val="0"/>
          <w:marTop w:val="0"/>
          <w:marBottom w:val="0"/>
          <w:divBdr>
            <w:top w:val="none" w:sz="0" w:space="0" w:color="auto"/>
            <w:left w:val="none" w:sz="0" w:space="0" w:color="auto"/>
            <w:bottom w:val="none" w:sz="0" w:space="0" w:color="auto"/>
            <w:right w:val="none" w:sz="0" w:space="0" w:color="auto"/>
          </w:divBdr>
        </w:div>
        <w:div w:id="1890872026">
          <w:marLeft w:val="0"/>
          <w:marRight w:val="0"/>
          <w:marTop w:val="0"/>
          <w:marBottom w:val="0"/>
          <w:divBdr>
            <w:top w:val="none" w:sz="0" w:space="0" w:color="auto"/>
            <w:left w:val="none" w:sz="0" w:space="0" w:color="auto"/>
            <w:bottom w:val="none" w:sz="0" w:space="0" w:color="auto"/>
            <w:right w:val="none" w:sz="0" w:space="0" w:color="auto"/>
          </w:divBdr>
        </w:div>
        <w:div w:id="1258830104">
          <w:marLeft w:val="0"/>
          <w:marRight w:val="0"/>
          <w:marTop w:val="0"/>
          <w:marBottom w:val="0"/>
          <w:divBdr>
            <w:top w:val="none" w:sz="0" w:space="0" w:color="auto"/>
            <w:left w:val="none" w:sz="0" w:space="0" w:color="auto"/>
            <w:bottom w:val="none" w:sz="0" w:space="0" w:color="auto"/>
            <w:right w:val="none" w:sz="0" w:space="0" w:color="auto"/>
          </w:divBdr>
        </w:div>
        <w:div w:id="1431243529">
          <w:marLeft w:val="0"/>
          <w:marRight w:val="0"/>
          <w:marTop w:val="0"/>
          <w:marBottom w:val="0"/>
          <w:divBdr>
            <w:top w:val="none" w:sz="0" w:space="0" w:color="auto"/>
            <w:left w:val="none" w:sz="0" w:space="0" w:color="auto"/>
            <w:bottom w:val="none" w:sz="0" w:space="0" w:color="auto"/>
            <w:right w:val="none" w:sz="0" w:space="0" w:color="auto"/>
          </w:divBdr>
        </w:div>
        <w:div w:id="1686440435">
          <w:marLeft w:val="0"/>
          <w:marRight w:val="0"/>
          <w:marTop w:val="0"/>
          <w:marBottom w:val="0"/>
          <w:divBdr>
            <w:top w:val="none" w:sz="0" w:space="0" w:color="auto"/>
            <w:left w:val="none" w:sz="0" w:space="0" w:color="auto"/>
            <w:bottom w:val="none" w:sz="0" w:space="0" w:color="auto"/>
            <w:right w:val="none" w:sz="0" w:space="0" w:color="auto"/>
          </w:divBdr>
        </w:div>
        <w:div w:id="1104376313">
          <w:marLeft w:val="0"/>
          <w:marRight w:val="0"/>
          <w:marTop w:val="0"/>
          <w:marBottom w:val="0"/>
          <w:divBdr>
            <w:top w:val="none" w:sz="0" w:space="0" w:color="auto"/>
            <w:left w:val="none" w:sz="0" w:space="0" w:color="auto"/>
            <w:bottom w:val="none" w:sz="0" w:space="0" w:color="auto"/>
            <w:right w:val="none" w:sz="0" w:space="0" w:color="auto"/>
          </w:divBdr>
        </w:div>
        <w:div w:id="2023511131">
          <w:marLeft w:val="0"/>
          <w:marRight w:val="0"/>
          <w:marTop w:val="0"/>
          <w:marBottom w:val="0"/>
          <w:divBdr>
            <w:top w:val="none" w:sz="0" w:space="0" w:color="auto"/>
            <w:left w:val="none" w:sz="0" w:space="0" w:color="auto"/>
            <w:bottom w:val="none" w:sz="0" w:space="0" w:color="auto"/>
            <w:right w:val="none" w:sz="0" w:space="0" w:color="auto"/>
          </w:divBdr>
        </w:div>
        <w:div w:id="918710891">
          <w:marLeft w:val="0"/>
          <w:marRight w:val="0"/>
          <w:marTop w:val="0"/>
          <w:marBottom w:val="0"/>
          <w:divBdr>
            <w:top w:val="none" w:sz="0" w:space="0" w:color="auto"/>
            <w:left w:val="none" w:sz="0" w:space="0" w:color="auto"/>
            <w:bottom w:val="none" w:sz="0" w:space="0" w:color="auto"/>
            <w:right w:val="none" w:sz="0" w:space="0" w:color="auto"/>
          </w:divBdr>
        </w:div>
        <w:div w:id="935747399">
          <w:marLeft w:val="0"/>
          <w:marRight w:val="0"/>
          <w:marTop w:val="0"/>
          <w:marBottom w:val="0"/>
          <w:divBdr>
            <w:top w:val="none" w:sz="0" w:space="0" w:color="auto"/>
            <w:left w:val="none" w:sz="0" w:space="0" w:color="auto"/>
            <w:bottom w:val="none" w:sz="0" w:space="0" w:color="auto"/>
            <w:right w:val="none" w:sz="0" w:space="0" w:color="auto"/>
          </w:divBdr>
        </w:div>
        <w:div w:id="941302714">
          <w:marLeft w:val="0"/>
          <w:marRight w:val="0"/>
          <w:marTop w:val="0"/>
          <w:marBottom w:val="0"/>
          <w:divBdr>
            <w:top w:val="none" w:sz="0" w:space="0" w:color="auto"/>
            <w:left w:val="none" w:sz="0" w:space="0" w:color="auto"/>
            <w:bottom w:val="none" w:sz="0" w:space="0" w:color="auto"/>
            <w:right w:val="none" w:sz="0" w:space="0" w:color="auto"/>
          </w:divBdr>
        </w:div>
      </w:divsChild>
    </w:div>
    <w:div w:id="528950289">
      <w:marLeft w:val="0"/>
      <w:marRight w:val="0"/>
      <w:marTop w:val="100"/>
      <w:marBottom w:val="0"/>
      <w:divBdr>
        <w:top w:val="none" w:sz="0" w:space="0" w:color="auto"/>
        <w:left w:val="none" w:sz="0" w:space="0" w:color="auto"/>
        <w:bottom w:val="none" w:sz="0" w:space="0" w:color="auto"/>
        <w:right w:val="none" w:sz="0" w:space="0" w:color="auto"/>
      </w:divBdr>
    </w:div>
    <w:div w:id="531266125">
      <w:marLeft w:val="0"/>
      <w:marRight w:val="0"/>
      <w:marTop w:val="100"/>
      <w:marBottom w:val="0"/>
      <w:divBdr>
        <w:top w:val="none" w:sz="0" w:space="0" w:color="auto"/>
        <w:left w:val="none" w:sz="0" w:space="0" w:color="auto"/>
        <w:bottom w:val="none" w:sz="0" w:space="0" w:color="auto"/>
        <w:right w:val="none" w:sz="0" w:space="0" w:color="auto"/>
      </w:divBdr>
    </w:div>
    <w:div w:id="532423787">
      <w:marLeft w:val="0"/>
      <w:marRight w:val="0"/>
      <w:marTop w:val="100"/>
      <w:marBottom w:val="0"/>
      <w:divBdr>
        <w:top w:val="none" w:sz="0" w:space="0" w:color="auto"/>
        <w:left w:val="none" w:sz="0" w:space="0" w:color="auto"/>
        <w:bottom w:val="none" w:sz="0" w:space="0" w:color="auto"/>
        <w:right w:val="none" w:sz="0" w:space="0" w:color="auto"/>
      </w:divBdr>
    </w:div>
    <w:div w:id="534662841">
      <w:marLeft w:val="0"/>
      <w:marRight w:val="0"/>
      <w:marTop w:val="0"/>
      <w:marBottom w:val="0"/>
      <w:divBdr>
        <w:top w:val="none" w:sz="0" w:space="0" w:color="auto"/>
        <w:left w:val="none" w:sz="0" w:space="0" w:color="auto"/>
        <w:bottom w:val="none" w:sz="0" w:space="0" w:color="auto"/>
        <w:right w:val="none" w:sz="0" w:space="0" w:color="auto"/>
      </w:divBdr>
      <w:divsChild>
        <w:div w:id="2039162123">
          <w:marLeft w:val="0"/>
          <w:marRight w:val="0"/>
          <w:marTop w:val="0"/>
          <w:marBottom w:val="0"/>
          <w:divBdr>
            <w:top w:val="none" w:sz="0" w:space="0" w:color="auto"/>
            <w:left w:val="none" w:sz="0" w:space="0" w:color="auto"/>
            <w:bottom w:val="none" w:sz="0" w:space="0" w:color="auto"/>
            <w:right w:val="none" w:sz="0" w:space="0" w:color="auto"/>
          </w:divBdr>
        </w:div>
      </w:divsChild>
    </w:div>
    <w:div w:id="535118287">
      <w:marLeft w:val="0"/>
      <w:marRight w:val="0"/>
      <w:marTop w:val="100"/>
      <w:marBottom w:val="0"/>
      <w:divBdr>
        <w:top w:val="none" w:sz="0" w:space="0" w:color="auto"/>
        <w:left w:val="none" w:sz="0" w:space="0" w:color="auto"/>
        <w:bottom w:val="none" w:sz="0" w:space="0" w:color="auto"/>
        <w:right w:val="none" w:sz="0" w:space="0" w:color="auto"/>
      </w:divBdr>
    </w:div>
    <w:div w:id="535505350">
      <w:marLeft w:val="0"/>
      <w:marRight w:val="0"/>
      <w:marTop w:val="100"/>
      <w:marBottom w:val="0"/>
      <w:divBdr>
        <w:top w:val="none" w:sz="0" w:space="0" w:color="auto"/>
        <w:left w:val="none" w:sz="0" w:space="0" w:color="auto"/>
        <w:bottom w:val="none" w:sz="0" w:space="0" w:color="auto"/>
        <w:right w:val="none" w:sz="0" w:space="0" w:color="auto"/>
      </w:divBdr>
    </w:div>
    <w:div w:id="536548198">
      <w:marLeft w:val="0"/>
      <w:marRight w:val="0"/>
      <w:marTop w:val="100"/>
      <w:marBottom w:val="0"/>
      <w:divBdr>
        <w:top w:val="none" w:sz="0" w:space="0" w:color="auto"/>
        <w:left w:val="none" w:sz="0" w:space="0" w:color="auto"/>
        <w:bottom w:val="none" w:sz="0" w:space="0" w:color="auto"/>
        <w:right w:val="none" w:sz="0" w:space="0" w:color="auto"/>
      </w:divBdr>
    </w:div>
    <w:div w:id="537278003">
      <w:marLeft w:val="0"/>
      <w:marRight w:val="0"/>
      <w:marTop w:val="100"/>
      <w:marBottom w:val="0"/>
      <w:divBdr>
        <w:top w:val="none" w:sz="0" w:space="0" w:color="auto"/>
        <w:left w:val="none" w:sz="0" w:space="0" w:color="auto"/>
        <w:bottom w:val="none" w:sz="0" w:space="0" w:color="auto"/>
        <w:right w:val="none" w:sz="0" w:space="0" w:color="auto"/>
      </w:divBdr>
    </w:div>
    <w:div w:id="537664957">
      <w:marLeft w:val="0"/>
      <w:marRight w:val="0"/>
      <w:marTop w:val="240"/>
      <w:marBottom w:val="0"/>
      <w:divBdr>
        <w:top w:val="none" w:sz="0" w:space="0" w:color="auto"/>
        <w:left w:val="none" w:sz="0" w:space="0" w:color="auto"/>
        <w:bottom w:val="none" w:sz="0" w:space="0" w:color="auto"/>
        <w:right w:val="none" w:sz="0" w:space="0" w:color="auto"/>
      </w:divBdr>
    </w:div>
    <w:div w:id="538780741">
      <w:marLeft w:val="0"/>
      <w:marRight w:val="0"/>
      <w:marTop w:val="240"/>
      <w:marBottom w:val="0"/>
      <w:divBdr>
        <w:top w:val="none" w:sz="0" w:space="0" w:color="auto"/>
        <w:left w:val="none" w:sz="0" w:space="0" w:color="auto"/>
        <w:bottom w:val="none" w:sz="0" w:space="0" w:color="auto"/>
        <w:right w:val="none" w:sz="0" w:space="0" w:color="auto"/>
      </w:divBdr>
    </w:div>
    <w:div w:id="539710890">
      <w:marLeft w:val="0"/>
      <w:marRight w:val="0"/>
      <w:marTop w:val="100"/>
      <w:marBottom w:val="0"/>
      <w:divBdr>
        <w:top w:val="none" w:sz="0" w:space="0" w:color="auto"/>
        <w:left w:val="none" w:sz="0" w:space="0" w:color="auto"/>
        <w:bottom w:val="none" w:sz="0" w:space="0" w:color="auto"/>
        <w:right w:val="none" w:sz="0" w:space="0" w:color="auto"/>
      </w:divBdr>
    </w:div>
    <w:div w:id="545216865">
      <w:marLeft w:val="0"/>
      <w:marRight w:val="0"/>
      <w:marTop w:val="100"/>
      <w:marBottom w:val="0"/>
      <w:divBdr>
        <w:top w:val="none" w:sz="0" w:space="0" w:color="auto"/>
        <w:left w:val="none" w:sz="0" w:space="0" w:color="auto"/>
        <w:bottom w:val="none" w:sz="0" w:space="0" w:color="auto"/>
        <w:right w:val="none" w:sz="0" w:space="0" w:color="auto"/>
      </w:divBdr>
    </w:div>
    <w:div w:id="545289912">
      <w:marLeft w:val="0"/>
      <w:marRight w:val="0"/>
      <w:marTop w:val="60"/>
      <w:marBottom w:val="0"/>
      <w:divBdr>
        <w:top w:val="none" w:sz="0" w:space="0" w:color="auto"/>
        <w:left w:val="none" w:sz="0" w:space="0" w:color="auto"/>
        <w:bottom w:val="none" w:sz="0" w:space="0" w:color="auto"/>
        <w:right w:val="none" w:sz="0" w:space="0" w:color="auto"/>
      </w:divBdr>
    </w:div>
    <w:div w:id="547497055">
      <w:marLeft w:val="0"/>
      <w:marRight w:val="0"/>
      <w:marTop w:val="100"/>
      <w:marBottom w:val="0"/>
      <w:divBdr>
        <w:top w:val="none" w:sz="0" w:space="0" w:color="auto"/>
        <w:left w:val="none" w:sz="0" w:space="0" w:color="auto"/>
        <w:bottom w:val="none" w:sz="0" w:space="0" w:color="auto"/>
        <w:right w:val="none" w:sz="0" w:space="0" w:color="auto"/>
      </w:divBdr>
    </w:div>
    <w:div w:id="548347913">
      <w:marLeft w:val="0"/>
      <w:marRight w:val="0"/>
      <w:marTop w:val="100"/>
      <w:marBottom w:val="0"/>
      <w:divBdr>
        <w:top w:val="none" w:sz="0" w:space="0" w:color="auto"/>
        <w:left w:val="none" w:sz="0" w:space="0" w:color="auto"/>
        <w:bottom w:val="none" w:sz="0" w:space="0" w:color="auto"/>
        <w:right w:val="none" w:sz="0" w:space="0" w:color="auto"/>
      </w:divBdr>
    </w:div>
    <w:div w:id="548996675">
      <w:marLeft w:val="0"/>
      <w:marRight w:val="0"/>
      <w:marTop w:val="240"/>
      <w:marBottom w:val="0"/>
      <w:divBdr>
        <w:top w:val="none" w:sz="0" w:space="0" w:color="auto"/>
        <w:left w:val="none" w:sz="0" w:space="0" w:color="auto"/>
        <w:bottom w:val="none" w:sz="0" w:space="0" w:color="auto"/>
        <w:right w:val="none" w:sz="0" w:space="0" w:color="auto"/>
      </w:divBdr>
    </w:div>
    <w:div w:id="549077715">
      <w:marLeft w:val="0"/>
      <w:marRight w:val="0"/>
      <w:marTop w:val="240"/>
      <w:marBottom w:val="0"/>
      <w:divBdr>
        <w:top w:val="none" w:sz="0" w:space="0" w:color="auto"/>
        <w:left w:val="none" w:sz="0" w:space="0" w:color="auto"/>
        <w:bottom w:val="none" w:sz="0" w:space="0" w:color="auto"/>
        <w:right w:val="none" w:sz="0" w:space="0" w:color="auto"/>
      </w:divBdr>
    </w:div>
    <w:div w:id="551769662">
      <w:marLeft w:val="0"/>
      <w:marRight w:val="0"/>
      <w:marTop w:val="100"/>
      <w:marBottom w:val="0"/>
      <w:divBdr>
        <w:top w:val="none" w:sz="0" w:space="0" w:color="auto"/>
        <w:left w:val="none" w:sz="0" w:space="0" w:color="auto"/>
        <w:bottom w:val="none" w:sz="0" w:space="0" w:color="auto"/>
        <w:right w:val="none" w:sz="0" w:space="0" w:color="auto"/>
      </w:divBdr>
    </w:div>
    <w:div w:id="554123330">
      <w:marLeft w:val="0"/>
      <w:marRight w:val="0"/>
      <w:marTop w:val="180"/>
      <w:marBottom w:val="0"/>
      <w:divBdr>
        <w:top w:val="none" w:sz="0" w:space="0" w:color="auto"/>
        <w:left w:val="none" w:sz="0" w:space="0" w:color="auto"/>
        <w:bottom w:val="none" w:sz="0" w:space="0" w:color="auto"/>
        <w:right w:val="none" w:sz="0" w:space="0" w:color="auto"/>
      </w:divBdr>
    </w:div>
    <w:div w:id="554967407">
      <w:marLeft w:val="0"/>
      <w:marRight w:val="0"/>
      <w:marTop w:val="40"/>
      <w:marBottom w:val="0"/>
      <w:divBdr>
        <w:top w:val="none" w:sz="0" w:space="0" w:color="auto"/>
        <w:left w:val="none" w:sz="0" w:space="0" w:color="auto"/>
        <w:bottom w:val="none" w:sz="0" w:space="0" w:color="auto"/>
        <w:right w:val="none" w:sz="0" w:space="0" w:color="auto"/>
      </w:divBdr>
    </w:div>
    <w:div w:id="559949210">
      <w:marLeft w:val="0"/>
      <w:marRight w:val="0"/>
      <w:marTop w:val="240"/>
      <w:marBottom w:val="0"/>
      <w:divBdr>
        <w:top w:val="none" w:sz="0" w:space="0" w:color="auto"/>
        <w:left w:val="none" w:sz="0" w:space="0" w:color="auto"/>
        <w:bottom w:val="none" w:sz="0" w:space="0" w:color="auto"/>
        <w:right w:val="none" w:sz="0" w:space="0" w:color="auto"/>
      </w:divBdr>
    </w:div>
    <w:div w:id="563375346">
      <w:marLeft w:val="0"/>
      <w:marRight w:val="0"/>
      <w:marTop w:val="240"/>
      <w:marBottom w:val="0"/>
      <w:divBdr>
        <w:top w:val="none" w:sz="0" w:space="0" w:color="auto"/>
        <w:left w:val="none" w:sz="0" w:space="0" w:color="auto"/>
        <w:bottom w:val="none" w:sz="0" w:space="0" w:color="auto"/>
        <w:right w:val="none" w:sz="0" w:space="0" w:color="auto"/>
      </w:divBdr>
    </w:div>
    <w:div w:id="563833992">
      <w:marLeft w:val="0"/>
      <w:marRight w:val="0"/>
      <w:marTop w:val="0"/>
      <w:marBottom w:val="0"/>
      <w:divBdr>
        <w:top w:val="none" w:sz="0" w:space="0" w:color="auto"/>
        <w:left w:val="none" w:sz="0" w:space="0" w:color="auto"/>
        <w:bottom w:val="none" w:sz="0" w:space="0" w:color="auto"/>
        <w:right w:val="none" w:sz="0" w:space="0" w:color="auto"/>
      </w:divBdr>
      <w:divsChild>
        <w:div w:id="1308164922">
          <w:marLeft w:val="0"/>
          <w:marRight w:val="0"/>
          <w:marTop w:val="0"/>
          <w:marBottom w:val="0"/>
          <w:divBdr>
            <w:top w:val="none" w:sz="0" w:space="0" w:color="auto"/>
            <w:left w:val="none" w:sz="0" w:space="0" w:color="auto"/>
            <w:bottom w:val="none" w:sz="0" w:space="0" w:color="auto"/>
            <w:right w:val="none" w:sz="0" w:space="0" w:color="auto"/>
          </w:divBdr>
        </w:div>
        <w:div w:id="1080175606">
          <w:marLeft w:val="0"/>
          <w:marRight w:val="0"/>
          <w:marTop w:val="0"/>
          <w:marBottom w:val="0"/>
          <w:divBdr>
            <w:top w:val="none" w:sz="0" w:space="0" w:color="auto"/>
            <w:left w:val="none" w:sz="0" w:space="0" w:color="auto"/>
            <w:bottom w:val="none" w:sz="0" w:space="0" w:color="auto"/>
            <w:right w:val="none" w:sz="0" w:space="0" w:color="auto"/>
          </w:divBdr>
        </w:div>
      </w:divsChild>
    </w:div>
    <w:div w:id="565145179">
      <w:marLeft w:val="0"/>
      <w:marRight w:val="0"/>
      <w:marTop w:val="100"/>
      <w:marBottom w:val="0"/>
      <w:divBdr>
        <w:top w:val="none" w:sz="0" w:space="0" w:color="auto"/>
        <w:left w:val="none" w:sz="0" w:space="0" w:color="auto"/>
        <w:bottom w:val="none" w:sz="0" w:space="0" w:color="auto"/>
        <w:right w:val="none" w:sz="0" w:space="0" w:color="auto"/>
      </w:divBdr>
    </w:div>
    <w:div w:id="566576942">
      <w:marLeft w:val="0"/>
      <w:marRight w:val="0"/>
      <w:marTop w:val="240"/>
      <w:marBottom w:val="0"/>
      <w:divBdr>
        <w:top w:val="none" w:sz="0" w:space="0" w:color="auto"/>
        <w:left w:val="none" w:sz="0" w:space="0" w:color="auto"/>
        <w:bottom w:val="none" w:sz="0" w:space="0" w:color="auto"/>
        <w:right w:val="none" w:sz="0" w:space="0" w:color="auto"/>
      </w:divBdr>
    </w:div>
    <w:div w:id="568081035">
      <w:marLeft w:val="0"/>
      <w:marRight w:val="0"/>
      <w:marTop w:val="240"/>
      <w:marBottom w:val="0"/>
      <w:divBdr>
        <w:top w:val="none" w:sz="0" w:space="0" w:color="auto"/>
        <w:left w:val="none" w:sz="0" w:space="0" w:color="auto"/>
        <w:bottom w:val="none" w:sz="0" w:space="0" w:color="auto"/>
        <w:right w:val="none" w:sz="0" w:space="0" w:color="auto"/>
      </w:divBdr>
    </w:div>
    <w:div w:id="568543357">
      <w:marLeft w:val="0"/>
      <w:marRight w:val="0"/>
      <w:marTop w:val="100"/>
      <w:marBottom w:val="0"/>
      <w:divBdr>
        <w:top w:val="none" w:sz="0" w:space="0" w:color="auto"/>
        <w:left w:val="none" w:sz="0" w:space="0" w:color="auto"/>
        <w:bottom w:val="none" w:sz="0" w:space="0" w:color="auto"/>
        <w:right w:val="none" w:sz="0" w:space="0" w:color="auto"/>
      </w:divBdr>
    </w:div>
    <w:div w:id="571427764">
      <w:marLeft w:val="0"/>
      <w:marRight w:val="0"/>
      <w:marTop w:val="100"/>
      <w:marBottom w:val="0"/>
      <w:divBdr>
        <w:top w:val="none" w:sz="0" w:space="0" w:color="auto"/>
        <w:left w:val="none" w:sz="0" w:space="0" w:color="auto"/>
        <w:bottom w:val="none" w:sz="0" w:space="0" w:color="auto"/>
        <w:right w:val="none" w:sz="0" w:space="0" w:color="auto"/>
      </w:divBdr>
    </w:div>
    <w:div w:id="575212684">
      <w:marLeft w:val="0"/>
      <w:marRight w:val="0"/>
      <w:marTop w:val="100"/>
      <w:marBottom w:val="0"/>
      <w:divBdr>
        <w:top w:val="none" w:sz="0" w:space="0" w:color="auto"/>
        <w:left w:val="none" w:sz="0" w:space="0" w:color="auto"/>
        <w:bottom w:val="none" w:sz="0" w:space="0" w:color="auto"/>
        <w:right w:val="none" w:sz="0" w:space="0" w:color="auto"/>
      </w:divBdr>
      <w:divsChild>
        <w:div w:id="1693722315">
          <w:marLeft w:val="0"/>
          <w:marRight w:val="0"/>
          <w:marTop w:val="0"/>
          <w:marBottom w:val="0"/>
          <w:divBdr>
            <w:top w:val="none" w:sz="0" w:space="0" w:color="auto"/>
            <w:left w:val="none" w:sz="0" w:space="0" w:color="auto"/>
            <w:bottom w:val="none" w:sz="0" w:space="0" w:color="auto"/>
            <w:right w:val="none" w:sz="0" w:space="0" w:color="auto"/>
          </w:divBdr>
        </w:div>
        <w:div w:id="1011570975">
          <w:marLeft w:val="0"/>
          <w:marRight w:val="0"/>
          <w:marTop w:val="0"/>
          <w:marBottom w:val="0"/>
          <w:divBdr>
            <w:top w:val="none" w:sz="0" w:space="0" w:color="auto"/>
            <w:left w:val="none" w:sz="0" w:space="0" w:color="auto"/>
            <w:bottom w:val="none" w:sz="0" w:space="0" w:color="auto"/>
            <w:right w:val="none" w:sz="0" w:space="0" w:color="auto"/>
          </w:divBdr>
        </w:div>
        <w:div w:id="618072539">
          <w:marLeft w:val="0"/>
          <w:marRight w:val="0"/>
          <w:marTop w:val="0"/>
          <w:marBottom w:val="0"/>
          <w:divBdr>
            <w:top w:val="none" w:sz="0" w:space="0" w:color="auto"/>
            <w:left w:val="none" w:sz="0" w:space="0" w:color="auto"/>
            <w:bottom w:val="none" w:sz="0" w:space="0" w:color="auto"/>
            <w:right w:val="none" w:sz="0" w:space="0" w:color="auto"/>
          </w:divBdr>
        </w:div>
      </w:divsChild>
    </w:div>
    <w:div w:id="576745813">
      <w:marLeft w:val="0"/>
      <w:marRight w:val="0"/>
      <w:marTop w:val="240"/>
      <w:marBottom w:val="0"/>
      <w:divBdr>
        <w:top w:val="none" w:sz="0" w:space="0" w:color="auto"/>
        <w:left w:val="none" w:sz="0" w:space="0" w:color="auto"/>
        <w:bottom w:val="none" w:sz="0" w:space="0" w:color="auto"/>
        <w:right w:val="none" w:sz="0" w:space="0" w:color="auto"/>
      </w:divBdr>
    </w:div>
    <w:div w:id="577325052">
      <w:marLeft w:val="0"/>
      <w:marRight w:val="0"/>
      <w:marTop w:val="100"/>
      <w:marBottom w:val="0"/>
      <w:divBdr>
        <w:top w:val="none" w:sz="0" w:space="0" w:color="auto"/>
        <w:left w:val="none" w:sz="0" w:space="0" w:color="auto"/>
        <w:bottom w:val="none" w:sz="0" w:space="0" w:color="auto"/>
        <w:right w:val="none" w:sz="0" w:space="0" w:color="auto"/>
      </w:divBdr>
    </w:div>
    <w:div w:id="577709026">
      <w:marLeft w:val="0"/>
      <w:marRight w:val="0"/>
      <w:marTop w:val="100"/>
      <w:marBottom w:val="0"/>
      <w:divBdr>
        <w:top w:val="none" w:sz="0" w:space="0" w:color="auto"/>
        <w:left w:val="none" w:sz="0" w:space="0" w:color="auto"/>
        <w:bottom w:val="none" w:sz="0" w:space="0" w:color="auto"/>
        <w:right w:val="none" w:sz="0" w:space="0" w:color="auto"/>
      </w:divBdr>
    </w:div>
    <w:div w:id="579682366">
      <w:marLeft w:val="0"/>
      <w:marRight w:val="0"/>
      <w:marTop w:val="280"/>
      <w:marBottom w:val="0"/>
      <w:divBdr>
        <w:top w:val="none" w:sz="0" w:space="0" w:color="auto"/>
        <w:left w:val="none" w:sz="0" w:space="0" w:color="auto"/>
        <w:bottom w:val="none" w:sz="0" w:space="0" w:color="auto"/>
        <w:right w:val="none" w:sz="0" w:space="0" w:color="auto"/>
      </w:divBdr>
    </w:div>
    <w:div w:id="580677059">
      <w:marLeft w:val="0"/>
      <w:marRight w:val="0"/>
      <w:marTop w:val="60"/>
      <w:marBottom w:val="0"/>
      <w:divBdr>
        <w:top w:val="none" w:sz="0" w:space="0" w:color="auto"/>
        <w:left w:val="none" w:sz="0" w:space="0" w:color="auto"/>
        <w:bottom w:val="none" w:sz="0" w:space="0" w:color="auto"/>
        <w:right w:val="none" w:sz="0" w:space="0" w:color="auto"/>
      </w:divBdr>
    </w:div>
    <w:div w:id="583493585">
      <w:marLeft w:val="0"/>
      <w:marRight w:val="0"/>
      <w:marTop w:val="100"/>
      <w:marBottom w:val="0"/>
      <w:divBdr>
        <w:top w:val="none" w:sz="0" w:space="0" w:color="auto"/>
        <w:left w:val="none" w:sz="0" w:space="0" w:color="auto"/>
        <w:bottom w:val="none" w:sz="0" w:space="0" w:color="auto"/>
        <w:right w:val="none" w:sz="0" w:space="0" w:color="auto"/>
      </w:divBdr>
    </w:div>
    <w:div w:id="583497034">
      <w:marLeft w:val="0"/>
      <w:marRight w:val="0"/>
      <w:marTop w:val="0"/>
      <w:marBottom w:val="0"/>
      <w:divBdr>
        <w:top w:val="none" w:sz="0" w:space="0" w:color="auto"/>
        <w:left w:val="none" w:sz="0" w:space="0" w:color="auto"/>
        <w:bottom w:val="none" w:sz="0" w:space="0" w:color="auto"/>
        <w:right w:val="none" w:sz="0" w:space="0" w:color="auto"/>
      </w:divBdr>
      <w:divsChild>
        <w:div w:id="54624066">
          <w:marLeft w:val="0"/>
          <w:marRight w:val="0"/>
          <w:marTop w:val="0"/>
          <w:marBottom w:val="0"/>
          <w:divBdr>
            <w:top w:val="none" w:sz="0" w:space="0" w:color="auto"/>
            <w:left w:val="none" w:sz="0" w:space="0" w:color="auto"/>
            <w:bottom w:val="none" w:sz="0" w:space="0" w:color="auto"/>
            <w:right w:val="none" w:sz="0" w:space="0" w:color="auto"/>
          </w:divBdr>
        </w:div>
        <w:div w:id="635137192">
          <w:marLeft w:val="0"/>
          <w:marRight w:val="0"/>
          <w:marTop w:val="0"/>
          <w:marBottom w:val="0"/>
          <w:divBdr>
            <w:top w:val="none" w:sz="0" w:space="0" w:color="auto"/>
            <w:left w:val="none" w:sz="0" w:space="0" w:color="auto"/>
            <w:bottom w:val="none" w:sz="0" w:space="0" w:color="auto"/>
            <w:right w:val="none" w:sz="0" w:space="0" w:color="auto"/>
          </w:divBdr>
        </w:div>
      </w:divsChild>
    </w:div>
    <w:div w:id="586304450">
      <w:marLeft w:val="0"/>
      <w:marRight w:val="0"/>
      <w:marTop w:val="0"/>
      <w:marBottom w:val="0"/>
      <w:divBdr>
        <w:top w:val="none" w:sz="0" w:space="0" w:color="auto"/>
        <w:left w:val="none" w:sz="0" w:space="0" w:color="auto"/>
        <w:bottom w:val="none" w:sz="0" w:space="0" w:color="auto"/>
        <w:right w:val="none" w:sz="0" w:space="0" w:color="auto"/>
      </w:divBdr>
      <w:divsChild>
        <w:div w:id="1652710721">
          <w:marLeft w:val="0"/>
          <w:marRight w:val="0"/>
          <w:marTop w:val="0"/>
          <w:marBottom w:val="0"/>
          <w:divBdr>
            <w:top w:val="none" w:sz="0" w:space="0" w:color="auto"/>
            <w:left w:val="none" w:sz="0" w:space="0" w:color="auto"/>
            <w:bottom w:val="none" w:sz="0" w:space="0" w:color="auto"/>
            <w:right w:val="none" w:sz="0" w:space="0" w:color="auto"/>
          </w:divBdr>
        </w:div>
      </w:divsChild>
    </w:div>
    <w:div w:id="588579551">
      <w:marLeft w:val="0"/>
      <w:marRight w:val="0"/>
      <w:marTop w:val="100"/>
      <w:marBottom w:val="0"/>
      <w:divBdr>
        <w:top w:val="none" w:sz="0" w:space="0" w:color="auto"/>
        <w:left w:val="none" w:sz="0" w:space="0" w:color="auto"/>
        <w:bottom w:val="none" w:sz="0" w:space="0" w:color="auto"/>
        <w:right w:val="none" w:sz="0" w:space="0" w:color="auto"/>
      </w:divBdr>
    </w:div>
    <w:div w:id="589000474">
      <w:marLeft w:val="0"/>
      <w:marRight w:val="0"/>
      <w:marTop w:val="0"/>
      <w:marBottom w:val="0"/>
      <w:divBdr>
        <w:top w:val="none" w:sz="0" w:space="0" w:color="auto"/>
        <w:left w:val="none" w:sz="0" w:space="0" w:color="auto"/>
        <w:bottom w:val="none" w:sz="0" w:space="0" w:color="auto"/>
        <w:right w:val="none" w:sz="0" w:space="0" w:color="auto"/>
      </w:divBdr>
      <w:divsChild>
        <w:div w:id="1359160477">
          <w:marLeft w:val="0"/>
          <w:marRight w:val="0"/>
          <w:marTop w:val="0"/>
          <w:marBottom w:val="0"/>
          <w:divBdr>
            <w:top w:val="none" w:sz="0" w:space="0" w:color="auto"/>
            <w:left w:val="none" w:sz="0" w:space="0" w:color="auto"/>
            <w:bottom w:val="none" w:sz="0" w:space="0" w:color="auto"/>
            <w:right w:val="none" w:sz="0" w:space="0" w:color="auto"/>
          </w:divBdr>
        </w:div>
      </w:divsChild>
    </w:div>
    <w:div w:id="589238217">
      <w:marLeft w:val="0"/>
      <w:marRight w:val="0"/>
      <w:marTop w:val="240"/>
      <w:marBottom w:val="0"/>
      <w:divBdr>
        <w:top w:val="none" w:sz="0" w:space="0" w:color="auto"/>
        <w:left w:val="none" w:sz="0" w:space="0" w:color="auto"/>
        <w:bottom w:val="none" w:sz="0" w:space="0" w:color="auto"/>
        <w:right w:val="none" w:sz="0" w:space="0" w:color="auto"/>
      </w:divBdr>
    </w:div>
    <w:div w:id="590087508">
      <w:marLeft w:val="0"/>
      <w:marRight w:val="0"/>
      <w:marTop w:val="0"/>
      <w:marBottom w:val="0"/>
      <w:divBdr>
        <w:top w:val="none" w:sz="0" w:space="0" w:color="auto"/>
        <w:left w:val="none" w:sz="0" w:space="0" w:color="auto"/>
        <w:bottom w:val="none" w:sz="0" w:space="0" w:color="auto"/>
        <w:right w:val="none" w:sz="0" w:space="0" w:color="auto"/>
      </w:divBdr>
      <w:divsChild>
        <w:div w:id="62261910">
          <w:marLeft w:val="0"/>
          <w:marRight w:val="0"/>
          <w:marTop w:val="0"/>
          <w:marBottom w:val="0"/>
          <w:divBdr>
            <w:top w:val="none" w:sz="0" w:space="0" w:color="auto"/>
            <w:left w:val="none" w:sz="0" w:space="0" w:color="auto"/>
            <w:bottom w:val="none" w:sz="0" w:space="0" w:color="auto"/>
            <w:right w:val="none" w:sz="0" w:space="0" w:color="auto"/>
          </w:divBdr>
        </w:div>
      </w:divsChild>
    </w:div>
    <w:div w:id="590167609">
      <w:marLeft w:val="0"/>
      <w:marRight w:val="0"/>
      <w:marTop w:val="100"/>
      <w:marBottom w:val="0"/>
      <w:divBdr>
        <w:top w:val="none" w:sz="0" w:space="0" w:color="auto"/>
        <w:left w:val="none" w:sz="0" w:space="0" w:color="auto"/>
        <w:bottom w:val="none" w:sz="0" w:space="0" w:color="auto"/>
        <w:right w:val="none" w:sz="0" w:space="0" w:color="auto"/>
      </w:divBdr>
    </w:div>
    <w:div w:id="591162314">
      <w:marLeft w:val="0"/>
      <w:marRight w:val="0"/>
      <w:marTop w:val="180"/>
      <w:marBottom w:val="0"/>
      <w:divBdr>
        <w:top w:val="none" w:sz="0" w:space="0" w:color="auto"/>
        <w:left w:val="none" w:sz="0" w:space="0" w:color="auto"/>
        <w:bottom w:val="none" w:sz="0" w:space="0" w:color="auto"/>
        <w:right w:val="none" w:sz="0" w:space="0" w:color="auto"/>
      </w:divBdr>
    </w:div>
    <w:div w:id="598372415">
      <w:marLeft w:val="0"/>
      <w:marRight w:val="0"/>
      <w:marTop w:val="100"/>
      <w:marBottom w:val="0"/>
      <w:divBdr>
        <w:top w:val="none" w:sz="0" w:space="0" w:color="auto"/>
        <w:left w:val="none" w:sz="0" w:space="0" w:color="auto"/>
        <w:bottom w:val="none" w:sz="0" w:space="0" w:color="auto"/>
        <w:right w:val="none" w:sz="0" w:space="0" w:color="auto"/>
      </w:divBdr>
    </w:div>
    <w:div w:id="598416445">
      <w:marLeft w:val="0"/>
      <w:marRight w:val="0"/>
      <w:marTop w:val="240"/>
      <w:marBottom w:val="0"/>
      <w:divBdr>
        <w:top w:val="none" w:sz="0" w:space="0" w:color="auto"/>
        <w:left w:val="none" w:sz="0" w:space="0" w:color="auto"/>
        <w:bottom w:val="none" w:sz="0" w:space="0" w:color="auto"/>
        <w:right w:val="none" w:sz="0" w:space="0" w:color="auto"/>
      </w:divBdr>
    </w:div>
    <w:div w:id="598954859">
      <w:marLeft w:val="0"/>
      <w:marRight w:val="0"/>
      <w:marTop w:val="100"/>
      <w:marBottom w:val="0"/>
      <w:divBdr>
        <w:top w:val="none" w:sz="0" w:space="0" w:color="auto"/>
        <w:left w:val="none" w:sz="0" w:space="0" w:color="auto"/>
        <w:bottom w:val="none" w:sz="0" w:space="0" w:color="auto"/>
        <w:right w:val="none" w:sz="0" w:space="0" w:color="auto"/>
      </w:divBdr>
    </w:div>
    <w:div w:id="606473703">
      <w:marLeft w:val="0"/>
      <w:marRight w:val="0"/>
      <w:marTop w:val="100"/>
      <w:marBottom w:val="0"/>
      <w:divBdr>
        <w:top w:val="none" w:sz="0" w:space="0" w:color="auto"/>
        <w:left w:val="none" w:sz="0" w:space="0" w:color="auto"/>
        <w:bottom w:val="none" w:sz="0" w:space="0" w:color="auto"/>
        <w:right w:val="none" w:sz="0" w:space="0" w:color="auto"/>
      </w:divBdr>
    </w:div>
    <w:div w:id="608197355">
      <w:marLeft w:val="0"/>
      <w:marRight w:val="0"/>
      <w:marTop w:val="100"/>
      <w:marBottom w:val="0"/>
      <w:divBdr>
        <w:top w:val="none" w:sz="0" w:space="0" w:color="auto"/>
        <w:left w:val="none" w:sz="0" w:space="0" w:color="auto"/>
        <w:bottom w:val="none" w:sz="0" w:space="0" w:color="auto"/>
        <w:right w:val="none" w:sz="0" w:space="0" w:color="auto"/>
      </w:divBdr>
    </w:div>
    <w:div w:id="609506637">
      <w:marLeft w:val="0"/>
      <w:marRight w:val="0"/>
      <w:marTop w:val="100"/>
      <w:marBottom w:val="0"/>
      <w:divBdr>
        <w:top w:val="none" w:sz="0" w:space="0" w:color="auto"/>
        <w:left w:val="none" w:sz="0" w:space="0" w:color="auto"/>
        <w:bottom w:val="none" w:sz="0" w:space="0" w:color="auto"/>
        <w:right w:val="none" w:sz="0" w:space="0" w:color="auto"/>
      </w:divBdr>
    </w:div>
    <w:div w:id="614021383">
      <w:marLeft w:val="0"/>
      <w:marRight w:val="0"/>
      <w:marTop w:val="100"/>
      <w:marBottom w:val="0"/>
      <w:divBdr>
        <w:top w:val="none" w:sz="0" w:space="0" w:color="auto"/>
        <w:left w:val="none" w:sz="0" w:space="0" w:color="auto"/>
        <w:bottom w:val="none" w:sz="0" w:space="0" w:color="auto"/>
        <w:right w:val="none" w:sz="0" w:space="0" w:color="auto"/>
      </w:divBdr>
    </w:div>
    <w:div w:id="614334765">
      <w:marLeft w:val="0"/>
      <w:marRight w:val="0"/>
      <w:marTop w:val="100"/>
      <w:marBottom w:val="0"/>
      <w:divBdr>
        <w:top w:val="none" w:sz="0" w:space="0" w:color="auto"/>
        <w:left w:val="none" w:sz="0" w:space="0" w:color="auto"/>
        <w:bottom w:val="none" w:sz="0" w:space="0" w:color="auto"/>
        <w:right w:val="none" w:sz="0" w:space="0" w:color="auto"/>
      </w:divBdr>
      <w:divsChild>
        <w:div w:id="709185913">
          <w:marLeft w:val="0"/>
          <w:marRight w:val="0"/>
          <w:marTop w:val="0"/>
          <w:marBottom w:val="0"/>
          <w:divBdr>
            <w:top w:val="none" w:sz="0" w:space="0" w:color="auto"/>
            <w:left w:val="none" w:sz="0" w:space="0" w:color="auto"/>
            <w:bottom w:val="none" w:sz="0" w:space="0" w:color="auto"/>
            <w:right w:val="none" w:sz="0" w:space="0" w:color="auto"/>
          </w:divBdr>
        </w:div>
        <w:div w:id="710960629">
          <w:marLeft w:val="0"/>
          <w:marRight w:val="0"/>
          <w:marTop w:val="0"/>
          <w:marBottom w:val="0"/>
          <w:divBdr>
            <w:top w:val="none" w:sz="0" w:space="0" w:color="auto"/>
            <w:left w:val="none" w:sz="0" w:space="0" w:color="auto"/>
            <w:bottom w:val="none" w:sz="0" w:space="0" w:color="auto"/>
            <w:right w:val="none" w:sz="0" w:space="0" w:color="auto"/>
          </w:divBdr>
        </w:div>
        <w:div w:id="394395830">
          <w:marLeft w:val="0"/>
          <w:marRight w:val="0"/>
          <w:marTop w:val="0"/>
          <w:marBottom w:val="0"/>
          <w:divBdr>
            <w:top w:val="none" w:sz="0" w:space="0" w:color="auto"/>
            <w:left w:val="none" w:sz="0" w:space="0" w:color="auto"/>
            <w:bottom w:val="none" w:sz="0" w:space="0" w:color="auto"/>
            <w:right w:val="none" w:sz="0" w:space="0" w:color="auto"/>
          </w:divBdr>
        </w:div>
        <w:div w:id="1135952623">
          <w:marLeft w:val="0"/>
          <w:marRight w:val="0"/>
          <w:marTop w:val="0"/>
          <w:marBottom w:val="0"/>
          <w:divBdr>
            <w:top w:val="none" w:sz="0" w:space="0" w:color="auto"/>
            <w:left w:val="none" w:sz="0" w:space="0" w:color="auto"/>
            <w:bottom w:val="none" w:sz="0" w:space="0" w:color="auto"/>
            <w:right w:val="none" w:sz="0" w:space="0" w:color="auto"/>
          </w:divBdr>
        </w:div>
      </w:divsChild>
    </w:div>
    <w:div w:id="615138420">
      <w:marLeft w:val="0"/>
      <w:marRight w:val="0"/>
      <w:marTop w:val="100"/>
      <w:marBottom w:val="0"/>
      <w:divBdr>
        <w:top w:val="none" w:sz="0" w:space="0" w:color="auto"/>
        <w:left w:val="none" w:sz="0" w:space="0" w:color="auto"/>
        <w:bottom w:val="none" w:sz="0" w:space="0" w:color="auto"/>
        <w:right w:val="none" w:sz="0" w:space="0" w:color="auto"/>
      </w:divBdr>
    </w:div>
    <w:div w:id="615672405">
      <w:marLeft w:val="0"/>
      <w:marRight w:val="0"/>
      <w:marTop w:val="100"/>
      <w:marBottom w:val="0"/>
      <w:divBdr>
        <w:top w:val="none" w:sz="0" w:space="0" w:color="auto"/>
        <w:left w:val="none" w:sz="0" w:space="0" w:color="auto"/>
        <w:bottom w:val="none" w:sz="0" w:space="0" w:color="auto"/>
        <w:right w:val="none" w:sz="0" w:space="0" w:color="auto"/>
      </w:divBdr>
    </w:div>
    <w:div w:id="615912008">
      <w:marLeft w:val="0"/>
      <w:marRight w:val="0"/>
      <w:marTop w:val="100"/>
      <w:marBottom w:val="0"/>
      <w:divBdr>
        <w:top w:val="none" w:sz="0" w:space="0" w:color="auto"/>
        <w:left w:val="none" w:sz="0" w:space="0" w:color="auto"/>
        <w:bottom w:val="none" w:sz="0" w:space="0" w:color="auto"/>
        <w:right w:val="none" w:sz="0" w:space="0" w:color="auto"/>
      </w:divBdr>
    </w:div>
    <w:div w:id="616527895">
      <w:marLeft w:val="0"/>
      <w:marRight w:val="0"/>
      <w:marTop w:val="100"/>
      <w:marBottom w:val="0"/>
      <w:divBdr>
        <w:top w:val="none" w:sz="0" w:space="0" w:color="auto"/>
        <w:left w:val="none" w:sz="0" w:space="0" w:color="auto"/>
        <w:bottom w:val="none" w:sz="0" w:space="0" w:color="auto"/>
        <w:right w:val="none" w:sz="0" w:space="0" w:color="auto"/>
      </w:divBdr>
    </w:div>
    <w:div w:id="617373228">
      <w:marLeft w:val="0"/>
      <w:marRight w:val="0"/>
      <w:marTop w:val="100"/>
      <w:marBottom w:val="0"/>
      <w:divBdr>
        <w:top w:val="none" w:sz="0" w:space="0" w:color="auto"/>
        <w:left w:val="none" w:sz="0" w:space="0" w:color="auto"/>
        <w:bottom w:val="none" w:sz="0" w:space="0" w:color="auto"/>
        <w:right w:val="none" w:sz="0" w:space="0" w:color="auto"/>
      </w:divBdr>
    </w:div>
    <w:div w:id="618530583">
      <w:marLeft w:val="0"/>
      <w:marRight w:val="0"/>
      <w:marTop w:val="60"/>
      <w:marBottom w:val="0"/>
      <w:divBdr>
        <w:top w:val="none" w:sz="0" w:space="0" w:color="auto"/>
        <w:left w:val="none" w:sz="0" w:space="0" w:color="auto"/>
        <w:bottom w:val="none" w:sz="0" w:space="0" w:color="auto"/>
        <w:right w:val="none" w:sz="0" w:space="0" w:color="auto"/>
      </w:divBdr>
    </w:div>
    <w:div w:id="619334999">
      <w:marLeft w:val="0"/>
      <w:marRight w:val="0"/>
      <w:marTop w:val="100"/>
      <w:marBottom w:val="0"/>
      <w:divBdr>
        <w:top w:val="none" w:sz="0" w:space="0" w:color="auto"/>
        <w:left w:val="none" w:sz="0" w:space="0" w:color="auto"/>
        <w:bottom w:val="none" w:sz="0" w:space="0" w:color="auto"/>
        <w:right w:val="none" w:sz="0" w:space="0" w:color="auto"/>
      </w:divBdr>
    </w:div>
    <w:div w:id="623196718">
      <w:marLeft w:val="0"/>
      <w:marRight w:val="0"/>
      <w:marTop w:val="0"/>
      <w:marBottom w:val="0"/>
      <w:divBdr>
        <w:top w:val="none" w:sz="0" w:space="0" w:color="auto"/>
        <w:left w:val="none" w:sz="0" w:space="0" w:color="auto"/>
        <w:bottom w:val="none" w:sz="0" w:space="0" w:color="auto"/>
        <w:right w:val="none" w:sz="0" w:space="0" w:color="auto"/>
      </w:divBdr>
      <w:divsChild>
        <w:div w:id="82727212">
          <w:marLeft w:val="0"/>
          <w:marRight w:val="0"/>
          <w:marTop w:val="0"/>
          <w:marBottom w:val="0"/>
          <w:divBdr>
            <w:top w:val="none" w:sz="0" w:space="0" w:color="auto"/>
            <w:left w:val="none" w:sz="0" w:space="0" w:color="auto"/>
            <w:bottom w:val="none" w:sz="0" w:space="0" w:color="auto"/>
            <w:right w:val="none" w:sz="0" w:space="0" w:color="auto"/>
          </w:divBdr>
        </w:div>
      </w:divsChild>
    </w:div>
    <w:div w:id="626161360">
      <w:marLeft w:val="0"/>
      <w:marRight w:val="0"/>
      <w:marTop w:val="60"/>
      <w:marBottom w:val="0"/>
      <w:divBdr>
        <w:top w:val="none" w:sz="0" w:space="0" w:color="auto"/>
        <w:left w:val="none" w:sz="0" w:space="0" w:color="auto"/>
        <w:bottom w:val="none" w:sz="0" w:space="0" w:color="auto"/>
        <w:right w:val="none" w:sz="0" w:space="0" w:color="auto"/>
      </w:divBdr>
    </w:div>
    <w:div w:id="626469039">
      <w:marLeft w:val="0"/>
      <w:marRight w:val="0"/>
      <w:marTop w:val="100"/>
      <w:marBottom w:val="0"/>
      <w:divBdr>
        <w:top w:val="none" w:sz="0" w:space="0" w:color="auto"/>
        <w:left w:val="none" w:sz="0" w:space="0" w:color="auto"/>
        <w:bottom w:val="none" w:sz="0" w:space="0" w:color="auto"/>
        <w:right w:val="none" w:sz="0" w:space="0" w:color="auto"/>
      </w:divBdr>
    </w:div>
    <w:div w:id="626548718">
      <w:marLeft w:val="0"/>
      <w:marRight w:val="0"/>
      <w:marTop w:val="100"/>
      <w:marBottom w:val="0"/>
      <w:divBdr>
        <w:top w:val="none" w:sz="0" w:space="0" w:color="auto"/>
        <w:left w:val="none" w:sz="0" w:space="0" w:color="auto"/>
        <w:bottom w:val="none" w:sz="0" w:space="0" w:color="auto"/>
        <w:right w:val="none" w:sz="0" w:space="0" w:color="auto"/>
      </w:divBdr>
    </w:div>
    <w:div w:id="626930587">
      <w:marLeft w:val="0"/>
      <w:marRight w:val="0"/>
      <w:marTop w:val="60"/>
      <w:marBottom w:val="0"/>
      <w:divBdr>
        <w:top w:val="none" w:sz="0" w:space="0" w:color="auto"/>
        <w:left w:val="none" w:sz="0" w:space="0" w:color="auto"/>
        <w:bottom w:val="none" w:sz="0" w:space="0" w:color="auto"/>
        <w:right w:val="none" w:sz="0" w:space="0" w:color="auto"/>
      </w:divBdr>
    </w:div>
    <w:div w:id="628902024">
      <w:marLeft w:val="0"/>
      <w:marRight w:val="0"/>
      <w:marTop w:val="0"/>
      <w:marBottom w:val="0"/>
      <w:divBdr>
        <w:top w:val="none" w:sz="0" w:space="0" w:color="auto"/>
        <w:left w:val="none" w:sz="0" w:space="0" w:color="auto"/>
        <w:bottom w:val="none" w:sz="0" w:space="0" w:color="auto"/>
        <w:right w:val="none" w:sz="0" w:space="0" w:color="auto"/>
      </w:divBdr>
      <w:divsChild>
        <w:div w:id="162398582">
          <w:marLeft w:val="0"/>
          <w:marRight w:val="0"/>
          <w:marTop w:val="0"/>
          <w:marBottom w:val="0"/>
          <w:divBdr>
            <w:top w:val="none" w:sz="0" w:space="0" w:color="auto"/>
            <w:left w:val="none" w:sz="0" w:space="0" w:color="auto"/>
            <w:bottom w:val="none" w:sz="0" w:space="0" w:color="auto"/>
            <w:right w:val="none" w:sz="0" w:space="0" w:color="auto"/>
          </w:divBdr>
        </w:div>
        <w:div w:id="130758894">
          <w:marLeft w:val="0"/>
          <w:marRight w:val="0"/>
          <w:marTop w:val="0"/>
          <w:marBottom w:val="0"/>
          <w:divBdr>
            <w:top w:val="none" w:sz="0" w:space="0" w:color="auto"/>
            <w:left w:val="none" w:sz="0" w:space="0" w:color="auto"/>
            <w:bottom w:val="none" w:sz="0" w:space="0" w:color="auto"/>
            <w:right w:val="none" w:sz="0" w:space="0" w:color="auto"/>
          </w:divBdr>
        </w:div>
      </w:divsChild>
    </w:div>
    <w:div w:id="629170203">
      <w:marLeft w:val="0"/>
      <w:marRight w:val="0"/>
      <w:marTop w:val="100"/>
      <w:marBottom w:val="0"/>
      <w:divBdr>
        <w:top w:val="none" w:sz="0" w:space="0" w:color="auto"/>
        <w:left w:val="none" w:sz="0" w:space="0" w:color="auto"/>
        <w:bottom w:val="none" w:sz="0" w:space="0" w:color="auto"/>
        <w:right w:val="none" w:sz="0" w:space="0" w:color="auto"/>
      </w:divBdr>
    </w:div>
    <w:div w:id="633173087">
      <w:marLeft w:val="0"/>
      <w:marRight w:val="0"/>
      <w:marTop w:val="100"/>
      <w:marBottom w:val="0"/>
      <w:divBdr>
        <w:top w:val="none" w:sz="0" w:space="0" w:color="auto"/>
        <w:left w:val="none" w:sz="0" w:space="0" w:color="auto"/>
        <w:bottom w:val="none" w:sz="0" w:space="0" w:color="auto"/>
        <w:right w:val="none" w:sz="0" w:space="0" w:color="auto"/>
      </w:divBdr>
    </w:div>
    <w:div w:id="633565819">
      <w:marLeft w:val="0"/>
      <w:marRight w:val="0"/>
      <w:marTop w:val="0"/>
      <w:marBottom w:val="0"/>
      <w:divBdr>
        <w:top w:val="none" w:sz="0" w:space="0" w:color="auto"/>
        <w:left w:val="none" w:sz="0" w:space="0" w:color="auto"/>
        <w:bottom w:val="none" w:sz="0" w:space="0" w:color="auto"/>
        <w:right w:val="none" w:sz="0" w:space="0" w:color="auto"/>
      </w:divBdr>
      <w:divsChild>
        <w:div w:id="770125454">
          <w:marLeft w:val="0"/>
          <w:marRight w:val="0"/>
          <w:marTop w:val="0"/>
          <w:marBottom w:val="0"/>
          <w:divBdr>
            <w:top w:val="none" w:sz="0" w:space="0" w:color="auto"/>
            <w:left w:val="none" w:sz="0" w:space="0" w:color="auto"/>
            <w:bottom w:val="none" w:sz="0" w:space="0" w:color="auto"/>
            <w:right w:val="none" w:sz="0" w:space="0" w:color="auto"/>
          </w:divBdr>
        </w:div>
      </w:divsChild>
    </w:div>
    <w:div w:id="636375461">
      <w:marLeft w:val="0"/>
      <w:marRight w:val="0"/>
      <w:marTop w:val="180"/>
      <w:marBottom w:val="180"/>
      <w:divBdr>
        <w:top w:val="none" w:sz="0" w:space="0" w:color="auto"/>
        <w:left w:val="none" w:sz="0" w:space="0" w:color="auto"/>
        <w:bottom w:val="none" w:sz="0" w:space="0" w:color="auto"/>
        <w:right w:val="none" w:sz="0" w:space="0" w:color="auto"/>
      </w:divBdr>
    </w:div>
    <w:div w:id="636645726">
      <w:marLeft w:val="0"/>
      <w:marRight w:val="0"/>
      <w:marTop w:val="60"/>
      <w:marBottom w:val="0"/>
      <w:divBdr>
        <w:top w:val="none" w:sz="0" w:space="0" w:color="auto"/>
        <w:left w:val="none" w:sz="0" w:space="0" w:color="auto"/>
        <w:bottom w:val="none" w:sz="0" w:space="0" w:color="auto"/>
        <w:right w:val="none" w:sz="0" w:space="0" w:color="auto"/>
      </w:divBdr>
    </w:div>
    <w:div w:id="637537603">
      <w:marLeft w:val="0"/>
      <w:marRight w:val="0"/>
      <w:marTop w:val="240"/>
      <w:marBottom w:val="0"/>
      <w:divBdr>
        <w:top w:val="none" w:sz="0" w:space="0" w:color="auto"/>
        <w:left w:val="none" w:sz="0" w:space="0" w:color="auto"/>
        <w:bottom w:val="none" w:sz="0" w:space="0" w:color="auto"/>
        <w:right w:val="none" w:sz="0" w:space="0" w:color="auto"/>
      </w:divBdr>
    </w:div>
    <w:div w:id="638920166">
      <w:marLeft w:val="0"/>
      <w:marRight w:val="0"/>
      <w:marTop w:val="0"/>
      <w:marBottom w:val="0"/>
      <w:divBdr>
        <w:top w:val="none" w:sz="0" w:space="0" w:color="auto"/>
        <w:left w:val="none" w:sz="0" w:space="0" w:color="auto"/>
        <w:bottom w:val="none" w:sz="0" w:space="0" w:color="auto"/>
        <w:right w:val="none" w:sz="0" w:space="0" w:color="auto"/>
      </w:divBdr>
      <w:divsChild>
        <w:div w:id="1318530779">
          <w:marLeft w:val="0"/>
          <w:marRight w:val="0"/>
          <w:marTop w:val="0"/>
          <w:marBottom w:val="0"/>
          <w:divBdr>
            <w:top w:val="none" w:sz="0" w:space="0" w:color="auto"/>
            <w:left w:val="none" w:sz="0" w:space="0" w:color="auto"/>
            <w:bottom w:val="none" w:sz="0" w:space="0" w:color="auto"/>
            <w:right w:val="none" w:sz="0" w:space="0" w:color="auto"/>
          </w:divBdr>
        </w:div>
      </w:divsChild>
    </w:div>
    <w:div w:id="639312978">
      <w:marLeft w:val="0"/>
      <w:marRight w:val="0"/>
      <w:marTop w:val="0"/>
      <w:marBottom w:val="0"/>
      <w:divBdr>
        <w:top w:val="none" w:sz="0" w:space="0" w:color="auto"/>
        <w:left w:val="none" w:sz="0" w:space="0" w:color="auto"/>
        <w:bottom w:val="none" w:sz="0" w:space="0" w:color="auto"/>
        <w:right w:val="none" w:sz="0" w:space="0" w:color="auto"/>
      </w:divBdr>
      <w:divsChild>
        <w:div w:id="860125076">
          <w:marLeft w:val="0"/>
          <w:marRight w:val="0"/>
          <w:marTop w:val="0"/>
          <w:marBottom w:val="0"/>
          <w:divBdr>
            <w:top w:val="none" w:sz="0" w:space="0" w:color="auto"/>
            <w:left w:val="none" w:sz="0" w:space="0" w:color="auto"/>
            <w:bottom w:val="none" w:sz="0" w:space="0" w:color="auto"/>
            <w:right w:val="none" w:sz="0" w:space="0" w:color="auto"/>
          </w:divBdr>
        </w:div>
      </w:divsChild>
    </w:div>
    <w:div w:id="640186143">
      <w:marLeft w:val="0"/>
      <w:marRight w:val="0"/>
      <w:marTop w:val="60"/>
      <w:marBottom w:val="0"/>
      <w:divBdr>
        <w:top w:val="none" w:sz="0" w:space="0" w:color="auto"/>
        <w:left w:val="none" w:sz="0" w:space="0" w:color="auto"/>
        <w:bottom w:val="none" w:sz="0" w:space="0" w:color="auto"/>
        <w:right w:val="none" w:sz="0" w:space="0" w:color="auto"/>
      </w:divBdr>
    </w:div>
    <w:div w:id="641270831">
      <w:marLeft w:val="0"/>
      <w:marRight w:val="0"/>
      <w:marTop w:val="100"/>
      <w:marBottom w:val="0"/>
      <w:divBdr>
        <w:top w:val="none" w:sz="0" w:space="0" w:color="auto"/>
        <w:left w:val="none" w:sz="0" w:space="0" w:color="auto"/>
        <w:bottom w:val="none" w:sz="0" w:space="0" w:color="auto"/>
        <w:right w:val="none" w:sz="0" w:space="0" w:color="auto"/>
      </w:divBdr>
    </w:div>
    <w:div w:id="641663241">
      <w:marLeft w:val="0"/>
      <w:marRight w:val="0"/>
      <w:marTop w:val="100"/>
      <w:marBottom w:val="0"/>
      <w:divBdr>
        <w:top w:val="none" w:sz="0" w:space="0" w:color="auto"/>
        <w:left w:val="none" w:sz="0" w:space="0" w:color="auto"/>
        <w:bottom w:val="none" w:sz="0" w:space="0" w:color="auto"/>
        <w:right w:val="none" w:sz="0" w:space="0" w:color="auto"/>
      </w:divBdr>
    </w:div>
    <w:div w:id="643120842">
      <w:marLeft w:val="0"/>
      <w:marRight w:val="0"/>
      <w:marTop w:val="100"/>
      <w:marBottom w:val="0"/>
      <w:divBdr>
        <w:top w:val="none" w:sz="0" w:space="0" w:color="auto"/>
        <w:left w:val="none" w:sz="0" w:space="0" w:color="auto"/>
        <w:bottom w:val="none" w:sz="0" w:space="0" w:color="auto"/>
        <w:right w:val="none" w:sz="0" w:space="0" w:color="auto"/>
      </w:divBdr>
    </w:div>
    <w:div w:id="646280956">
      <w:marLeft w:val="0"/>
      <w:marRight w:val="0"/>
      <w:marTop w:val="100"/>
      <w:marBottom w:val="0"/>
      <w:divBdr>
        <w:top w:val="none" w:sz="0" w:space="0" w:color="auto"/>
        <w:left w:val="none" w:sz="0" w:space="0" w:color="auto"/>
        <w:bottom w:val="none" w:sz="0" w:space="0" w:color="auto"/>
        <w:right w:val="none" w:sz="0" w:space="0" w:color="auto"/>
      </w:divBdr>
      <w:divsChild>
        <w:div w:id="840589011">
          <w:marLeft w:val="0"/>
          <w:marRight w:val="0"/>
          <w:marTop w:val="0"/>
          <w:marBottom w:val="0"/>
          <w:divBdr>
            <w:top w:val="none" w:sz="0" w:space="0" w:color="auto"/>
            <w:left w:val="none" w:sz="0" w:space="0" w:color="auto"/>
            <w:bottom w:val="none" w:sz="0" w:space="0" w:color="auto"/>
            <w:right w:val="none" w:sz="0" w:space="0" w:color="auto"/>
          </w:divBdr>
        </w:div>
        <w:div w:id="1692105968">
          <w:marLeft w:val="0"/>
          <w:marRight w:val="0"/>
          <w:marTop w:val="100"/>
          <w:marBottom w:val="0"/>
          <w:divBdr>
            <w:top w:val="none" w:sz="0" w:space="0" w:color="auto"/>
            <w:left w:val="none" w:sz="0" w:space="0" w:color="auto"/>
            <w:bottom w:val="none" w:sz="0" w:space="0" w:color="auto"/>
            <w:right w:val="none" w:sz="0" w:space="0" w:color="auto"/>
          </w:divBdr>
        </w:div>
      </w:divsChild>
    </w:div>
    <w:div w:id="648292411">
      <w:marLeft w:val="0"/>
      <w:marRight w:val="0"/>
      <w:marTop w:val="100"/>
      <w:marBottom w:val="0"/>
      <w:divBdr>
        <w:top w:val="none" w:sz="0" w:space="0" w:color="auto"/>
        <w:left w:val="none" w:sz="0" w:space="0" w:color="auto"/>
        <w:bottom w:val="none" w:sz="0" w:space="0" w:color="auto"/>
        <w:right w:val="none" w:sz="0" w:space="0" w:color="auto"/>
      </w:divBdr>
    </w:div>
    <w:div w:id="653216725">
      <w:marLeft w:val="0"/>
      <w:marRight w:val="0"/>
      <w:marTop w:val="0"/>
      <w:marBottom w:val="0"/>
      <w:divBdr>
        <w:top w:val="none" w:sz="0" w:space="0" w:color="auto"/>
        <w:left w:val="none" w:sz="0" w:space="0" w:color="auto"/>
        <w:bottom w:val="none" w:sz="0" w:space="0" w:color="auto"/>
        <w:right w:val="none" w:sz="0" w:space="0" w:color="auto"/>
      </w:divBdr>
      <w:divsChild>
        <w:div w:id="576136052">
          <w:marLeft w:val="0"/>
          <w:marRight w:val="0"/>
          <w:marTop w:val="0"/>
          <w:marBottom w:val="0"/>
          <w:divBdr>
            <w:top w:val="none" w:sz="0" w:space="0" w:color="auto"/>
            <w:left w:val="none" w:sz="0" w:space="0" w:color="auto"/>
            <w:bottom w:val="none" w:sz="0" w:space="0" w:color="auto"/>
            <w:right w:val="none" w:sz="0" w:space="0" w:color="auto"/>
          </w:divBdr>
        </w:div>
      </w:divsChild>
    </w:div>
    <w:div w:id="656808874">
      <w:marLeft w:val="0"/>
      <w:marRight w:val="0"/>
      <w:marTop w:val="0"/>
      <w:marBottom w:val="0"/>
      <w:divBdr>
        <w:top w:val="none" w:sz="0" w:space="0" w:color="auto"/>
        <w:left w:val="none" w:sz="0" w:space="0" w:color="auto"/>
        <w:bottom w:val="none" w:sz="0" w:space="0" w:color="auto"/>
        <w:right w:val="none" w:sz="0" w:space="0" w:color="auto"/>
      </w:divBdr>
      <w:divsChild>
        <w:div w:id="236090073">
          <w:marLeft w:val="0"/>
          <w:marRight w:val="0"/>
          <w:marTop w:val="0"/>
          <w:marBottom w:val="0"/>
          <w:divBdr>
            <w:top w:val="none" w:sz="0" w:space="0" w:color="auto"/>
            <w:left w:val="none" w:sz="0" w:space="0" w:color="auto"/>
            <w:bottom w:val="none" w:sz="0" w:space="0" w:color="auto"/>
            <w:right w:val="none" w:sz="0" w:space="0" w:color="auto"/>
          </w:divBdr>
        </w:div>
      </w:divsChild>
    </w:div>
    <w:div w:id="662977178">
      <w:marLeft w:val="0"/>
      <w:marRight w:val="0"/>
      <w:marTop w:val="240"/>
      <w:marBottom w:val="0"/>
      <w:divBdr>
        <w:top w:val="none" w:sz="0" w:space="0" w:color="auto"/>
        <w:left w:val="none" w:sz="0" w:space="0" w:color="auto"/>
        <w:bottom w:val="none" w:sz="0" w:space="0" w:color="auto"/>
        <w:right w:val="none" w:sz="0" w:space="0" w:color="auto"/>
      </w:divBdr>
    </w:div>
    <w:div w:id="663553972">
      <w:marLeft w:val="0"/>
      <w:marRight w:val="0"/>
      <w:marTop w:val="100"/>
      <w:marBottom w:val="0"/>
      <w:divBdr>
        <w:top w:val="none" w:sz="0" w:space="0" w:color="auto"/>
        <w:left w:val="none" w:sz="0" w:space="0" w:color="auto"/>
        <w:bottom w:val="none" w:sz="0" w:space="0" w:color="auto"/>
        <w:right w:val="none" w:sz="0" w:space="0" w:color="auto"/>
      </w:divBdr>
    </w:div>
    <w:div w:id="664356799">
      <w:marLeft w:val="0"/>
      <w:marRight w:val="0"/>
      <w:marTop w:val="60"/>
      <w:marBottom w:val="0"/>
      <w:divBdr>
        <w:top w:val="none" w:sz="0" w:space="0" w:color="auto"/>
        <w:left w:val="none" w:sz="0" w:space="0" w:color="auto"/>
        <w:bottom w:val="none" w:sz="0" w:space="0" w:color="auto"/>
        <w:right w:val="none" w:sz="0" w:space="0" w:color="auto"/>
      </w:divBdr>
    </w:div>
    <w:div w:id="666444166">
      <w:marLeft w:val="0"/>
      <w:marRight w:val="0"/>
      <w:marTop w:val="100"/>
      <w:marBottom w:val="0"/>
      <w:divBdr>
        <w:top w:val="none" w:sz="0" w:space="0" w:color="auto"/>
        <w:left w:val="none" w:sz="0" w:space="0" w:color="auto"/>
        <w:bottom w:val="none" w:sz="0" w:space="0" w:color="auto"/>
        <w:right w:val="none" w:sz="0" w:space="0" w:color="auto"/>
      </w:divBdr>
    </w:div>
    <w:div w:id="668945210">
      <w:marLeft w:val="0"/>
      <w:marRight w:val="0"/>
      <w:marTop w:val="0"/>
      <w:marBottom w:val="0"/>
      <w:divBdr>
        <w:top w:val="none" w:sz="0" w:space="0" w:color="auto"/>
        <w:left w:val="none" w:sz="0" w:space="0" w:color="auto"/>
        <w:bottom w:val="none" w:sz="0" w:space="0" w:color="auto"/>
        <w:right w:val="none" w:sz="0" w:space="0" w:color="auto"/>
      </w:divBdr>
      <w:divsChild>
        <w:div w:id="454492197">
          <w:marLeft w:val="0"/>
          <w:marRight w:val="0"/>
          <w:marTop w:val="0"/>
          <w:marBottom w:val="0"/>
          <w:divBdr>
            <w:top w:val="none" w:sz="0" w:space="0" w:color="auto"/>
            <w:left w:val="none" w:sz="0" w:space="0" w:color="auto"/>
            <w:bottom w:val="none" w:sz="0" w:space="0" w:color="auto"/>
            <w:right w:val="none" w:sz="0" w:space="0" w:color="auto"/>
          </w:divBdr>
        </w:div>
        <w:div w:id="522014977">
          <w:marLeft w:val="0"/>
          <w:marRight w:val="0"/>
          <w:marTop w:val="0"/>
          <w:marBottom w:val="0"/>
          <w:divBdr>
            <w:top w:val="none" w:sz="0" w:space="0" w:color="auto"/>
            <w:left w:val="none" w:sz="0" w:space="0" w:color="auto"/>
            <w:bottom w:val="none" w:sz="0" w:space="0" w:color="auto"/>
            <w:right w:val="none" w:sz="0" w:space="0" w:color="auto"/>
          </w:divBdr>
        </w:div>
      </w:divsChild>
    </w:div>
    <w:div w:id="670526725">
      <w:marLeft w:val="0"/>
      <w:marRight w:val="0"/>
      <w:marTop w:val="100"/>
      <w:marBottom w:val="0"/>
      <w:divBdr>
        <w:top w:val="none" w:sz="0" w:space="0" w:color="auto"/>
        <w:left w:val="none" w:sz="0" w:space="0" w:color="auto"/>
        <w:bottom w:val="none" w:sz="0" w:space="0" w:color="auto"/>
        <w:right w:val="none" w:sz="0" w:space="0" w:color="auto"/>
      </w:divBdr>
    </w:div>
    <w:div w:id="671491839">
      <w:marLeft w:val="0"/>
      <w:marRight w:val="0"/>
      <w:marTop w:val="80"/>
      <w:marBottom w:val="0"/>
      <w:divBdr>
        <w:top w:val="none" w:sz="0" w:space="0" w:color="auto"/>
        <w:left w:val="none" w:sz="0" w:space="0" w:color="auto"/>
        <w:bottom w:val="none" w:sz="0" w:space="0" w:color="auto"/>
        <w:right w:val="none" w:sz="0" w:space="0" w:color="auto"/>
      </w:divBdr>
    </w:div>
    <w:div w:id="673918044">
      <w:marLeft w:val="0"/>
      <w:marRight w:val="0"/>
      <w:marTop w:val="100"/>
      <w:marBottom w:val="0"/>
      <w:divBdr>
        <w:top w:val="none" w:sz="0" w:space="0" w:color="auto"/>
        <w:left w:val="none" w:sz="0" w:space="0" w:color="auto"/>
        <w:bottom w:val="none" w:sz="0" w:space="0" w:color="auto"/>
        <w:right w:val="none" w:sz="0" w:space="0" w:color="auto"/>
      </w:divBdr>
    </w:div>
    <w:div w:id="675426233">
      <w:marLeft w:val="0"/>
      <w:marRight w:val="0"/>
      <w:marTop w:val="100"/>
      <w:marBottom w:val="0"/>
      <w:divBdr>
        <w:top w:val="none" w:sz="0" w:space="0" w:color="auto"/>
        <w:left w:val="none" w:sz="0" w:space="0" w:color="auto"/>
        <w:bottom w:val="none" w:sz="0" w:space="0" w:color="auto"/>
        <w:right w:val="none" w:sz="0" w:space="0" w:color="auto"/>
      </w:divBdr>
    </w:div>
    <w:div w:id="676269534">
      <w:marLeft w:val="0"/>
      <w:marRight w:val="0"/>
      <w:marTop w:val="100"/>
      <w:marBottom w:val="0"/>
      <w:divBdr>
        <w:top w:val="none" w:sz="0" w:space="0" w:color="auto"/>
        <w:left w:val="none" w:sz="0" w:space="0" w:color="auto"/>
        <w:bottom w:val="none" w:sz="0" w:space="0" w:color="auto"/>
        <w:right w:val="none" w:sz="0" w:space="0" w:color="auto"/>
      </w:divBdr>
    </w:div>
    <w:div w:id="677923407">
      <w:marLeft w:val="0"/>
      <w:marRight w:val="0"/>
      <w:marTop w:val="100"/>
      <w:marBottom w:val="0"/>
      <w:divBdr>
        <w:top w:val="none" w:sz="0" w:space="0" w:color="auto"/>
        <w:left w:val="none" w:sz="0" w:space="0" w:color="auto"/>
        <w:bottom w:val="none" w:sz="0" w:space="0" w:color="auto"/>
        <w:right w:val="none" w:sz="0" w:space="0" w:color="auto"/>
      </w:divBdr>
    </w:div>
    <w:div w:id="677926085">
      <w:marLeft w:val="0"/>
      <w:marRight w:val="0"/>
      <w:marTop w:val="180"/>
      <w:marBottom w:val="0"/>
      <w:divBdr>
        <w:top w:val="none" w:sz="0" w:space="0" w:color="auto"/>
        <w:left w:val="none" w:sz="0" w:space="0" w:color="auto"/>
        <w:bottom w:val="none" w:sz="0" w:space="0" w:color="auto"/>
        <w:right w:val="none" w:sz="0" w:space="0" w:color="auto"/>
      </w:divBdr>
    </w:div>
    <w:div w:id="679116388">
      <w:marLeft w:val="0"/>
      <w:marRight w:val="0"/>
      <w:marTop w:val="100"/>
      <w:marBottom w:val="0"/>
      <w:divBdr>
        <w:top w:val="none" w:sz="0" w:space="0" w:color="auto"/>
        <w:left w:val="none" w:sz="0" w:space="0" w:color="auto"/>
        <w:bottom w:val="none" w:sz="0" w:space="0" w:color="auto"/>
        <w:right w:val="none" w:sz="0" w:space="0" w:color="auto"/>
      </w:divBdr>
    </w:div>
    <w:div w:id="680201984">
      <w:marLeft w:val="0"/>
      <w:marRight w:val="0"/>
      <w:marTop w:val="60"/>
      <w:marBottom w:val="0"/>
      <w:divBdr>
        <w:top w:val="none" w:sz="0" w:space="0" w:color="auto"/>
        <w:left w:val="none" w:sz="0" w:space="0" w:color="auto"/>
        <w:bottom w:val="none" w:sz="0" w:space="0" w:color="auto"/>
        <w:right w:val="none" w:sz="0" w:space="0" w:color="auto"/>
      </w:divBdr>
    </w:div>
    <w:div w:id="681124028">
      <w:marLeft w:val="0"/>
      <w:marRight w:val="0"/>
      <w:marTop w:val="100"/>
      <w:marBottom w:val="0"/>
      <w:divBdr>
        <w:top w:val="none" w:sz="0" w:space="0" w:color="auto"/>
        <w:left w:val="none" w:sz="0" w:space="0" w:color="auto"/>
        <w:bottom w:val="none" w:sz="0" w:space="0" w:color="auto"/>
        <w:right w:val="none" w:sz="0" w:space="0" w:color="auto"/>
      </w:divBdr>
    </w:div>
    <w:div w:id="681130173">
      <w:marLeft w:val="0"/>
      <w:marRight w:val="0"/>
      <w:marTop w:val="0"/>
      <w:marBottom w:val="0"/>
      <w:divBdr>
        <w:top w:val="none" w:sz="0" w:space="0" w:color="auto"/>
        <w:left w:val="none" w:sz="0" w:space="0" w:color="auto"/>
        <w:bottom w:val="none" w:sz="0" w:space="0" w:color="auto"/>
        <w:right w:val="none" w:sz="0" w:space="0" w:color="auto"/>
      </w:divBdr>
      <w:divsChild>
        <w:div w:id="1809124064">
          <w:marLeft w:val="0"/>
          <w:marRight w:val="0"/>
          <w:marTop w:val="0"/>
          <w:marBottom w:val="0"/>
          <w:divBdr>
            <w:top w:val="none" w:sz="0" w:space="0" w:color="auto"/>
            <w:left w:val="none" w:sz="0" w:space="0" w:color="auto"/>
            <w:bottom w:val="none" w:sz="0" w:space="0" w:color="auto"/>
            <w:right w:val="none" w:sz="0" w:space="0" w:color="auto"/>
          </w:divBdr>
        </w:div>
        <w:div w:id="1307391157">
          <w:marLeft w:val="0"/>
          <w:marRight w:val="0"/>
          <w:marTop w:val="0"/>
          <w:marBottom w:val="0"/>
          <w:divBdr>
            <w:top w:val="none" w:sz="0" w:space="0" w:color="auto"/>
            <w:left w:val="none" w:sz="0" w:space="0" w:color="auto"/>
            <w:bottom w:val="none" w:sz="0" w:space="0" w:color="auto"/>
            <w:right w:val="none" w:sz="0" w:space="0" w:color="auto"/>
          </w:divBdr>
        </w:div>
      </w:divsChild>
    </w:div>
    <w:div w:id="681589316">
      <w:marLeft w:val="0"/>
      <w:marRight w:val="0"/>
      <w:marTop w:val="240"/>
      <w:marBottom w:val="0"/>
      <w:divBdr>
        <w:top w:val="none" w:sz="0" w:space="0" w:color="auto"/>
        <w:left w:val="none" w:sz="0" w:space="0" w:color="auto"/>
        <w:bottom w:val="none" w:sz="0" w:space="0" w:color="auto"/>
        <w:right w:val="none" w:sz="0" w:space="0" w:color="auto"/>
      </w:divBdr>
    </w:div>
    <w:div w:id="682055162">
      <w:marLeft w:val="0"/>
      <w:marRight w:val="0"/>
      <w:marTop w:val="60"/>
      <w:marBottom w:val="0"/>
      <w:divBdr>
        <w:top w:val="none" w:sz="0" w:space="0" w:color="auto"/>
        <w:left w:val="none" w:sz="0" w:space="0" w:color="auto"/>
        <w:bottom w:val="none" w:sz="0" w:space="0" w:color="auto"/>
        <w:right w:val="none" w:sz="0" w:space="0" w:color="auto"/>
      </w:divBdr>
    </w:div>
    <w:div w:id="685836532">
      <w:marLeft w:val="0"/>
      <w:marRight w:val="0"/>
      <w:marTop w:val="100"/>
      <w:marBottom w:val="0"/>
      <w:divBdr>
        <w:top w:val="none" w:sz="0" w:space="0" w:color="auto"/>
        <w:left w:val="none" w:sz="0" w:space="0" w:color="auto"/>
        <w:bottom w:val="none" w:sz="0" w:space="0" w:color="auto"/>
        <w:right w:val="none" w:sz="0" w:space="0" w:color="auto"/>
      </w:divBdr>
    </w:div>
    <w:div w:id="689257295">
      <w:marLeft w:val="0"/>
      <w:marRight w:val="0"/>
      <w:marTop w:val="100"/>
      <w:marBottom w:val="0"/>
      <w:divBdr>
        <w:top w:val="none" w:sz="0" w:space="0" w:color="auto"/>
        <w:left w:val="none" w:sz="0" w:space="0" w:color="auto"/>
        <w:bottom w:val="none" w:sz="0" w:space="0" w:color="auto"/>
        <w:right w:val="none" w:sz="0" w:space="0" w:color="auto"/>
      </w:divBdr>
    </w:div>
    <w:div w:id="689723060">
      <w:marLeft w:val="0"/>
      <w:marRight w:val="0"/>
      <w:marTop w:val="100"/>
      <w:marBottom w:val="0"/>
      <w:divBdr>
        <w:top w:val="none" w:sz="0" w:space="0" w:color="auto"/>
        <w:left w:val="none" w:sz="0" w:space="0" w:color="auto"/>
        <w:bottom w:val="none" w:sz="0" w:space="0" w:color="auto"/>
        <w:right w:val="none" w:sz="0" w:space="0" w:color="auto"/>
      </w:divBdr>
    </w:div>
    <w:div w:id="690034536">
      <w:marLeft w:val="0"/>
      <w:marRight w:val="0"/>
      <w:marTop w:val="100"/>
      <w:marBottom w:val="0"/>
      <w:divBdr>
        <w:top w:val="none" w:sz="0" w:space="0" w:color="auto"/>
        <w:left w:val="none" w:sz="0" w:space="0" w:color="auto"/>
        <w:bottom w:val="none" w:sz="0" w:space="0" w:color="auto"/>
        <w:right w:val="none" w:sz="0" w:space="0" w:color="auto"/>
      </w:divBdr>
    </w:div>
    <w:div w:id="691225055">
      <w:marLeft w:val="0"/>
      <w:marRight w:val="0"/>
      <w:marTop w:val="100"/>
      <w:marBottom w:val="0"/>
      <w:divBdr>
        <w:top w:val="none" w:sz="0" w:space="0" w:color="auto"/>
        <w:left w:val="none" w:sz="0" w:space="0" w:color="auto"/>
        <w:bottom w:val="none" w:sz="0" w:space="0" w:color="auto"/>
        <w:right w:val="none" w:sz="0" w:space="0" w:color="auto"/>
      </w:divBdr>
    </w:div>
    <w:div w:id="691418254">
      <w:marLeft w:val="0"/>
      <w:marRight w:val="0"/>
      <w:marTop w:val="40"/>
      <w:marBottom w:val="0"/>
      <w:divBdr>
        <w:top w:val="none" w:sz="0" w:space="0" w:color="auto"/>
        <w:left w:val="none" w:sz="0" w:space="0" w:color="auto"/>
        <w:bottom w:val="none" w:sz="0" w:space="0" w:color="auto"/>
        <w:right w:val="none" w:sz="0" w:space="0" w:color="auto"/>
      </w:divBdr>
    </w:div>
    <w:div w:id="692725923">
      <w:marLeft w:val="0"/>
      <w:marRight w:val="0"/>
      <w:marTop w:val="100"/>
      <w:marBottom w:val="0"/>
      <w:divBdr>
        <w:top w:val="none" w:sz="0" w:space="0" w:color="auto"/>
        <w:left w:val="none" w:sz="0" w:space="0" w:color="auto"/>
        <w:bottom w:val="none" w:sz="0" w:space="0" w:color="auto"/>
        <w:right w:val="none" w:sz="0" w:space="0" w:color="auto"/>
      </w:divBdr>
    </w:div>
    <w:div w:id="693726336">
      <w:marLeft w:val="0"/>
      <w:marRight w:val="0"/>
      <w:marTop w:val="100"/>
      <w:marBottom w:val="0"/>
      <w:divBdr>
        <w:top w:val="none" w:sz="0" w:space="0" w:color="auto"/>
        <w:left w:val="none" w:sz="0" w:space="0" w:color="auto"/>
        <w:bottom w:val="none" w:sz="0" w:space="0" w:color="auto"/>
        <w:right w:val="none" w:sz="0" w:space="0" w:color="auto"/>
      </w:divBdr>
    </w:div>
    <w:div w:id="695498011">
      <w:marLeft w:val="0"/>
      <w:marRight w:val="0"/>
      <w:marTop w:val="240"/>
      <w:marBottom w:val="0"/>
      <w:divBdr>
        <w:top w:val="none" w:sz="0" w:space="0" w:color="auto"/>
        <w:left w:val="none" w:sz="0" w:space="0" w:color="auto"/>
        <w:bottom w:val="none" w:sz="0" w:space="0" w:color="auto"/>
        <w:right w:val="none" w:sz="0" w:space="0" w:color="auto"/>
      </w:divBdr>
    </w:div>
    <w:div w:id="696587839">
      <w:marLeft w:val="0"/>
      <w:marRight w:val="0"/>
      <w:marTop w:val="100"/>
      <w:marBottom w:val="0"/>
      <w:divBdr>
        <w:top w:val="none" w:sz="0" w:space="0" w:color="auto"/>
        <w:left w:val="none" w:sz="0" w:space="0" w:color="auto"/>
        <w:bottom w:val="none" w:sz="0" w:space="0" w:color="auto"/>
        <w:right w:val="none" w:sz="0" w:space="0" w:color="auto"/>
      </w:divBdr>
    </w:div>
    <w:div w:id="697389805">
      <w:marLeft w:val="0"/>
      <w:marRight w:val="0"/>
      <w:marTop w:val="60"/>
      <w:marBottom w:val="0"/>
      <w:divBdr>
        <w:top w:val="none" w:sz="0" w:space="0" w:color="auto"/>
        <w:left w:val="none" w:sz="0" w:space="0" w:color="auto"/>
        <w:bottom w:val="none" w:sz="0" w:space="0" w:color="auto"/>
        <w:right w:val="none" w:sz="0" w:space="0" w:color="auto"/>
      </w:divBdr>
    </w:div>
    <w:div w:id="702678444">
      <w:marLeft w:val="0"/>
      <w:marRight w:val="0"/>
      <w:marTop w:val="100"/>
      <w:marBottom w:val="0"/>
      <w:divBdr>
        <w:top w:val="none" w:sz="0" w:space="0" w:color="auto"/>
        <w:left w:val="none" w:sz="0" w:space="0" w:color="auto"/>
        <w:bottom w:val="none" w:sz="0" w:space="0" w:color="auto"/>
        <w:right w:val="none" w:sz="0" w:space="0" w:color="auto"/>
      </w:divBdr>
    </w:div>
    <w:div w:id="702750504">
      <w:marLeft w:val="0"/>
      <w:marRight w:val="0"/>
      <w:marTop w:val="0"/>
      <w:marBottom w:val="0"/>
      <w:divBdr>
        <w:top w:val="none" w:sz="0" w:space="0" w:color="auto"/>
        <w:left w:val="none" w:sz="0" w:space="0" w:color="auto"/>
        <w:bottom w:val="none" w:sz="0" w:space="0" w:color="auto"/>
        <w:right w:val="none" w:sz="0" w:space="0" w:color="auto"/>
      </w:divBdr>
      <w:divsChild>
        <w:div w:id="830172049">
          <w:marLeft w:val="0"/>
          <w:marRight w:val="0"/>
          <w:marTop w:val="0"/>
          <w:marBottom w:val="0"/>
          <w:divBdr>
            <w:top w:val="none" w:sz="0" w:space="0" w:color="auto"/>
            <w:left w:val="none" w:sz="0" w:space="0" w:color="auto"/>
            <w:bottom w:val="none" w:sz="0" w:space="0" w:color="auto"/>
            <w:right w:val="none" w:sz="0" w:space="0" w:color="auto"/>
          </w:divBdr>
        </w:div>
        <w:div w:id="1387753337">
          <w:marLeft w:val="0"/>
          <w:marRight w:val="0"/>
          <w:marTop w:val="0"/>
          <w:marBottom w:val="0"/>
          <w:divBdr>
            <w:top w:val="none" w:sz="0" w:space="0" w:color="auto"/>
            <w:left w:val="none" w:sz="0" w:space="0" w:color="auto"/>
            <w:bottom w:val="none" w:sz="0" w:space="0" w:color="auto"/>
            <w:right w:val="none" w:sz="0" w:space="0" w:color="auto"/>
          </w:divBdr>
        </w:div>
      </w:divsChild>
    </w:div>
    <w:div w:id="704411206">
      <w:marLeft w:val="0"/>
      <w:marRight w:val="0"/>
      <w:marTop w:val="100"/>
      <w:marBottom w:val="0"/>
      <w:divBdr>
        <w:top w:val="none" w:sz="0" w:space="0" w:color="auto"/>
        <w:left w:val="none" w:sz="0" w:space="0" w:color="auto"/>
        <w:bottom w:val="none" w:sz="0" w:space="0" w:color="auto"/>
        <w:right w:val="none" w:sz="0" w:space="0" w:color="auto"/>
      </w:divBdr>
    </w:div>
    <w:div w:id="706367873">
      <w:marLeft w:val="0"/>
      <w:marRight w:val="0"/>
      <w:marTop w:val="240"/>
      <w:marBottom w:val="0"/>
      <w:divBdr>
        <w:top w:val="none" w:sz="0" w:space="0" w:color="auto"/>
        <w:left w:val="none" w:sz="0" w:space="0" w:color="auto"/>
        <w:bottom w:val="none" w:sz="0" w:space="0" w:color="auto"/>
        <w:right w:val="none" w:sz="0" w:space="0" w:color="auto"/>
      </w:divBdr>
    </w:div>
    <w:div w:id="709384485">
      <w:marLeft w:val="0"/>
      <w:marRight w:val="0"/>
      <w:marTop w:val="100"/>
      <w:marBottom w:val="0"/>
      <w:divBdr>
        <w:top w:val="none" w:sz="0" w:space="0" w:color="auto"/>
        <w:left w:val="none" w:sz="0" w:space="0" w:color="auto"/>
        <w:bottom w:val="none" w:sz="0" w:space="0" w:color="auto"/>
        <w:right w:val="none" w:sz="0" w:space="0" w:color="auto"/>
      </w:divBdr>
    </w:div>
    <w:div w:id="709693640">
      <w:marLeft w:val="0"/>
      <w:marRight w:val="0"/>
      <w:marTop w:val="240"/>
      <w:marBottom w:val="0"/>
      <w:divBdr>
        <w:top w:val="none" w:sz="0" w:space="0" w:color="auto"/>
        <w:left w:val="none" w:sz="0" w:space="0" w:color="auto"/>
        <w:bottom w:val="none" w:sz="0" w:space="0" w:color="auto"/>
        <w:right w:val="none" w:sz="0" w:space="0" w:color="auto"/>
      </w:divBdr>
    </w:div>
    <w:div w:id="714357686">
      <w:marLeft w:val="0"/>
      <w:marRight w:val="0"/>
      <w:marTop w:val="100"/>
      <w:marBottom w:val="0"/>
      <w:divBdr>
        <w:top w:val="none" w:sz="0" w:space="0" w:color="auto"/>
        <w:left w:val="none" w:sz="0" w:space="0" w:color="auto"/>
        <w:bottom w:val="none" w:sz="0" w:space="0" w:color="auto"/>
        <w:right w:val="none" w:sz="0" w:space="0" w:color="auto"/>
      </w:divBdr>
    </w:div>
    <w:div w:id="716586641">
      <w:marLeft w:val="0"/>
      <w:marRight w:val="0"/>
      <w:marTop w:val="100"/>
      <w:marBottom w:val="0"/>
      <w:divBdr>
        <w:top w:val="none" w:sz="0" w:space="0" w:color="auto"/>
        <w:left w:val="none" w:sz="0" w:space="0" w:color="auto"/>
        <w:bottom w:val="none" w:sz="0" w:space="0" w:color="auto"/>
        <w:right w:val="none" w:sz="0" w:space="0" w:color="auto"/>
      </w:divBdr>
    </w:div>
    <w:div w:id="717973908">
      <w:marLeft w:val="0"/>
      <w:marRight w:val="0"/>
      <w:marTop w:val="100"/>
      <w:marBottom w:val="0"/>
      <w:divBdr>
        <w:top w:val="none" w:sz="0" w:space="0" w:color="auto"/>
        <w:left w:val="none" w:sz="0" w:space="0" w:color="auto"/>
        <w:bottom w:val="none" w:sz="0" w:space="0" w:color="auto"/>
        <w:right w:val="none" w:sz="0" w:space="0" w:color="auto"/>
      </w:divBdr>
    </w:div>
    <w:div w:id="717977173">
      <w:marLeft w:val="0"/>
      <w:marRight w:val="0"/>
      <w:marTop w:val="60"/>
      <w:marBottom w:val="0"/>
      <w:divBdr>
        <w:top w:val="none" w:sz="0" w:space="0" w:color="auto"/>
        <w:left w:val="none" w:sz="0" w:space="0" w:color="auto"/>
        <w:bottom w:val="none" w:sz="0" w:space="0" w:color="auto"/>
        <w:right w:val="none" w:sz="0" w:space="0" w:color="auto"/>
      </w:divBdr>
    </w:div>
    <w:div w:id="719287674">
      <w:marLeft w:val="0"/>
      <w:marRight w:val="0"/>
      <w:marTop w:val="240"/>
      <w:marBottom w:val="0"/>
      <w:divBdr>
        <w:top w:val="none" w:sz="0" w:space="0" w:color="auto"/>
        <w:left w:val="none" w:sz="0" w:space="0" w:color="auto"/>
        <w:bottom w:val="none" w:sz="0" w:space="0" w:color="auto"/>
        <w:right w:val="none" w:sz="0" w:space="0" w:color="auto"/>
      </w:divBdr>
    </w:div>
    <w:div w:id="722102248">
      <w:marLeft w:val="0"/>
      <w:marRight w:val="0"/>
      <w:marTop w:val="100"/>
      <w:marBottom w:val="0"/>
      <w:divBdr>
        <w:top w:val="none" w:sz="0" w:space="0" w:color="auto"/>
        <w:left w:val="none" w:sz="0" w:space="0" w:color="auto"/>
        <w:bottom w:val="none" w:sz="0" w:space="0" w:color="auto"/>
        <w:right w:val="none" w:sz="0" w:space="0" w:color="auto"/>
      </w:divBdr>
    </w:div>
    <w:div w:id="723337259">
      <w:marLeft w:val="0"/>
      <w:marRight w:val="0"/>
      <w:marTop w:val="240"/>
      <w:marBottom w:val="0"/>
      <w:divBdr>
        <w:top w:val="none" w:sz="0" w:space="0" w:color="auto"/>
        <w:left w:val="none" w:sz="0" w:space="0" w:color="auto"/>
        <w:bottom w:val="none" w:sz="0" w:space="0" w:color="auto"/>
        <w:right w:val="none" w:sz="0" w:space="0" w:color="auto"/>
      </w:divBdr>
    </w:div>
    <w:div w:id="724186261">
      <w:marLeft w:val="0"/>
      <w:marRight w:val="0"/>
      <w:marTop w:val="0"/>
      <w:marBottom w:val="0"/>
      <w:divBdr>
        <w:top w:val="none" w:sz="0" w:space="0" w:color="auto"/>
        <w:left w:val="none" w:sz="0" w:space="0" w:color="auto"/>
        <w:bottom w:val="none" w:sz="0" w:space="0" w:color="auto"/>
        <w:right w:val="none" w:sz="0" w:space="0" w:color="auto"/>
      </w:divBdr>
      <w:divsChild>
        <w:div w:id="245923590">
          <w:marLeft w:val="0"/>
          <w:marRight w:val="0"/>
          <w:marTop w:val="0"/>
          <w:marBottom w:val="0"/>
          <w:divBdr>
            <w:top w:val="none" w:sz="0" w:space="0" w:color="auto"/>
            <w:left w:val="none" w:sz="0" w:space="0" w:color="auto"/>
            <w:bottom w:val="none" w:sz="0" w:space="0" w:color="auto"/>
            <w:right w:val="none" w:sz="0" w:space="0" w:color="auto"/>
          </w:divBdr>
        </w:div>
      </w:divsChild>
    </w:div>
    <w:div w:id="725102384">
      <w:marLeft w:val="0"/>
      <w:marRight w:val="0"/>
      <w:marTop w:val="0"/>
      <w:marBottom w:val="0"/>
      <w:divBdr>
        <w:top w:val="none" w:sz="0" w:space="0" w:color="auto"/>
        <w:left w:val="none" w:sz="0" w:space="0" w:color="auto"/>
        <w:bottom w:val="none" w:sz="0" w:space="0" w:color="auto"/>
        <w:right w:val="none" w:sz="0" w:space="0" w:color="auto"/>
      </w:divBdr>
      <w:divsChild>
        <w:div w:id="251938490">
          <w:marLeft w:val="0"/>
          <w:marRight w:val="0"/>
          <w:marTop w:val="0"/>
          <w:marBottom w:val="0"/>
          <w:divBdr>
            <w:top w:val="none" w:sz="0" w:space="0" w:color="auto"/>
            <w:left w:val="none" w:sz="0" w:space="0" w:color="auto"/>
            <w:bottom w:val="none" w:sz="0" w:space="0" w:color="auto"/>
            <w:right w:val="none" w:sz="0" w:space="0" w:color="auto"/>
          </w:divBdr>
        </w:div>
        <w:div w:id="1731810718">
          <w:marLeft w:val="0"/>
          <w:marRight w:val="0"/>
          <w:marTop w:val="0"/>
          <w:marBottom w:val="0"/>
          <w:divBdr>
            <w:top w:val="none" w:sz="0" w:space="0" w:color="auto"/>
            <w:left w:val="none" w:sz="0" w:space="0" w:color="auto"/>
            <w:bottom w:val="none" w:sz="0" w:space="0" w:color="auto"/>
            <w:right w:val="none" w:sz="0" w:space="0" w:color="auto"/>
          </w:divBdr>
        </w:div>
      </w:divsChild>
    </w:div>
    <w:div w:id="725180193">
      <w:marLeft w:val="0"/>
      <w:marRight w:val="0"/>
      <w:marTop w:val="100"/>
      <w:marBottom w:val="0"/>
      <w:divBdr>
        <w:top w:val="none" w:sz="0" w:space="0" w:color="auto"/>
        <w:left w:val="none" w:sz="0" w:space="0" w:color="auto"/>
        <w:bottom w:val="none" w:sz="0" w:space="0" w:color="auto"/>
        <w:right w:val="none" w:sz="0" w:space="0" w:color="auto"/>
      </w:divBdr>
    </w:div>
    <w:div w:id="728498680">
      <w:marLeft w:val="0"/>
      <w:marRight w:val="0"/>
      <w:marTop w:val="240"/>
      <w:marBottom w:val="0"/>
      <w:divBdr>
        <w:top w:val="none" w:sz="0" w:space="0" w:color="auto"/>
        <w:left w:val="none" w:sz="0" w:space="0" w:color="auto"/>
        <w:bottom w:val="none" w:sz="0" w:space="0" w:color="auto"/>
        <w:right w:val="none" w:sz="0" w:space="0" w:color="auto"/>
      </w:divBdr>
    </w:div>
    <w:div w:id="729770517">
      <w:marLeft w:val="0"/>
      <w:marRight w:val="0"/>
      <w:marTop w:val="240"/>
      <w:marBottom w:val="0"/>
      <w:divBdr>
        <w:top w:val="none" w:sz="0" w:space="0" w:color="auto"/>
        <w:left w:val="none" w:sz="0" w:space="0" w:color="auto"/>
        <w:bottom w:val="none" w:sz="0" w:space="0" w:color="auto"/>
        <w:right w:val="none" w:sz="0" w:space="0" w:color="auto"/>
      </w:divBdr>
    </w:div>
    <w:div w:id="730156721">
      <w:marLeft w:val="0"/>
      <w:marRight w:val="0"/>
      <w:marTop w:val="60"/>
      <w:marBottom w:val="0"/>
      <w:divBdr>
        <w:top w:val="none" w:sz="0" w:space="0" w:color="auto"/>
        <w:left w:val="none" w:sz="0" w:space="0" w:color="auto"/>
        <w:bottom w:val="none" w:sz="0" w:space="0" w:color="auto"/>
        <w:right w:val="none" w:sz="0" w:space="0" w:color="auto"/>
      </w:divBdr>
    </w:div>
    <w:div w:id="736367671">
      <w:marLeft w:val="0"/>
      <w:marRight w:val="0"/>
      <w:marTop w:val="100"/>
      <w:marBottom w:val="0"/>
      <w:divBdr>
        <w:top w:val="none" w:sz="0" w:space="0" w:color="auto"/>
        <w:left w:val="none" w:sz="0" w:space="0" w:color="auto"/>
        <w:bottom w:val="none" w:sz="0" w:space="0" w:color="auto"/>
        <w:right w:val="none" w:sz="0" w:space="0" w:color="auto"/>
      </w:divBdr>
    </w:div>
    <w:div w:id="737946450">
      <w:marLeft w:val="0"/>
      <w:marRight w:val="0"/>
      <w:marTop w:val="240"/>
      <w:marBottom w:val="0"/>
      <w:divBdr>
        <w:top w:val="none" w:sz="0" w:space="0" w:color="auto"/>
        <w:left w:val="none" w:sz="0" w:space="0" w:color="auto"/>
        <w:bottom w:val="none" w:sz="0" w:space="0" w:color="auto"/>
        <w:right w:val="none" w:sz="0" w:space="0" w:color="auto"/>
      </w:divBdr>
    </w:div>
    <w:div w:id="738946568">
      <w:marLeft w:val="0"/>
      <w:marRight w:val="0"/>
      <w:marTop w:val="60"/>
      <w:marBottom w:val="0"/>
      <w:divBdr>
        <w:top w:val="none" w:sz="0" w:space="0" w:color="auto"/>
        <w:left w:val="none" w:sz="0" w:space="0" w:color="auto"/>
        <w:bottom w:val="none" w:sz="0" w:space="0" w:color="auto"/>
        <w:right w:val="none" w:sz="0" w:space="0" w:color="auto"/>
      </w:divBdr>
    </w:div>
    <w:div w:id="739013626">
      <w:marLeft w:val="0"/>
      <w:marRight w:val="0"/>
      <w:marTop w:val="0"/>
      <w:marBottom w:val="0"/>
      <w:divBdr>
        <w:top w:val="none" w:sz="0" w:space="0" w:color="auto"/>
        <w:left w:val="none" w:sz="0" w:space="0" w:color="auto"/>
        <w:bottom w:val="none" w:sz="0" w:space="0" w:color="auto"/>
        <w:right w:val="none" w:sz="0" w:space="0" w:color="auto"/>
      </w:divBdr>
      <w:divsChild>
        <w:div w:id="916937617">
          <w:marLeft w:val="0"/>
          <w:marRight w:val="0"/>
          <w:marTop w:val="0"/>
          <w:marBottom w:val="0"/>
          <w:divBdr>
            <w:top w:val="none" w:sz="0" w:space="0" w:color="auto"/>
            <w:left w:val="none" w:sz="0" w:space="0" w:color="auto"/>
            <w:bottom w:val="none" w:sz="0" w:space="0" w:color="auto"/>
            <w:right w:val="none" w:sz="0" w:space="0" w:color="auto"/>
          </w:divBdr>
        </w:div>
        <w:div w:id="2061633871">
          <w:marLeft w:val="0"/>
          <w:marRight w:val="0"/>
          <w:marTop w:val="0"/>
          <w:marBottom w:val="0"/>
          <w:divBdr>
            <w:top w:val="none" w:sz="0" w:space="0" w:color="auto"/>
            <w:left w:val="none" w:sz="0" w:space="0" w:color="auto"/>
            <w:bottom w:val="none" w:sz="0" w:space="0" w:color="auto"/>
            <w:right w:val="none" w:sz="0" w:space="0" w:color="auto"/>
          </w:divBdr>
        </w:div>
      </w:divsChild>
    </w:div>
    <w:div w:id="739138399">
      <w:marLeft w:val="0"/>
      <w:marRight w:val="0"/>
      <w:marTop w:val="100"/>
      <w:marBottom w:val="0"/>
      <w:divBdr>
        <w:top w:val="none" w:sz="0" w:space="0" w:color="auto"/>
        <w:left w:val="none" w:sz="0" w:space="0" w:color="auto"/>
        <w:bottom w:val="none" w:sz="0" w:space="0" w:color="auto"/>
        <w:right w:val="none" w:sz="0" w:space="0" w:color="auto"/>
      </w:divBdr>
    </w:div>
    <w:div w:id="741558614">
      <w:marLeft w:val="0"/>
      <w:marRight w:val="0"/>
      <w:marTop w:val="60"/>
      <w:marBottom w:val="0"/>
      <w:divBdr>
        <w:top w:val="none" w:sz="0" w:space="0" w:color="auto"/>
        <w:left w:val="none" w:sz="0" w:space="0" w:color="auto"/>
        <w:bottom w:val="none" w:sz="0" w:space="0" w:color="auto"/>
        <w:right w:val="none" w:sz="0" w:space="0" w:color="auto"/>
      </w:divBdr>
    </w:div>
    <w:div w:id="744255017">
      <w:marLeft w:val="0"/>
      <w:marRight w:val="0"/>
      <w:marTop w:val="100"/>
      <w:marBottom w:val="0"/>
      <w:divBdr>
        <w:top w:val="none" w:sz="0" w:space="0" w:color="auto"/>
        <w:left w:val="none" w:sz="0" w:space="0" w:color="auto"/>
        <w:bottom w:val="none" w:sz="0" w:space="0" w:color="auto"/>
        <w:right w:val="none" w:sz="0" w:space="0" w:color="auto"/>
      </w:divBdr>
    </w:div>
    <w:div w:id="750661170">
      <w:marLeft w:val="0"/>
      <w:marRight w:val="0"/>
      <w:marTop w:val="240"/>
      <w:marBottom w:val="0"/>
      <w:divBdr>
        <w:top w:val="none" w:sz="0" w:space="0" w:color="auto"/>
        <w:left w:val="none" w:sz="0" w:space="0" w:color="auto"/>
        <w:bottom w:val="none" w:sz="0" w:space="0" w:color="auto"/>
        <w:right w:val="none" w:sz="0" w:space="0" w:color="auto"/>
      </w:divBdr>
    </w:div>
    <w:div w:id="753937119">
      <w:marLeft w:val="0"/>
      <w:marRight w:val="0"/>
      <w:marTop w:val="100"/>
      <w:marBottom w:val="0"/>
      <w:divBdr>
        <w:top w:val="none" w:sz="0" w:space="0" w:color="auto"/>
        <w:left w:val="none" w:sz="0" w:space="0" w:color="auto"/>
        <w:bottom w:val="none" w:sz="0" w:space="0" w:color="auto"/>
        <w:right w:val="none" w:sz="0" w:space="0" w:color="auto"/>
      </w:divBdr>
    </w:div>
    <w:div w:id="759257518">
      <w:marLeft w:val="0"/>
      <w:marRight w:val="0"/>
      <w:marTop w:val="100"/>
      <w:marBottom w:val="0"/>
      <w:divBdr>
        <w:top w:val="none" w:sz="0" w:space="0" w:color="auto"/>
        <w:left w:val="none" w:sz="0" w:space="0" w:color="auto"/>
        <w:bottom w:val="none" w:sz="0" w:space="0" w:color="auto"/>
        <w:right w:val="none" w:sz="0" w:space="0" w:color="auto"/>
      </w:divBdr>
    </w:div>
    <w:div w:id="760838719">
      <w:marLeft w:val="0"/>
      <w:marRight w:val="0"/>
      <w:marTop w:val="0"/>
      <w:marBottom w:val="0"/>
      <w:divBdr>
        <w:top w:val="none" w:sz="0" w:space="0" w:color="auto"/>
        <w:left w:val="none" w:sz="0" w:space="0" w:color="auto"/>
        <w:bottom w:val="none" w:sz="0" w:space="0" w:color="auto"/>
        <w:right w:val="none" w:sz="0" w:space="0" w:color="auto"/>
      </w:divBdr>
    </w:div>
    <w:div w:id="762531034">
      <w:marLeft w:val="0"/>
      <w:marRight w:val="0"/>
      <w:marTop w:val="100"/>
      <w:marBottom w:val="0"/>
      <w:divBdr>
        <w:top w:val="none" w:sz="0" w:space="0" w:color="auto"/>
        <w:left w:val="none" w:sz="0" w:space="0" w:color="auto"/>
        <w:bottom w:val="none" w:sz="0" w:space="0" w:color="auto"/>
        <w:right w:val="none" w:sz="0" w:space="0" w:color="auto"/>
      </w:divBdr>
    </w:div>
    <w:div w:id="763190425">
      <w:marLeft w:val="0"/>
      <w:marRight w:val="0"/>
      <w:marTop w:val="60"/>
      <w:marBottom w:val="0"/>
      <w:divBdr>
        <w:top w:val="none" w:sz="0" w:space="0" w:color="auto"/>
        <w:left w:val="none" w:sz="0" w:space="0" w:color="auto"/>
        <w:bottom w:val="none" w:sz="0" w:space="0" w:color="auto"/>
        <w:right w:val="none" w:sz="0" w:space="0" w:color="auto"/>
      </w:divBdr>
    </w:div>
    <w:div w:id="767651710">
      <w:marLeft w:val="0"/>
      <w:marRight w:val="0"/>
      <w:marTop w:val="240"/>
      <w:marBottom w:val="0"/>
      <w:divBdr>
        <w:top w:val="none" w:sz="0" w:space="0" w:color="auto"/>
        <w:left w:val="none" w:sz="0" w:space="0" w:color="auto"/>
        <w:bottom w:val="none" w:sz="0" w:space="0" w:color="auto"/>
        <w:right w:val="none" w:sz="0" w:space="0" w:color="auto"/>
      </w:divBdr>
    </w:div>
    <w:div w:id="768232499">
      <w:marLeft w:val="0"/>
      <w:marRight w:val="0"/>
      <w:marTop w:val="100"/>
      <w:marBottom w:val="0"/>
      <w:divBdr>
        <w:top w:val="none" w:sz="0" w:space="0" w:color="auto"/>
        <w:left w:val="none" w:sz="0" w:space="0" w:color="auto"/>
        <w:bottom w:val="none" w:sz="0" w:space="0" w:color="auto"/>
        <w:right w:val="none" w:sz="0" w:space="0" w:color="auto"/>
      </w:divBdr>
    </w:div>
    <w:div w:id="769279546">
      <w:marLeft w:val="0"/>
      <w:marRight w:val="0"/>
      <w:marTop w:val="0"/>
      <w:marBottom w:val="0"/>
      <w:divBdr>
        <w:top w:val="none" w:sz="0" w:space="0" w:color="auto"/>
        <w:left w:val="none" w:sz="0" w:space="0" w:color="auto"/>
        <w:bottom w:val="none" w:sz="0" w:space="0" w:color="auto"/>
        <w:right w:val="none" w:sz="0" w:space="0" w:color="auto"/>
      </w:divBdr>
      <w:divsChild>
        <w:div w:id="484325354">
          <w:marLeft w:val="0"/>
          <w:marRight w:val="0"/>
          <w:marTop w:val="0"/>
          <w:marBottom w:val="0"/>
          <w:divBdr>
            <w:top w:val="none" w:sz="0" w:space="0" w:color="auto"/>
            <w:left w:val="none" w:sz="0" w:space="0" w:color="auto"/>
            <w:bottom w:val="none" w:sz="0" w:space="0" w:color="auto"/>
            <w:right w:val="none" w:sz="0" w:space="0" w:color="auto"/>
          </w:divBdr>
        </w:div>
      </w:divsChild>
    </w:div>
    <w:div w:id="769473080">
      <w:marLeft w:val="0"/>
      <w:marRight w:val="0"/>
      <w:marTop w:val="100"/>
      <w:marBottom w:val="0"/>
      <w:divBdr>
        <w:top w:val="none" w:sz="0" w:space="0" w:color="auto"/>
        <w:left w:val="none" w:sz="0" w:space="0" w:color="auto"/>
        <w:bottom w:val="none" w:sz="0" w:space="0" w:color="auto"/>
        <w:right w:val="none" w:sz="0" w:space="0" w:color="auto"/>
      </w:divBdr>
    </w:div>
    <w:div w:id="773595502">
      <w:marLeft w:val="0"/>
      <w:marRight w:val="0"/>
      <w:marTop w:val="60"/>
      <w:marBottom w:val="0"/>
      <w:divBdr>
        <w:top w:val="none" w:sz="0" w:space="0" w:color="auto"/>
        <w:left w:val="none" w:sz="0" w:space="0" w:color="auto"/>
        <w:bottom w:val="none" w:sz="0" w:space="0" w:color="auto"/>
        <w:right w:val="none" w:sz="0" w:space="0" w:color="auto"/>
      </w:divBdr>
    </w:div>
    <w:div w:id="774788999">
      <w:marLeft w:val="0"/>
      <w:marRight w:val="0"/>
      <w:marTop w:val="100"/>
      <w:marBottom w:val="0"/>
      <w:divBdr>
        <w:top w:val="none" w:sz="0" w:space="0" w:color="auto"/>
        <w:left w:val="none" w:sz="0" w:space="0" w:color="auto"/>
        <w:bottom w:val="none" w:sz="0" w:space="0" w:color="auto"/>
        <w:right w:val="none" w:sz="0" w:space="0" w:color="auto"/>
      </w:divBdr>
    </w:div>
    <w:div w:id="774904474">
      <w:marLeft w:val="0"/>
      <w:marRight w:val="0"/>
      <w:marTop w:val="0"/>
      <w:marBottom w:val="0"/>
      <w:divBdr>
        <w:top w:val="none" w:sz="0" w:space="0" w:color="auto"/>
        <w:left w:val="none" w:sz="0" w:space="0" w:color="auto"/>
        <w:bottom w:val="none" w:sz="0" w:space="0" w:color="auto"/>
        <w:right w:val="none" w:sz="0" w:space="0" w:color="auto"/>
      </w:divBdr>
      <w:divsChild>
        <w:div w:id="834145916">
          <w:marLeft w:val="0"/>
          <w:marRight w:val="0"/>
          <w:marTop w:val="0"/>
          <w:marBottom w:val="0"/>
          <w:divBdr>
            <w:top w:val="none" w:sz="0" w:space="0" w:color="auto"/>
            <w:left w:val="none" w:sz="0" w:space="0" w:color="auto"/>
            <w:bottom w:val="none" w:sz="0" w:space="0" w:color="auto"/>
            <w:right w:val="none" w:sz="0" w:space="0" w:color="auto"/>
          </w:divBdr>
        </w:div>
        <w:div w:id="1066563737">
          <w:marLeft w:val="0"/>
          <w:marRight w:val="0"/>
          <w:marTop w:val="0"/>
          <w:marBottom w:val="0"/>
          <w:divBdr>
            <w:top w:val="none" w:sz="0" w:space="0" w:color="auto"/>
            <w:left w:val="none" w:sz="0" w:space="0" w:color="auto"/>
            <w:bottom w:val="none" w:sz="0" w:space="0" w:color="auto"/>
            <w:right w:val="none" w:sz="0" w:space="0" w:color="auto"/>
          </w:divBdr>
        </w:div>
      </w:divsChild>
    </w:div>
    <w:div w:id="776749710">
      <w:marLeft w:val="0"/>
      <w:marRight w:val="0"/>
      <w:marTop w:val="160"/>
      <w:marBottom w:val="0"/>
      <w:divBdr>
        <w:top w:val="none" w:sz="0" w:space="0" w:color="auto"/>
        <w:left w:val="none" w:sz="0" w:space="0" w:color="auto"/>
        <w:bottom w:val="none" w:sz="0" w:space="0" w:color="auto"/>
        <w:right w:val="none" w:sz="0" w:space="0" w:color="auto"/>
      </w:divBdr>
    </w:div>
    <w:div w:id="780229038">
      <w:marLeft w:val="0"/>
      <w:marRight w:val="0"/>
      <w:marTop w:val="180"/>
      <w:marBottom w:val="0"/>
      <w:divBdr>
        <w:top w:val="none" w:sz="0" w:space="0" w:color="auto"/>
        <w:left w:val="none" w:sz="0" w:space="0" w:color="auto"/>
        <w:bottom w:val="none" w:sz="0" w:space="0" w:color="auto"/>
        <w:right w:val="none" w:sz="0" w:space="0" w:color="auto"/>
      </w:divBdr>
    </w:div>
    <w:div w:id="783811300">
      <w:marLeft w:val="0"/>
      <w:marRight w:val="0"/>
      <w:marTop w:val="100"/>
      <w:marBottom w:val="0"/>
      <w:divBdr>
        <w:top w:val="none" w:sz="0" w:space="0" w:color="auto"/>
        <w:left w:val="none" w:sz="0" w:space="0" w:color="auto"/>
        <w:bottom w:val="none" w:sz="0" w:space="0" w:color="auto"/>
        <w:right w:val="none" w:sz="0" w:space="0" w:color="auto"/>
      </w:divBdr>
    </w:div>
    <w:div w:id="784419990">
      <w:marLeft w:val="0"/>
      <w:marRight w:val="0"/>
      <w:marTop w:val="0"/>
      <w:marBottom w:val="0"/>
      <w:divBdr>
        <w:top w:val="none" w:sz="0" w:space="0" w:color="auto"/>
        <w:left w:val="none" w:sz="0" w:space="0" w:color="auto"/>
        <w:bottom w:val="none" w:sz="0" w:space="0" w:color="auto"/>
        <w:right w:val="none" w:sz="0" w:space="0" w:color="auto"/>
      </w:divBdr>
      <w:divsChild>
        <w:div w:id="8533217">
          <w:marLeft w:val="0"/>
          <w:marRight w:val="0"/>
          <w:marTop w:val="0"/>
          <w:marBottom w:val="0"/>
          <w:divBdr>
            <w:top w:val="none" w:sz="0" w:space="0" w:color="auto"/>
            <w:left w:val="none" w:sz="0" w:space="0" w:color="auto"/>
            <w:bottom w:val="none" w:sz="0" w:space="0" w:color="auto"/>
            <w:right w:val="none" w:sz="0" w:space="0" w:color="auto"/>
          </w:divBdr>
        </w:div>
      </w:divsChild>
    </w:div>
    <w:div w:id="788007244">
      <w:marLeft w:val="0"/>
      <w:marRight w:val="0"/>
      <w:marTop w:val="100"/>
      <w:marBottom w:val="0"/>
      <w:divBdr>
        <w:top w:val="none" w:sz="0" w:space="0" w:color="auto"/>
        <w:left w:val="none" w:sz="0" w:space="0" w:color="auto"/>
        <w:bottom w:val="none" w:sz="0" w:space="0" w:color="auto"/>
        <w:right w:val="none" w:sz="0" w:space="0" w:color="auto"/>
      </w:divBdr>
    </w:div>
    <w:div w:id="788016820">
      <w:marLeft w:val="0"/>
      <w:marRight w:val="0"/>
      <w:marTop w:val="0"/>
      <w:marBottom w:val="0"/>
      <w:divBdr>
        <w:top w:val="none" w:sz="0" w:space="0" w:color="auto"/>
        <w:left w:val="none" w:sz="0" w:space="0" w:color="auto"/>
        <w:bottom w:val="none" w:sz="0" w:space="0" w:color="auto"/>
        <w:right w:val="none" w:sz="0" w:space="0" w:color="auto"/>
      </w:divBdr>
    </w:div>
    <w:div w:id="788938465">
      <w:marLeft w:val="0"/>
      <w:marRight w:val="0"/>
      <w:marTop w:val="100"/>
      <w:marBottom w:val="0"/>
      <w:divBdr>
        <w:top w:val="none" w:sz="0" w:space="0" w:color="auto"/>
        <w:left w:val="none" w:sz="0" w:space="0" w:color="auto"/>
        <w:bottom w:val="none" w:sz="0" w:space="0" w:color="auto"/>
        <w:right w:val="none" w:sz="0" w:space="0" w:color="auto"/>
      </w:divBdr>
    </w:div>
    <w:div w:id="789519412">
      <w:marLeft w:val="0"/>
      <w:marRight w:val="0"/>
      <w:marTop w:val="60"/>
      <w:marBottom w:val="0"/>
      <w:divBdr>
        <w:top w:val="none" w:sz="0" w:space="0" w:color="auto"/>
        <w:left w:val="none" w:sz="0" w:space="0" w:color="auto"/>
        <w:bottom w:val="none" w:sz="0" w:space="0" w:color="auto"/>
        <w:right w:val="none" w:sz="0" w:space="0" w:color="auto"/>
      </w:divBdr>
    </w:div>
    <w:div w:id="793525664">
      <w:marLeft w:val="0"/>
      <w:marRight w:val="0"/>
      <w:marTop w:val="60"/>
      <w:marBottom w:val="0"/>
      <w:divBdr>
        <w:top w:val="none" w:sz="0" w:space="0" w:color="auto"/>
        <w:left w:val="none" w:sz="0" w:space="0" w:color="auto"/>
        <w:bottom w:val="none" w:sz="0" w:space="0" w:color="auto"/>
        <w:right w:val="none" w:sz="0" w:space="0" w:color="auto"/>
      </w:divBdr>
    </w:div>
    <w:div w:id="793792432">
      <w:marLeft w:val="0"/>
      <w:marRight w:val="0"/>
      <w:marTop w:val="100"/>
      <w:marBottom w:val="0"/>
      <w:divBdr>
        <w:top w:val="none" w:sz="0" w:space="0" w:color="auto"/>
        <w:left w:val="none" w:sz="0" w:space="0" w:color="auto"/>
        <w:bottom w:val="none" w:sz="0" w:space="0" w:color="auto"/>
        <w:right w:val="none" w:sz="0" w:space="0" w:color="auto"/>
      </w:divBdr>
    </w:div>
    <w:div w:id="793907179">
      <w:marLeft w:val="0"/>
      <w:marRight w:val="0"/>
      <w:marTop w:val="0"/>
      <w:marBottom w:val="0"/>
      <w:divBdr>
        <w:top w:val="none" w:sz="0" w:space="0" w:color="auto"/>
        <w:left w:val="none" w:sz="0" w:space="0" w:color="auto"/>
        <w:bottom w:val="none" w:sz="0" w:space="0" w:color="auto"/>
        <w:right w:val="none" w:sz="0" w:space="0" w:color="auto"/>
      </w:divBdr>
      <w:divsChild>
        <w:div w:id="1145782917">
          <w:marLeft w:val="0"/>
          <w:marRight w:val="0"/>
          <w:marTop w:val="0"/>
          <w:marBottom w:val="0"/>
          <w:divBdr>
            <w:top w:val="none" w:sz="0" w:space="0" w:color="auto"/>
            <w:left w:val="none" w:sz="0" w:space="0" w:color="auto"/>
            <w:bottom w:val="none" w:sz="0" w:space="0" w:color="auto"/>
            <w:right w:val="none" w:sz="0" w:space="0" w:color="auto"/>
          </w:divBdr>
        </w:div>
        <w:div w:id="2085754639">
          <w:marLeft w:val="0"/>
          <w:marRight w:val="0"/>
          <w:marTop w:val="0"/>
          <w:marBottom w:val="0"/>
          <w:divBdr>
            <w:top w:val="none" w:sz="0" w:space="0" w:color="auto"/>
            <w:left w:val="none" w:sz="0" w:space="0" w:color="auto"/>
            <w:bottom w:val="none" w:sz="0" w:space="0" w:color="auto"/>
            <w:right w:val="none" w:sz="0" w:space="0" w:color="auto"/>
          </w:divBdr>
        </w:div>
      </w:divsChild>
    </w:div>
    <w:div w:id="795098280">
      <w:marLeft w:val="0"/>
      <w:marRight w:val="0"/>
      <w:marTop w:val="100"/>
      <w:marBottom w:val="0"/>
      <w:divBdr>
        <w:top w:val="none" w:sz="0" w:space="0" w:color="auto"/>
        <w:left w:val="none" w:sz="0" w:space="0" w:color="auto"/>
        <w:bottom w:val="none" w:sz="0" w:space="0" w:color="auto"/>
        <w:right w:val="none" w:sz="0" w:space="0" w:color="auto"/>
      </w:divBdr>
    </w:div>
    <w:div w:id="797185553">
      <w:marLeft w:val="0"/>
      <w:marRight w:val="0"/>
      <w:marTop w:val="100"/>
      <w:marBottom w:val="0"/>
      <w:divBdr>
        <w:top w:val="none" w:sz="0" w:space="0" w:color="auto"/>
        <w:left w:val="none" w:sz="0" w:space="0" w:color="auto"/>
        <w:bottom w:val="none" w:sz="0" w:space="0" w:color="auto"/>
        <w:right w:val="none" w:sz="0" w:space="0" w:color="auto"/>
      </w:divBdr>
    </w:div>
    <w:div w:id="798302044">
      <w:marLeft w:val="0"/>
      <w:marRight w:val="0"/>
      <w:marTop w:val="100"/>
      <w:marBottom w:val="0"/>
      <w:divBdr>
        <w:top w:val="none" w:sz="0" w:space="0" w:color="auto"/>
        <w:left w:val="none" w:sz="0" w:space="0" w:color="auto"/>
        <w:bottom w:val="none" w:sz="0" w:space="0" w:color="auto"/>
        <w:right w:val="none" w:sz="0" w:space="0" w:color="auto"/>
      </w:divBdr>
    </w:div>
    <w:div w:id="799419498">
      <w:marLeft w:val="0"/>
      <w:marRight w:val="0"/>
      <w:marTop w:val="0"/>
      <w:marBottom w:val="0"/>
      <w:divBdr>
        <w:top w:val="none" w:sz="0" w:space="0" w:color="auto"/>
        <w:left w:val="none" w:sz="0" w:space="0" w:color="auto"/>
        <w:bottom w:val="none" w:sz="0" w:space="0" w:color="auto"/>
        <w:right w:val="none" w:sz="0" w:space="0" w:color="auto"/>
      </w:divBdr>
      <w:divsChild>
        <w:div w:id="1868329359">
          <w:marLeft w:val="0"/>
          <w:marRight w:val="0"/>
          <w:marTop w:val="0"/>
          <w:marBottom w:val="0"/>
          <w:divBdr>
            <w:top w:val="none" w:sz="0" w:space="0" w:color="auto"/>
            <w:left w:val="none" w:sz="0" w:space="0" w:color="auto"/>
            <w:bottom w:val="none" w:sz="0" w:space="0" w:color="auto"/>
            <w:right w:val="none" w:sz="0" w:space="0" w:color="auto"/>
          </w:divBdr>
        </w:div>
      </w:divsChild>
    </w:div>
    <w:div w:id="800853553">
      <w:marLeft w:val="0"/>
      <w:marRight w:val="0"/>
      <w:marTop w:val="100"/>
      <w:marBottom w:val="0"/>
      <w:divBdr>
        <w:top w:val="none" w:sz="0" w:space="0" w:color="auto"/>
        <w:left w:val="none" w:sz="0" w:space="0" w:color="auto"/>
        <w:bottom w:val="none" w:sz="0" w:space="0" w:color="auto"/>
        <w:right w:val="none" w:sz="0" w:space="0" w:color="auto"/>
      </w:divBdr>
    </w:div>
    <w:div w:id="801115252">
      <w:marLeft w:val="0"/>
      <w:marRight w:val="0"/>
      <w:marTop w:val="100"/>
      <w:marBottom w:val="0"/>
      <w:divBdr>
        <w:top w:val="none" w:sz="0" w:space="0" w:color="auto"/>
        <w:left w:val="none" w:sz="0" w:space="0" w:color="auto"/>
        <w:bottom w:val="none" w:sz="0" w:space="0" w:color="auto"/>
        <w:right w:val="none" w:sz="0" w:space="0" w:color="auto"/>
      </w:divBdr>
    </w:div>
    <w:div w:id="801384111">
      <w:marLeft w:val="0"/>
      <w:marRight w:val="0"/>
      <w:marTop w:val="100"/>
      <w:marBottom w:val="0"/>
      <w:divBdr>
        <w:top w:val="none" w:sz="0" w:space="0" w:color="auto"/>
        <w:left w:val="none" w:sz="0" w:space="0" w:color="auto"/>
        <w:bottom w:val="none" w:sz="0" w:space="0" w:color="auto"/>
        <w:right w:val="none" w:sz="0" w:space="0" w:color="auto"/>
      </w:divBdr>
    </w:div>
    <w:div w:id="802115536">
      <w:marLeft w:val="0"/>
      <w:marRight w:val="0"/>
      <w:marTop w:val="280"/>
      <w:marBottom w:val="0"/>
      <w:divBdr>
        <w:top w:val="none" w:sz="0" w:space="0" w:color="auto"/>
        <w:left w:val="none" w:sz="0" w:space="0" w:color="auto"/>
        <w:bottom w:val="none" w:sz="0" w:space="0" w:color="auto"/>
        <w:right w:val="none" w:sz="0" w:space="0" w:color="auto"/>
      </w:divBdr>
    </w:div>
    <w:div w:id="804853832">
      <w:marLeft w:val="0"/>
      <w:marRight w:val="0"/>
      <w:marTop w:val="100"/>
      <w:marBottom w:val="0"/>
      <w:divBdr>
        <w:top w:val="none" w:sz="0" w:space="0" w:color="auto"/>
        <w:left w:val="none" w:sz="0" w:space="0" w:color="auto"/>
        <w:bottom w:val="none" w:sz="0" w:space="0" w:color="auto"/>
        <w:right w:val="none" w:sz="0" w:space="0" w:color="auto"/>
      </w:divBdr>
    </w:div>
    <w:div w:id="809715138">
      <w:marLeft w:val="0"/>
      <w:marRight w:val="0"/>
      <w:marTop w:val="240"/>
      <w:marBottom w:val="0"/>
      <w:divBdr>
        <w:top w:val="none" w:sz="0" w:space="0" w:color="auto"/>
        <w:left w:val="none" w:sz="0" w:space="0" w:color="auto"/>
        <w:bottom w:val="none" w:sz="0" w:space="0" w:color="auto"/>
        <w:right w:val="none" w:sz="0" w:space="0" w:color="auto"/>
      </w:divBdr>
    </w:div>
    <w:div w:id="812528354">
      <w:marLeft w:val="0"/>
      <w:marRight w:val="0"/>
      <w:marTop w:val="100"/>
      <w:marBottom w:val="0"/>
      <w:divBdr>
        <w:top w:val="none" w:sz="0" w:space="0" w:color="auto"/>
        <w:left w:val="none" w:sz="0" w:space="0" w:color="auto"/>
        <w:bottom w:val="none" w:sz="0" w:space="0" w:color="auto"/>
        <w:right w:val="none" w:sz="0" w:space="0" w:color="auto"/>
      </w:divBdr>
    </w:div>
    <w:div w:id="817041531">
      <w:marLeft w:val="0"/>
      <w:marRight w:val="0"/>
      <w:marTop w:val="0"/>
      <w:marBottom w:val="0"/>
      <w:divBdr>
        <w:top w:val="none" w:sz="0" w:space="0" w:color="auto"/>
        <w:left w:val="none" w:sz="0" w:space="0" w:color="auto"/>
        <w:bottom w:val="none" w:sz="0" w:space="0" w:color="auto"/>
        <w:right w:val="none" w:sz="0" w:space="0" w:color="auto"/>
      </w:divBdr>
      <w:divsChild>
        <w:div w:id="499321722">
          <w:marLeft w:val="0"/>
          <w:marRight w:val="0"/>
          <w:marTop w:val="0"/>
          <w:marBottom w:val="0"/>
          <w:divBdr>
            <w:top w:val="none" w:sz="0" w:space="0" w:color="auto"/>
            <w:left w:val="none" w:sz="0" w:space="0" w:color="auto"/>
            <w:bottom w:val="none" w:sz="0" w:space="0" w:color="auto"/>
            <w:right w:val="none" w:sz="0" w:space="0" w:color="auto"/>
          </w:divBdr>
        </w:div>
        <w:div w:id="1404645884">
          <w:marLeft w:val="0"/>
          <w:marRight w:val="0"/>
          <w:marTop w:val="0"/>
          <w:marBottom w:val="0"/>
          <w:divBdr>
            <w:top w:val="none" w:sz="0" w:space="0" w:color="auto"/>
            <w:left w:val="none" w:sz="0" w:space="0" w:color="auto"/>
            <w:bottom w:val="none" w:sz="0" w:space="0" w:color="auto"/>
            <w:right w:val="none" w:sz="0" w:space="0" w:color="auto"/>
          </w:divBdr>
        </w:div>
      </w:divsChild>
    </w:div>
    <w:div w:id="822358074">
      <w:marLeft w:val="0"/>
      <w:marRight w:val="0"/>
      <w:marTop w:val="240"/>
      <w:marBottom w:val="0"/>
      <w:divBdr>
        <w:top w:val="none" w:sz="0" w:space="0" w:color="auto"/>
        <w:left w:val="none" w:sz="0" w:space="0" w:color="auto"/>
        <w:bottom w:val="none" w:sz="0" w:space="0" w:color="auto"/>
        <w:right w:val="none" w:sz="0" w:space="0" w:color="auto"/>
      </w:divBdr>
    </w:div>
    <w:div w:id="823666309">
      <w:marLeft w:val="0"/>
      <w:marRight w:val="0"/>
      <w:marTop w:val="100"/>
      <w:marBottom w:val="0"/>
      <w:divBdr>
        <w:top w:val="none" w:sz="0" w:space="0" w:color="auto"/>
        <w:left w:val="none" w:sz="0" w:space="0" w:color="auto"/>
        <w:bottom w:val="none" w:sz="0" w:space="0" w:color="auto"/>
        <w:right w:val="none" w:sz="0" w:space="0" w:color="auto"/>
      </w:divBdr>
    </w:div>
    <w:div w:id="825632537">
      <w:marLeft w:val="0"/>
      <w:marRight w:val="0"/>
      <w:marTop w:val="0"/>
      <w:marBottom w:val="0"/>
      <w:divBdr>
        <w:top w:val="none" w:sz="0" w:space="0" w:color="auto"/>
        <w:left w:val="none" w:sz="0" w:space="0" w:color="auto"/>
        <w:bottom w:val="none" w:sz="0" w:space="0" w:color="auto"/>
        <w:right w:val="none" w:sz="0" w:space="0" w:color="auto"/>
      </w:divBdr>
      <w:divsChild>
        <w:div w:id="916744721">
          <w:marLeft w:val="0"/>
          <w:marRight w:val="0"/>
          <w:marTop w:val="0"/>
          <w:marBottom w:val="0"/>
          <w:divBdr>
            <w:top w:val="none" w:sz="0" w:space="0" w:color="auto"/>
            <w:left w:val="none" w:sz="0" w:space="0" w:color="auto"/>
            <w:bottom w:val="none" w:sz="0" w:space="0" w:color="auto"/>
            <w:right w:val="none" w:sz="0" w:space="0" w:color="auto"/>
          </w:divBdr>
        </w:div>
      </w:divsChild>
    </w:div>
    <w:div w:id="831142969">
      <w:marLeft w:val="0"/>
      <w:marRight w:val="0"/>
      <w:marTop w:val="100"/>
      <w:marBottom w:val="0"/>
      <w:divBdr>
        <w:top w:val="none" w:sz="0" w:space="0" w:color="auto"/>
        <w:left w:val="none" w:sz="0" w:space="0" w:color="auto"/>
        <w:bottom w:val="none" w:sz="0" w:space="0" w:color="auto"/>
        <w:right w:val="none" w:sz="0" w:space="0" w:color="auto"/>
      </w:divBdr>
    </w:div>
    <w:div w:id="834148479">
      <w:marLeft w:val="0"/>
      <w:marRight w:val="0"/>
      <w:marTop w:val="100"/>
      <w:marBottom w:val="0"/>
      <w:divBdr>
        <w:top w:val="none" w:sz="0" w:space="0" w:color="auto"/>
        <w:left w:val="none" w:sz="0" w:space="0" w:color="auto"/>
        <w:bottom w:val="none" w:sz="0" w:space="0" w:color="auto"/>
        <w:right w:val="none" w:sz="0" w:space="0" w:color="auto"/>
      </w:divBdr>
    </w:div>
    <w:div w:id="834609285">
      <w:marLeft w:val="0"/>
      <w:marRight w:val="0"/>
      <w:marTop w:val="100"/>
      <w:marBottom w:val="0"/>
      <w:divBdr>
        <w:top w:val="none" w:sz="0" w:space="0" w:color="auto"/>
        <w:left w:val="none" w:sz="0" w:space="0" w:color="auto"/>
        <w:bottom w:val="none" w:sz="0" w:space="0" w:color="auto"/>
        <w:right w:val="none" w:sz="0" w:space="0" w:color="auto"/>
      </w:divBdr>
    </w:div>
    <w:div w:id="837891005">
      <w:marLeft w:val="0"/>
      <w:marRight w:val="0"/>
      <w:marTop w:val="180"/>
      <w:marBottom w:val="0"/>
      <w:divBdr>
        <w:top w:val="none" w:sz="0" w:space="0" w:color="auto"/>
        <w:left w:val="none" w:sz="0" w:space="0" w:color="auto"/>
        <w:bottom w:val="none" w:sz="0" w:space="0" w:color="auto"/>
        <w:right w:val="none" w:sz="0" w:space="0" w:color="auto"/>
      </w:divBdr>
    </w:div>
    <w:div w:id="837968181">
      <w:marLeft w:val="0"/>
      <w:marRight w:val="0"/>
      <w:marTop w:val="100"/>
      <w:marBottom w:val="0"/>
      <w:divBdr>
        <w:top w:val="none" w:sz="0" w:space="0" w:color="auto"/>
        <w:left w:val="none" w:sz="0" w:space="0" w:color="auto"/>
        <w:bottom w:val="none" w:sz="0" w:space="0" w:color="auto"/>
        <w:right w:val="none" w:sz="0" w:space="0" w:color="auto"/>
      </w:divBdr>
      <w:divsChild>
        <w:div w:id="213198440">
          <w:marLeft w:val="0"/>
          <w:marRight w:val="0"/>
          <w:marTop w:val="0"/>
          <w:marBottom w:val="0"/>
          <w:divBdr>
            <w:top w:val="none" w:sz="0" w:space="0" w:color="auto"/>
            <w:left w:val="none" w:sz="0" w:space="0" w:color="auto"/>
            <w:bottom w:val="none" w:sz="0" w:space="0" w:color="auto"/>
            <w:right w:val="none" w:sz="0" w:space="0" w:color="auto"/>
          </w:divBdr>
        </w:div>
        <w:div w:id="1773627512">
          <w:marLeft w:val="0"/>
          <w:marRight w:val="0"/>
          <w:marTop w:val="0"/>
          <w:marBottom w:val="0"/>
          <w:divBdr>
            <w:top w:val="none" w:sz="0" w:space="0" w:color="auto"/>
            <w:left w:val="none" w:sz="0" w:space="0" w:color="auto"/>
            <w:bottom w:val="none" w:sz="0" w:space="0" w:color="auto"/>
            <w:right w:val="none" w:sz="0" w:space="0" w:color="auto"/>
          </w:divBdr>
        </w:div>
      </w:divsChild>
    </w:div>
    <w:div w:id="842740473">
      <w:marLeft w:val="0"/>
      <w:marRight w:val="0"/>
      <w:marTop w:val="0"/>
      <w:marBottom w:val="0"/>
      <w:divBdr>
        <w:top w:val="none" w:sz="0" w:space="0" w:color="auto"/>
        <w:left w:val="none" w:sz="0" w:space="0" w:color="auto"/>
        <w:bottom w:val="none" w:sz="0" w:space="0" w:color="auto"/>
        <w:right w:val="none" w:sz="0" w:space="0" w:color="auto"/>
      </w:divBdr>
      <w:divsChild>
        <w:div w:id="1847747008">
          <w:marLeft w:val="0"/>
          <w:marRight w:val="0"/>
          <w:marTop w:val="0"/>
          <w:marBottom w:val="0"/>
          <w:divBdr>
            <w:top w:val="none" w:sz="0" w:space="0" w:color="auto"/>
            <w:left w:val="none" w:sz="0" w:space="0" w:color="auto"/>
            <w:bottom w:val="none" w:sz="0" w:space="0" w:color="auto"/>
            <w:right w:val="none" w:sz="0" w:space="0" w:color="auto"/>
          </w:divBdr>
        </w:div>
      </w:divsChild>
    </w:div>
    <w:div w:id="842743072">
      <w:marLeft w:val="0"/>
      <w:marRight w:val="0"/>
      <w:marTop w:val="100"/>
      <w:marBottom w:val="0"/>
      <w:divBdr>
        <w:top w:val="none" w:sz="0" w:space="0" w:color="auto"/>
        <w:left w:val="none" w:sz="0" w:space="0" w:color="auto"/>
        <w:bottom w:val="none" w:sz="0" w:space="0" w:color="auto"/>
        <w:right w:val="none" w:sz="0" w:space="0" w:color="auto"/>
      </w:divBdr>
    </w:div>
    <w:div w:id="846216135">
      <w:marLeft w:val="0"/>
      <w:marRight w:val="0"/>
      <w:marTop w:val="100"/>
      <w:marBottom w:val="0"/>
      <w:divBdr>
        <w:top w:val="none" w:sz="0" w:space="0" w:color="auto"/>
        <w:left w:val="none" w:sz="0" w:space="0" w:color="auto"/>
        <w:bottom w:val="none" w:sz="0" w:space="0" w:color="auto"/>
        <w:right w:val="none" w:sz="0" w:space="0" w:color="auto"/>
      </w:divBdr>
    </w:div>
    <w:div w:id="847645605">
      <w:marLeft w:val="0"/>
      <w:marRight w:val="0"/>
      <w:marTop w:val="100"/>
      <w:marBottom w:val="0"/>
      <w:divBdr>
        <w:top w:val="none" w:sz="0" w:space="0" w:color="auto"/>
        <w:left w:val="none" w:sz="0" w:space="0" w:color="auto"/>
        <w:bottom w:val="none" w:sz="0" w:space="0" w:color="auto"/>
        <w:right w:val="none" w:sz="0" w:space="0" w:color="auto"/>
      </w:divBdr>
    </w:div>
    <w:div w:id="848252201">
      <w:marLeft w:val="0"/>
      <w:marRight w:val="0"/>
      <w:marTop w:val="240"/>
      <w:marBottom w:val="0"/>
      <w:divBdr>
        <w:top w:val="none" w:sz="0" w:space="0" w:color="auto"/>
        <w:left w:val="none" w:sz="0" w:space="0" w:color="auto"/>
        <w:bottom w:val="none" w:sz="0" w:space="0" w:color="auto"/>
        <w:right w:val="none" w:sz="0" w:space="0" w:color="auto"/>
      </w:divBdr>
    </w:div>
    <w:div w:id="849609398">
      <w:marLeft w:val="0"/>
      <w:marRight w:val="0"/>
      <w:marTop w:val="0"/>
      <w:marBottom w:val="0"/>
      <w:divBdr>
        <w:top w:val="none" w:sz="0" w:space="0" w:color="auto"/>
        <w:left w:val="none" w:sz="0" w:space="0" w:color="auto"/>
        <w:bottom w:val="none" w:sz="0" w:space="0" w:color="auto"/>
        <w:right w:val="none" w:sz="0" w:space="0" w:color="auto"/>
      </w:divBdr>
      <w:divsChild>
        <w:div w:id="1080639851">
          <w:marLeft w:val="0"/>
          <w:marRight w:val="0"/>
          <w:marTop w:val="0"/>
          <w:marBottom w:val="0"/>
          <w:divBdr>
            <w:top w:val="none" w:sz="0" w:space="0" w:color="auto"/>
            <w:left w:val="none" w:sz="0" w:space="0" w:color="auto"/>
            <w:bottom w:val="none" w:sz="0" w:space="0" w:color="auto"/>
            <w:right w:val="none" w:sz="0" w:space="0" w:color="auto"/>
          </w:divBdr>
        </w:div>
      </w:divsChild>
    </w:div>
    <w:div w:id="850069364">
      <w:marLeft w:val="0"/>
      <w:marRight w:val="0"/>
      <w:marTop w:val="60"/>
      <w:marBottom w:val="0"/>
      <w:divBdr>
        <w:top w:val="none" w:sz="0" w:space="0" w:color="auto"/>
        <w:left w:val="none" w:sz="0" w:space="0" w:color="auto"/>
        <w:bottom w:val="none" w:sz="0" w:space="0" w:color="auto"/>
        <w:right w:val="none" w:sz="0" w:space="0" w:color="auto"/>
      </w:divBdr>
    </w:div>
    <w:div w:id="852109264">
      <w:marLeft w:val="0"/>
      <w:marRight w:val="0"/>
      <w:marTop w:val="0"/>
      <w:marBottom w:val="0"/>
      <w:divBdr>
        <w:top w:val="none" w:sz="0" w:space="0" w:color="auto"/>
        <w:left w:val="none" w:sz="0" w:space="0" w:color="auto"/>
        <w:bottom w:val="none" w:sz="0" w:space="0" w:color="auto"/>
        <w:right w:val="none" w:sz="0" w:space="0" w:color="auto"/>
      </w:divBdr>
      <w:divsChild>
        <w:div w:id="1537738903">
          <w:marLeft w:val="0"/>
          <w:marRight w:val="0"/>
          <w:marTop w:val="0"/>
          <w:marBottom w:val="0"/>
          <w:divBdr>
            <w:top w:val="none" w:sz="0" w:space="0" w:color="auto"/>
            <w:left w:val="none" w:sz="0" w:space="0" w:color="auto"/>
            <w:bottom w:val="none" w:sz="0" w:space="0" w:color="auto"/>
            <w:right w:val="none" w:sz="0" w:space="0" w:color="auto"/>
          </w:divBdr>
        </w:div>
        <w:div w:id="507599506">
          <w:marLeft w:val="0"/>
          <w:marRight w:val="0"/>
          <w:marTop w:val="0"/>
          <w:marBottom w:val="0"/>
          <w:divBdr>
            <w:top w:val="none" w:sz="0" w:space="0" w:color="auto"/>
            <w:left w:val="none" w:sz="0" w:space="0" w:color="auto"/>
            <w:bottom w:val="none" w:sz="0" w:space="0" w:color="auto"/>
            <w:right w:val="none" w:sz="0" w:space="0" w:color="auto"/>
          </w:divBdr>
        </w:div>
      </w:divsChild>
    </w:div>
    <w:div w:id="852182939">
      <w:marLeft w:val="0"/>
      <w:marRight w:val="0"/>
      <w:marTop w:val="100"/>
      <w:marBottom w:val="0"/>
      <w:divBdr>
        <w:top w:val="none" w:sz="0" w:space="0" w:color="auto"/>
        <w:left w:val="none" w:sz="0" w:space="0" w:color="auto"/>
        <w:bottom w:val="none" w:sz="0" w:space="0" w:color="auto"/>
        <w:right w:val="none" w:sz="0" w:space="0" w:color="auto"/>
      </w:divBdr>
    </w:div>
    <w:div w:id="852647949">
      <w:marLeft w:val="0"/>
      <w:marRight w:val="0"/>
      <w:marTop w:val="100"/>
      <w:marBottom w:val="0"/>
      <w:divBdr>
        <w:top w:val="none" w:sz="0" w:space="0" w:color="auto"/>
        <w:left w:val="none" w:sz="0" w:space="0" w:color="auto"/>
        <w:bottom w:val="none" w:sz="0" w:space="0" w:color="auto"/>
        <w:right w:val="none" w:sz="0" w:space="0" w:color="auto"/>
      </w:divBdr>
    </w:div>
    <w:div w:id="852836395">
      <w:marLeft w:val="0"/>
      <w:marRight w:val="0"/>
      <w:marTop w:val="100"/>
      <w:marBottom w:val="0"/>
      <w:divBdr>
        <w:top w:val="none" w:sz="0" w:space="0" w:color="auto"/>
        <w:left w:val="none" w:sz="0" w:space="0" w:color="auto"/>
        <w:bottom w:val="none" w:sz="0" w:space="0" w:color="auto"/>
        <w:right w:val="none" w:sz="0" w:space="0" w:color="auto"/>
      </w:divBdr>
    </w:div>
    <w:div w:id="852911972">
      <w:marLeft w:val="0"/>
      <w:marRight w:val="0"/>
      <w:marTop w:val="0"/>
      <w:marBottom w:val="0"/>
      <w:divBdr>
        <w:top w:val="none" w:sz="0" w:space="0" w:color="auto"/>
        <w:left w:val="none" w:sz="0" w:space="0" w:color="auto"/>
        <w:bottom w:val="none" w:sz="0" w:space="0" w:color="auto"/>
        <w:right w:val="none" w:sz="0" w:space="0" w:color="auto"/>
      </w:divBdr>
      <w:divsChild>
        <w:div w:id="1330787386">
          <w:marLeft w:val="0"/>
          <w:marRight w:val="0"/>
          <w:marTop w:val="0"/>
          <w:marBottom w:val="0"/>
          <w:divBdr>
            <w:top w:val="none" w:sz="0" w:space="0" w:color="auto"/>
            <w:left w:val="none" w:sz="0" w:space="0" w:color="auto"/>
            <w:bottom w:val="none" w:sz="0" w:space="0" w:color="auto"/>
            <w:right w:val="none" w:sz="0" w:space="0" w:color="auto"/>
          </w:divBdr>
        </w:div>
      </w:divsChild>
    </w:div>
    <w:div w:id="853155047">
      <w:marLeft w:val="0"/>
      <w:marRight w:val="0"/>
      <w:marTop w:val="100"/>
      <w:marBottom w:val="0"/>
      <w:divBdr>
        <w:top w:val="none" w:sz="0" w:space="0" w:color="auto"/>
        <w:left w:val="none" w:sz="0" w:space="0" w:color="auto"/>
        <w:bottom w:val="none" w:sz="0" w:space="0" w:color="auto"/>
        <w:right w:val="none" w:sz="0" w:space="0" w:color="auto"/>
      </w:divBdr>
    </w:div>
    <w:div w:id="854462848">
      <w:marLeft w:val="0"/>
      <w:marRight w:val="0"/>
      <w:marTop w:val="0"/>
      <w:marBottom w:val="0"/>
      <w:divBdr>
        <w:top w:val="none" w:sz="0" w:space="0" w:color="auto"/>
        <w:left w:val="none" w:sz="0" w:space="0" w:color="auto"/>
        <w:bottom w:val="none" w:sz="0" w:space="0" w:color="auto"/>
        <w:right w:val="none" w:sz="0" w:space="0" w:color="auto"/>
      </w:divBdr>
      <w:divsChild>
        <w:div w:id="1412778405">
          <w:marLeft w:val="0"/>
          <w:marRight w:val="0"/>
          <w:marTop w:val="0"/>
          <w:marBottom w:val="0"/>
          <w:divBdr>
            <w:top w:val="none" w:sz="0" w:space="0" w:color="auto"/>
            <w:left w:val="none" w:sz="0" w:space="0" w:color="auto"/>
            <w:bottom w:val="none" w:sz="0" w:space="0" w:color="auto"/>
            <w:right w:val="none" w:sz="0" w:space="0" w:color="auto"/>
          </w:divBdr>
        </w:div>
        <w:div w:id="1265651245">
          <w:marLeft w:val="0"/>
          <w:marRight w:val="0"/>
          <w:marTop w:val="0"/>
          <w:marBottom w:val="0"/>
          <w:divBdr>
            <w:top w:val="none" w:sz="0" w:space="0" w:color="auto"/>
            <w:left w:val="none" w:sz="0" w:space="0" w:color="auto"/>
            <w:bottom w:val="none" w:sz="0" w:space="0" w:color="auto"/>
            <w:right w:val="none" w:sz="0" w:space="0" w:color="auto"/>
          </w:divBdr>
        </w:div>
      </w:divsChild>
    </w:div>
    <w:div w:id="855461190">
      <w:marLeft w:val="0"/>
      <w:marRight w:val="0"/>
      <w:marTop w:val="100"/>
      <w:marBottom w:val="0"/>
      <w:divBdr>
        <w:top w:val="none" w:sz="0" w:space="0" w:color="auto"/>
        <w:left w:val="none" w:sz="0" w:space="0" w:color="auto"/>
        <w:bottom w:val="none" w:sz="0" w:space="0" w:color="auto"/>
        <w:right w:val="none" w:sz="0" w:space="0" w:color="auto"/>
      </w:divBdr>
    </w:div>
    <w:div w:id="855845120">
      <w:marLeft w:val="0"/>
      <w:marRight w:val="0"/>
      <w:marTop w:val="100"/>
      <w:marBottom w:val="0"/>
      <w:divBdr>
        <w:top w:val="none" w:sz="0" w:space="0" w:color="auto"/>
        <w:left w:val="none" w:sz="0" w:space="0" w:color="auto"/>
        <w:bottom w:val="none" w:sz="0" w:space="0" w:color="auto"/>
        <w:right w:val="none" w:sz="0" w:space="0" w:color="auto"/>
      </w:divBdr>
    </w:div>
    <w:div w:id="856773733">
      <w:marLeft w:val="0"/>
      <w:marRight w:val="0"/>
      <w:marTop w:val="0"/>
      <w:marBottom w:val="0"/>
      <w:divBdr>
        <w:top w:val="none" w:sz="0" w:space="0" w:color="auto"/>
        <w:left w:val="none" w:sz="0" w:space="0" w:color="auto"/>
        <w:bottom w:val="none" w:sz="0" w:space="0" w:color="auto"/>
        <w:right w:val="none" w:sz="0" w:space="0" w:color="auto"/>
      </w:divBdr>
      <w:divsChild>
        <w:div w:id="306201716">
          <w:marLeft w:val="0"/>
          <w:marRight w:val="0"/>
          <w:marTop w:val="0"/>
          <w:marBottom w:val="0"/>
          <w:divBdr>
            <w:top w:val="none" w:sz="0" w:space="0" w:color="auto"/>
            <w:left w:val="none" w:sz="0" w:space="0" w:color="auto"/>
            <w:bottom w:val="none" w:sz="0" w:space="0" w:color="auto"/>
            <w:right w:val="none" w:sz="0" w:space="0" w:color="auto"/>
          </w:divBdr>
        </w:div>
        <w:div w:id="628166111">
          <w:marLeft w:val="0"/>
          <w:marRight w:val="0"/>
          <w:marTop w:val="0"/>
          <w:marBottom w:val="0"/>
          <w:divBdr>
            <w:top w:val="none" w:sz="0" w:space="0" w:color="auto"/>
            <w:left w:val="none" w:sz="0" w:space="0" w:color="auto"/>
            <w:bottom w:val="none" w:sz="0" w:space="0" w:color="auto"/>
            <w:right w:val="none" w:sz="0" w:space="0" w:color="auto"/>
          </w:divBdr>
        </w:div>
      </w:divsChild>
    </w:div>
    <w:div w:id="857082517">
      <w:marLeft w:val="0"/>
      <w:marRight w:val="0"/>
      <w:marTop w:val="100"/>
      <w:marBottom w:val="0"/>
      <w:divBdr>
        <w:top w:val="none" w:sz="0" w:space="0" w:color="auto"/>
        <w:left w:val="none" w:sz="0" w:space="0" w:color="auto"/>
        <w:bottom w:val="none" w:sz="0" w:space="0" w:color="auto"/>
        <w:right w:val="none" w:sz="0" w:space="0" w:color="auto"/>
      </w:divBdr>
    </w:div>
    <w:div w:id="857155763">
      <w:marLeft w:val="0"/>
      <w:marRight w:val="0"/>
      <w:marTop w:val="100"/>
      <w:marBottom w:val="0"/>
      <w:divBdr>
        <w:top w:val="none" w:sz="0" w:space="0" w:color="auto"/>
        <w:left w:val="none" w:sz="0" w:space="0" w:color="auto"/>
        <w:bottom w:val="none" w:sz="0" w:space="0" w:color="auto"/>
        <w:right w:val="none" w:sz="0" w:space="0" w:color="auto"/>
      </w:divBdr>
    </w:div>
    <w:div w:id="857960576">
      <w:marLeft w:val="0"/>
      <w:marRight w:val="0"/>
      <w:marTop w:val="60"/>
      <w:marBottom w:val="0"/>
      <w:divBdr>
        <w:top w:val="none" w:sz="0" w:space="0" w:color="auto"/>
        <w:left w:val="none" w:sz="0" w:space="0" w:color="auto"/>
        <w:bottom w:val="none" w:sz="0" w:space="0" w:color="auto"/>
        <w:right w:val="none" w:sz="0" w:space="0" w:color="auto"/>
      </w:divBdr>
    </w:div>
    <w:div w:id="857960851">
      <w:marLeft w:val="0"/>
      <w:marRight w:val="0"/>
      <w:marTop w:val="100"/>
      <w:marBottom w:val="0"/>
      <w:divBdr>
        <w:top w:val="none" w:sz="0" w:space="0" w:color="auto"/>
        <w:left w:val="none" w:sz="0" w:space="0" w:color="auto"/>
        <w:bottom w:val="none" w:sz="0" w:space="0" w:color="auto"/>
        <w:right w:val="none" w:sz="0" w:space="0" w:color="auto"/>
      </w:divBdr>
    </w:div>
    <w:div w:id="858468338">
      <w:marLeft w:val="0"/>
      <w:marRight w:val="0"/>
      <w:marTop w:val="100"/>
      <w:marBottom w:val="0"/>
      <w:divBdr>
        <w:top w:val="none" w:sz="0" w:space="0" w:color="auto"/>
        <w:left w:val="none" w:sz="0" w:space="0" w:color="auto"/>
        <w:bottom w:val="none" w:sz="0" w:space="0" w:color="auto"/>
        <w:right w:val="none" w:sz="0" w:space="0" w:color="auto"/>
      </w:divBdr>
    </w:div>
    <w:div w:id="862867086">
      <w:marLeft w:val="0"/>
      <w:marRight w:val="0"/>
      <w:marTop w:val="100"/>
      <w:marBottom w:val="0"/>
      <w:divBdr>
        <w:top w:val="none" w:sz="0" w:space="0" w:color="auto"/>
        <w:left w:val="none" w:sz="0" w:space="0" w:color="auto"/>
        <w:bottom w:val="none" w:sz="0" w:space="0" w:color="auto"/>
        <w:right w:val="none" w:sz="0" w:space="0" w:color="auto"/>
      </w:divBdr>
    </w:div>
    <w:div w:id="863204309">
      <w:marLeft w:val="0"/>
      <w:marRight w:val="0"/>
      <w:marTop w:val="60"/>
      <w:marBottom w:val="0"/>
      <w:divBdr>
        <w:top w:val="none" w:sz="0" w:space="0" w:color="auto"/>
        <w:left w:val="none" w:sz="0" w:space="0" w:color="auto"/>
        <w:bottom w:val="none" w:sz="0" w:space="0" w:color="auto"/>
        <w:right w:val="none" w:sz="0" w:space="0" w:color="auto"/>
      </w:divBdr>
    </w:div>
    <w:div w:id="866525633">
      <w:marLeft w:val="0"/>
      <w:marRight w:val="0"/>
      <w:marTop w:val="100"/>
      <w:marBottom w:val="0"/>
      <w:divBdr>
        <w:top w:val="none" w:sz="0" w:space="0" w:color="auto"/>
        <w:left w:val="none" w:sz="0" w:space="0" w:color="auto"/>
        <w:bottom w:val="none" w:sz="0" w:space="0" w:color="auto"/>
        <w:right w:val="none" w:sz="0" w:space="0" w:color="auto"/>
      </w:divBdr>
    </w:div>
    <w:div w:id="867177400">
      <w:marLeft w:val="0"/>
      <w:marRight w:val="0"/>
      <w:marTop w:val="0"/>
      <w:marBottom w:val="0"/>
      <w:divBdr>
        <w:top w:val="none" w:sz="0" w:space="0" w:color="auto"/>
        <w:left w:val="none" w:sz="0" w:space="0" w:color="auto"/>
        <w:bottom w:val="none" w:sz="0" w:space="0" w:color="auto"/>
        <w:right w:val="none" w:sz="0" w:space="0" w:color="auto"/>
      </w:divBdr>
      <w:divsChild>
        <w:div w:id="138502796">
          <w:marLeft w:val="0"/>
          <w:marRight w:val="0"/>
          <w:marTop w:val="0"/>
          <w:marBottom w:val="0"/>
          <w:divBdr>
            <w:top w:val="none" w:sz="0" w:space="0" w:color="auto"/>
            <w:left w:val="none" w:sz="0" w:space="0" w:color="auto"/>
            <w:bottom w:val="none" w:sz="0" w:space="0" w:color="auto"/>
            <w:right w:val="none" w:sz="0" w:space="0" w:color="auto"/>
          </w:divBdr>
        </w:div>
        <w:div w:id="1067149374">
          <w:marLeft w:val="0"/>
          <w:marRight w:val="0"/>
          <w:marTop w:val="0"/>
          <w:marBottom w:val="0"/>
          <w:divBdr>
            <w:top w:val="none" w:sz="0" w:space="0" w:color="auto"/>
            <w:left w:val="none" w:sz="0" w:space="0" w:color="auto"/>
            <w:bottom w:val="none" w:sz="0" w:space="0" w:color="auto"/>
            <w:right w:val="none" w:sz="0" w:space="0" w:color="auto"/>
          </w:divBdr>
        </w:div>
      </w:divsChild>
    </w:div>
    <w:div w:id="867832551">
      <w:marLeft w:val="0"/>
      <w:marRight w:val="0"/>
      <w:marTop w:val="100"/>
      <w:marBottom w:val="0"/>
      <w:divBdr>
        <w:top w:val="none" w:sz="0" w:space="0" w:color="auto"/>
        <w:left w:val="none" w:sz="0" w:space="0" w:color="auto"/>
        <w:bottom w:val="none" w:sz="0" w:space="0" w:color="auto"/>
        <w:right w:val="none" w:sz="0" w:space="0" w:color="auto"/>
      </w:divBdr>
    </w:div>
    <w:div w:id="871380078">
      <w:marLeft w:val="0"/>
      <w:marRight w:val="0"/>
      <w:marTop w:val="0"/>
      <w:marBottom w:val="0"/>
      <w:divBdr>
        <w:top w:val="none" w:sz="0" w:space="0" w:color="auto"/>
        <w:left w:val="none" w:sz="0" w:space="0" w:color="auto"/>
        <w:bottom w:val="none" w:sz="0" w:space="0" w:color="auto"/>
        <w:right w:val="none" w:sz="0" w:space="0" w:color="auto"/>
      </w:divBdr>
      <w:divsChild>
        <w:div w:id="1767992930">
          <w:marLeft w:val="0"/>
          <w:marRight w:val="0"/>
          <w:marTop w:val="0"/>
          <w:marBottom w:val="0"/>
          <w:divBdr>
            <w:top w:val="none" w:sz="0" w:space="0" w:color="auto"/>
            <w:left w:val="none" w:sz="0" w:space="0" w:color="auto"/>
            <w:bottom w:val="none" w:sz="0" w:space="0" w:color="auto"/>
            <w:right w:val="none" w:sz="0" w:space="0" w:color="auto"/>
          </w:divBdr>
        </w:div>
        <w:div w:id="1583026969">
          <w:marLeft w:val="0"/>
          <w:marRight w:val="0"/>
          <w:marTop w:val="0"/>
          <w:marBottom w:val="0"/>
          <w:divBdr>
            <w:top w:val="none" w:sz="0" w:space="0" w:color="auto"/>
            <w:left w:val="none" w:sz="0" w:space="0" w:color="auto"/>
            <w:bottom w:val="none" w:sz="0" w:space="0" w:color="auto"/>
            <w:right w:val="none" w:sz="0" w:space="0" w:color="auto"/>
          </w:divBdr>
        </w:div>
      </w:divsChild>
    </w:div>
    <w:div w:id="872884185">
      <w:marLeft w:val="0"/>
      <w:marRight w:val="0"/>
      <w:marTop w:val="0"/>
      <w:marBottom w:val="0"/>
      <w:divBdr>
        <w:top w:val="none" w:sz="0" w:space="0" w:color="auto"/>
        <w:left w:val="none" w:sz="0" w:space="0" w:color="auto"/>
        <w:bottom w:val="none" w:sz="0" w:space="0" w:color="auto"/>
        <w:right w:val="none" w:sz="0" w:space="0" w:color="auto"/>
      </w:divBdr>
      <w:divsChild>
        <w:div w:id="1691033430">
          <w:marLeft w:val="0"/>
          <w:marRight w:val="0"/>
          <w:marTop w:val="0"/>
          <w:marBottom w:val="0"/>
          <w:divBdr>
            <w:top w:val="none" w:sz="0" w:space="0" w:color="auto"/>
            <w:left w:val="none" w:sz="0" w:space="0" w:color="auto"/>
            <w:bottom w:val="none" w:sz="0" w:space="0" w:color="auto"/>
            <w:right w:val="none" w:sz="0" w:space="0" w:color="auto"/>
          </w:divBdr>
        </w:div>
        <w:div w:id="904149301">
          <w:marLeft w:val="0"/>
          <w:marRight w:val="0"/>
          <w:marTop w:val="0"/>
          <w:marBottom w:val="0"/>
          <w:divBdr>
            <w:top w:val="none" w:sz="0" w:space="0" w:color="auto"/>
            <w:left w:val="none" w:sz="0" w:space="0" w:color="auto"/>
            <w:bottom w:val="none" w:sz="0" w:space="0" w:color="auto"/>
            <w:right w:val="none" w:sz="0" w:space="0" w:color="auto"/>
          </w:divBdr>
        </w:div>
      </w:divsChild>
    </w:div>
    <w:div w:id="878981122">
      <w:marLeft w:val="0"/>
      <w:marRight w:val="0"/>
      <w:marTop w:val="0"/>
      <w:marBottom w:val="0"/>
      <w:divBdr>
        <w:top w:val="none" w:sz="0" w:space="0" w:color="auto"/>
        <w:left w:val="none" w:sz="0" w:space="0" w:color="auto"/>
        <w:bottom w:val="none" w:sz="0" w:space="0" w:color="auto"/>
        <w:right w:val="none" w:sz="0" w:space="0" w:color="auto"/>
      </w:divBdr>
      <w:divsChild>
        <w:div w:id="1365060128">
          <w:marLeft w:val="0"/>
          <w:marRight w:val="0"/>
          <w:marTop w:val="0"/>
          <w:marBottom w:val="0"/>
          <w:divBdr>
            <w:top w:val="none" w:sz="0" w:space="0" w:color="auto"/>
            <w:left w:val="none" w:sz="0" w:space="0" w:color="auto"/>
            <w:bottom w:val="none" w:sz="0" w:space="0" w:color="auto"/>
            <w:right w:val="none" w:sz="0" w:space="0" w:color="auto"/>
          </w:divBdr>
        </w:div>
      </w:divsChild>
    </w:div>
    <w:div w:id="879048290">
      <w:marLeft w:val="0"/>
      <w:marRight w:val="0"/>
      <w:marTop w:val="0"/>
      <w:marBottom w:val="0"/>
      <w:divBdr>
        <w:top w:val="none" w:sz="0" w:space="0" w:color="auto"/>
        <w:left w:val="none" w:sz="0" w:space="0" w:color="auto"/>
        <w:bottom w:val="none" w:sz="0" w:space="0" w:color="auto"/>
        <w:right w:val="none" w:sz="0" w:space="0" w:color="auto"/>
      </w:divBdr>
      <w:divsChild>
        <w:div w:id="1797016701">
          <w:marLeft w:val="0"/>
          <w:marRight w:val="0"/>
          <w:marTop w:val="0"/>
          <w:marBottom w:val="0"/>
          <w:divBdr>
            <w:top w:val="none" w:sz="0" w:space="0" w:color="auto"/>
            <w:left w:val="none" w:sz="0" w:space="0" w:color="auto"/>
            <w:bottom w:val="none" w:sz="0" w:space="0" w:color="auto"/>
            <w:right w:val="none" w:sz="0" w:space="0" w:color="auto"/>
          </w:divBdr>
        </w:div>
        <w:div w:id="141242009">
          <w:marLeft w:val="0"/>
          <w:marRight w:val="0"/>
          <w:marTop w:val="0"/>
          <w:marBottom w:val="0"/>
          <w:divBdr>
            <w:top w:val="none" w:sz="0" w:space="0" w:color="auto"/>
            <w:left w:val="none" w:sz="0" w:space="0" w:color="auto"/>
            <w:bottom w:val="none" w:sz="0" w:space="0" w:color="auto"/>
            <w:right w:val="none" w:sz="0" w:space="0" w:color="auto"/>
          </w:divBdr>
        </w:div>
      </w:divsChild>
    </w:div>
    <w:div w:id="879125047">
      <w:marLeft w:val="0"/>
      <w:marRight w:val="0"/>
      <w:marTop w:val="240"/>
      <w:marBottom w:val="0"/>
      <w:divBdr>
        <w:top w:val="none" w:sz="0" w:space="0" w:color="auto"/>
        <w:left w:val="none" w:sz="0" w:space="0" w:color="auto"/>
        <w:bottom w:val="none" w:sz="0" w:space="0" w:color="auto"/>
        <w:right w:val="none" w:sz="0" w:space="0" w:color="auto"/>
      </w:divBdr>
    </w:div>
    <w:div w:id="879438546">
      <w:marLeft w:val="0"/>
      <w:marRight w:val="0"/>
      <w:marTop w:val="100"/>
      <w:marBottom w:val="0"/>
      <w:divBdr>
        <w:top w:val="none" w:sz="0" w:space="0" w:color="auto"/>
        <w:left w:val="none" w:sz="0" w:space="0" w:color="auto"/>
        <w:bottom w:val="none" w:sz="0" w:space="0" w:color="auto"/>
        <w:right w:val="none" w:sz="0" w:space="0" w:color="auto"/>
      </w:divBdr>
    </w:div>
    <w:div w:id="879979177">
      <w:marLeft w:val="0"/>
      <w:marRight w:val="0"/>
      <w:marTop w:val="100"/>
      <w:marBottom w:val="0"/>
      <w:divBdr>
        <w:top w:val="none" w:sz="0" w:space="0" w:color="auto"/>
        <w:left w:val="none" w:sz="0" w:space="0" w:color="auto"/>
        <w:bottom w:val="none" w:sz="0" w:space="0" w:color="auto"/>
        <w:right w:val="none" w:sz="0" w:space="0" w:color="auto"/>
      </w:divBdr>
    </w:div>
    <w:div w:id="881291086">
      <w:marLeft w:val="0"/>
      <w:marRight w:val="0"/>
      <w:marTop w:val="240"/>
      <w:marBottom w:val="0"/>
      <w:divBdr>
        <w:top w:val="none" w:sz="0" w:space="0" w:color="auto"/>
        <w:left w:val="none" w:sz="0" w:space="0" w:color="auto"/>
        <w:bottom w:val="none" w:sz="0" w:space="0" w:color="auto"/>
        <w:right w:val="none" w:sz="0" w:space="0" w:color="auto"/>
      </w:divBdr>
    </w:div>
    <w:div w:id="882593351">
      <w:marLeft w:val="0"/>
      <w:marRight w:val="0"/>
      <w:marTop w:val="100"/>
      <w:marBottom w:val="0"/>
      <w:divBdr>
        <w:top w:val="none" w:sz="0" w:space="0" w:color="auto"/>
        <w:left w:val="none" w:sz="0" w:space="0" w:color="auto"/>
        <w:bottom w:val="none" w:sz="0" w:space="0" w:color="auto"/>
        <w:right w:val="none" w:sz="0" w:space="0" w:color="auto"/>
      </w:divBdr>
    </w:div>
    <w:div w:id="882983779">
      <w:marLeft w:val="0"/>
      <w:marRight w:val="0"/>
      <w:marTop w:val="100"/>
      <w:marBottom w:val="0"/>
      <w:divBdr>
        <w:top w:val="none" w:sz="0" w:space="0" w:color="auto"/>
        <w:left w:val="none" w:sz="0" w:space="0" w:color="auto"/>
        <w:bottom w:val="none" w:sz="0" w:space="0" w:color="auto"/>
        <w:right w:val="none" w:sz="0" w:space="0" w:color="auto"/>
      </w:divBdr>
    </w:div>
    <w:div w:id="883173422">
      <w:marLeft w:val="0"/>
      <w:marRight w:val="0"/>
      <w:marTop w:val="100"/>
      <w:marBottom w:val="0"/>
      <w:divBdr>
        <w:top w:val="none" w:sz="0" w:space="0" w:color="auto"/>
        <w:left w:val="none" w:sz="0" w:space="0" w:color="auto"/>
        <w:bottom w:val="none" w:sz="0" w:space="0" w:color="auto"/>
        <w:right w:val="none" w:sz="0" w:space="0" w:color="auto"/>
      </w:divBdr>
    </w:div>
    <w:div w:id="883567689">
      <w:marLeft w:val="0"/>
      <w:marRight w:val="0"/>
      <w:marTop w:val="240"/>
      <w:marBottom w:val="0"/>
      <w:divBdr>
        <w:top w:val="none" w:sz="0" w:space="0" w:color="auto"/>
        <w:left w:val="none" w:sz="0" w:space="0" w:color="auto"/>
        <w:bottom w:val="none" w:sz="0" w:space="0" w:color="auto"/>
        <w:right w:val="none" w:sz="0" w:space="0" w:color="auto"/>
      </w:divBdr>
    </w:div>
    <w:div w:id="885945170">
      <w:marLeft w:val="0"/>
      <w:marRight w:val="0"/>
      <w:marTop w:val="0"/>
      <w:marBottom w:val="0"/>
      <w:divBdr>
        <w:top w:val="none" w:sz="0" w:space="0" w:color="auto"/>
        <w:left w:val="none" w:sz="0" w:space="0" w:color="auto"/>
        <w:bottom w:val="none" w:sz="0" w:space="0" w:color="auto"/>
        <w:right w:val="none" w:sz="0" w:space="0" w:color="auto"/>
      </w:divBdr>
      <w:divsChild>
        <w:div w:id="1872374251">
          <w:marLeft w:val="0"/>
          <w:marRight w:val="0"/>
          <w:marTop w:val="0"/>
          <w:marBottom w:val="0"/>
          <w:divBdr>
            <w:top w:val="none" w:sz="0" w:space="0" w:color="auto"/>
            <w:left w:val="none" w:sz="0" w:space="0" w:color="auto"/>
            <w:bottom w:val="none" w:sz="0" w:space="0" w:color="auto"/>
            <w:right w:val="none" w:sz="0" w:space="0" w:color="auto"/>
          </w:divBdr>
        </w:div>
      </w:divsChild>
    </w:div>
    <w:div w:id="886454174">
      <w:marLeft w:val="0"/>
      <w:marRight w:val="0"/>
      <w:marTop w:val="0"/>
      <w:marBottom w:val="0"/>
      <w:divBdr>
        <w:top w:val="none" w:sz="0" w:space="0" w:color="auto"/>
        <w:left w:val="none" w:sz="0" w:space="0" w:color="auto"/>
        <w:bottom w:val="none" w:sz="0" w:space="0" w:color="auto"/>
        <w:right w:val="none" w:sz="0" w:space="0" w:color="auto"/>
      </w:divBdr>
      <w:divsChild>
        <w:div w:id="816610658">
          <w:marLeft w:val="0"/>
          <w:marRight w:val="0"/>
          <w:marTop w:val="0"/>
          <w:marBottom w:val="0"/>
          <w:divBdr>
            <w:top w:val="none" w:sz="0" w:space="0" w:color="auto"/>
            <w:left w:val="none" w:sz="0" w:space="0" w:color="auto"/>
            <w:bottom w:val="none" w:sz="0" w:space="0" w:color="auto"/>
            <w:right w:val="none" w:sz="0" w:space="0" w:color="auto"/>
          </w:divBdr>
        </w:div>
      </w:divsChild>
    </w:div>
    <w:div w:id="890768546">
      <w:marLeft w:val="0"/>
      <w:marRight w:val="0"/>
      <w:marTop w:val="100"/>
      <w:marBottom w:val="0"/>
      <w:divBdr>
        <w:top w:val="none" w:sz="0" w:space="0" w:color="auto"/>
        <w:left w:val="none" w:sz="0" w:space="0" w:color="auto"/>
        <w:bottom w:val="none" w:sz="0" w:space="0" w:color="auto"/>
        <w:right w:val="none" w:sz="0" w:space="0" w:color="auto"/>
      </w:divBdr>
    </w:div>
    <w:div w:id="893124732">
      <w:marLeft w:val="0"/>
      <w:marRight w:val="0"/>
      <w:marTop w:val="100"/>
      <w:marBottom w:val="0"/>
      <w:divBdr>
        <w:top w:val="none" w:sz="0" w:space="0" w:color="auto"/>
        <w:left w:val="none" w:sz="0" w:space="0" w:color="auto"/>
        <w:bottom w:val="none" w:sz="0" w:space="0" w:color="auto"/>
        <w:right w:val="none" w:sz="0" w:space="0" w:color="auto"/>
      </w:divBdr>
    </w:div>
    <w:div w:id="893851674">
      <w:marLeft w:val="0"/>
      <w:marRight w:val="0"/>
      <w:marTop w:val="100"/>
      <w:marBottom w:val="0"/>
      <w:divBdr>
        <w:top w:val="none" w:sz="0" w:space="0" w:color="auto"/>
        <w:left w:val="none" w:sz="0" w:space="0" w:color="auto"/>
        <w:bottom w:val="none" w:sz="0" w:space="0" w:color="auto"/>
        <w:right w:val="none" w:sz="0" w:space="0" w:color="auto"/>
      </w:divBdr>
    </w:div>
    <w:div w:id="894193856">
      <w:marLeft w:val="0"/>
      <w:marRight w:val="0"/>
      <w:marTop w:val="100"/>
      <w:marBottom w:val="0"/>
      <w:divBdr>
        <w:top w:val="none" w:sz="0" w:space="0" w:color="auto"/>
        <w:left w:val="none" w:sz="0" w:space="0" w:color="auto"/>
        <w:bottom w:val="none" w:sz="0" w:space="0" w:color="auto"/>
        <w:right w:val="none" w:sz="0" w:space="0" w:color="auto"/>
      </w:divBdr>
    </w:div>
    <w:div w:id="895045657">
      <w:marLeft w:val="0"/>
      <w:marRight w:val="0"/>
      <w:marTop w:val="0"/>
      <w:marBottom w:val="0"/>
      <w:divBdr>
        <w:top w:val="none" w:sz="0" w:space="0" w:color="auto"/>
        <w:left w:val="none" w:sz="0" w:space="0" w:color="auto"/>
        <w:bottom w:val="none" w:sz="0" w:space="0" w:color="auto"/>
        <w:right w:val="none" w:sz="0" w:space="0" w:color="auto"/>
      </w:divBdr>
    </w:div>
    <w:div w:id="895046397">
      <w:marLeft w:val="0"/>
      <w:marRight w:val="0"/>
      <w:marTop w:val="240"/>
      <w:marBottom w:val="0"/>
      <w:divBdr>
        <w:top w:val="none" w:sz="0" w:space="0" w:color="auto"/>
        <w:left w:val="none" w:sz="0" w:space="0" w:color="auto"/>
        <w:bottom w:val="none" w:sz="0" w:space="0" w:color="auto"/>
        <w:right w:val="none" w:sz="0" w:space="0" w:color="auto"/>
      </w:divBdr>
    </w:div>
    <w:div w:id="896431816">
      <w:marLeft w:val="0"/>
      <w:marRight w:val="0"/>
      <w:marTop w:val="100"/>
      <w:marBottom w:val="0"/>
      <w:divBdr>
        <w:top w:val="none" w:sz="0" w:space="0" w:color="auto"/>
        <w:left w:val="none" w:sz="0" w:space="0" w:color="auto"/>
        <w:bottom w:val="none" w:sz="0" w:space="0" w:color="auto"/>
        <w:right w:val="none" w:sz="0" w:space="0" w:color="auto"/>
      </w:divBdr>
    </w:div>
    <w:div w:id="897128868">
      <w:marLeft w:val="0"/>
      <w:marRight w:val="0"/>
      <w:marTop w:val="100"/>
      <w:marBottom w:val="0"/>
      <w:divBdr>
        <w:top w:val="none" w:sz="0" w:space="0" w:color="auto"/>
        <w:left w:val="none" w:sz="0" w:space="0" w:color="auto"/>
        <w:bottom w:val="none" w:sz="0" w:space="0" w:color="auto"/>
        <w:right w:val="none" w:sz="0" w:space="0" w:color="auto"/>
      </w:divBdr>
    </w:div>
    <w:div w:id="897279437">
      <w:marLeft w:val="0"/>
      <w:marRight w:val="0"/>
      <w:marTop w:val="60"/>
      <w:marBottom w:val="0"/>
      <w:divBdr>
        <w:top w:val="none" w:sz="0" w:space="0" w:color="auto"/>
        <w:left w:val="none" w:sz="0" w:space="0" w:color="auto"/>
        <w:bottom w:val="none" w:sz="0" w:space="0" w:color="auto"/>
        <w:right w:val="none" w:sz="0" w:space="0" w:color="auto"/>
      </w:divBdr>
    </w:div>
    <w:div w:id="897663698">
      <w:marLeft w:val="0"/>
      <w:marRight w:val="0"/>
      <w:marTop w:val="60"/>
      <w:marBottom w:val="0"/>
      <w:divBdr>
        <w:top w:val="none" w:sz="0" w:space="0" w:color="auto"/>
        <w:left w:val="none" w:sz="0" w:space="0" w:color="auto"/>
        <w:bottom w:val="none" w:sz="0" w:space="0" w:color="auto"/>
        <w:right w:val="none" w:sz="0" w:space="0" w:color="auto"/>
      </w:divBdr>
    </w:div>
    <w:div w:id="899943460">
      <w:marLeft w:val="0"/>
      <w:marRight w:val="0"/>
      <w:marTop w:val="0"/>
      <w:marBottom w:val="0"/>
      <w:divBdr>
        <w:top w:val="none" w:sz="0" w:space="0" w:color="auto"/>
        <w:left w:val="none" w:sz="0" w:space="0" w:color="auto"/>
        <w:bottom w:val="none" w:sz="0" w:space="0" w:color="auto"/>
        <w:right w:val="none" w:sz="0" w:space="0" w:color="auto"/>
      </w:divBdr>
      <w:divsChild>
        <w:div w:id="2035959126">
          <w:marLeft w:val="0"/>
          <w:marRight w:val="0"/>
          <w:marTop w:val="0"/>
          <w:marBottom w:val="0"/>
          <w:divBdr>
            <w:top w:val="none" w:sz="0" w:space="0" w:color="auto"/>
            <w:left w:val="none" w:sz="0" w:space="0" w:color="auto"/>
            <w:bottom w:val="none" w:sz="0" w:space="0" w:color="auto"/>
            <w:right w:val="none" w:sz="0" w:space="0" w:color="auto"/>
          </w:divBdr>
        </w:div>
        <w:div w:id="380178294">
          <w:marLeft w:val="0"/>
          <w:marRight w:val="0"/>
          <w:marTop w:val="0"/>
          <w:marBottom w:val="0"/>
          <w:divBdr>
            <w:top w:val="none" w:sz="0" w:space="0" w:color="auto"/>
            <w:left w:val="none" w:sz="0" w:space="0" w:color="auto"/>
            <w:bottom w:val="none" w:sz="0" w:space="0" w:color="auto"/>
            <w:right w:val="none" w:sz="0" w:space="0" w:color="auto"/>
          </w:divBdr>
        </w:div>
      </w:divsChild>
    </w:div>
    <w:div w:id="900212322">
      <w:marLeft w:val="0"/>
      <w:marRight w:val="0"/>
      <w:marTop w:val="100"/>
      <w:marBottom w:val="0"/>
      <w:divBdr>
        <w:top w:val="none" w:sz="0" w:space="0" w:color="auto"/>
        <w:left w:val="none" w:sz="0" w:space="0" w:color="auto"/>
        <w:bottom w:val="none" w:sz="0" w:space="0" w:color="auto"/>
        <w:right w:val="none" w:sz="0" w:space="0" w:color="auto"/>
      </w:divBdr>
    </w:div>
    <w:div w:id="901017227">
      <w:marLeft w:val="0"/>
      <w:marRight w:val="0"/>
      <w:marTop w:val="100"/>
      <w:marBottom w:val="0"/>
      <w:divBdr>
        <w:top w:val="none" w:sz="0" w:space="0" w:color="auto"/>
        <w:left w:val="none" w:sz="0" w:space="0" w:color="auto"/>
        <w:bottom w:val="none" w:sz="0" w:space="0" w:color="auto"/>
        <w:right w:val="none" w:sz="0" w:space="0" w:color="auto"/>
      </w:divBdr>
    </w:div>
    <w:div w:id="904030256">
      <w:marLeft w:val="0"/>
      <w:marRight w:val="0"/>
      <w:marTop w:val="0"/>
      <w:marBottom w:val="0"/>
      <w:divBdr>
        <w:top w:val="none" w:sz="0" w:space="0" w:color="auto"/>
        <w:left w:val="none" w:sz="0" w:space="0" w:color="auto"/>
        <w:bottom w:val="none" w:sz="0" w:space="0" w:color="auto"/>
        <w:right w:val="none" w:sz="0" w:space="0" w:color="auto"/>
      </w:divBdr>
      <w:divsChild>
        <w:div w:id="1678069347">
          <w:marLeft w:val="0"/>
          <w:marRight w:val="0"/>
          <w:marTop w:val="0"/>
          <w:marBottom w:val="0"/>
          <w:divBdr>
            <w:top w:val="none" w:sz="0" w:space="0" w:color="auto"/>
            <w:left w:val="none" w:sz="0" w:space="0" w:color="auto"/>
            <w:bottom w:val="none" w:sz="0" w:space="0" w:color="auto"/>
            <w:right w:val="none" w:sz="0" w:space="0" w:color="auto"/>
          </w:divBdr>
        </w:div>
        <w:div w:id="1562402100">
          <w:marLeft w:val="0"/>
          <w:marRight w:val="0"/>
          <w:marTop w:val="0"/>
          <w:marBottom w:val="0"/>
          <w:divBdr>
            <w:top w:val="none" w:sz="0" w:space="0" w:color="auto"/>
            <w:left w:val="none" w:sz="0" w:space="0" w:color="auto"/>
            <w:bottom w:val="none" w:sz="0" w:space="0" w:color="auto"/>
            <w:right w:val="none" w:sz="0" w:space="0" w:color="auto"/>
          </w:divBdr>
        </w:div>
      </w:divsChild>
    </w:div>
    <w:div w:id="908148814">
      <w:marLeft w:val="0"/>
      <w:marRight w:val="0"/>
      <w:marTop w:val="240"/>
      <w:marBottom w:val="0"/>
      <w:divBdr>
        <w:top w:val="none" w:sz="0" w:space="0" w:color="auto"/>
        <w:left w:val="none" w:sz="0" w:space="0" w:color="auto"/>
        <w:bottom w:val="none" w:sz="0" w:space="0" w:color="auto"/>
        <w:right w:val="none" w:sz="0" w:space="0" w:color="auto"/>
      </w:divBdr>
    </w:div>
    <w:div w:id="908464515">
      <w:marLeft w:val="0"/>
      <w:marRight w:val="0"/>
      <w:marTop w:val="0"/>
      <w:marBottom w:val="0"/>
      <w:divBdr>
        <w:top w:val="none" w:sz="0" w:space="0" w:color="auto"/>
        <w:left w:val="none" w:sz="0" w:space="0" w:color="auto"/>
        <w:bottom w:val="none" w:sz="0" w:space="0" w:color="auto"/>
        <w:right w:val="none" w:sz="0" w:space="0" w:color="auto"/>
      </w:divBdr>
      <w:divsChild>
        <w:div w:id="803278110">
          <w:marLeft w:val="0"/>
          <w:marRight w:val="0"/>
          <w:marTop w:val="0"/>
          <w:marBottom w:val="0"/>
          <w:divBdr>
            <w:top w:val="none" w:sz="0" w:space="0" w:color="auto"/>
            <w:left w:val="none" w:sz="0" w:space="0" w:color="auto"/>
            <w:bottom w:val="none" w:sz="0" w:space="0" w:color="auto"/>
            <w:right w:val="none" w:sz="0" w:space="0" w:color="auto"/>
          </w:divBdr>
        </w:div>
      </w:divsChild>
    </w:div>
    <w:div w:id="909929607">
      <w:marLeft w:val="0"/>
      <w:marRight w:val="0"/>
      <w:marTop w:val="100"/>
      <w:marBottom w:val="0"/>
      <w:divBdr>
        <w:top w:val="none" w:sz="0" w:space="0" w:color="auto"/>
        <w:left w:val="none" w:sz="0" w:space="0" w:color="auto"/>
        <w:bottom w:val="none" w:sz="0" w:space="0" w:color="auto"/>
        <w:right w:val="none" w:sz="0" w:space="0" w:color="auto"/>
      </w:divBdr>
    </w:div>
    <w:div w:id="911698009">
      <w:marLeft w:val="0"/>
      <w:marRight w:val="0"/>
      <w:marTop w:val="100"/>
      <w:marBottom w:val="0"/>
      <w:divBdr>
        <w:top w:val="none" w:sz="0" w:space="0" w:color="auto"/>
        <w:left w:val="none" w:sz="0" w:space="0" w:color="auto"/>
        <w:bottom w:val="none" w:sz="0" w:space="0" w:color="auto"/>
        <w:right w:val="none" w:sz="0" w:space="0" w:color="auto"/>
      </w:divBdr>
    </w:div>
    <w:div w:id="911812952">
      <w:marLeft w:val="0"/>
      <w:marRight w:val="0"/>
      <w:marTop w:val="240"/>
      <w:marBottom w:val="0"/>
      <w:divBdr>
        <w:top w:val="none" w:sz="0" w:space="0" w:color="auto"/>
        <w:left w:val="none" w:sz="0" w:space="0" w:color="auto"/>
        <w:bottom w:val="none" w:sz="0" w:space="0" w:color="auto"/>
        <w:right w:val="none" w:sz="0" w:space="0" w:color="auto"/>
      </w:divBdr>
    </w:div>
    <w:div w:id="913124514">
      <w:marLeft w:val="0"/>
      <w:marRight w:val="0"/>
      <w:marTop w:val="0"/>
      <w:marBottom w:val="0"/>
      <w:divBdr>
        <w:top w:val="none" w:sz="0" w:space="0" w:color="auto"/>
        <w:left w:val="none" w:sz="0" w:space="0" w:color="auto"/>
        <w:bottom w:val="none" w:sz="0" w:space="0" w:color="auto"/>
        <w:right w:val="none" w:sz="0" w:space="0" w:color="auto"/>
      </w:divBdr>
      <w:divsChild>
        <w:div w:id="675234879">
          <w:marLeft w:val="0"/>
          <w:marRight w:val="0"/>
          <w:marTop w:val="0"/>
          <w:marBottom w:val="0"/>
          <w:divBdr>
            <w:top w:val="none" w:sz="0" w:space="0" w:color="auto"/>
            <w:left w:val="none" w:sz="0" w:space="0" w:color="auto"/>
            <w:bottom w:val="none" w:sz="0" w:space="0" w:color="auto"/>
            <w:right w:val="none" w:sz="0" w:space="0" w:color="auto"/>
          </w:divBdr>
        </w:div>
      </w:divsChild>
    </w:div>
    <w:div w:id="914752294">
      <w:marLeft w:val="0"/>
      <w:marRight w:val="0"/>
      <w:marTop w:val="100"/>
      <w:marBottom w:val="0"/>
      <w:divBdr>
        <w:top w:val="none" w:sz="0" w:space="0" w:color="auto"/>
        <w:left w:val="none" w:sz="0" w:space="0" w:color="auto"/>
        <w:bottom w:val="none" w:sz="0" w:space="0" w:color="auto"/>
        <w:right w:val="none" w:sz="0" w:space="0" w:color="auto"/>
      </w:divBdr>
    </w:div>
    <w:div w:id="916131578">
      <w:marLeft w:val="0"/>
      <w:marRight w:val="0"/>
      <w:marTop w:val="100"/>
      <w:marBottom w:val="0"/>
      <w:divBdr>
        <w:top w:val="none" w:sz="0" w:space="0" w:color="auto"/>
        <w:left w:val="none" w:sz="0" w:space="0" w:color="auto"/>
        <w:bottom w:val="none" w:sz="0" w:space="0" w:color="auto"/>
        <w:right w:val="none" w:sz="0" w:space="0" w:color="auto"/>
      </w:divBdr>
    </w:div>
    <w:div w:id="918562472">
      <w:marLeft w:val="0"/>
      <w:marRight w:val="0"/>
      <w:marTop w:val="100"/>
      <w:marBottom w:val="0"/>
      <w:divBdr>
        <w:top w:val="none" w:sz="0" w:space="0" w:color="auto"/>
        <w:left w:val="none" w:sz="0" w:space="0" w:color="auto"/>
        <w:bottom w:val="none" w:sz="0" w:space="0" w:color="auto"/>
        <w:right w:val="none" w:sz="0" w:space="0" w:color="auto"/>
      </w:divBdr>
    </w:div>
    <w:div w:id="919751430">
      <w:marLeft w:val="0"/>
      <w:marRight w:val="0"/>
      <w:marTop w:val="100"/>
      <w:marBottom w:val="0"/>
      <w:divBdr>
        <w:top w:val="none" w:sz="0" w:space="0" w:color="auto"/>
        <w:left w:val="none" w:sz="0" w:space="0" w:color="auto"/>
        <w:bottom w:val="none" w:sz="0" w:space="0" w:color="auto"/>
        <w:right w:val="none" w:sz="0" w:space="0" w:color="auto"/>
      </w:divBdr>
    </w:div>
    <w:div w:id="920141768">
      <w:marLeft w:val="0"/>
      <w:marRight w:val="0"/>
      <w:marTop w:val="100"/>
      <w:marBottom w:val="0"/>
      <w:divBdr>
        <w:top w:val="none" w:sz="0" w:space="0" w:color="auto"/>
        <w:left w:val="none" w:sz="0" w:space="0" w:color="auto"/>
        <w:bottom w:val="none" w:sz="0" w:space="0" w:color="auto"/>
        <w:right w:val="none" w:sz="0" w:space="0" w:color="auto"/>
      </w:divBdr>
    </w:div>
    <w:div w:id="920483071">
      <w:marLeft w:val="0"/>
      <w:marRight w:val="0"/>
      <w:marTop w:val="100"/>
      <w:marBottom w:val="0"/>
      <w:divBdr>
        <w:top w:val="none" w:sz="0" w:space="0" w:color="auto"/>
        <w:left w:val="none" w:sz="0" w:space="0" w:color="auto"/>
        <w:bottom w:val="none" w:sz="0" w:space="0" w:color="auto"/>
        <w:right w:val="none" w:sz="0" w:space="0" w:color="auto"/>
      </w:divBdr>
    </w:div>
    <w:div w:id="922186150">
      <w:marLeft w:val="0"/>
      <w:marRight w:val="0"/>
      <w:marTop w:val="40"/>
      <w:marBottom w:val="0"/>
      <w:divBdr>
        <w:top w:val="none" w:sz="0" w:space="0" w:color="auto"/>
        <w:left w:val="none" w:sz="0" w:space="0" w:color="auto"/>
        <w:bottom w:val="none" w:sz="0" w:space="0" w:color="auto"/>
        <w:right w:val="none" w:sz="0" w:space="0" w:color="auto"/>
      </w:divBdr>
    </w:div>
    <w:div w:id="922643074">
      <w:marLeft w:val="0"/>
      <w:marRight w:val="0"/>
      <w:marTop w:val="100"/>
      <w:marBottom w:val="0"/>
      <w:divBdr>
        <w:top w:val="none" w:sz="0" w:space="0" w:color="auto"/>
        <w:left w:val="none" w:sz="0" w:space="0" w:color="auto"/>
        <w:bottom w:val="none" w:sz="0" w:space="0" w:color="auto"/>
        <w:right w:val="none" w:sz="0" w:space="0" w:color="auto"/>
      </w:divBdr>
    </w:div>
    <w:div w:id="923688843">
      <w:marLeft w:val="0"/>
      <w:marRight w:val="0"/>
      <w:marTop w:val="100"/>
      <w:marBottom w:val="0"/>
      <w:divBdr>
        <w:top w:val="none" w:sz="0" w:space="0" w:color="auto"/>
        <w:left w:val="none" w:sz="0" w:space="0" w:color="auto"/>
        <w:bottom w:val="none" w:sz="0" w:space="0" w:color="auto"/>
        <w:right w:val="none" w:sz="0" w:space="0" w:color="auto"/>
      </w:divBdr>
    </w:div>
    <w:div w:id="924075268">
      <w:marLeft w:val="0"/>
      <w:marRight w:val="0"/>
      <w:marTop w:val="60"/>
      <w:marBottom w:val="0"/>
      <w:divBdr>
        <w:top w:val="none" w:sz="0" w:space="0" w:color="auto"/>
        <w:left w:val="none" w:sz="0" w:space="0" w:color="auto"/>
        <w:bottom w:val="none" w:sz="0" w:space="0" w:color="auto"/>
        <w:right w:val="none" w:sz="0" w:space="0" w:color="auto"/>
      </w:divBdr>
    </w:div>
    <w:div w:id="924415028">
      <w:marLeft w:val="0"/>
      <w:marRight w:val="0"/>
      <w:marTop w:val="100"/>
      <w:marBottom w:val="0"/>
      <w:divBdr>
        <w:top w:val="none" w:sz="0" w:space="0" w:color="auto"/>
        <w:left w:val="none" w:sz="0" w:space="0" w:color="auto"/>
        <w:bottom w:val="none" w:sz="0" w:space="0" w:color="auto"/>
        <w:right w:val="none" w:sz="0" w:space="0" w:color="auto"/>
      </w:divBdr>
    </w:div>
    <w:div w:id="925187791">
      <w:marLeft w:val="0"/>
      <w:marRight w:val="0"/>
      <w:marTop w:val="240"/>
      <w:marBottom w:val="0"/>
      <w:divBdr>
        <w:top w:val="none" w:sz="0" w:space="0" w:color="auto"/>
        <w:left w:val="none" w:sz="0" w:space="0" w:color="auto"/>
        <w:bottom w:val="none" w:sz="0" w:space="0" w:color="auto"/>
        <w:right w:val="none" w:sz="0" w:space="0" w:color="auto"/>
      </w:divBdr>
    </w:div>
    <w:div w:id="927078974">
      <w:marLeft w:val="0"/>
      <w:marRight w:val="0"/>
      <w:marTop w:val="240"/>
      <w:marBottom w:val="0"/>
      <w:divBdr>
        <w:top w:val="none" w:sz="0" w:space="0" w:color="auto"/>
        <w:left w:val="none" w:sz="0" w:space="0" w:color="auto"/>
        <w:bottom w:val="none" w:sz="0" w:space="0" w:color="auto"/>
        <w:right w:val="none" w:sz="0" w:space="0" w:color="auto"/>
      </w:divBdr>
    </w:div>
    <w:div w:id="927926767">
      <w:marLeft w:val="0"/>
      <w:marRight w:val="0"/>
      <w:marTop w:val="100"/>
      <w:marBottom w:val="0"/>
      <w:divBdr>
        <w:top w:val="none" w:sz="0" w:space="0" w:color="auto"/>
        <w:left w:val="none" w:sz="0" w:space="0" w:color="auto"/>
        <w:bottom w:val="none" w:sz="0" w:space="0" w:color="auto"/>
        <w:right w:val="none" w:sz="0" w:space="0" w:color="auto"/>
      </w:divBdr>
    </w:div>
    <w:div w:id="928930590">
      <w:marLeft w:val="0"/>
      <w:marRight w:val="0"/>
      <w:marTop w:val="100"/>
      <w:marBottom w:val="0"/>
      <w:divBdr>
        <w:top w:val="none" w:sz="0" w:space="0" w:color="auto"/>
        <w:left w:val="none" w:sz="0" w:space="0" w:color="auto"/>
        <w:bottom w:val="none" w:sz="0" w:space="0" w:color="auto"/>
        <w:right w:val="none" w:sz="0" w:space="0" w:color="auto"/>
      </w:divBdr>
    </w:div>
    <w:div w:id="929310960">
      <w:marLeft w:val="0"/>
      <w:marRight w:val="0"/>
      <w:marTop w:val="100"/>
      <w:marBottom w:val="0"/>
      <w:divBdr>
        <w:top w:val="none" w:sz="0" w:space="0" w:color="auto"/>
        <w:left w:val="none" w:sz="0" w:space="0" w:color="auto"/>
        <w:bottom w:val="none" w:sz="0" w:space="0" w:color="auto"/>
        <w:right w:val="none" w:sz="0" w:space="0" w:color="auto"/>
      </w:divBdr>
    </w:div>
    <w:div w:id="933395543">
      <w:marLeft w:val="0"/>
      <w:marRight w:val="0"/>
      <w:marTop w:val="100"/>
      <w:marBottom w:val="0"/>
      <w:divBdr>
        <w:top w:val="none" w:sz="0" w:space="0" w:color="auto"/>
        <w:left w:val="none" w:sz="0" w:space="0" w:color="auto"/>
        <w:bottom w:val="none" w:sz="0" w:space="0" w:color="auto"/>
        <w:right w:val="none" w:sz="0" w:space="0" w:color="auto"/>
      </w:divBdr>
    </w:div>
    <w:div w:id="937445885">
      <w:marLeft w:val="0"/>
      <w:marRight w:val="0"/>
      <w:marTop w:val="100"/>
      <w:marBottom w:val="0"/>
      <w:divBdr>
        <w:top w:val="none" w:sz="0" w:space="0" w:color="auto"/>
        <w:left w:val="none" w:sz="0" w:space="0" w:color="auto"/>
        <w:bottom w:val="none" w:sz="0" w:space="0" w:color="auto"/>
        <w:right w:val="none" w:sz="0" w:space="0" w:color="auto"/>
      </w:divBdr>
    </w:div>
    <w:div w:id="938219051">
      <w:marLeft w:val="0"/>
      <w:marRight w:val="0"/>
      <w:marTop w:val="100"/>
      <w:marBottom w:val="0"/>
      <w:divBdr>
        <w:top w:val="none" w:sz="0" w:space="0" w:color="auto"/>
        <w:left w:val="none" w:sz="0" w:space="0" w:color="auto"/>
        <w:bottom w:val="none" w:sz="0" w:space="0" w:color="auto"/>
        <w:right w:val="none" w:sz="0" w:space="0" w:color="auto"/>
      </w:divBdr>
    </w:div>
    <w:div w:id="938414285">
      <w:marLeft w:val="0"/>
      <w:marRight w:val="0"/>
      <w:marTop w:val="100"/>
      <w:marBottom w:val="0"/>
      <w:divBdr>
        <w:top w:val="none" w:sz="0" w:space="0" w:color="auto"/>
        <w:left w:val="none" w:sz="0" w:space="0" w:color="auto"/>
        <w:bottom w:val="none" w:sz="0" w:space="0" w:color="auto"/>
        <w:right w:val="none" w:sz="0" w:space="0" w:color="auto"/>
      </w:divBdr>
    </w:div>
    <w:div w:id="939023666">
      <w:marLeft w:val="0"/>
      <w:marRight w:val="0"/>
      <w:marTop w:val="240"/>
      <w:marBottom w:val="0"/>
      <w:divBdr>
        <w:top w:val="none" w:sz="0" w:space="0" w:color="auto"/>
        <w:left w:val="none" w:sz="0" w:space="0" w:color="auto"/>
        <w:bottom w:val="none" w:sz="0" w:space="0" w:color="auto"/>
        <w:right w:val="none" w:sz="0" w:space="0" w:color="auto"/>
      </w:divBdr>
    </w:div>
    <w:div w:id="939147795">
      <w:marLeft w:val="0"/>
      <w:marRight w:val="0"/>
      <w:marTop w:val="40"/>
      <w:marBottom w:val="0"/>
      <w:divBdr>
        <w:top w:val="none" w:sz="0" w:space="0" w:color="auto"/>
        <w:left w:val="none" w:sz="0" w:space="0" w:color="auto"/>
        <w:bottom w:val="none" w:sz="0" w:space="0" w:color="auto"/>
        <w:right w:val="none" w:sz="0" w:space="0" w:color="auto"/>
      </w:divBdr>
    </w:div>
    <w:div w:id="939991396">
      <w:marLeft w:val="0"/>
      <w:marRight w:val="0"/>
      <w:marTop w:val="0"/>
      <w:marBottom w:val="0"/>
      <w:divBdr>
        <w:top w:val="none" w:sz="0" w:space="0" w:color="auto"/>
        <w:left w:val="none" w:sz="0" w:space="0" w:color="auto"/>
        <w:bottom w:val="none" w:sz="0" w:space="0" w:color="auto"/>
        <w:right w:val="none" w:sz="0" w:space="0" w:color="auto"/>
      </w:divBdr>
      <w:divsChild>
        <w:div w:id="1043485566">
          <w:marLeft w:val="0"/>
          <w:marRight w:val="0"/>
          <w:marTop w:val="0"/>
          <w:marBottom w:val="0"/>
          <w:divBdr>
            <w:top w:val="none" w:sz="0" w:space="0" w:color="auto"/>
            <w:left w:val="none" w:sz="0" w:space="0" w:color="auto"/>
            <w:bottom w:val="none" w:sz="0" w:space="0" w:color="auto"/>
            <w:right w:val="none" w:sz="0" w:space="0" w:color="auto"/>
          </w:divBdr>
        </w:div>
        <w:div w:id="764763497">
          <w:marLeft w:val="0"/>
          <w:marRight w:val="0"/>
          <w:marTop w:val="0"/>
          <w:marBottom w:val="0"/>
          <w:divBdr>
            <w:top w:val="none" w:sz="0" w:space="0" w:color="auto"/>
            <w:left w:val="none" w:sz="0" w:space="0" w:color="auto"/>
            <w:bottom w:val="none" w:sz="0" w:space="0" w:color="auto"/>
            <w:right w:val="none" w:sz="0" w:space="0" w:color="auto"/>
          </w:divBdr>
        </w:div>
      </w:divsChild>
    </w:div>
    <w:div w:id="942035528">
      <w:marLeft w:val="0"/>
      <w:marRight w:val="0"/>
      <w:marTop w:val="240"/>
      <w:marBottom w:val="0"/>
      <w:divBdr>
        <w:top w:val="none" w:sz="0" w:space="0" w:color="auto"/>
        <w:left w:val="none" w:sz="0" w:space="0" w:color="auto"/>
        <w:bottom w:val="none" w:sz="0" w:space="0" w:color="auto"/>
        <w:right w:val="none" w:sz="0" w:space="0" w:color="auto"/>
      </w:divBdr>
    </w:div>
    <w:div w:id="944072708">
      <w:marLeft w:val="0"/>
      <w:marRight w:val="0"/>
      <w:marTop w:val="0"/>
      <w:marBottom w:val="0"/>
      <w:divBdr>
        <w:top w:val="none" w:sz="0" w:space="0" w:color="auto"/>
        <w:left w:val="none" w:sz="0" w:space="0" w:color="auto"/>
        <w:bottom w:val="none" w:sz="0" w:space="0" w:color="auto"/>
        <w:right w:val="none" w:sz="0" w:space="0" w:color="auto"/>
      </w:divBdr>
    </w:div>
    <w:div w:id="945499406">
      <w:marLeft w:val="0"/>
      <w:marRight w:val="0"/>
      <w:marTop w:val="100"/>
      <w:marBottom w:val="0"/>
      <w:divBdr>
        <w:top w:val="none" w:sz="0" w:space="0" w:color="auto"/>
        <w:left w:val="none" w:sz="0" w:space="0" w:color="auto"/>
        <w:bottom w:val="none" w:sz="0" w:space="0" w:color="auto"/>
        <w:right w:val="none" w:sz="0" w:space="0" w:color="auto"/>
      </w:divBdr>
    </w:div>
    <w:div w:id="950211230">
      <w:marLeft w:val="0"/>
      <w:marRight w:val="0"/>
      <w:marTop w:val="60"/>
      <w:marBottom w:val="0"/>
      <w:divBdr>
        <w:top w:val="none" w:sz="0" w:space="0" w:color="auto"/>
        <w:left w:val="none" w:sz="0" w:space="0" w:color="auto"/>
        <w:bottom w:val="none" w:sz="0" w:space="0" w:color="auto"/>
        <w:right w:val="none" w:sz="0" w:space="0" w:color="auto"/>
      </w:divBdr>
    </w:div>
    <w:div w:id="950479473">
      <w:marLeft w:val="0"/>
      <w:marRight w:val="0"/>
      <w:marTop w:val="100"/>
      <w:marBottom w:val="0"/>
      <w:divBdr>
        <w:top w:val="none" w:sz="0" w:space="0" w:color="auto"/>
        <w:left w:val="none" w:sz="0" w:space="0" w:color="auto"/>
        <w:bottom w:val="none" w:sz="0" w:space="0" w:color="auto"/>
        <w:right w:val="none" w:sz="0" w:space="0" w:color="auto"/>
      </w:divBdr>
    </w:div>
    <w:div w:id="951282484">
      <w:marLeft w:val="0"/>
      <w:marRight w:val="0"/>
      <w:marTop w:val="100"/>
      <w:marBottom w:val="0"/>
      <w:divBdr>
        <w:top w:val="none" w:sz="0" w:space="0" w:color="auto"/>
        <w:left w:val="none" w:sz="0" w:space="0" w:color="auto"/>
        <w:bottom w:val="none" w:sz="0" w:space="0" w:color="auto"/>
        <w:right w:val="none" w:sz="0" w:space="0" w:color="auto"/>
      </w:divBdr>
    </w:div>
    <w:div w:id="953824053">
      <w:marLeft w:val="0"/>
      <w:marRight w:val="0"/>
      <w:marTop w:val="40"/>
      <w:marBottom w:val="0"/>
      <w:divBdr>
        <w:top w:val="none" w:sz="0" w:space="0" w:color="auto"/>
        <w:left w:val="none" w:sz="0" w:space="0" w:color="auto"/>
        <w:bottom w:val="none" w:sz="0" w:space="0" w:color="auto"/>
        <w:right w:val="none" w:sz="0" w:space="0" w:color="auto"/>
      </w:divBdr>
    </w:div>
    <w:div w:id="954794040">
      <w:marLeft w:val="0"/>
      <w:marRight w:val="0"/>
      <w:marTop w:val="0"/>
      <w:marBottom w:val="0"/>
      <w:divBdr>
        <w:top w:val="none" w:sz="0" w:space="0" w:color="auto"/>
        <w:left w:val="none" w:sz="0" w:space="0" w:color="auto"/>
        <w:bottom w:val="none" w:sz="0" w:space="0" w:color="auto"/>
        <w:right w:val="none" w:sz="0" w:space="0" w:color="auto"/>
      </w:divBdr>
      <w:divsChild>
        <w:div w:id="409697703">
          <w:marLeft w:val="0"/>
          <w:marRight w:val="0"/>
          <w:marTop w:val="0"/>
          <w:marBottom w:val="0"/>
          <w:divBdr>
            <w:top w:val="none" w:sz="0" w:space="0" w:color="auto"/>
            <w:left w:val="none" w:sz="0" w:space="0" w:color="auto"/>
            <w:bottom w:val="none" w:sz="0" w:space="0" w:color="auto"/>
            <w:right w:val="none" w:sz="0" w:space="0" w:color="auto"/>
          </w:divBdr>
        </w:div>
        <w:div w:id="393164769">
          <w:marLeft w:val="0"/>
          <w:marRight w:val="0"/>
          <w:marTop w:val="0"/>
          <w:marBottom w:val="0"/>
          <w:divBdr>
            <w:top w:val="none" w:sz="0" w:space="0" w:color="auto"/>
            <w:left w:val="none" w:sz="0" w:space="0" w:color="auto"/>
            <w:bottom w:val="none" w:sz="0" w:space="0" w:color="auto"/>
            <w:right w:val="none" w:sz="0" w:space="0" w:color="auto"/>
          </w:divBdr>
        </w:div>
      </w:divsChild>
    </w:div>
    <w:div w:id="955521012">
      <w:marLeft w:val="0"/>
      <w:marRight w:val="0"/>
      <w:marTop w:val="100"/>
      <w:marBottom w:val="0"/>
      <w:divBdr>
        <w:top w:val="none" w:sz="0" w:space="0" w:color="auto"/>
        <w:left w:val="none" w:sz="0" w:space="0" w:color="auto"/>
        <w:bottom w:val="none" w:sz="0" w:space="0" w:color="auto"/>
        <w:right w:val="none" w:sz="0" w:space="0" w:color="auto"/>
      </w:divBdr>
    </w:div>
    <w:div w:id="956915817">
      <w:marLeft w:val="0"/>
      <w:marRight w:val="0"/>
      <w:marTop w:val="100"/>
      <w:marBottom w:val="0"/>
      <w:divBdr>
        <w:top w:val="none" w:sz="0" w:space="0" w:color="auto"/>
        <w:left w:val="none" w:sz="0" w:space="0" w:color="auto"/>
        <w:bottom w:val="none" w:sz="0" w:space="0" w:color="auto"/>
        <w:right w:val="none" w:sz="0" w:space="0" w:color="auto"/>
      </w:divBdr>
    </w:div>
    <w:div w:id="957637967">
      <w:marLeft w:val="0"/>
      <w:marRight w:val="0"/>
      <w:marTop w:val="100"/>
      <w:marBottom w:val="0"/>
      <w:divBdr>
        <w:top w:val="none" w:sz="0" w:space="0" w:color="auto"/>
        <w:left w:val="none" w:sz="0" w:space="0" w:color="auto"/>
        <w:bottom w:val="none" w:sz="0" w:space="0" w:color="auto"/>
        <w:right w:val="none" w:sz="0" w:space="0" w:color="auto"/>
      </w:divBdr>
    </w:div>
    <w:div w:id="958608366">
      <w:marLeft w:val="0"/>
      <w:marRight w:val="0"/>
      <w:marTop w:val="100"/>
      <w:marBottom w:val="0"/>
      <w:divBdr>
        <w:top w:val="none" w:sz="0" w:space="0" w:color="auto"/>
        <w:left w:val="none" w:sz="0" w:space="0" w:color="auto"/>
        <w:bottom w:val="none" w:sz="0" w:space="0" w:color="auto"/>
        <w:right w:val="none" w:sz="0" w:space="0" w:color="auto"/>
      </w:divBdr>
    </w:div>
    <w:div w:id="961881146">
      <w:marLeft w:val="0"/>
      <w:marRight w:val="0"/>
      <w:marTop w:val="100"/>
      <w:marBottom w:val="0"/>
      <w:divBdr>
        <w:top w:val="none" w:sz="0" w:space="0" w:color="auto"/>
        <w:left w:val="none" w:sz="0" w:space="0" w:color="auto"/>
        <w:bottom w:val="none" w:sz="0" w:space="0" w:color="auto"/>
        <w:right w:val="none" w:sz="0" w:space="0" w:color="auto"/>
      </w:divBdr>
    </w:div>
    <w:div w:id="964888614">
      <w:marLeft w:val="0"/>
      <w:marRight w:val="0"/>
      <w:marTop w:val="60"/>
      <w:marBottom w:val="0"/>
      <w:divBdr>
        <w:top w:val="none" w:sz="0" w:space="0" w:color="auto"/>
        <w:left w:val="none" w:sz="0" w:space="0" w:color="auto"/>
        <w:bottom w:val="none" w:sz="0" w:space="0" w:color="auto"/>
        <w:right w:val="none" w:sz="0" w:space="0" w:color="auto"/>
      </w:divBdr>
    </w:div>
    <w:div w:id="965505730">
      <w:marLeft w:val="0"/>
      <w:marRight w:val="0"/>
      <w:marTop w:val="100"/>
      <w:marBottom w:val="0"/>
      <w:divBdr>
        <w:top w:val="none" w:sz="0" w:space="0" w:color="auto"/>
        <w:left w:val="none" w:sz="0" w:space="0" w:color="auto"/>
        <w:bottom w:val="none" w:sz="0" w:space="0" w:color="auto"/>
        <w:right w:val="none" w:sz="0" w:space="0" w:color="auto"/>
      </w:divBdr>
    </w:div>
    <w:div w:id="965548015">
      <w:marLeft w:val="0"/>
      <w:marRight w:val="0"/>
      <w:marTop w:val="60"/>
      <w:marBottom w:val="0"/>
      <w:divBdr>
        <w:top w:val="none" w:sz="0" w:space="0" w:color="auto"/>
        <w:left w:val="none" w:sz="0" w:space="0" w:color="auto"/>
        <w:bottom w:val="none" w:sz="0" w:space="0" w:color="auto"/>
        <w:right w:val="none" w:sz="0" w:space="0" w:color="auto"/>
      </w:divBdr>
    </w:div>
    <w:div w:id="965742689">
      <w:marLeft w:val="0"/>
      <w:marRight w:val="0"/>
      <w:marTop w:val="100"/>
      <w:marBottom w:val="0"/>
      <w:divBdr>
        <w:top w:val="none" w:sz="0" w:space="0" w:color="auto"/>
        <w:left w:val="none" w:sz="0" w:space="0" w:color="auto"/>
        <w:bottom w:val="none" w:sz="0" w:space="0" w:color="auto"/>
        <w:right w:val="none" w:sz="0" w:space="0" w:color="auto"/>
      </w:divBdr>
    </w:div>
    <w:div w:id="966668703">
      <w:marLeft w:val="0"/>
      <w:marRight w:val="0"/>
      <w:marTop w:val="240"/>
      <w:marBottom w:val="0"/>
      <w:divBdr>
        <w:top w:val="none" w:sz="0" w:space="0" w:color="auto"/>
        <w:left w:val="none" w:sz="0" w:space="0" w:color="auto"/>
        <w:bottom w:val="none" w:sz="0" w:space="0" w:color="auto"/>
        <w:right w:val="none" w:sz="0" w:space="0" w:color="auto"/>
      </w:divBdr>
    </w:div>
    <w:div w:id="967666413">
      <w:marLeft w:val="0"/>
      <w:marRight w:val="0"/>
      <w:marTop w:val="100"/>
      <w:marBottom w:val="0"/>
      <w:divBdr>
        <w:top w:val="none" w:sz="0" w:space="0" w:color="auto"/>
        <w:left w:val="none" w:sz="0" w:space="0" w:color="auto"/>
        <w:bottom w:val="none" w:sz="0" w:space="0" w:color="auto"/>
        <w:right w:val="none" w:sz="0" w:space="0" w:color="auto"/>
      </w:divBdr>
    </w:div>
    <w:div w:id="968558183">
      <w:marLeft w:val="0"/>
      <w:marRight w:val="0"/>
      <w:marTop w:val="240"/>
      <w:marBottom w:val="0"/>
      <w:divBdr>
        <w:top w:val="none" w:sz="0" w:space="0" w:color="auto"/>
        <w:left w:val="none" w:sz="0" w:space="0" w:color="auto"/>
        <w:bottom w:val="none" w:sz="0" w:space="0" w:color="auto"/>
        <w:right w:val="none" w:sz="0" w:space="0" w:color="auto"/>
      </w:divBdr>
    </w:div>
    <w:div w:id="972179190">
      <w:marLeft w:val="0"/>
      <w:marRight w:val="0"/>
      <w:marTop w:val="100"/>
      <w:marBottom w:val="0"/>
      <w:divBdr>
        <w:top w:val="none" w:sz="0" w:space="0" w:color="auto"/>
        <w:left w:val="none" w:sz="0" w:space="0" w:color="auto"/>
        <w:bottom w:val="none" w:sz="0" w:space="0" w:color="auto"/>
        <w:right w:val="none" w:sz="0" w:space="0" w:color="auto"/>
      </w:divBdr>
    </w:div>
    <w:div w:id="973100256">
      <w:marLeft w:val="0"/>
      <w:marRight w:val="0"/>
      <w:marTop w:val="0"/>
      <w:marBottom w:val="0"/>
      <w:divBdr>
        <w:top w:val="none" w:sz="0" w:space="0" w:color="auto"/>
        <w:left w:val="none" w:sz="0" w:space="0" w:color="auto"/>
        <w:bottom w:val="none" w:sz="0" w:space="0" w:color="auto"/>
        <w:right w:val="none" w:sz="0" w:space="0" w:color="auto"/>
      </w:divBdr>
      <w:divsChild>
        <w:div w:id="44765380">
          <w:marLeft w:val="0"/>
          <w:marRight w:val="0"/>
          <w:marTop w:val="0"/>
          <w:marBottom w:val="0"/>
          <w:divBdr>
            <w:top w:val="none" w:sz="0" w:space="0" w:color="auto"/>
            <w:left w:val="none" w:sz="0" w:space="0" w:color="auto"/>
            <w:bottom w:val="none" w:sz="0" w:space="0" w:color="auto"/>
            <w:right w:val="none" w:sz="0" w:space="0" w:color="auto"/>
          </w:divBdr>
        </w:div>
      </w:divsChild>
    </w:div>
    <w:div w:id="974335491">
      <w:marLeft w:val="0"/>
      <w:marRight w:val="0"/>
      <w:marTop w:val="60"/>
      <w:marBottom w:val="0"/>
      <w:divBdr>
        <w:top w:val="none" w:sz="0" w:space="0" w:color="auto"/>
        <w:left w:val="none" w:sz="0" w:space="0" w:color="auto"/>
        <w:bottom w:val="none" w:sz="0" w:space="0" w:color="auto"/>
        <w:right w:val="none" w:sz="0" w:space="0" w:color="auto"/>
      </w:divBdr>
    </w:div>
    <w:div w:id="975648751">
      <w:marLeft w:val="0"/>
      <w:marRight w:val="0"/>
      <w:marTop w:val="240"/>
      <w:marBottom w:val="0"/>
      <w:divBdr>
        <w:top w:val="none" w:sz="0" w:space="0" w:color="auto"/>
        <w:left w:val="none" w:sz="0" w:space="0" w:color="auto"/>
        <w:bottom w:val="none" w:sz="0" w:space="0" w:color="auto"/>
        <w:right w:val="none" w:sz="0" w:space="0" w:color="auto"/>
      </w:divBdr>
    </w:div>
    <w:div w:id="979573375">
      <w:marLeft w:val="0"/>
      <w:marRight w:val="0"/>
      <w:marTop w:val="100"/>
      <w:marBottom w:val="0"/>
      <w:divBdr>
        <w:top w:val="none" w:sz="0" w:space="0" w:color="auto"/>
        <w:left w:val="none" w:sz="0" w:space="0" w:color="auto"/>
        <w:bottom w:val="none" w:sz="0" w:space="0" w:color="auto"/>
        <w:right w:val="none" w:sz="0" w:space="0" w:color="auto"/>
      </w:divBdr>
    </w:div>
    <w:div w:id="979653808">
      <w:marLeft w:val="0"/>
      <w:marRight w:val="0"/>
      <w:marTop w:val="100"/>
      <w:marBottom w:val="0"/>
      <w:divBdr>
        <w:top w:val="none" w:sz="0" w:space="0" w:color="auto"/>
        <w:left w:val="none" w:sz="0" w:space="0" w:color="auto"/>
        <w:bottom w:val="none" w:sz="0" w:space="0" w:color="auto"/>
        <w:right w:val="none" w:sz="0" w:space="0" w:color="auto"/>
      </w:divBdr>
    </w:div>
    <w:div w:id="981230741">
      <w:marLeft w:val="0"/>
      <w:marRight w:val="0"/>
      <w:marTop w:val="100"/>
      <w:marBottom w:val="0"/>
      <w:divBdr>
        <w:top w:val="none" w:sz="0" w:space="0" w:color="auto"/>
        <w:left w:val="none" w:sz="0" w:space="0" w:color="auto"/>
        <w:bottom w:val="none" w:sz="0" w:space="0" w:color="auto"/>
        <w:right w:val="none" w:sz="0" w:space="0" w:color="auto"/>
      </w:divBdr>
    </w:div>
    <w:div w:id="983973645">
      <w:marLeft w:val="0"/>
      <w:marRight w:val="0"/>
      <w:marTop w:val="240"/>
      <w:marBottom w:val="0"/>
      <w:divBdr>
        <w:top w:val="none" w:sz="0" w:space="0" w:color="auto"/>
        <w:left w:val="none" w:sz="0" w:space="0" w:color="auto"/>
        <w:bottom w:val="none" w:sz="0" w:space="0" w:color="auto"/>
        <w:right w:val="none" w:sz="0" w:space="0" w:color="auto"/>
      </w:divBdr>
    </w:div>
    <w:div w:id="987784837">
      <w:marLeft w:val="0"/>
      <w:marRight w:val="0"/>
      <w:marTop w:val="60"/>
      <w:marBottom w:val="0"/>
      <w:divBdr>
        <w:top w:val="none" w:sz="0" w:space="0" w:color="auto"/>
        <w:left w:val="none" w:sz="0" w:space="0" w:color="auto"/>
        <w:bottom w:val="none" w:sz="0" w:space="0" w:color="auto"/>
        <w:right w:val="none" w:sz="0" w:space="0" w:color="auto"/>
      </w:divBdr>
    </w:div>
    <w:div w:id="988293032">
      <w:marLeft w:val="0"/>
      <w:marRight w:val="0"/>
      <w:marTop w:val="100"/>
      <w:marBottom w:val="0"/>
      <w:divBdr>
        <w:top w:val="none" w:sz="0" w:space="0" w:color="auto"/>
        <w:left w:val="none" w:sz="0" w:space="0" w:color="auto"/>
        <w:bottom w:val="none" w:sz="0" w:space="0" w:color="auto"/>
        <w:right w:val="none" w:sz="0" w:space="0" w:color="auto"/>
      </w:divBdr>
    </w:div>
    <w:div w:id="989477407">
      <w:marLeft w:val="0"/>
      <w:marRight w:val="0"/>
      <w:marTop w:val="60"/>
      <w:marBottom w:val="0"/>
      <w:divBdr>
        <w:top w:val="none" w:sz="0" w:space="0" w:color="auto"/>
        <w:left w:val="none" w:sz="0" w:space="0" w:color="auto"/>
        <w:bottom w:val="none" w:sz="0" w:space="0" w:color="auto"/>
        <w:right w:val="none" w:sz="0" w:space="0" w:color="auto"/>
      </w:divBdr>
    </w:div>
    <w:div w:id="990674138">
      <w:marLeft w:val="0"/>
      <w:marRight w:val="0"/>
      <w:marTop w:val="180"/>
      <w:marBottom w:val="0"/>
      <w:divBdr>
        <w:top w:val="none" w:sz="0" w:space="0" w:color="auto"/>
        <w:left w:val="none" w:sz="0" w:space="0" w:color="auto"/>
        <w:bottom w:val="none" w:sz="0" w:space="0" w:color="auto"/>
        <w:right w:val="none" w:sz="0" w:space="0" w:color="auto"/>
      </w:divBdr>
    </w:div>
    <w:div w:id="991132014">
      <w:marLeft w:val="0"/>
      <w:marRight w:val="0"/>
      <w:marTop w:val="100"/>
      <w:marBottom w:val="0"/>
      <w:divBdr>
        <w:top w:val="none" w:sz="0" w:space="0" w:color="auto"/>
        <w:left w:val="none" w:sz="0" w:space="0" w:color="auto"/>
        <w:bottom w:val="none" w:sz="0" w:space="0" w:color="auto"/>
        <w:right w:val="none" w:sz="0" w:space="0" w:color="auto"/>
      </w:divBdr>
    </w:div>
    <w:div w:id="992679705">
      <w:marLeft w:val="0"/>
      <w:marRight w:val="0"/>
      <w:marTop w:val="240"/>
      <w:marBottom w:val="0"/>
      <w:divBdr>
        <w:top w:val="none" w:sz="0" w:space="0" w:color="auto"/>
        <w:left w:val="none" w:sz="0" w:space="0" w:color="auto"/>
        <w:bottom w:val="none" w:sz="0" w:space="0" w:color="auto"/>
        <w:right w:val="none" w:sz="0" w:space="0" w:color="auto"/>
      </w:divBdr>
    </w:div>
    <w:div w:id="993875171">
      <w:marLeft w:val="0"/>
      <w:marRight w:val="0"/>
      <w:marTop w:val="100"/>
      <w:marBottom w:val="0"/>
      <w:divBdr>
        <w:top w:val="none" w:sz="0" w:space="0" w:color="auto"/>
        <w:left w:val="none" w:sz="0" w:space="0" w:color="auto"/>
        <w:bottom w:val="none" w:sz="0" w:space="0" w:color="auto"/>
        <w:right w:val="none" w:sz="0" w:space="0" w:color="auto"/>
      </w:divBdr>
    </w:div>
    <w:div w:id="995449015">
      <w:marLeft w:val="0"/>
      <w:marRight w:val="0"/>
      <w:marTop w:val="100"/>
      <w:marBottom w:val="0"/>
      <w:divBdr>
        <w:top w:val="none" w:sz="0" w:space="0" w:color="auto"/>
        <w:left w:val="none" w:sz="0" w:space="0" w:color="auto"/>
        <w:bottom w:val="none" w:sz="0" w:space="0" w:color="auto"/>
        <w:right w:val="none" w:sz="0" w:space="0" w:color="auto"/>
      </w:divBdr>
    </w:div>
    <w:div w:id="996804861">
      <w:marLeft w:val="0"/>
      <w:marRight w:val="0"/>
      <w:marTop w:val="100"/>
      <w:marBottom w:val="0"/>
      <w:divBdr>
        <w:top w:val="none" w:sz="0" w:space="0" w:color="auto"/>
        <w:left w:val="none" w:sz="0" w:space="0" w:color="auto"/>
        <w:bottom w:val="none" w:sz="0" w:space="0" w:color="auto"/>
        <w:right w:val="none" w:sz="0" w:space="0" w:color="auto"/>
      </w:divBdr>
    </w:div>
    <w:div w:id="1001856641">
      <w:marLeft w:val="0"/>
      <w:marRight w:val="0"/>
      <w:marTop w:val="0"/>
      <w:marBottom w:val="0"/>
      <w:divBdr>
        <w:top w:val="none" w:sz="0" w:space="0" w:color="auto"/>
        <w:left w:val="none" w:sz="0" w:space="0" w:color="auto"/>
        <w:bottom w:val="none" w:sz="0" w:space="0" w:color="auto"/>
        <w:right w:val="none" w:sz="0" w:space="0" w:color="auto"/>
      </w:divBdr>
    </w:div>
    <w:div w:id="1002077424">
      <w:marLeft w:val="0"/>
      <w:marRight w:val="0"/>
      <w:marTop w:val="240"/>
      <w:marBottom w:val="0"/>
      <w:divBdr>
        <w:top w:val="none" w:sz="0" w:space="0" w:color="auto"/>
        <w:left w:val="none" w:sz="0" w:space="0" w:color="auto"/>
        <w:bottom w:val="none" w:sz="0" w:space="0" w:color="auto"/>
        <w:right w:val="none" w:sz="0" w:space="0" w:color="auto"/>
      </w:divBdr>
    </w:div>
    <w:div w:id="1003555261">
      <w:marLeft w:val="0"/>
      <w:marRight w:val="0"/>
      <w:marTop w:val="100"/>
      <w:marBottom w:val="0"/>
      <w:divBdr>
        <w:top w:val="none" w:sz="0" w:space="0" w:color="auto"/>
        <w:left w:val="none" w:sz="0" w:space="0" w:color="auto"/>
        <w:bottom w:val="none" w:sz="0" w:space="0" w:color="auto"/>
        <w:right w:val="none" w:sz="0" w:space="0" w:color="auto"/>
      </w:divBdr>
    </w:div>
    <w:div w:id="1004476103">
      <w:marLeft w:val="0"/>
      <w:marRight w:val="0"/>
      <w:marTop w:val="60"/>
      <w:marBottom w:val="0"/>
      <w:divBdr>
        <w:top w:val="none" w:sz="0" w:space="0" w:color="auto"/>
        <w:left w:val="none" w:sz="0" w:space="0" w:color="auto"/>
        <w:bottom w:val="none" w:sz="0" w:space="0" w:color="auto"/>
        <w:right w:val="none" w:sz="0" w:space="0" w:color="auto"/>
      </w:divBdr>
    </w:div>
    <w:div w:id="1005668946">
      <w:marLeft w:val="0"/>
      <w:marRight w:val="0"/>
      <w:marTop w:val="0"/>
      <w:marBottom w:val="0"/>
      <w:divBdr>
        <w:top w:val="none" w:sz="0" w:space="0" w:color="auto"/>
        <w:left w:val="none" w:sz="0" w:space="0" w:color="auto"/>
        <w:bottom w:val="none" w:sz="0" w:space="0" w:color="auto"/>
        <w:right w:val="none" w:sz="0" w:space="0" w:color="auto"/>
      </w:divBdr>
      <w:divsChild>
        <w:div w:id="1776438405">
          <w:marLeft w:val="0"/>
          <w:marRight w:val="0"/>
          <w:marTop w:val="0"/>
          <w:marBottom w:val="0"/>
          <w:divBdr>
            <w:top w:val="none" w:sz="0" w:space="0" w:color="auto"/>
            <w:left w:val="none" w:sz="0" w:space="0" w:color="auto"/>
            <w:bottom w:val="none" w:sz="0" w:space="0" w:color="auto"/>
            <w:right w:val="none" w:sz="0" w:space="0" w:color="auto"/>
          </w:divBdr>
        </w:div>
        <w:div w:id="561987763">
          <w:marLeft w:val="0"/>
          <w:marRight w:val="0"/>
          <w:marTop w:val="0"/>
          <w:marBottom w:val="0"/>
          <w:divBdr>
            <w:top w:val="none" w:sz="0" w:space="0" w:color="auto"/>
            <w:left w:val="none" w:sz="0" w:space="0" w:color="auto"/>
            <w:bottom w:val="none" w:sz="0" w:space="0" w:color="auto"/>
            <w:right w:val="none" w:sz="0" w:space="0" w:color="auto"/>
          </w:divBdr>
        </w:div>
      </w:divsChild>
    </w:div>
    <w:div w:id="1006442206">
      <w:marLeft w:val="0"/>
      <w:marRight w:val="0"/>
      <w:marTop w:val="100"/>
      <w:marBottom w:val="0"/>
      <w:divBdr>
        <w:top w:val="none" w:sz="0" w:space="0" w:color="auto"/>
        <w:left w:val="none" w:sz="0" w:space="0" w:color="auto"/>
        <w:bottom w:val="none" w:sz="0" w:space="0" w:color="auto"/>
        <w:right w:val="none" w:sz="0" w:space="0" w:color="auto"/>
      </w:divBdr>
    </w:div>
    <w:div w:id="1006445188">
      <w:marLeft w:val="0"/>
      <w:marRight w:val="0"/>
      <w:marTop w:val="100"/>
      <w:marBottom w:val="0"/>
      <w:divBdr>
        <w:top w:val="none" w:sz="0" w:space="0" w:color="auto"/>
        <w:left w:val="none" w:sz="0" w:space="0" w:color="auto"/>
        <w:bottom w:val="none" w:sz="0" w:space="0" w:color="auto"/>
        <w:right w:val="none" w:sz="0" w:space="0" w:color="auto"/>
      </w:divBdr>
    </w:div>
    <w:div w:id="1006905300">
      <w:marLeft w:val="0"/>
      <w:marRight w:val="0"/>
      <w:marTop w:val="0"/>
      <w:marBottom w:val="0"/>
      <w:divBdr>
        <w:top w:val="none" w:sz="0" w:space="0" w:color="auto"/>
        <w:left w:val="none" w:sz="0" w:space="0" w:color="auto"/>
        <w:bottom w:val="none" w:sz="0" w:space="0" w:color="auto"/>
        <w:right w:val="none" w:sz="0" w:space="0" w:color="auto"/>
      </w:divBdr>
    </w:div>
    <w:div w:id="1009524946">
      <w:marLeft w:val="0"/>
      <w:marRight w:val="0"/>
      <w:marTop w:val="100"/>
      <w:marBottom w:val="0"/>
      <w:divBdr>
        <w:top w:val="none" w:sz="0" w:space="0" w:color="auto"/>
        <w:left w:val="none" w:sz="0" w:space="0" w:color="auto"/>
        <w:bottom w:val="none" w:sz="0" w:space="0" w:color="auto"/>
        <w:right w:val="none" w:sz="0" w:space="0" w:color="auto"/>
      </w:divBdr>
    </w:div>
    <w:div w:id="1011032523">
      <w:marLeft w:val="0"/>
      <w:marRight w:val="0"/>
      <w:marTop w:val="60"/>
      <w:marBottom w:val="0"/>
      <w:divBdr>
        <w:top w:val="none" w:sz="0" w:space="0" w:color="auto"/>
        <w:left w:val="none" w:sz="0" w:space="0" w:color="auto"/>
        <w:bottom w:val="none" w:sz="0" w:space="0" w:color="auto"/>
        <w:right w:val="none" w:sz="0" w:space="0" w:color="auto"/>
      </w:divBdr>
    </w:div>
    <w:div w:id="1011644619">
      <w:marLeft w:val="0"/>
      <w:marRight w:val="0"/>
      <w:marTop w:val="100"/>
      <w:marBottom w:val="0"/>
      <w:divBdr>
        <w:top w:val="none" w:sz="0" w:space="0" w:color="auto"/>
        <w:left w:val="none" w:sz="0" w:space="0" w:color="auto"/>
        <w:bottom w:val="none" w:sz="0" w:space="0" w:color="auto"/>
        <w:right w:val="none" w:sz="0" w:space="0" w:color="auto"/>
      </w:divBdr>
    </w:div>
    <w:div w:id="1012223789">
      <w:marLeft w:val="0"/>
      <w:marRight w:val="0"/>
      <w:marTop w:val="0"/>
      <w:marBottom w:val="0"/>
      <w:divBdr>
        <w:top w:val="none" w:sz="0" w:space="0" w:color="auto"/>
        <w:left w:val="none" w:sz="0" w:space="0" w:color="auto"/>
        <w:bottom w:val="none" w:sz="0" w:space="0" w:color="auto"/>
        <w:right w:val="none" w:sz="0" w:space="0" w:color="auto"/>
      </w:divBdr>
      <w:divsChild>
        <w:div w:id="588076123">
          <w:marLeft w:val="0"/>
          <w:marRight w:val="0"/>
          <w:marTop w:val="0"/>
          <w:marBottom w:val="0"/>
          <w:divBdr>
            <w:top w:val="none" w:sz="0" w:space="0" w:color="auto"/>
            <w:left w:val="none" w:sz="0" w:space="0" w:color="auto"/>
            <w:bottom w:val="none" w:sz="0" w:space="0" w:color="auto"/>
            <w:right w:val="none" w:sz="0" w:space="0" w:color="auto"/>
          </w:divBdr>
        </w:div>
      </w:divsChild>
    </w:div>
    <w:div w:id="1012798348">
      <w:marLeft w:val="0"/>
      <w:marRight w:val="0"/>
      <w:marTop w:val="100"/>
      <w:marBottom w:val="0"/>
      <w:divBdr>
        <w:top w:val="none" w:sz="0" w:space="0" w:color="auto"/>
        <w:left w:val="none" w:sz="0" w:space="0" w:color="auto"/>
        <w:bottom w:val="none" w:sz="0" w:space="0" w:color="auto"/>
        <w:right w:val="none" w:sz="0" w:space="0" w:color="auto"/>
      </w:divBdr>
    </w:div>
    <w:div w:id="1012924629">
      <w:marLeft w:val="0"/>
      <w:marRight w:val="0"/>
      <w:marTop w:val="100"/>
      <w:marBottom w:val="0"/>
      <w:divBdr>
        <w:top w:val="none" w:sz="0" w:space="0" w:color="auto"/>
        <w:left w:val="none" w:sz="0" w:space="0" w:color="auto"/>
        <w:bottom w:val="none" w:sz="0" w:space="0" w:color="auto"/>
        <w:right w:val="none" w:sz="0" w:space="0" w:color="auto"/>
      </w:divBdr>
    </w:div>
    <w:div w:id="1013607118">
      <w:marLeft w:val="0"/>
      <w:marRight w:val="0"/>
      <w:marTop w:val="100"/>
      <w:marBottom w:val="0"/>
      <w:divBdr>
        <w:top w:val="none" w:sz="0" w:space="0" w:color="auto"/>
        <w:left w:val="none" w:sz="0" w:space="0" w:color="auto"/>
        <w:bottom w:val="none" w:sz="0" w:space="0" w:color="auto"/>
        <w:right w:val="none" w:sz="0" w:space="0" w:color="auto"/>
      </w:divBdr>
    </w:div>
    <w:div w:id="1014578581">
      <w:marLeft w:val="0"/>
      <w:marRight w:val="0"/>
      <w:marTop w:val="100"/>
      <w:marBottom w:val="0"/>
      <w:divBdr>
        <w:top w:val="none" w:sz="0" w:space="0" w:color="auto"/>
        <w:left w:val="none" w:sz="0" w:space="0" w:color="auto"/>
        <w:bottom w:val="none" w:sz="0" w:space="0" w:color="auto"/>
        <w:right w:val="none" w:sz="0" w:space="0" w:color="auto"/>
      </w:divBdr>
    </w:div>
    <w:div w:id="1017659364">
      <w:marLeft w:val="0"/>
      <w:marRight w:val="0"/>
      <w:marTop w:val="240"/>
      <w:marBottom w:val="0"/>
      <w:divBdr>
        <w:top w:val="none" w:sz="0" w:space="0" w:color="auto"/>
        <w:left w:val="none" w:sz="0" w:space="0" w:color="auto"/>
        <w:bottom w:val="none" w:sz="0" w:space="0" w:color="auto"/>
        <w:right w:val="none" w:sz="0" w:space="0" w:color="auto"/>
      </w:divBdr>
    </w:div>
    <w:div w:id="1020935617">
      <w:marLeft w:val="0"/>
      <w:marRight w:val="0"/>
      <w:marTop w:val="100"/>
      <w:marBottom w:val="0"/>
      <w:divBdr>
        <w:top w:val="none" w:sz="0" w:space="0" w:color="auto"/>
        <w:left w:val="none" w:sz="0" w:space="0" w:color="auto"/>
        <w:bottom w:val="none" w:sz="0" w:space="0" w:color="auto"/>
        <w:right w:val="none" w:sz="0" w:space="0" w:color="auto"/>
      </w:divBdr>
    </w:div>
    <w:div w:id="1025401860">
      <w:marLeft w:val="0"/>
      <w:marRight w:val="0"/>
      <w:marTop w:val="60"/>
      <w:marBottom w:val="0"/>
      <w:divBdr>
        <w:top w:val="none" w:sz="0" w:space="0" w:color="auto"/>
        <w:left w:val="none" w:sz="0" w:space="0" w:color="auto"/>
        <w:bottom w:val="none" w:sz="0" w:space="0" w:color="auto"/>
        <w:right w:val="none" w:sz="0" w:space="0" w:color="auto"/>
      </w:divBdr>
    </w:div>
    <w:div w:id="1025865305">
      <w:marLeft w:val="0"/>
      <w:marRight w:val="0"/>
      <w:marTop w:val="100"/>
      <w:marBottom w:val="0"/>
      <w:divBdr>
        <w:top w:val="none" w:sz="0" w:space="0" w:color="auto"/>
        <w:left w:val="none" w:sz="0" w:space="0" w:color="auto"/>
        <w:bottom w:val="none" w:sz="0" w:space="0" w:color="auto"/>
        <w:right w:val="none" w:sz="0" w:space="0" w:color="auto"/>
      </w:divBdr>
    </w:div>
    <w:div w:id="1026172652">
      <w:marLeft w:val="0"/>
      <w:marRight w:val="0"/>
      <w:marTop w:val="240"/>
      <w:marBottom w:val="0"/>
      <w:divBdr>
        <w:top w:val="none" w:sz="0" w:space="0" w:color="auto"/>
        <w:left w:val="none" w:sz="0" w:space="0" w:color="auto"/>
        <w:bottom w:val="none" w:sz="0" w:space="0" w:color="auto"/>
        <w:right w:val="none" w:sz="0" w:space="0" w:color="auto"/>
      </w:divBdr>
    </w:div>
    <w:div w:id="1029599003">
      <w:marLeft w:val="0"/>
      <w:marRight w:val="0"/>
      <w:marTop w:val="0"/>
      <w:marBottom w:val="0"/>
      <w:divBdr>
        <w:top w:val="none" w:sz="0" w:space="0" w:color="auto"/>
        <w:left w:val="none" w:sz="0" w:space="0" w:color="auto"/>
        <w:bottom w:val="none" w:sz="0" w:space="0" w:color="auto"/>
        <w:right w:val="none" w:sz="0" w:space="0" w:color="auto"/>
      </w:divBdr>
      <w:divsChild>
        <w:div w:id="217519834">
          <w:marLeft w:val="0"/>
          <w:marRight w:val="0"/>
          <w:marTop w:val="0"/>
          <w:marBottom w:val="0"/>
          <w:divBdr>
            <w:top w:val="none" w:sz="0" w:space="0" w:color="auto"/>
            <w:left w:val="none" w:sz="0" w:space="0" w:color="auto"/>
            <w:bottom w:val="none" w:sz="0" w:space="0" w:color="auto"/>
            <w:right w:val="none" w:sz="0" w:space="0" w:color="auto"/>
          </w:divBdr>
          <w:divsChild>
            <w:div w:id="18506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1806">
      <w:marLeft w:val="0"/>
      <w:marRight w:val="0"/>
      <w:marTop w:val="0"/>
      <w:marBottom w:val="0"/>
      <w:divBdr>
        <w:top w:val="none" w:sz="0" w:space="0" w:color="auto"/>
        <w:left w:val="none" w:sz="0" w:space="0" w:color="auto"/>
        <w:bottom w:val="none" w:sz="0" w:space="0" w:color="auto"/>
        <w:right w:val="none" w:sz="0" w:space="0" w:color="auto"/>
      </w:divBdr>
      <w:divsChild>
        <w:div w:id="2086492218">
          <w:marLeft w:val="0"/>
          <w:marRight w:val="0"/>
          <w:marTop w:val="0"/>
          <w:marBottom w:val="0"/>
          <w:divBdr>
            <w:top w:val="none" w:sz="0" w:space="0" w:color="auto"/>
            <w:left w:val="none" w:sz="0" w:space="0" w:color="auto"/>
            <w:bottom w:val="none" w:sz="0" w:space="0" w:color="auto"/>
            <w:right w:val="none" w:sz="0" w:space="0" w:color="auto"/>
          </w:divBdr>
        </w:div>
      </w:divsChild>
    </w:div>
    <w:div w:id="1032997793">
      <w:marLeft w:val="0"/>
      <w:marRight w:val="0"/>
      <w:marTop w:val="100"/>
      <w:marBottom w:val="0"/>
      <w:divBdr>
        <w:top w:val="none" w:sz="0" w:space="0" w:color="auto"/>
        <w:left w:val="none" w:sz="0" w:space="0" w:color="auto"/>
        <w:bottom w:val="none" w:sz="0" w:space="0" w:color="auto"/>
        <w:right w:val="none" w:sz="0" w:space="0" w:color="auto"/>
      </w:divBdr>
    </w:div>
    <w:div w:id="1034504437">
      <w:marLeft w:val="0"/>
      <w:marRight w:val="0"/>
      <w:marTop w:val="100"/>
      <w:marBottom w:val="0"/>
      <w:divBdr>
        <w:top w:val="none" w:sz="0" w:space="0" w:color="auto"/>
        <w:left w:val="none" w:sz="0" w:space="0" w:color="auto"/>
        <w:bottom w:val="none" w:sz="0" w:space="0" w:color="auto"/>
        <w:right w:val="none" w:sz="0" w:space="0" w:color="auto"/>
      </w:divBdr>
    </w:div>
    <w:div w:id="1035470187">
      <w:marLeft w:val="0"/>
      <w:marRight w:val="0"/>
      <w:marTop w:val="140"/>
      <w:marBottom w:val="0"/>
      <w:divBdr>
        <w:top w:val="none" w:sz="0" w:space="0" w:color="auto"/>
        <w:left w:val="none" w:sz="0" w:space="0" w:color="auto"/>
        <w:bottom w:val="none" w:sz="0" w:space="0" w:color="auto"/>
        <w:right w:val="none" w:sz="0" w:space="0" w:color="auto"/>
      </w:divBdr>
    </w:div>
    <w:div w:id="1037240510">
      <w:marLeft w:val="0"/>
      <w:marRight w:val="0"/>
      <w:marTop w:val="240"/>
      <w:marBottom w:val="0"/>
      <w:divBdr>
        <w:top w:val="none" w:sz="0" w:space="0" w:color="auto"/>
        <w:left w:val="none" w:sz="0" w:space="0" w:color="auto"/>
        <w:bottom w:val="none" w:sz="0" w:space="0" w:color="auto"/>
        <w:right w:val="none" w:sz="0" w:space="0" w:color="auto"/>
      </w:divBdr>
    </w:div>
    <w:div w:id="1038628432">
      <w:marLeft w:val="0"/>
      <w:marRight w:val="0"/>
      <w:marTop w:val="240"/>
      <w:marBottom w:val="0"/>
      <w:divBdr>
        <w:top w:val="none" w:sz="0" w:space="0" w:color="auto"/>
        <w:left w:val="none" w:sz="0" w:space="0" w:color="auto"/>
        <w:bottom w:val="none" w:sz="0" w:space="0" w:color="auto"/>
        <w:right w:val="none" w:sz="0" w:space="0" w:color="auto"/>
      </w:divBdr>
    </w:div>
    <w:div w:id="1040013397">
      <w:marLeft w:val="0"/>
      <w:marRight w:val="0"/>
      <w:marTop w:val="240"/>
      <w:marBottom w:val="0"/>
      <w:divBdr>
        <w:top w:val="none" w:sz="0" w:space="0" w:color="auto"/>
        <w:left w:val="none" w:sz="0" w:space="0" w:color="auto"/>
        <w:bottom w:val="none" w:sz="0" w:space="0" w:color="auto"/>
        <w:right w:val="none" w:sz="0" w:space="0" w:color="auto"/>
      </w:divBdr>
    </w:div>
    <w:div w:id="1040126236">
      <w:marLeft w:val="0"/>
      <w:marRight w:val="0"/>
      <w:marTop w:val="100"/>
      <w:marBottom w:val="0"/>
      <w:divBdr>
        <w:top w:val="none" w:sz="0" w:space="0" w:color="auto"/>
        <w:left w:val="none" w:sz="0" w:space="0" w:color="auto"/>
        <w:bottom w:val="none" w:sz="0" w:space="0" w:color="auto"/>
        <w:right w:val="none" w:sz="0" w:space="0" w:color="auto"/>
      </w:divBdr>
    </w:div>
    <w:div w:id="1040285626">
      <w:marLeft w:val="0"/>
      <w:marRight w:val="0"/>
      <w:marTop w:val="100"/>
      <w:marBottom w:val="0"/>
      <w:divBdr>
        <w:top w:val="none" w:sz="0" w:space="0" w:color="auto"/>
        <w:left w:val="none" w:sz="0" w:space="0" w:color="auto"/>
        <w:bottom w:val="none" w:sz="0" w:space="0" w:color="auto"/>
        <w:right w:val="none" w:sz="0" w:space="0" w:color="auto"/>
      </w:divBdr>
    </w:div>
    <w:div w:id="1041707171">
      <w:marLeft w:val="0"/>
      <w:marRight w:val="0"/>
      <w:marTop w:val="40"/>
      <w:marBottom w:val="0"/>
      <w:divBdr>
        <w:top w:val="none" w:sz="0" w:space="0" w:color="auto"/>
        <w:left w:val="none" w:sz="0" w:space="0" w:color="auto"/>
        <w:bottom w:val="none" w:sz="0" w:space="0" w:color="auto"/>
        <w:right w:val="none" w:sz="0" w:space="0" w:color="auto"/>
      </w:divBdr>
    </w:div>
    <w:div w:id="1042485344">
      <w:marLeft w:val="0"/>
      <w:marRight w:val="0"/>
      <w:marTop w:val="100"/>
      <w:marBottom w:val="0"/>
      <w:divBdr>
        <w:top w:val="none" w:sz="0" w:space="0" w:color="auto"/>
        <w:left w:val="none" w:sz="0" w:space="0" w:color="auto"/>
        <w:bottom w:val="none" w:sz="0" w:space="0" w:color="auto"/>
        <w:right w:val="none" w:sz="0" w:space="0" w:color="auto"/>
      </w:divBdr>
    </w:div>
    <w:div w:id="1046641963">
      <w:marLeft w:val="0"/>
      <w:marRight w:val="0"/>
      <w:marTop w:val="100"/>
      <w:marBottom w:val="0"/>
      <w:divBdr>
        <w:top w:val="none" w:sz="0" w:space="0" w:color="auto"/>
        <w:left w:val="none" w:sz="0" w:space="0" w:color="auto"/>
        <w:bottom w:val="none" w:sz="0" w:space="0" w:color="auto"/>
        <w:right w:val="none" w:sz="0" w:space="0" w:color="auto"/>
      </w:divBdr>
    </w:div>
    <w:div w:id="1047293118">
      <w:marLeft w:val="0"/>
      <w:marRight w:val="0"/>
      <w:marTop w:val="60"/>
      <w:marBottom w:val="0"/>
      <w:divBdr>
        <w:top w:val="none" w:sz="0" w:space="0" w:color="auto"/>
        <w:left w:val="none" w:sz="0" w:space="0" w:color="auto"/>
        <w:bottom w:val="none" w:sz="0" w:space="0" w:color="auto"/>
        <w:right w:val="none" w:sz="0" w:space="0" w:color="auto"/>
      </w:divBdr>
    </w:div>
    <w:div w:id="1048533279">
      <w:marLeft w:val="0"/>
      <w:marRight w:val="0"/>
      <w:marTop w:val="100"/>
      <w:marBottom w:val="0"/>
      <w:divBdr>
        <w:top w:val="none" w:sz="0" w:space="0" w:color="auto"/>
        <w:left w:val="none" w:sz="0" w:space="0" w:color="auto"/>
        <w:bottom w:val="none" w:sz="0" w:space="0" w:color="auto"/>
        <w:right w:val="none" w:sz="0" w:space="0" w:color="auto"/>
      </w:divBdr>
    </w:div>
    <w:div w:id="1049183571">
      <w:marLeft w:val="0"/>
      <w:marRight w:val="0"/>
      <w:marTop w:val="60"/>
      <w:marBottom w:val="0"/>
      <w:divBdr>
        <w:top w:val="none" w:sz="0" w:space="0" w:color="auto"/>
        <w:left w:val="none" w:sz="0" w:space="0" w:color="auto"/>
        <w:bottom w:val="none" w:sz="0" w:space="0" w:color="auto"/>
        <w:right w:val="none" w:sz="0" w:space="0" w:color="auto"/>
      </w:divBdr>
    </w:div>
    <w:div w:id="1049379737">
      <w:marLeft w:val="0"/>
      <w:marRight w:val="0"/>
      <w:marTop w:val="100"/>
      <w:marBottom w:val="0"/>
      <w:divBdr>
        <w:top w:val="none" w:sz="0" w:space="0" w:color="auto"/>
        <w:left w:val="none" w:sz="0" w:space="0" w:color="auto"/>
        <w:bottom w:val="none" w:sz="0" w:space="0" w:color="auto"/>
        <w:right w:val="none" w:sz="0" w:space="0" w:color="auto"/>
      </w:divBdr>
    </w:div>
    <w:div w:id="1052926628">
      <w:marLeft w:val="0"/>
      <w:marRight w:val="0"/>
      <w:marTop w:val="0"/>
      <w:marBottom w:val="0"/>
      <w:divBdr>
        <w:top w:val="none" w:sz="0" w:space="0" w:color="auto"/>
        <w:left w:val="none" w:sz="0" w:space="0" w:color="auto"/>
        <w:bottom w:val="none" w:sz="0" w:space="0" w:color="auto"/>
        <w:right w:val="none" w:sz="0" w:space="0" w:color="auto"/>
      </w:divBdr>
      <w:divsChild>
        <w:div w:id="227422610">
          <w:marLeft w:val="0"/>
          <w:marRight w:val="0"/>
          <w:marTop w:val="0"/>
          <w:marBottom w:val="0"/>
          <w:divBdr>
            <w:top w:val="none" w:sz="0" w:space="0" w:color="auto"/>
            <w:left w:val="none" w:sz="0" w:space="0" w:color="auto"/>
            <w:bottom w:val="none" w:sz="0" w:space="0" w:color="auto"/>
            <w:right w:val="none" w:sz="0" w:space="0" w:color="auto"/>
          </w:divBdr>
        </w:div>
        <w:div w:id="1379088670">
          <w:marLeft w:val="0"/>
          <w:marRight w:val="0"/>
          <w:marTop w:val="0"/>
          <w:marBottom w:val="0"/>
          <w:divBdr>
            <w:top w:val="none" w:sz="0" w:space="0" w:color="auto"/>
            <w:left w:val="none" w:sz="0" w:space="0" w:color="auto"/>
            <w:bottom w:val="none" w:sz="0" w:space="0" w:color="auto"/>
            <w:right w:val="none" w:sz="0" w:space="0" w:color="auto"/>
          </w:divBdr>
        </w:div>
      </w:divsChild>
    </w:div>
    <w:div w:id="1053575235">
      <w:marLeft w:val="0"/>
      <w:marRight w:val="0"/>
      <w:marTop w:val="60"/>
      <w:marBottom w:val="0"/>
      <w:divBdr>
        <w:top w:val="none" w:sz="0" w:space="0" w:color="auto"/>
        <w:left w:val="none" w:sz="0" w:space="0" w:color="auto"/>
        <w:bottom w:val="none" w:sz="0" w:space="0" w:color="auto"/>
        <w:right w:val="none" w:sz="0" w:space="0" w:color="auto"/>
      </w:divBdr>
    </w:div>
    <w:div w:id="1056467143">
      <w:marLeft w:val="0"/>
      <w:marRight w:val="0"/>
      <w:marTop w:val="100"/>
      <w:marBottom w:val="0"/>
      <w:divBdr>
        <w:top w:val="none" w:sz="0" w:space="0" w:color="auto"/>
        <w:left w:val="none" w:sz="0" w:space="0" w:color="auto"/>
        <w:bottom w:val="none" w:sz="0" w:space="0" w:color="auto"/>
        <w:right w:val="none" w:sz="0" w:space="0" w:color="auto"/>
      </w:divBdr>
    </w:div>
    <w:div w:id="1057702732">
      <w:marLeft w:val="0"/>
      <w:marRight w:val="0"/>
      <w:marTop w:val="100"/>
      <w:marBottom w:val="0"/>
      <w:divBdr>
        <w:top w:val="none" w:sz="0" w:space="0" w:color="auto"/>
        <w:left w:val="none" w:sz="0" w:space="0" w:color="auto"/>
        <w:bottom w:val="none" w:sz="0" w:space="0" w:color="auto"/>
        <w:right w:val="none" w:sz="0" w:space="0" w:color="auto"/>
      </w:divBdr>
    </w:div>
    <w:div w:id="1057705140">
      <w:marLeft w:val="0"/>
      <w:marRight w:val="0"/>
      <w:marTop w:val="100"/>
      <w:marBottom w:val="0"/>
      <w:divBdr>
        <w:top w:val="none" w:sz="0" w:space="0" w:color="auto"/>
        <w:left w:val="none" w:sz="0" w:space="0" w:color="auto"/>
        <w:bottom w:val="none" w:sz="0" w:space="0" w:color="auto"/>
        <w:right w:val="none" w:sz="0" w:space="0" w:color="auto"/>
      </w:divBdr>
    </w:div>
    <w:div w:id="1057824824">
      <w:marLeft w:val="0"/>
      <w:marRight w:val="0"/>
      <w:marTop w:val="100"/>
      <w:marBottom w:val="0"/>
      <w:divBdr>
        <w:top w:val="none" w:sz="0" w:space="0" w:color="auto"/>
        <w:left w:val="none" w:sz="0" w:space="0" w:color="auto"/>
        <w:bottom w:val="none" w:sz="0" w:space="0" w:color="auto"/>
        <w:right w:val="none" w:sz="0" w:space="0" w:color="auto"/>
      </w:divBdr>
    </w:div>
    <w:div w:id="1058675908">
      <w:marLeft w:val="0"/>
      <w:marRight w:val="0"/>
      <w:marTop w:val="100"/>
      <w:marBottom w:val="0"/>
      <w:divBdr>
        <w:top w:val="none" w:sz="0" w:space="0" w:color="auto"/>
        <w:left w:val="none" w:sz="0" w:space="0" w:color="auto"/>
        <w:bottom w:val="none" w:sz="0" w:space="0" w:color="auto"/>
        <w:right w:val="none" w:sz="0" w:space="0" w:color="auto"/>
      </w:divBdr>
    </w:div>
    <w:div w:id="1062797477">
      <w:marLeft w:val="0"/>
      <w:marRight w:val="0"/>
      <w:marTop w:val="0"/>
      <w:marBottom w:val="0"/>
      <w:divBdr>
        <w:top w:val="none" w:sz="0" w:space="0" w:color="auto"/>
        <w:left w:val="none" w:sz="0" w:space="0" w:color="auto"/>
        <w:bottom w:val="none" w:sz="0" w:space="0" w:color="auto"/>
        <w:right w:val="none" w:sz="0" w:space="0" w:color="auto"/>
      </w:divBdr>
      <w:divsChild>
        <w:div w:id="2003701516">
          <w:marLeft w:val="0"/>
          <w:marRight w:val="0"/>
          <w:marTop w:val="0"/>
          <w:marBottom w:val="0"/>
          <w:divBdr>
            <w:top w:val="none" w:sz="0" w:space="0" w:color="auto"/>
            <w:left w:val="none" w:sz="0" w:space="0" w:color="auto"/>
            <w:bottom w:val="none" w:sz="0" w:space="0" w:color="auto"/>
            <w:right w:val="none" w:sz="0" w:space="0" w:color="auto"/>
          </w:divBdr>
        </w:div>
      </w:divsChild>
    </w:div>
    <w:div w:id="1068653597">
      <w:marLeft w:val="0"/>
      <w:marRight w:val="0"/>
      <w:marTop w:val="100"/>
      <w:marBottom w:val="0"/>
      <w:divBdr>
        <w:top w:val="none" w:sz="0" w:space="0" w:color="auto"/>
        <w:left w:val="none" w:sz="0" w:space="0" w:color="auto"/>
        <w:bottom w:val="none" w:sz="0" w:space="0" w:color="auto"/>
        <w:right w:val="none" w:sz="0" w:space="0" w:color="auto"/>
      </w:divBdr>
    </w:div>
    <w:div w:id="1071342640">
      <w:marLeft w:val="0"/>
      <w:marRight w:val="0"/>
      <w:marTop w:val="100"/>
      <w:marBottom w:val="0"/>
      <w:divBdr>
        <w:top w:val="none" w:sz="0" w:space="0" w:color="auto"/>
        <w:left w:val="none" w:sz="0" w:space="0" w:color="auto"/>
        <w:bottom w:val="none" w:sz="0" w:space="0" w:color="auto"/>
        <w:right w:val="none" w:sz="0" w:space="0" w:color="auto"/>
      </w:divBdr>
    </w:div>
    <w:div w:id="1072896964">
      <w:marLeft w:val="0"/>
      <w:marRight w:val="0"/>
      <w:marTop w:val="0"/>
      <w:marBottom w:val="0"/>
      <w:divBdr>
        <w:top w:val="none" w:sz="0" w:space="0" w:color="auto"/>
        <w:left w:val="none" w:sz="0" w:space="0" w:color="auto"/>
        <w:bottom w:val="none" w:sz="0" w:space="0" w:color="auto"/>
        <w:right w:val="none" w:sz="0" w:space="0" w:color="auto"/>
      </w:divBdr>
      <w:divsChild>
        <w:div w:id="1651206967">
          <w:marLeft w:val="0"/>
          <w:marRight w:val="0"/>
          <w:marTop w:val="0"/>
          <w:marBottom w:val="0"/>
          <w:divBdr>
            <w:top w:val="none" w:sz="0" w:space="0" w:color="auto"/>
            <w:left w:val="none" w:sz="0" w:space="0" w:color="auto"/>
            <w:bottom w:val="none" w:sz="0" w:space="0" w:color="auto"/>
            <w:right w:val="none" w:sz="0" w:space="0" w:color="auto"/>
          </w:divBdr>
        </w:div>
      </w:divsChild>
    </w:div>
    <w:div w:id="1077046622">
      <w:marLeft w:val="0"/>
      <w:marRight w:val="0"/>
      <w:marTop w:val="0"/>
      <w:marBottom w:val="0"/>
      <w:divBdr>
        <w:top w:val="none" w:sz="0" w:space="0" w:color="auto"/>
        <w:left w:val="none" w:sz="0" w:space="0" w:color="auto"/>
        <w:bottom w:val="none" w:sz="0" w:space="0" w:color="auto"/>
        <w:right w:val="none" w:sz="0" w:space="0" w:color="auto"/>
      </w:divBdr>
      <w:divsChild>
        <w:div w:id="105733961">
          <w:marLeft w:val="0"/>
          <w:marRight w:val="0"/>
          <w:marTop w:val="0"/>
          <w:marBottom w:val="0"/>
          <w:divBdr>
            <w:top w:val="none" w:sz="0" w:space="0" w:color="auto"/>
            <w:left w:val="none" w:sz="0" w:space="0" w:color="auto"/>
            <w:bottom w:val="none" w:sz="0" w:space="0" w:color="auto"/>
            <w:right w:val="none" w:sz="0" w:space="0" w:color="auto"/>
          </w:divBdr>
        </w:div>
        <w:div w:id="697507680">
          <w:marLeft w:val="0"/>
          <w:marRight w:val="0"/>
          <w:marTop w:val="0"/>
          <w:marBottom w:val="0"/>
          <w:divBdr>
            <w:top w:val="none" w:sz="0" w:space="0" w:color="auto"/>
            <w:left w:val="none" w:sz="0" w:space="0" w:color="auto"/>
            <w:bottom w:val="none" w:sz="0" w:space="0" w:color="auto"/>
            <w:right w:val="none" w:sz="0" w:space="0" w:color="auto"/>
          </w:divBdr>
        </w:div>
      </w:divsChild>
    </w:div>
    <w:div w:id="1077634371">
      <w:marLeft w:val="0"/>
      <w:marRight w:val="0"/>
      <w:marTop w:val="0"/>
      <w:marBottom w:val="0"/>
      <w:divBdr>
        <w:top w:val="none" w:sz="0" w:space="0" w:color="auto"/>
        <w:left w:val="none" w:sz="0" w:space="0" w:color="auto"/>
        <w:bottom w:val="none" w:sz="0" w:space="0" w:color="auto"/>
        <w:right w:val="none" w:sz="0" w:space="0" w:color="auto"/>
      </w:divBdr>
      <w:divsChild>
        <w:div w:id="1911385744">
          <w:marLeft w:val="0"/>
          <w:marRight w:val="0"/>
          <w:marTop w:val="0"/>
          <w:marBottom w:val="0"/>
          <w:divBdr>
            <w:top w:val="none" w:sz="0" w:space="0" w:color="auto"/>
            <w:left w:val="none" w:sz="0" w:space="0" w:color="auto"/>
            <w:bottom w:val="none" w:sz="0" w:space="0" w:color="auto"/>
            <w:right w:val="none" w:sz="0" w:space="0" w:color="auto"/>
          </w:divBdr>
        </w:div>
        <w:div w:id="980309453">
          <w:marLeft w:val="0"/>
          <w:marRight w:val="0"/>
          <w:marTop w:val="0"/>
          <w:marBottom w:val="0"/>
          <w:divBdr>
            <w:top w:val="none" w:sz="0" w:space="0" w:color="auto"/>
            <w:left w:val="none" w:sz="0" w:space="0" w:color="auto"/>
            <w:bottom w:val="none" w:sz="0" w:space="0" w:color="auto"/>
            <w:right w:val="none" w:sz="0" w:space="0" w:color="auto"/>
          </w:divBdr>
        </w:div>
      </w:divsChild>
    </w:div>
    <w:div w:id="1078937450">
      <w:marLeft w:val="0"/>
      <w:marRight w:val="0"/>
      <w:marTop w:val="60"/>
      <w:marBottom w:val="0"/>
      <w:divBdr>
        <w:top w:val="none" w:sz="0" w:space="0" w:color="auto"/>
        <w:left w:val="none" w:sz="0" w:space="0" w:color="auto"/>
        <w:bottom w:val="none" w:sz="0" w:space="0" w:color="auto"/>
        <w:right w:val="none" w:sz="0" w:space="0" w:color="auto"/>
      </w:divBdr>
    </w:div>
    <w:div w:id="1081172040">
      <w:marLeft w:val="0"/>
      <w:marRight w:val="0"/>
      <w:marTop w:val="100"/>
      <w:marBottom w:val="0"/>
      <w:divBdr>
        <w:top w:val="none" w:sz="0" w:space="0" w:color="auto"/>
        <w:left w:val="none" w:sz="0" w:space="0" w:color="auto"/>
        <w:bottom w:val="none" w:sz="0" w:space="0" w:color="auto"/>
        <w:right w:val="none" w:sz="0" w:space="0" w:color="auto"/>
      </w:divBdr>
    </w:div>
    <w:div w:id="1082605366">
      <w:marLeft w:val="0"/>
      <w:marRight w:val="0"/>
      <w:marTop w:val="100"/>
      <w:marBottom w:val="0"/>
      <w:divBdr>
        <w:top w:val="none" w:sz="0" w:space="0" w:color="auto"/>
        <w:left w:val="none" w:sz="0" w:space="0" w:color="auto"/>
        <w:bottom w:val="none" w:sz="0" w:space="0" w:color="auto"/>
        <w:right w:val="none" w:sz="0" w:space="0" w:color="auto"/>
      </w:divBdr>
    </w:div>
    <w:div w:id="1086464112">
      <w:marLeft w:val="0"/>
      <w:marRight w:val="0"/>
      <w:marTop w:val="60"/>
      <w:marBottom w:val="0"/>
      <w:divBdr>
        <w:top w:val="none" w:sz="0" w:space="0" w:color="auto"/>
        <w:left w:val="none" w:sz="0" w:space="0" w:color="auto"/>
        <w:bottom w:val="none" w:sz="0" w:space="0" w:color="auto"/>
        <w:right w:val="none" w:sz="0" w:space="0" w:color="auto"/>
      </w:divBdr>
    </w:div>
    <w:div w:id="1088381979">
      <w:marLeft w:val="0"/>
      <w:marRight w:val="0"/>
      <w:marTop w:val="100"/>
      <w:marBottom w:val="0"/>
      <w:divBdr>
        <w:top w:val="none" w:sz="0" w:space="0" w:color="auto"/>
        <w:left w:val="none" w:sz="0" w:space="0" w:color="auto"/>
        <w:bottom w:val="none" w:sz="0" w:space="0" w:color="auto"/>
        <w:right w:val="none" w:sz="0" w:space="0" w:color="auto"/>
      </w:divBdr>
    </w:div>
    <w:div w:id="1089621790">
      <w:marLeft w:val="0"/>
      <w:marRight w:val="0"/>
      <w:marTop w:val="100"/>
      <w:marBottom w:val="0"/>
      <w:divBdr>
        <w:top w:val="none" w:sz="0" w:space="0" w:color="auto"/>
        <w:left w:val="none" w:sz="0" w:space="0" w:color="auto"/>
        <w:bottom w:val="none" w:sz="0" w:space="0" w:color="auto"/>
        <w:right w:val="none" w:sz="0" w:space="0" w:color="auto"/>
      </w:divBdr>
    </w:div>
    <w:div w:id="1092700296">
      <w:marLeft w:val="0"/>
      <w:marRight w:val="0"/>
      <w:marTop w:val="240"/>
      <w:marBottom w:val="0"/>
      <w:divBdr>
        <w:top w:val="none" w:sz="0" w:space="0" w:color="auto"/>
        <w:left w:val="none" w:sz="0" w:space="0" w:color="auto"/>
        <w:bottom w:val="none" w:sz="0" w:space="0" w:color="auto"/>
        <w:right w:val="none" w:sz="0" w:space="0" w:color="auto"/>
      </w:divBdr>
    </w:div>
    <w:div w:id="1093089244">
      <w:marLeft w:val="0"/>
      <w:marRight w:val="0"/>
      <w:marTop w:val="100"/>
      <w:marBottom w:val="0"/>
      <w:divBdr>
        <w:top w:val="none" w:sz="0" w:space="0" w:color="auto"/>
        <w:left w:val="none" w:sz="0" w:space="0" w:color="auto"/>
        <w:bottom w:val="none" w:sz="0" w:space="0" w:color="auto"/>
        <w:right w:val="none" w:sz="0" w:space="0" w:color="auto"/>
      </w:divBdr>
    </w:div>
    <w:div w:id="1093938986">
      <w:marLeft w:val="0"/>
      <w:marRight w:val="0"/>
      <w:marTop w:val="0"/>
      <w:marBottom w:val="0"/>
      <w:divBdr>
        <w:top w:val="none" w:sz="0" w:space="0" w:color="auto"/>
        <w:left w:val="none" w:sz="0" w:space="0" w:color="auto"/>
        <w:bottom w:val="none" w:sz="0" w:space="0" w:color="auto"/>
        <w:right w:val="none" w:sz="0" w:space="0" w:color="auto"/>
      </w:divBdr>
      <w:divsChild>
        <w:div w:id="555706861">
          <w:marLeft w:val="0"/>
          <w:marRight w:val="0"/>
          <w:marTop w:val="0"/>
          <w:marBottom w:val="0"/>
          <w:divBdr>
            <w:top w:val="none" w:sz="0" w:space="0" w:color="auto"/>
            <w:left w:val="none" w:sz="0" w:space="0" w:color="auto"/>
            <w:bottom w:val="none" w:sz="0" w:space="0" w:color="auto"/>
            <w:right w:val="none" w:sz="0" w:space="0" w:color="auto"/>
          </w:divBdr>
        </w:div>
      </w:divsChild>
    </w:div>
    <w:div w:id="1094058170">
      <w:marLeft w:val="0"/>
      <w:marRight w:val="0"/>
      <w:marTop w:val="60"/>
      <w:marBottom w:val="0"/>
      <w:divBdr>
        <w:top w:val="none" w:sz="0" w:space="0" w:color="auto"/>
        <w:left w:val="none" w:sz="0" w:space="0" w:color="auto"/>
        <w:bottom w:val="none" w:sz="0" w:space="0" w:color="auto"/>
        <w:right w:val="none" w:sz="0" w:space="0" w:color="auto"/>
      </w:divBdr>
    </w:div>
    <w:div w:id="1094207595">
      <w:marLeft w:val="0"/>
      <w:marRight w:val="0"/>
      <w:marTop w:val="240"/>
      <w:marBottom w:val="0"/>
      <w:divBdr>
        <w:top w:val="none" w:sz="0" w:space="0" w:color="auto"/>
        <w:left w:val="none" w:sz="0" w:space="0" w:color="auto"/>
        <w:bottom w:val="none" w:sz="0" w:space="0" w:color="auto"/>
        <w:right w:val="none" w:sz="0" w:space="0" w:color="auto"/>
      </w:divBdr>
    </w:div>
    <w:div w:id="1095832586">
      <w:marLeft w:val="0"/>
      <w:marRight w:val="0"/>
      <w:marTop w:val="100"/>
      <w:marBottom w:val="0"/>
      <w:divBdr>
        <w:top w:val="none" w:sz="0" w:space="0" w:color="auto"/>
        <w:left w:val="none" w:sz="0" w:space="0" w:color="auto"/>
        <w:bottom w:val="none" w:sz="0" w:space="0" w:color="auto"/>
        <w:right w:val="none" w:sz="0" w:space="0" w:color="auto"/>
      </w:divBdr>
    </w:div>
    <w:div w:id="1095975531">
      <w:marLeft w:val="0"/>
      <w:marRight w:val="0"/>
      <w:marTop w:val="100"/>
      <w:marBottom w:val="0"/>
      <w:divBdr>
        <w:top w:val="none" w:sz="0" w:space="0" w:color="auto"/>
        <w:left w:val="none" w:sz="0" w:space="0" w:color="auto"/>
        <w:bottom w:val="none" w:sz="0" w:space="0" w:color="auto"/>
        <w:right w:val="none" w:sz="0" w:space="0" w:color="auto"/>
      </w:divBdr>
    </w:div>
    <w:div w:id="1096287127">
      <w:marLeft w:val="0"/>
      <w:marRight w:val="0"/>
      <w:marTop w:val="100"/>
      <w:marBottom w:val="0"/>
      <w:divBdr>
        <w:top w:val="none" w:sz="0" w:space="0" w:color="auto"/>
        <w:left w:val="none" w:sz="0" w:space="0" w:color="auto"/>
        <w:bottom w:val="none" w:sz="0" w:space="0" w:color="auto"/>
        <w:right w:val="none" w:sz="0" w:space="0" w:color="auto"/>
      </w:divBdr>
    </w:div>
    <w:div w:id="1097991256">
      <w:marLeft w:val="0"/>
      <w:marRight w:val="0"/>
      <w:marTop w:val="100"/>
      <w:marBottom w:val="0"/>
      <w:divBdr>
        <w:top w:val="none" w:sz="0" w:space="0" w:color="auto"/>
        <w:left w:val="none" w:sz="0" w:space="0" w:color="auto"/>
        <w:bottom w:val="none" w:sz="0" w:space="0" w:color="auto"/>
        <w:right w:val="none" w:sz="0" w:space="0" w:color="auto"/>
      </w:divBdr>
    </w:div>
    <w:div w:id="1100493991">
      <w:marLeft w:val="0"/>
      <w:marRight w:val="0"/>
      <w:marTop w:val="100"/>
      <w:marBottom w:val="0"/>
      <w:divBdr>
        <w:top w:val="none" w:sz="0" w:space="0" w:color="auto"/>
        <w:left w:val="none" w:sz="0" w:space="0" w:color="auto"/>
        <w:bottom w:val="none" w:sz="0" w:space="0" w:color="auto"/>
        <w:right w:val="none" w:sz="0" w:space="0" w:color="auto"/>
      </w:divBdr>
    </w:div>
    <w:div w:id="1100643273">
      <w:marLeft w:val="0"/>
      <w:marRight w:val="0"/>
      <w:marTop w:val="100"/>
      <w:marBottom w:val="0"/>
      <w:divBdr>
        <w:top w:val="none" w:sz="0" w:space="0" w:color="auto"/>
        <w:left w:val="none" w:sz="0" w:space="0" w:color="auto"/>
        <w:bottom w:val="none" w:sz="0" w:space="0" w:color="auto"/>
        <w:right w:val="none" w:sz="0" w:space="0" w:color="auto"/>
      </w:divBdr>
    </w:div>
    <w:div w:id="1101534825">
      <w:marLeft w:val="0"/>
      <w:marRight w:val="0"/>
      <w:marTop w:val="100"/>
      <w:marBottom w:val="0"/>
      <w:divBdr>
        <w:top w:val="none" w:sz="0" w:space="0" w:color="auto"/>
        <w:left w:val="none" w:sz="0" w:space="0" w:color="auto"/>
        <w:bottom w:val="none" w:sz="0" w:space="0" w:color="auto"/>
        <w:right w:val="none" w:sz="0" w:space="0" w:color="auto"/>
      </w:divBdr>
    </w:div>
    <w:div w:id="1109164028">
      <w:marLeft w:val="0"/>
      <w:marRight w:val="0"/>
      <w:marTop w:val="100"/>
      <w:marBottom w:val="0"/>
      <w:divBdr>
        <w:top w:val="none" w:sz="0" w:space="0" w:color="auto"/>
        <w:left w:val="none" w:sz="0" w:space="0" w:color="auto"/>
        <w:bottom w:val="none" w:sz="0" w:space="0" w:color="auto"/>
        <w:right w:val="none" w:sz="0" w:space="0" w:color="auto"/>
      </w:divBdr>
    </w:div>
    <w:div w:id="1109472302">
      <w:marLeft w:val="0"/>
      <w:marRight w:val="0"/>
      <w:marTop w:val="100"/>
      <w:marBottom w:val="0"/>
      <w:divBdr>
        <w:top w:val="none" w:sz="0" w:space="0" w:color="auto"/>
        <w:left w:val="none" w:sz="0" w:space="0" w:color="auto"/>
        <w:bottom w:val="none" w:sz="0" w:space="0" w:color="auto"/>
        <w:right w:val="none" w:sz="0" w:space="0" w:color="auto"/>
      </w:divBdr>
    </w:div>
    <w:div w:id="1110972840">
      <w:marLeft w:val="0"/>
      <w:marRight w:val="0"/>
      <w:marTop w:val="100"/>
      <w:marBottom w:val="0"/>
      <w:divBdr>
        <w:top w:val="none" w:sz="0" w:space="0" w:color="auto"/>
        <w:left w:val="none" w:sz="0" w:space="0" w:color="auto"/>
        <w:bottom w:val="none" w:sz="0" w:space="0" w:color="auto"/>
        <w:right w:val="none" w:sz="0" w:space="0" w:color="auto"/>
      </w:divBdr>
    </w:div>
    <w:div w:id="1112020311">
      <w:marLeft w:val="0"/>
      <w:marRight w:val="0"/>
      <w:marTop w:val="100"/>
      <w:marBottom w:val="0"/>
      <w:divBdr>
        <w:top w:val="none" w:sz="0" w:space="0" w:color="auto"/>
        <w:left w:val="none" w:sz="0" w:space="0" w:color="auto"/>
        <w:bottom w:val="none" w:sz="0" w:space="0" w:color="auto"/>
        <w:right w:val="none" w:sz="0" w:space="0" w:color="auto"/>
      </w:divBdr>
    </w:div>
    <w:div w:id="1112631784">
      <w:marLeft w:val="0"/>
      <w:marRight w:val="0"/>
      <w:marTop w:val="100"/>
      <w:marBottom w:val="0"/>
      <w:divBdr>
        <w:top w:val="none" w:sz="0" w:space="0" w:color="auto"/>
        <w:left w:val="none" w:sz="0" w:space="0" w:color="auto"/>
        <w:bottom w:val="none" w:sz="0" w:space="0" w:color="auto"/>
        <w:right w:val="none" w:sz="0" w:space="0" w:color="auto"/>
      </w:divBdr>
    </w:div>
    <w:div w:id="1113088172">
      <w:marLeft w:val="0"/>
      <w:marRight w:val="0"/>
      <w:marTop w:val="0"/>
      <w:marBottom w:val="0"/>
      <w:divBdr>
        <w:top w:val="none" w:sz="0" w:space="0" w:color="auto"/>
        <w:left w:val="none" w:sz="0" w:space="0" w:color="auto"/>
        <w:bottom w:val="none" w:sz="0" w:space="0" w:color="auto"/>
        <w:right w:val="none" w:sz="0" w:space="0" w:color="auto"/>
      </w:divBdr>
      <w:divsChild>
        <w:div w:id="906383763">
          <w:marLeft w:val="0"/>
          <w:marRight w:val="0"/>
          <w:marTop w:val="0"/>
          <w:marBottom w:val="0"/>
          <w:divBdr>
            <w:top w:val="none" w:sz="0" w:space="0" w:color="auto"/>
            <w:left w:val="none" w:sz="0" w:space="0" w:color="auto"/>
            <w:bottom w:val="none" w:sz="0" w:space="0" w:color="auto"/>
            <w:right w:val="none" w:sz="0" w:space="0" w:color="auto"/>
          </w:divBdr>
        </w:div>
        <w:div w:id="96946606">
          <w:marLeft w:val="0"/>
          <w:marRight w:val="0"/>
          <w:marTop w:val="0"/>
          <w:marBottom w:val="0"/>
          <w:divBdr>
            <w:top w:val="none" w:sz="0" w:space="0" w:color="auto"/>
            <w:left w:val="none" w:sz="0" w:space="0" w:color="auto"/>
            <w:bottom w:val="none" w:sz="0" w:space="0" w:color="auto"/>
            <w:right w:val="none" w:sz="0" w:space="0" w:color="auto"/>
          </w:divBdr>
        </w:div>
      </w:divsChild>
    </w:div>
    <w:div w:id="1114134088">
      <w:marLeft w:val="0"/>
      <w:marRight w:val="0"/>
      <w:marTop w:val="100"/>
      <w:marBottom w:val="0"/>
      <w:divBdr>
        <w:top w:val="none" w:sz="0" w:space="0" w:color="auto"/>
        <w:left w:val="none" w:sz="0" w:space="0" w:color="auto"/>
        <w:bottom w:val="none" w:sz="0" w:space="0" w:color="auto"/>
        <w:right w:val="none" w:sz="0" w:space="0" w:color="auto"/>
      </w:divBdr>
    </w:div>
    <w:div w:id="1114323499">
      <w:marLeft w:val="0"/>
      <w:marRight w:val="0"/>
      <w:marTop w:val="0"/>
      <w:marBottom w:val="0"/>
      <w:divBdr>
        <w:top w:val="none" w:sz="0" w:space="0" w:color="auto"/>
        <w:left w:val="none" w:sz="0" w:space="0" w:color="auto"/>
        <w:bottom w:val="none" w:sz="0" w:space="0" w:color="auto"/>
        <w:right w:val="none" w:sz="0" w:space="0" w:color="auto"/>
      </w:divBdr>
      <w:divsChild>
        <w:div w:id="1528910632">
          <w:marLeft w:val="0"/>
          <w:marRight w:val="0"/>
          <w:marTop w:val="0"/>
          <w:marBottom w:val="0"/>
          <w:divBdr>
            <w:top w:val="none" w:sz="0" w:space="0" w:color="auto"/>
            <w:left w:val="none" w:sz="0" w:space="0" w:color="auto"/>
            <w:bottom w:val="none" w:sz="0" w:space="0" w:color="auto"/>
            <w:right w:val="none" w:sz="0" w:space="0" w:color="auto"/>
          </w:divBdr>
        </w:div>
      </w:divsChild>
    </w:div>
    <w:div w:id="1116216498">
      <w:marLeft w:val="0"/>
      <w:marRight w:val="0"/>
      <w:marTop w:val="100"/>
      <w:marBottom w:val="0"/>
      <w:divBdr>
        <w:top w:val="none" w:sz="0" w:space="0" w:color="auto"/>
        <w:left w:val="none" w:sz="0" w:space="0" w:color="auto"/>
        <w:bottom w:val="none" w:sz="0" w:space="0" w:color="auto"/>
        <w:right w:val="none" w:sz="0" w:space="0" w:color="auto"/>
      </w:divBdr>
    </w:div>
    <w:div w:id="1117026060">
      <w:marLeft w:val="0"/>
      <w:marRight w:val="0"/>
      <w:marTop w:val="240"/>
      <w:marBottom w:val="0"/>
      <w:divBdr>
        <w:top w:val="none" w:sz="0" w:space="0" w:color="auto"/>
        <w:left w:val="none" w:sz="0" w:space="0" w:color="auto"/>
        <w:bottom w:val="none" w:sz="0" w:space="0" w:color="auto"/>
        <w:right w:val="none" w:sz="0" w:space="0" w:color="auto"/>
      </w:divBdr>
    </w:div>
    <w:div w:id="1117943781">
      <w:marLeft w:val="0"/>
      <w:marRight w:val="0"/>
      <w:marTop w:val="100"/>
      <w:marBottom w:val="0"/>
      <w:divBdr>
        <w:top w:val="none" w:sz="0" w:space="0" w:color="auto"/>
        <w:left w:val="none" w:sz="0" w:space="0" w:color="auto"/>
        <w:bottom w:val="none" w:sz="0" w:space="0" w:color="auto"/>
        <w:right w:val="none" w:sz="0" w:space="0" w:color="auto"/>
      </w:divBdr>
    </w:div>
    <w:div w:id="1118792491">
      <w:marLeft w:val="0"/>
      <w:marRight w:val="0"/>
      <w:marTop w:val="100"/>
      <w:marBottom w:val="0"/>
      <w:divBdr>
        <w:top w:val="none" w:sz="0" w:space="0" w:color="auto"/>
        <w:left w:val="none" w:sz="0" w:space="0" w:color="auto"/>
        <w:bottom w:val="none" w:sz="0" w:space="0" w:color="auto"/>
        <w:right w:val="none" w:sz="0" w:space="0" w:color="auto"/>
      </w:divBdr>
    </w:div>
    <w:div w:id="1118987220">
      <w:marLeft w:val="0"/>
      <w:marRight w:val="0"/>
      <w:marTop w:val="0"/>
      <w:marBottom w:val="0"/>
      <w:divBdr>
        <w:top w:val="none" w:sz="0" w:space="0" w:color="auto"/>
        <w:left w:val="none" w:sz="0" w:space="0" w:color="auto"/>
        <w:bottom w:val="none" w:sz="0" w:space="0" w:color="auto"/>
        <w:right w:val="none" w:sz="0" w:space="0" w:color="auto"/>
      </w:divBdr>
      <w:divsChild>
        <w:div w:id="1289048072">
          <w:marLeft w:val="0"/>
          <w:marRight w:val="0"/>
          <w:marTop w:val="0"/>
          <w:marBottom w:val="0"/>
          <w:divBdr>
            <w:top w:val="none" w:sz="0" w:space="0" w:color="auto"/>
            <w:left w:val="none" w:sz="0" w:space="0" w:color="auto"/>
            <w:bottom w:val="none" w:sz="0" w:space="0" w:color="auto"/>
            <w:right w:val="none" w:sz="0" w:space="0" w:color="auto"/>
          </w:divBdr>
        </w:div>
        <w:div w:id="1558974597">
          <w:marLeft w:val="0"/>
          <w:marRight w:val="0"/>
          <w:marTop w:val="0"/>
          <w:marBottom w:val="0"/>
          <w:divBdr>
            <w:top w:val="none" w:sz="0" w:space="0" w:color="auto"/>
            <w:left w:val="none" w:sz="0" w:space="0" w:color="auto"/>
            <w:bottom w:val="none" w:sz="0" w:space="0" w:color="auto"/>
            <w:right w:val="none" w:sz="0" w:space="0" w:color="auto"/>
          </w:divBdr>
        </w:div>
      </w:divsChild>
    </w:div>
    <w:div w:id="1119685220">
      <w:marLeft w:val="0"/>
      <w:marRight w:val="0"/>
      <w:marTop w:val="100"/>
      <w:marBottom w:val="0"/>
      <w:divBdr>
        <w:top w:val="none" w:sz="0" w:space="0" w:color="auto"/>
        <w:left w:val="none" w:sz="0" w:space="0" w:color="auto"/>
        <w:bottom w:val="none" w:sz="0" w:space="0" w:color="auto"/>
        <w:right w:val="none" w:sz="0" w:space="0" w:color="auto"/>
      </w:divBdr>
    </w:div>
    <w:div w:id="1126702135">
      <w:marLeft w:val="0"/>
      <w:marRight w:val="0"/>
      <w:marTop w:val="0"/>
      <w:marBottom w:val="0"/>
      <w:divBdr>
        <w:top w:val="none" w:sz="0" w:space="0" w:color="auto"/>
        <w:left w:val="none" w:sz="0" w:space="0" w:color="auto"/>
        <w:bottom w:val="none" w:sz="0" w:space="0" w:color="auto"/>
        <w:right w:val="none" w:sz="0" w:space="0" w:color="auto"/>
      </w:divBdr>
      <w:divsChild>
        <w:div w:id="1004430260">
          <w:marLeft w:val="0"/>
          <w:marRight w:val="0"/>
          <w:marTop w:val="0"/>
          <w:marBottom w:val="0"/>
          <w:divBdr>
            <w:top w:val="none" w:sz="0" w:space="0" w:color="auto"/>
            <w:left w:val="none" w:sz="0" w:space="0" w:color="auto"/>
            <w:bottom w:val="none" w:sz="0" w:space="0" w:color="auto"/>
            <w:right w:val="none" w:sz="0" w:space="0" w:color="auto"/>
          </w:divBdr>
        </w:div>
        <w:div w:id="322972400">
          <w:marLeft w:val="0"/>
          <w:marRight w:val="0"/>
          <w:marTop w:val="0"/>
          <w:marBottom w:val="0"/>
          <w:divBdr>
            <w:top w:val="none" w:sz="0" w:space="0" w:color="auto"/>
            <w:left w:val="none" w:sz="0" w:space="0" w:color="auto"/>
            <w:bottom w:val="none" w:sz="0" w:space="0" w:color="auto"/>
            <w:right w:val="none" w:sz="0" w:space="0" w:color="auto"/>
          </w:divBdr>
        </w:div>
      </w:divsChild>
    </w:div>
    <w:div w:id="1127504905">
      <w:marLeft w:val="0"/>
      <w:marRight w:val="0"/>
      <w:marTop w:val="100"/>
      <w:marBottom w:val="0"/>
      <w:divBdr>
        <w:top w:val="none" w:sz="0" w:space="0" w:color="auto"/>
        <w:left w:val="none" w:sz="0" w:space="0" w:color="auto"/>
        <w:bottom w:val="none" w:sz="0" w:space="0" w:color="auto"/>
        <w:right w:val="none" w:sz="0" w:space="0" w:color="auto"/>
      </w:divBdr>
    </w:div>
    <w:div w:id="1132207442">
      <w:marLeft w:val="0"/>
      <w:marRight w:val="0"/>
      <w:marTop w:val="60"/>
      <w:marBottom w:val="0"/>
      <w:divBdr>
        <w:top w:val="none" w:sz="0" w:space="0" w:color="auto"/>
        <w:left w:val="none" w:sz="0" w:space="0" w:color="auto"/>
        <w:bottom w:val="none" w:sz="0" w:space="0" w:color="auto"/>
        <w:right w:val="none" w:sz="0" w:space="0" w:color="auto"/>
      </w:divBdr>
    </w:div>
    <w:div w:id="1133520333">
      <w:marLeft w:val="0"/>
      <w:marRight w:val="0"/>
      <w:marTop w:val="100"/>
      <w:marBottom w:val="0"/>
      <w:divBdr>
        <w:top w:val="none" w:sz="0" w:space="0" w:color="auto"/>
        <w:left w:val="none" w:sz="0" w:space="0" w:color="auto"/>
        <w:bottom w:val="none" w:sz="0" w:space="0" w:color="auto"/>
        <w:right w:val="none" w:sz="0" w:space="0" w:color="auto"/>
      </w:divBdr>
    </w:div>
    <w:div w:id="1136803074">
      <w:marLeft w:val="0"/>
      <w:marRight w:val="0"/>
      <w:marTop w:val="240"/>
      <w:marBottom w:val="0"/>
      <w:divBdr>
        <w:top w:val="none" w:sz="0" w:space="0" w:color="auto"/>
        <w:left w:val="none" w:sz="0" w:space="0" w:color="auto"/>
        <w:bottom w:val="none" w:sz="0" w:space="0" w:color="auto"/>
        <w:right w:val="none" w:sz="0" w:space="0" w:color="auto"/>
      </w:divBdr>
    </w:div>
    <w:div w:id="1137146223">
      <w:marLeft w:val="0"/>
      <w:marRight w:val="0"/>
      <w:marTop w:val="100"/>
      <w:marBottom w:val="0"/>
      <w:divBdr>
        <w:top w:val="none" w:sz="0" w:space="0" w:color="auto"/>
        <w:left w:val="none" w:sz="0" w:space="0" w:color="auto"/>
        <w:bottom w:val="none" w:sz="0" w:space="0" w:color="auto"/>
        <w:right w:val="none" w:sz="0" w:space="0" w:color="auto"/>
      </w:divBdr>
    </w:div>
    <w:div w:id="1138914672">
      <w:marLeft w:val="0"/>
      <w:marRight w:val="0"/>
      <w:marTop w:val="100"/>
      <w:marBottom w:val="0"/>
      <w:divBdr>
        <w:top w:val="none" w:sz="0" w:space="0" w:color="auto"/>
        <w:left w:val="none" w:sz="0" w:space="0" w:color="auto"/>
        <w:bottom w:val="none" w:sz="0" w:space="0" w:color="auto"/>
        <w:right w:val="none" w:sz="0" w:space="0" w:color="auto"/>
      </w:divBdr>
    </w:div>
    <w:div w:id="1140994638">
      <w:marLeft w:val="0"/>
      <w:marRight w:val="0"/>
      <w:marTop w:val="60"/>
      <w:marBottom w:val="0"/>
      <w:divBdr>
        <w:top w:val="none" w:sz="0" w:space="0" w:color="auto"/>
        <w:left w:val="none" w:sz="0" w:space="0" w:color="auto"/>
        <w:bottom w:val="none" w:sz="0" w:space="0" w:color="auto"/>
        <w:right w:val="none" w:sz="0" w:space="0" w:color="auto"/>
      </w:divBdr>
    </w:div>
    <w:div w:id="1141732540">
      <w:marLeft w:val="0"/>
      <w:marRight w:val="0"/>
      <w:marTop w:val="100"/>
      <w:marBottom w:val="0"/>
      <w:divBdr>
        <w:top w:val="none" w:sz="0" w:space="0" w:color="auto"/>
        <w:left w:val="none" w:sz="0" w:space="0" w:color="auto"/>
        <w:bottom w:val="none" w:sz="0" w:space="0" w:color="auto"/>
        <w:right w:val="none" w:sz="0" w:space="0" w:color="auto"/>
      </w:divBdr>
    </w:div>
    <w:div w:id="1144079052">
      <w:marLeft w:val="0"/>
      <w:marRight w:val="0"/>
      <w:marTop w:val="100"/>
      <w:marBottom w:val="0"/>
      <w:divBdr>
        <w:top w:val="none" w:sz="0" w:space="0" w:color="auto"/>
        <w:left w:val="none" w:sz="0" w:space="0" w:color="auto"/>
        <w:bottom w:val="none" w:sz="0" w:space="0" w:color="auto"/>
        <w:right w:val="none" w:sz="0" w:space="0" w:color="auto"/>
      </w:divBdr>
      <w:divsChild>
        <w:div w:id="366755334">
          <w:marLeft w:val="0"/>
          <w:marRight w:val="0"/>
          <w:marTop w:val="40"/>
          <w:marBottom w:val="0"/>
          <w:divBdr>
            <w:top w:val="none" w:sz="0" w:space="0" w:color="auto"/>
            <w:left w:val="none" w:sz="0" w:space="0" w:color="auto"/>
            <w:bottom w:val="none" w:sz="0" w:space="0" w:color="auto"/>
            <w:right w:val="none" w:sz="0" w:space="0" w:color="auto"/>
          </w:divBdr>
        </w:div>
      </w:divsChild>
    </w:div>
    <w:div w:id="1144813355">
      <w:marLeft w:val="0"/>
      <w:marRight w:val="0"/>
      <w:marTop w:val="240"/>
      <w:marBottom w:val="0"/>
      <w:divBdr>
        <w:top w:val="none" w:sz="0" w:space="0" w:color="auto"/>
        <w:left w:val="none" w:sz="0" w:space="0" w:color="auto"/>
        <w:bottom w:val="none" w:sz="0" w:space="0" w:color="auto"/>
        <w:right w:val="none" w:sz="0" w:space="0" w:color="auto"/>
      </w:divBdr>
    </w:div>
    <w:div w:id="1148324162">
      <w:marLeft w:val="0"/>
      <w:marRight w:val="0"/>
      <w:marTop w:val="280"/>
      <w:marBottom w:val="0"/>
      <w:divBdr>
        <w:top w:val="none" w:sz="0" w:space="0" w:color="auto"/>
        <w:left w:val="none" w:sz="0" w:space="0" w:color="auto"/>
        <w:bottom w:val="none" w:sz="0" w:space="0" w:color="auto"/>
        <w:right w:val="none" w:sz="0" w:space="0" w:color="auto"/>
      </w:divBdr>
    </w:div>
    <w:div w:id="1148401730">
      <w:marLeft w:val="0"/>
      <w:marRight w:val="0"/>
      <w:marTop w:val="100"/>
      <w:marBottom w:val="0"/>
      <w:divBdr>
        <w:top w:val="none" w:sz="0" w:space="0" w:color="auto"/>
        <w:left w:val="none" w:sz="0" w:space="0" w:color="auto"/>
        <w:bottom w:val="none" w:sz="0" w:space="0" w:color="auto"/>
        <w:right w:val="none" w:sz="0" w:space="0" w:color="auto"/>
      </w:divBdr>
    </w:div>
    <w:div w:id="1148549922">
      <w:marLeft w:val="0"/>
      <w:marRight w:val="0"/>
      <w:marTop w:val="0"/>
      <w:marBottom w:val="0"/>
      <w:divBdr>
        <w:top w:val="none" w:sz="0" w:space="0" w:color="auto"/>
        <w:left w:val="none" w:sz="0" w:space="0" w:color="auto"/>
        <w:bottom w:val="none" w:sz="0" w:space="0" w:color="auto"/>
        <w:right w:val="none" w:sz="0" w:space="0" w:color="auto"/>
      </w:divBdr>
    </w:div>
    <w:div w:id="1149907110">
      <w:marLeft w:val="0"/>
      <w:marRight w:val="0"/>
      <w:marTop w:val="60"/>
      <w:marBottom w:val="0"/>
      <w:divBdr>
        <w:top w:val="none" w:sz="0" w:space="0" w:color="auto"/>
        <w:left w:val="none" w:sz="0" w:space="0" w:color="auto"/>
        <w:bottom w:val="none" w:sz="0" w:space="0" w:color="auto"/>
        <w:right w:val="none" w:sz="0" w:space="0" w:color="auto"/>
      </w:divBdr>
    </w:div>
    <w:div w:id="1151093815">
      <w:marLeft w:val="0"/>
      <w:marRight w:val="0"/>
      <w:marTop w:val="100"/>
      <w:marBottom w:val="0"/>
      <w:divBdr>
        <w:top w:val="none" w:sz="0" w:space="0" w:color="auto"/>
        <w:left w:val="none" w:sz="0" w:space="0" w:color="auto"/>
        <w:bottom w:val="none" w:sz="0" w:space="0" w:color="auto"/>
        <w:right w:val="none" w:sz="0" w:space="0" w:color="auto"/>
      </w:divBdr>
    </w:div>
    <w:div w:id="1151946816">
      <w:marLeft w:val="0"/>
      <w:marRight w:val="0"/>
      <w:marTop w:val="0"/>
      <w:marBottom w:val="0"/>
      <w:divBdr>
        <w:top w:val="none" w:sz="0" w:space="0" w:color="auto"/>
        <w:left w:val="none" w:sz="0" w:space="0" w:color="auto"/>
        <w:bottom w:val="none" w:sz="0" w:space="0" w:color="auto"/>
        <w:right w:val="none" w:sz="0" w:space="0" w:color="auto"/>
      </w:divBdr>
      <w:divsChild>
        <w:div w:id="1225146157">
          <w:marLeft w:val="0"/>
          <w:marRight w:val="0"/>
          <w:marTop w:val="0"/>
          <w:marBottom w:val="0"/>
          <w:divBdr>
            <w:top w:val="none" w:sz="0" w:space="0" w:color="auto"/>
            <w:left w:val="none" w:sz="0" w:space="0" w:color="auto"/>
            <w:bottom w:val="none" w:sz="0" w:space="0" w:color="auto"/>
            <w:right w:val="none" w:sz="0" w:space="0" w:color="auto"/>
          </w:divBdr>
        </w:div>
        <w:div w:id="992875640">
          <w:marLeft w:val="0"/>
          <w:marRight w:val="0"/>
          <w:marTop w:val="0"/>
          <w:marBottom w:val="0"/>
          <w:divBdr>
            <w:top w:val="none" w:sz="0" w:space="0" w:color="auto"/>
            <w:left w:val="none" w:sz="0" w:space="0" w:color="auto"/>
            <w:bottom w:val="none" w:sz="0" w:space="0" w:color="auto"/>
            <w:right w:val="none" w:sz="0" w:space="0" w:color="auto"/>
          </w:divBdr>
        </w:div>
      </w:divsChild>
    </w:div>
    <w:div w:id="1152991070">
      <w:marLeft w:val="0"/>
      <w:marRight w:val="0"/>
      <w:marTop w:val="100"/>
      <w:marBottom w:val="0"/>
      <w:divBdr>
        <w:top w:val="none" w:sz="0" w:space="0" w:color="auto"/>
        <w:left w:val="none" w:sz="0" w:space="0" w:color="auto"/>
        <w:bottom w:val="none" w:sz="0" w:space="0" w:color="auto"/>
        <w:right w:val="none" w:sz="0" w:space="0" w:color="auto"/>
      </w:divBdr>
    </w:div>
    <w:div w:id="1154227077">
      <w:marLeft w:val="0"/>
      <w:marRight w:val="0"/>
      <w:marTop w:val="0"/>
      <w:marBottom w:val="0"/>
      <w:divBdr>
        <w:top w:val="none" w:sz="0" w:space="0" w:color="auto"/>
        <w:left w:val="none" w:sz="0" w:space="0" w:color="auto"/>
        <w:bottom w:val="none" w:sz="0" w:space="0" w:color="auto"/>
        <w:right w:val="none" w:sz="0" w:space="0" w:color="auto"/>
      </w:divBdr>
      <w:divsChild>
        <w:div w:id="1663971180">
          <w:marLeft w:val="0"/>
          <w:marRight w:val="0"/>
          <w:marTop w:val="0"/>
          <w:marBottom w:val="0"/>
          <w:divBdr>
            <w:top w:val="none" w:sz="0" w:space="0" w:color="auto"/>
            <w:left w:val="none" w:sz="0" w:space="0" w:color="auto"/>
            <w:bottom w:val="none" w:sz="0" w:space="0" w:color="auto"/>
            <w:right w:val="none" w:sz="0" w:space="0" w:color="auto"/>
          </w:divBdr>
        </w:div>
        <w:div w:id="1336612353">
          <w:marLeft w:val="0"/>
          <w:marRight w:val="0"/>
          <w:marTop w:val="0"/>
          <w:marBottom w:val="0"/>
          <w:divBdr>
            <w:top w:val="none" w:sz="0" w:space="0" w:color="auto"/>
            <w:left w:val="none" w:sz="0" w:space="0" w:color="auto"/>
            <w:bottom w:val="none" w:sz="0" w:space="0" w:color="auto"/>
            <w:right w:val="none" w:sz="0" w:space="0" w:color="auto"/>
          </w:divBdr>
        </w:div>
      </w:divsChild>
    </w:div>
    <w:div w:id="1154377158">
      <w:marLeft w:val="0"/>
      <w:marRight w:val="0"/>
      <w:marTop w:val="100"/>
      <w:marBottom w:val="0"/>
      <w:divBdr>
        <w:top w:val="none" w:sz="0" w:space="0" w:color="auto"/>
        <w:left w:val="none" w:sz="0" w:space="0" w:color="auto"/>
        <w:bottom w:val="none" w:sz="0" w:space="0" w:color="auto"/>
        <w:right w:val="none" w:sz="0" w:space="0" w:color="auto"/>
      </w:divBdr>
    </w:div>
    <w:div w:id="1156916616">
      <w:marLeft w:val="0"/>
      <w:marRight w:val="0"/>
      <w:marTop w:val="100"/>
      <w:marBottom w:val="0"/>
      <w:divBdr>
        <w:top w:val="none" w:sz="0" w:space="0" w:color="auto"/>
        <w:left w:val="none" w:sz="0" w:space="0" w:color="auto"/>
        <w:bottom w:val="none" w:sz="0" w:space="0" w:color="auto"/>
        <w:right w:val="none" w:sz="0" w:space="0" w:color="auto"/>
      </w:divBdr>
    </w:div>
    <w:div w:id="1159729112">
      <w:marLeft w:val="0"/>
      <w:marRight w:val="0"/>
      <w:marTop w:val="100"/>
      <w:marBottom w:val="0"/>
      <w:divBdr>
        <w:top w:val="none" w:sz="0" w:space="0" w:color="auto"/>
        <w:left w:val="none" w:sz="0" w:space="0" w:color="auto"/>
        <w:bottom w:val="none" w:sz="0" w:space="0" w:color="auto"/>
        <w:right w:val="none" w:sz="0" w:space="0" w:color="auto"/>
      </w:divBdr>
    </w:div>
    <w:div w:id="1160198597">
      <w:marLeft w:val="0"/>
      <w:marRight w:val="0"/>
      <w:marTop w:val="60"/>
      <w:marBottom w:val="0"/>
      <w:divBdr>
        <w:top w:val="none" w:sz="0" w:space="0" w:color="auto"/>
        <w:left w:val="none" w:sz="0" w:space="0" w:color="auto"/>
        <w:bottom w:val="none" w:sz="0" w:space="0" w:color="auto"/>
        <w:right w:val="none" w:sz="0" w:space="0" w:color="auto"/>
      </w:divBdr>
    </w:div>
    <w:div w:id="1160659549">
      <w:marLeft w:val="0"/>
      <w:marRight w:val="0"/>
      <w:marTop w:val="100"/>
      <w:marBottom w:val="0"/>
      <w:divBdr>
        <w:top w:val="none" w:sz="0" w:space="0" w:color="auto"/>
        <w:left w:val="none" w:sz="0" w:space="0" w:color="auto"/>
        <w:bottom w:val="none" w:sz="0" w:space="0" w:color="auto"/>
        <w:right w:val="none" w:sz="0" w:space="0" w:color="auto"/>
      </w:divBdr>
    </w:div>
    <w:div w:id="1164395336">
      <w:marLeft w:val="0"/>
      <w:marRight w:val="0"/>
      <w:marTop w:val="100"/>
      <w:marBottom w:val="0"/>
      <w:divBdr>
        <w:top w:val="none" w:sz="0" w:space="0" w:color="auto"/>
        <w:left w:val="none" w:sz="0" w:space="0" w:color="auto"/>
        <w:bottom w:val="none" w:sz="0" w:space="0" w:color="auto"/>
        <w:right w:val="none" w:sz="0" w:space="0" w:color="auto"/>
      </w:divBdr>
    </w:div>
    <w:div w:id="1165634031">
      <w:marLeft w:val="0"/>
      <w:marRight w:val="0"/>
      <w:marTop w:val="100"/>
      <w:marBottom w:val="0"/>
      <w:divBdr>
        <w:top w:val="none" w:sz="0" w:space="0" w:color="auto"/>
        <w:left w:val="none" w:sz="0" w:space="0" w:color="auto"/>
        <w:bottom w:val="none" w:sz="0" w:space="0" w:color="auto"/>
        <w:right w:val="none" w:sz="0" w:space="0" w:color="auto"/>
      </w:divBdr>
    </w:div>
    <w:div w:id="1165706082">
      <w:marLeft w:val="0"/>
      <w:marRight w:val="0"/>
      <w:marTop w:val="100"/>
      <w:marBottom w:val="0"/>
      <w:divBdr>
        <w:top w:val="none" w:sz="0" w:space="0" w:color="auto"/>
        <w:left w:val="none" w:sz="0" w:space="0" w:color="auto"/>
        <w:bottom w:val="none" w:sz="0" w:space="0" w:color="auto"/>
        <w:right w:val="none" w:sz="0" w:space="0" w:color="auto"/>
      </w:divBdr>
    </w:div>
    <w:div w:id="1169906056">
      <w:marLeft w:val="0"/>
      <w:marRight w:val="0"/>
      <w:marTop w:val="240"/>
      <w:marBottom w:val="0"/>
      <w:divBdr>
        <w:top w:val="none" w:sz="0" w:space="0" w:color="auto"/>
        <w:left w:val="none" w:sz="0" w:space="0" w:color="auto"/>
        <w:bottom w:val="none" w:sz="0" w:space="0" w:color="auto"/>
        <w:right w:val="none" w:sz="0" w:space="0" w:color="auto"/>
      </w:divBdr>
    </w:div>
    <w:div w:id="1172448842">
      <w:marLeft w:val="0"/>
      <w:marRight w:val="0"/>
      <w:marTop w:val="240"/>
      <w:marBottom w:val="0"/>
      <w:divBdr>
        <w:top w:val="none" w:sz="0" w:space="0" w:color="auto"/>
        <w:left w:val="none" w:sz="0" w:space="0" w:color="auto"/>
        <w:bottom w:val="none" w:sz="0" w:space="0" w:color="auto"/>
        <w:right w:val="none" w:sz="0" w:space="0" w:color="auto"/>
      </w:divBdr>
    </w:div>
    <w:div w:id="1172795372">
      <w:marLeft w:val="0"/>
      <w:marRight w:val="0"/>
      <w:marTop w:val="240"/>
      <w:marBottom w:val="0"/>
      <w:divBdr>
        <w:top w:val="none" w:sz="0" w:space="0" w:color="auto"/>
        <w:left w:val="none" w:sz="0" w:space="0" w:color="auto"/>
        <w:bottom w:val="none" w:sz="0" w:space="0" w:color="auto"/>
        <w:right w:val="none" w:sz="0" w:space="0" w:color="auto"/>
      </w:divBdr>
    </w:div>
    <w:div w:id="1174800566">
      <w:marLeft w:val="0"/>
      <w:marRight w:val="0"/>
      <w:marTop w:val="100"/>
      <w:marBottom w:val="0"/>
      <w:divBdr>
        <w:top w:val="none" w:sz="0" w:space="0" w:color="auto"/>
        <w:left w:val="none" w:sz="0" w:space="0" w:color="auto"/>
        <w:bottom w:val="none" w:sz="0" w:space="0" w:color="auto"/>
        <w:right w:val="none" w:sz="0" w:space="0" w:color="auto"/>
      </w:divBdr>
    </w:div>
    <w:div w:id="1175724891">
      <w:marLeft w:val="0"/>
      <w:marRight w:val="0"/>
      <w:marTop w:val="100"/>
      <w:marBottom w:val="0"/>
      <w:divBdr>
        <w:top w:val="none" w:sz="0" w:space="0" w:color="auto"/>
        <w:left w:val="none" w:sz="0" w:space="0" w:color="auto"/>
        <w:bottom w:val="none" w:sz="0" w:space="0" w:color="auto"/>
        <w:right w:val="none" w:sz="0" w:space="0" w:color="auto"/>
      </w:divBdr>
    </w:div>
    <w:div w:id="1177963070">
      <w:marLeft w:val="0"/>
      <w:marRight w:val="0"/>
      <w:marTop w:val="0"/>
      <w:marBottom w:val="0"/>
      <w:divBdr>
        <w:top w:val="none" w:sz="0" w:space="0" w:color="auto"/>
        <w:left w:val="none" w:sz="0" w:space="0" w:color="auto"/>
        <w:bottom w:val="none" w:sz="0" w:space="0" w:color="auto"/>
        <w:right w:val="none" w:sz="0" w:space="0" w:color="auto"/>
      </w:divBdr>
      <w:divsChild>
        <w:div w:id="778258652">
          <w:marLeft w:val="0"/>
          <w:marRight w:val="0"/>
          <w:marTop w:val="0"/>
          <w:marBottom w:val="0"/>
          <w:divBdr>
            <w:top w:val="none" w:sz="0" w:space="0" w:color="auto"/>
            <w:left w:val="none" w:sz="0" w:space="0" w:color="auto"/>
            <w:bottom w:val="none" w:sz="0" w:space="0" w:color="auto"/>
            <w:right w:val="none" w:sz="0" w:space="0" w:color="auto"/>
          </w:divBdr>
        </w:div>
      </w:divsChild>
    </w:div>
    <w:div w:id="1180893679">
      <w:marLeft w:val="0"/>
      <w:marRight w:val="0"/>
      <w:marTop w:val="100"/>
      <w:marBottom w:val="0"/>
      <w:divBdr>
        <w:top w:val="none" w:sz="0" w:space="0" w:color="auto"/>
        <w:left w:val="none" w:sz="0" w:space="0" w:color="auto"/>
        <w:bottom w:val="none" w:sz="0" w:space="0" w:color="auto"/>
        <w:right w:val="none" w:sz="0" w:space="0" w:color="auto"/>
      </w:divBdr>
    </w:div>
    <w:div w:id="1181430922">
      <w:marLeft w:val="0"/>
      <w:marRight w:val="0"/>
      <w:marTop w:val="100"/>
      <w:marBottom w:val="0"/>
      <w:divBdr>
        <w:top w:val="none" w:sz="0" w:space="0" w:color="auto"/>
        <w:left w:val="none" w:sz="0" w:space="0" w:color="auto"/>
        <w:bottom w:val="none" w:sz="0" w:space="0" w:color="auto"/>
        <w:right w:val="none" w:sz="0" w:space="0" w:color="auto"/>
      </w:divBdr>
    </w:div>
    <w:div w:id="1184247257">
      <w:marLeft w:val="0"/>
      <w:marRight w:val="0"/>
      <w:marTop w:val="180"/>
      <w:marBottom w:val="0"/>
      <w:divBdr>
        <w:top w:val="none" w:sz="0" w:space="0" w:color="auto"/>
        <w:left w:val="none" w:sz="0" w:space="0" w:color="auto"/>
        <w:bottom w:val="none" w:sz="0" w:space="0" w:color="auto"/>
        <w:right w:val="none" w:sz="0" w:space="0" w:color="auto"/>
      </w:divBdr>
    </w:div>
    <w:div w:id="1185900023">
      <w:marLeft w:val="0"/>
      <w:marRight w:val="0"/>
      <w:marTop w:val="100"/>
      <w:marBottom w:val="0"/>
      <w:divBdr>
        <w:top w:val="none" w:sz="0" w:space="0" w:color="auto"/>
        <w:left w:val="none" w:sz="0" w:space="0" w:color="auto"/>
        <w:bottom w:val="none" w:sz="0" w:space="0" w:color="auto"/>
        <w:right w:val="none" w:sz="0" w:space="0" w:color="auto"/>
      </w:divBdr>
    </w:div>
    <w:div w:id="1187600584">
      <w:marLeft w:val="0"/>
      <w:marRight w:val="0"/>
      <w:marTop w:val="0"/>
      <w:marBottom w:val="0"/>
      <w:divBdr>
        <w:top w:val="none" w:sz="0" w:space="0" w:color="auto"/>
        <w:left w:val="none" w:sz="0" w:space="0" w:color="auto"/>
        <w:bottom w:val="none" w:sz="0" w:space="0" w:color="auto"/>
        <w:right w:val="none" w:sz="0" w:space="0" w:color="auto"/>
      </w:divBdr>
      <w:divsChild>
        <w:div w:id="1477868965">
          <w:marLeft w:val="0"/>
          <w:marRight w:val="0"/>
          <w:marTop w:val="0"/>
          <w:marBottom w:val="0"/>
          <w:divBdr>
            <w:top w:val="none" w:sz="0" w:space="0" w:color="auto"/>
            <w:left w:val="none" w:sz="0" w:space="0" w:color="auto"/>
            <w:bottom w:val="none" w:sz="0" w:space="0" w:color="auto"/>
            <w:right w:val="none" w:sz="0" w:space="0" w:color="auto"/>
          </w:divBdr>
        </w:div>
      </w:divsChild>
    </w:div>
    <w:div w:id="1187787058">
      <w:marLeft w:val="0"/>
      <w:marRight w:val="0"/>
      <w:marTop w:val="100"/>
      <w:marBottom w:val="0"/>
      <w:divBdr>
        <w:top w:val="none" w:sz="0" w:space="0" w:color="auto"/>
        <w:left w:val="none" w:sz="0" w:space="0" w:color="auto"/>
        <w:bottom w:val="none" w:sz="0" w:space="0" w:color="auto"/>
        <w:right w:val="none" w:sz="0" w:space="0" w:color="auto"/>
      </w:divBdr>
    </w:div>
    <w:div w:id="1188299505">
      <w:marLeft w:val="0"/>
      <w:marRight w:val="0"/>
      <w:marTop w:val="240"/>
      <w:marBottom w:val="0"/>
      <w:divBdr>
        <w:top w:val="none" w:sz="0" w:space="0" w:color="auto"/>
        <w:left w:val="none" w:sz="0" w:space="0" w:color="auto"/>
        <w:bottom w:val="none" w:sz="0" w:space="0" w:color="auto"/>
        <w:right w:val="none" w:sz="0" w:space="0" w:color="auto"/>
      </w:divBdr>
    </w:div>
    <w:div w:id="1188326070">
      <w:marLeft w:val="0"/>
      <w:marRight w:val="0"/>
      <w:marTop w:val="240"/>
      <w:marBottom w:val="0"/>
      <w:divBdr>
        <w:top w:val="none" w:sz="0" w:space="0" w:color="auto"/>
        <w:left w:val="none" w:sz="0" w:space="0" w:color="auto"/>
        <w:bottom w:val="none" w:sz="0" w:space="0" w:color="auto"/>
        <w:right w:val="none" w:sz="0" w:space="0" w:color="auto"/>
      </w:divBdr>
    </w:div>
    <w:div w:id="1192845386">
      <w:marLeft w:val="0"/>
      <w:marRight w:val="0"/>
      <w:marTop w:val="0"/>
      <w:marBottom w:val="0"/>
      <w:divBdr>
        <w:top w:val="none" w:sz="0" w:space="0" w:color="auto"/>
        <w:left w:val="none" w:sz="0" w:space="0" w:color="auto"/>
        <w:bottom w:val="none" w:sz="0" w:space="0" w:color="auto"/>
        <w:right w:val="none" w:sz="0" w:space="0" w:color="auto"/>
      </w:divBdr>
      <w:divsChild>
        <w:div w:id="54164013">
          <w:marLeft w:val="0"/>
          <w:marRight w:val="0"/>
          <w:marTop w:val="0"/>
          <w:marBottom w:val="0"/>
          <w:divBdr>
            <w:top w:val="none" w:sz="0" w:space="0" w:color="auto"/>
            <w:left w:val="none" w:sz="0" w:space="0" w:color="auto"/>
            <w:bottom w:val="none" w:sz="0" w:space="0" w:color="auto"/>
            <w:right w:val="none" w:sz="0" w:space="0" w:color="auto"/>
          </w:divBdr>
        </w:div>
      </w:divsChild>
    </w:div>
    <w:div w:id="1195076962">
      <w:marLeft w:val="0"/>
      <w:marRight w:val="0"/>
      <w:marTop w:val="240"/>
      <w:marBottom w:val="0"/>
      <w:divBdr>
        <w:top w:val="none" w:sz="0" w:space="0" w:color="auto"/>
        <w:left w:val="none" w:sz="0" w:space="0" w:color="auto"/>
        <w:bottom w:val="none" w:sz="0" w:space="0" w:color="auto"/>
        <w:right w:val="none" w:sz="0" w:space="0" w:color="auto"/>
      </w:divBdr>
    </w:div>
    <w:div w:id="1195773369">
      <w:marLeft w:val="0"/>
      <w:marRight w:val="0"/>
      <w:marTop w:val="100"/>
      <w:marBottom w:val="0"/>
      <w:divBdr>
        <w:top w:val="none" w:sz="0" w:space="0" w:color="auto"/>
        <w:left w:val="none" w:sz="0" w:space="0" w:color="auto"/>
        <w:bottom w:val="none" w:sz="0" w:space="0" w:color="auto"/>
        <w:right w:val="none" w:sz="0" w:space="0" w:color="auto"/>
      </w:divBdr>
    </w:div>
    <w:div w:id="1196114859">
      <w:marLeft w:val="0"/>
      <w:marRight w:val="0"/>
      <w:marTop w:val="100"/>
      <w:marBottom w:val="0"/>
      <w:divBdr>
        <w:top w:val="none" w:sz="0" w:space="0" w:color="auto"/>
        <w:left w:val="none" w:sz="0" w:space="0" w:color="auto"/>
        <w:bottom w:val="none" w:sz="0" w:space="0" w:color="auto"/>
        <w:right w:val="none" w:sz="0" w:space="0" w:color="auto"/>
      </w:divBdr>
    </w:div>
    <w:div w:id="1197812589">
      <w:marLeft w:val="0"/>
      <w:marRight w:val="0"/>
      <w:marTop w:val="240"/>
      <w:marBottom w:val="0"/>
      <w:divBdr>
        <w:top w:val="none" w:sz="0" w:space="0" w:color="auto"/>
        <w:left w:val="none" w:sz="0" w:space="0" w:color="auto"/>
        <w:bottom w:val="none" w:sz="0" w:space="0" w:color="auto"/>
        <w:right w:val="none" w:sz="0" w:space="0" w:color="auto"/>
      </w:divBdr>
    </w:div>
    <w:div w:id="1197814981">
      <w:marLeft w:val="0"/>
      <w:marRight w:val="0"/>
      <w:marTop w:val="100"/>
      <w:marBottom w:val="0"/>
      <w:divBdr>
        <w:top w:val="none" w:sz="0" w:space="0" w:color="auto"/>
        <w:left w:val="none" w:sz="0" w:space="0" w:color="auto"/>
        <w:bottom w:val="none" w:sz="0" w:space="0" w:color="auto"/>
        <w:right w:val="none" w:sz="0" w:space="0" w:color="auto"/>
      </w:divBdr>
    </w:div>
    <w:div w:id="1198547886">
      <w:marLeft w:val="0"/>
      <w:marRight w:val="0"/>
      <w:marTop w:val="100"/>
      <w:marBottom w:val="0"/>
      <w:divBdr>
        <w:top w:val="none" w:sz="0" w:space="0" w:color="auto"/>
        <w:left w:val="none" w:sz="0" w:space="0" w:color="auto"/>
        <w:bottom w:val="none" w:sz="0" w:space="0" w:color="auto"/>
        <w:right w:val="none" w:sz="0" w:space="0" w:color="auto"/>
      </w:divBdr>
    </w:div>
    <w:div w:id="1199007039">
      <w:marLeft w:val="0"/>
      <w:marRight w:val="0"/>
      <w:marTop w:val="60"/>
      <w:marBottom w:val="0"/>
      <w:divBdr>
        <w:top w:val="none" w:sz="0" w:space="0" w:color="auto"/>
        <w:left w:val="none" w:sz="0" w:space="0" w:color="auto"/>
        <w:bottom w:val="none" w:sz="0" w:space="0" w:color="auto"/>
        <w:right w:val="none" w:sz="0" w:space="0" w:color="auto"/>
      </w:divBdr>
    </w:div>
    <w:div w:id="1201480526">
      <w:marLeft w:val="0"/>
      <w:marRight w:val="0"/>
      <w:marTop w:val="100"/>
      <w:marBottom w:val="0"/>
      <w:divBdr>
        <w:top w:val="none" w:sz="0" w:space="0" w:color="auto"/>
        <w:left w:val="none" w:sz="0" w:space="0" w:color="auto"/>
        <w:bottom w:val="none" w:sz="0" w:space="0" w:color="auto"/>
        <w:right w:val="none" w:sz="0" w:space="0" w:color="auto"/>
      </w:divBdr>
    </w:div>
    <w:div w:id="1205143124">
      <w:marLeft w:val="0"/>
      <w:marRight w:val="0"/>
      <w:marTop w:val="100"/>
      <w:marBottom w:val="0"/>
      <w:divBdr>
        <w:top w:val="none" w:sz="0" w:space="0" w:color="auto"/>
        <w:left w:val="none" w:sz="0" w:space="0" w:color="auto"/>
        <w:bottom w:val="none" w:sz="0" w:space="0" w:color="auto"/>
        <w:right w:val="none" w:sz="0" w:space="0" w:color="auto"/>
      </w:divBdr>
    </w:div>
    <w:div w:id="1206454944">
      <w:marLeft w:val="0"/>
      <w:marRight w:val="0"/>
      <w:marTop w:val="60"/>
      <w:marBottom w:val="0"/>
      <w:divBdr>
        <w:top w:val="none" w:sz="0" w:space="0" w:color="auto"/>
        <w:left w:val="none" w:sz="0" w:space="0" w:color="auto"/>
        <w:bottom w:val="none" w:sz="0" w:space="0" w:color="auto"/>
        <w:right w:val="none" w:sz="0" w:space="0" w:color="auto"/>
      </w:divBdr>
    </w:div>
    <w:div w:id="1206867783">
      <w:marLeft w:val="0"/>
      <w:marRight w:val="0"/>
      <w:marTop w:val="100"/>
      <w:marBottom w:val="0"/>
      <w:divBdr>
        <w:top w:val="none" w:sz="0" w:space="0" w:color="auto"/>
        <w:left w:val="none" w:sz="0" w:space="0" w:color="auto"/>
        <w:bottom w:val="none" w:sz="0" w:space="0" w:color="auto"/>
        <w:right w:val="none" w:sz="0" w:space="0" w:color="auto"/>
      </w:divBdr>
    </w:div>
    <w:div w:id="1209801182">
      <w:marLeft w:val="0"/>
      <w:marRight w:val="0"/>
      <w:marTop w:val="0"/>
      <w:marBottom w:val="0"/>
      <w:divBdr>
        <w:top w:val="none" w:sz="0" w:space="0" w:color="auto"/>
        <w:left w:val="none" w:sz="0" w:space="0" w:color="auto"/>
        <w:bottom w:val="none" w:sz="0" w:space="0" w:color="auto"/>
        <w:right w:val="none" w:sz="0" w:space="0" w:color="auto"/>
      </w:divBdr>
    </w:div>
    <w:div w:id="1214537929">
      <w:marLeft w:val="0"/>
      <w:marRight w:val="0"/>
      <w:marTop w:val="100"/>
      <w:marBottom w:val="0"/>
      <w:divBdr>
        <w:top w:val="none" w:sz="0" w:space="0" w:color="auto"/>
        <w:left w:val="none" w:sz="0" w:space="0" w:color="auto"/>
        <w:bottom w:val="none" w:sz="0" w:space="0" w:color="auto"/>
        <w:right w:val="none" w:sz="0" w:space="0" w:color="auto"/>
      </w:divBdr>
    </w:div>
    <w:div w:id="1216430190">
      <w:marLeft w:val="0"/>
      <w:marRight w:val="0"/>
      <w:marTop w:val="100"/>
      <w:marBottom w:val="0"/>
      <w:divBdr>
        <w:top w:val="none" w:sz="0" w:space="0" w:color="auto"/>
        <w:left w:val="none" w:sz="0" w:space="0" w:color="auto"/>
        <w:bottom w:val="none" w:sz="0" w:space="0" w:color="auto"/>
        <w:right w:val="none" w:sz="0" w:space="0" w:color="auto"/>
      </w:divBdr>
    </w:div>
    <w:div w:id="1216772068">
      <w:marLeft w:val="0"/>
      <w:marRight w:val="0"/>
      <w:marTop w:val="100"/>
      <w:marBottom w:val="0"/>
      <w:divBdr>
        <w:top w:val="none" w:sz="0" w:space="0" w:color="auto"/>
        <w:left w:val="none" w:sz="0" w:space="0" w:color="auto"/>
        <w:bottom w:val="none" w:sz="0" w:space="0" w:color="auto"/>
        <w:right w:val="none" w:sz="0" w:space="0" w:color="auto"/>
      </w:divBdr>
    </w:div>
    <w:div w:id="1219516094">
      <w:marLeft w:val="0"/>
      <w:marRight w:val="0"/>
      <w:marTop w:val="100"/>
      <w:marBottom w:val="0"/>
      <w:divBdr>
        <w:top w:val="none" w:sz="0" w:space="0" w:color="auto"/>
        <w:left w:val="none" w:sz="0" w:space="0" w:color="auto"/>
        <w:bottom w:val="none" w:sz="0" w:space="0" w:color="auto"/>
        <w:right w:val="none" w:sz="0" w:space="0" w:color="auto"/>
      </w:divBdr>
    </w:div>
    <w:div w:id="1220509615">
      <w:marLeft w:val="0"/>
      <w:marRight w:val="0"/>
      <w:marTop w:val="240"/>
      <w:marBottom w:val="0"/>
      <w:divBdr>
        <w:top w:val="none" w:sz="0" w:space="0" w:color="auto"/>
        <w:left w:val="none" w:sz="0" w:space="0" w:color="auto"/>
        <w:bottom w:val="none" w:sz="0" w:space="0" w:color="auto"/>
        <w:right w:val="none" w:sz="0" w:space="0" w:color="auto"/>
      </w:divBdr>
    </w:div>
    <w:div w:id="1220627796">
      <w:marLeft w:val="0"/>
      <w:marRight w:val="0"/>
      <w:marTop w:val="100"/>
      <w:marBottom w:val="0"/>
      <w:divBdr>
        <w:top w:val="none" w:sz="0" w:space="0" w:color="auto"/>
        <w:left w:val="none" w:sz="0" w:space="0" w:color="auto"/>
        <w:bottom w:val="none" w:sz="0" w:space="0" w:color="auto"/>
        <w:right w:val="none" w:sz="0" w:space="0" w:color="auto"/>
      </w:divBdr>
    </w:div>
    <w:div w:id="1224096060">
      <w:marLeft w:val="0"/>
      <w:marRight w:val="0"/>
      <w:marTop w:val="100"/>
      <w:marBottom w:val="0"/>
      <w:divBdr>
        <w:top w:val="none" w:sz="0" w:space="0" w:color="auto"/>
        <w:left w:val="none" w:sz="0" w:space="0" w:color="auto"/>
        <w:bottom w:val="none" w:sz="0" w:space="0" w:color="auto"/>
        <w:right w:val="none" w:sz="0" w:space="0" w:color="auto"/>
      </w:divBdr>
    </w:div>
    <w:div w:id="1224172898">
      <w:marLeft w:val="0"/>
      <w:marRight w:val="0"/>
      <w:marTop w:val="100"/>
      <w:marBottom w:val="0"/>
      <w:divBdr>
        <w:top w:val="none" w:sz="0" w:space="0" w:color="auto"/>
        <w:left w:val="none" w:sz="0" w:space="0" w:color="auto"/>
        <w:bottom w:val="none" w:sz="0" w:space="0" w:color="auto"/>
        <w:right w:val="none" w:sz="0" w:space="0" w:color="auto"/>
      </w:divBdr>
    </w:div>
    <w:div w:id="1224440455">
      <w:marLeft w:val="0"/>
      <w:marRight w:val="0"/>
      <w:marTop w:val="100"/>
      <w:marBottom w:val="0"/>
      <w:divBdr>
        <w:top w:val="none" w:sz="0" w:space="0" w:color="auto"/>
        <w:left w:val="none" w:sz="0" w:space="0" w:color="auto"/>
        <w:bottom w:val="none" w:sz="0" w:space="0" w:color="auto"/>
        <w:right w:val="none" w:sz="0" w:space="0" w:color="auto"/>
      </w:divBdr>
    </w:div>
    <w:div w:id="1225797288">
      <w:marLeft w:val="0"/>
      <w:marRight w:val="0"/>
      <w:marTop w:val="100"/>
      <w:marBottom w:val="0"/>
      <w:divBdr>
        <w:top w:val="none" w:sz="0" w:space="0" w:color="auto"/>
        <w:left w:val="none" w:sz="0" w:space="0" w:color="auto"/>
        <w:bottom w:val="none" w:sz="0" w:space="0" w:color="auto"/>
        <w:right w:val="none" w:sz="0" w:space="0" w:color="auto"/>
      </w:divBdr>
    </w:div>
    <w:div w:id="1225868319">
      <w:marLeft w:val="0"/>
      <w:marRight w:val="0"/>
      <w:marTop w:val="100"/>
      <w:marBottom w:val="0"/>
      <w:divBdr>
        <w:top w:val="none" w:sz="0" w:space="0" w:color="auto"/>
        <w:left w:val="none" w:sz="0" w:space="0" w:color="auto"/>
        <w:bottom w:val="none" w:sz="0" w:space="0" w:color="auto"/>
        <w:right w:val="none" w:sz="0" w:space="0" w:color="auto"/>
      </w:divBdr>
    </w:div>
    <w:div w:id="1226719012">
      <w:marLeft w:val="0"/>
      <w:marRight w:val="0"/>
      <w:marTop w:val="100"/>
      <w:marBottom w:val="0"/>
      <w:divBdr>
        <w:top w:val="none" w:sz="0" w:space="0" w:color="auto"/>
        <w:left w:val="none" w:sz="0" w:space="0" w:color="auto"/>
        <w:bottom w:val="none" w:sz="0" w:space="0" w:color="auto"/>
        <w:right w:val="none" w:sz="0" w:space="0" w:color="auto"/>
      </w:divBdr>
    </w:div>
    <w:div w:id="1227110531">
      <w:marLeft w:val="0"/>
      <w:marRight w:val="0"/>
      <w:marTop w:val="100"/>
      <w:marBottom w:val="0"/>
      <w:divBdr>
        <w:top w:val="none" w:sz="0" w:space="0" w:color="auto"/>
        <w:left w:val="none" w:sz="0" w:space="0" w:color="auto"/>
        <w:bottom w:val="none" w:sz="0" w:space="0" w:color="auto"/>
        <w:right w:val="none" w:sz="0" w:space="0" w:color="auto"/>
      </w:divBdr>
    </w:div>
    <w:div w:id="1229800993">
      <w:marLeft w:val="0"/>
      <w:marRight w:val="0"/>
      <w:marTop w:val="100"/>
      <w:marBottom w:val="0"/>
      <w:divBdr>
        <w:top w:val="none" w:sz="0" w:space="0" w:color="auto"/>
        <w:left w:val="none" w:sz="0" w:space="0" w:color="auto"/>
        <w:bottom w:val="none" w:sz="0" w:space="0" w:color="auto"/>
        <w:right w:val="none" w:sz="0" w:space="0" w:color="auto"/>
      </w:divBdr>
    </w:div>
    <w:div w:id="1234075069">
      <w:marLeft w:val="0"/>
      <w:marRight w:val="0"/>
      <w:marTop w:val="0"/>
      <w:marBottom w:val="0"/>
      <w:divBdr>
        <w:top w:val="none" w:sz="0" w:space="0" w:color="auto"/>
        <w:left w:val="none" w:sz="0" w:space="0" w:color="auto"/>
        <w:bottom w:val="none" w:sz="0" w:space="0" w:color="auto"/>
        <w:right w:val="none" w:sz="0" w:space="0" w:color="auto"/>
      </w:divBdr>
      <w:divsChild>
        <w:div w:id="2138639284">
          <w:marLeft w:val="0"/>
          <w:marRight w:val="0"/>
          <w:marTop w:val="0"/>
          <w:marBottom w:val="0"/>
          <w:divBdr>
            <w:top w:val="none" w:sz="0" w:space="0" w:color="auto"/>
            <w:left w:val="none" w:sz="0" w:space="0" w:color="auto"/>
            <w:bottom w:val="none" w:sz="0" w:space="0" w:color="auto"/>
            <w:right w:val="none" w:sz="0" w:space="0" w:color="auto"/>
          </w:divBdr>
        </w:div>
        <w:div w:id="2038653787">
          <w:marLeft w:val="0"/>
          <w:marRight w:val="0"/>
          <w:marTop w:val="0"/>
          <w:marBottom w:val="0"/>
          <w:divBdr>
            <w:top w:val="none" w:sz="0" w:space="0" w:color="auto"/>
            <w:left w:val="none" w:sz="0" w:space="0" w:color="auto"/>
            <w:bottom w:val="none" w:sz="0" w:space="0" w:color="auto"/>
            <w:right w:val="none" w:sz="0" w:space="0" w:color="auto"/>
          </w:divBdr>
        </w:div>
      </w:divsChild>
    </w:div>
    <w:div w:id="1237280563">
      <w:marLeft w:val="0"/>
      <w:marRight w:val="0"/>
      <w:marTop w:val="100"/>
      <w:marBottom w:val="0"/>
      <w:divBdr>
        <w:top w:val="none" w:sz="0" w:space="0" w:color="auto"/>
        <w:left w:val="none" w:sz="0" w:space="0" w:color="auto"/>
        <w:bottom w:val="none" w:sz="0" w:space="0" w:color="auto"/>
        <w:right w:val="none" w:sz="0" w:space="0" w:color="auto"/>
      </w:divBdr>
    </w:div>
    <w:div w:id="1237938932">
      <w:marLeft w:val="0"/>
      <w:marRight w:val="0"/>
      <w:marTop w:val="100"/>
      <w:marBottom w:val="0"/>
      <w:divBdr>
        <w:top w:val="none" w:sz="0" w:space="0" w:color="auto"/>
        <w:left w:val="none" w:sz="0" w:space="0" w:color="auto"/>
        <w:bottom w:val="none" w:sz="0" w:space="0" w:color="auto"/>
        <w:right w:val="none" w:sz="0" w:space="0" w:color="auto"/>
      </w:divBdr>
    </w:div>
    <w:div w:id="1241871141">
      <w:marLeft w:val="0"/>
      <w:marRight w:val="0"/>
      <w:marTop w:val="0"/>
      <w:marBottom w:val="0"/>
      <w:divBdr>
        <w:top w:val="none" w:sz="0" w:space="0" w:color="auto"/>
        <w:left w:val="none" w:sz="0" w:space="0" w:color="auto"/>
        <w:bottom w:val="none" w:sz="0" w:space="0" w:color="auto"/>
        <w:right w:val="none" w:sz="0" w:space="0" w:color="auto"/>
      </w:divBdr>
    </w:div>
    <w:div w:id="1245607209">
      <w:marLeft w:val="0"/>
      <w:marRight w:val="0"/>
      <w:marTop w:val="240"/>
      <w:marBottom w:val="0"/>
      <w:divBdr>
        <w:top w:val="none" w:sz="0" w:space="0" w:color="auto"/>
        <w:left w:val="none" w:sz="0" w:space="0" w:color="auto"/>
        <w:bottom w:val="none" w:sz="0" w:space="0" w:color="auto"/>
        <w:right w:val="none" w:sz="0" w:space="0" w:color="auto"/>
      </w:divBdr>
    </w:div>
    <w:div w:id="1246379798">
      <w:marLeft w:val="0"/>
      <w:marRight w:val="0"/>
      <w:marTop w:val="280"/>
      <w:marBottom w:val="0"/>
      <w:divBdr>
        <w:top w:val="none" w:sz="0" w:space="0" w:color="auto"/>
        <w:left w:val="none" w:sz="0" w:space="0" w:color="auto"/>
        <w:bottom w:val="none" w:sz="0" w:space="0" w:color="auto"/>
        <w:right w:val="none" w:sz="0" w:space="0" w:color="auto"/>
      </w:divBdr>
    </w:div>
    <w:div w:id="1247228504">
      <w:marLeft w:val="0"/>
      <w:marRight w:val="0"/>
      <w:marTop w:val="60"/>
      <w:marBottom w:val="0"/>
      <w:divBdr>
        <w:top w:val="none" w:sz="0" w:space="0" w:color="auto"/>
        <w:left w:val="none" w:sz="0" w:space="0" w:color="auto"/>
        <w:bottom w:val="none" w:sz="0" w:space="0" w:color="auto"/>
        <w:right w:val="none" w:sz="0" w:space="0" w:color="auto"/>
      </w:divBdr>
    </w:div>
    <w:div w:id="1247378127">
      <w:marLeft w:val="0"/>
      <w:marRight w:val="0"/>
      <w:marTop w:val="100"/>
      <w:marBottom w:val="0"/>
      <w:divBdr>
        <w:top w:val="none" w:sz="0" w:space="0" w:color="auto"/>
        <w:left w:val="none" w:sz="0" w:space="0" w:color="auto"/>
        <w:bottom w:val="none" w:sz="0" w:space="0" w:color="auto"/>
        <w:right w:val="none" w:sz="0" w:space="0" w:color="auto"/>
      </w:divBdr>
    </w:div>
    <w:div w:id="1249581465">
      <w:marLeft w:val="0"/>
      <w:marRight w:val="0"/>
      <w:marTop w:val="0"/>
      <w:marBottom w:val="0"/>
      <w:divBdr>
        <w:top w:val="none" w:sz="0" w:space="0" w:color="auto"/>
        <w:left w:val="none" w:sz="0" w:space="0" w:color="auto"/>
        <w:bottom w:val="none" w:sz="0" w:space="0" w:color="auto"/>
        <w:right w:val="none" w:sz="0" w:space="0" w:color="auto"/>
      </w:divBdr>
      <w:divsChild>
        <w:div w:id="407381598">
          <w:marLeft w:val="0"/>
          <w:marRight w:val="0"/>
          <w:marTop w:val="0"/>
          <w:marBottom w:val="0"/>
          <w:divBdr>
            <w:top w:val="none" w:sz="0" w:space="0" w:color="auto"/>
            <w:left w:val="none" w:sz="0" w:space="0" w:color="auto"/>
            <w:bottom w:val="none" w:sz="0" w:space="0" w:color="auto"/>
            <w:right w:val="none" w:sz="0" w:space="0" w:color="auto"/>
          </w:divBdr>
        </w:div>
        <w:div w:id="1821772479">
          <w:marLeft w:val="0"/>
          <w:marRight w:val="0"/>
          <w:marTop w:val="0"/>
          <w:marBottom w:val="0"/>
          <w:divBdr>
            <w:top w:val="none" w:sz="0" w:space="0" w:color="auto"/>
            <w:left w:val="none" w:sz="0" w:space="0" w:color="auto"/>
            <w:bottom w:val="none" w:sz="0" w:space="0" w:color="auto"/>
            <w:right w:val="none" w:sz="0" w:space="0" w:color="auto"/>
          </w:divBdr>
        </w:div>
      </w:divsChild>
    </w:div>
    <w:div w:id="1254245179">
      <w:marLeft w:val="0"/>
      <w:marRight w:val="0"/>
      <w:marTop w:val="0"/>
      <w:marBottom w:val="0"/>
      <w:divBdr>
        <w:top w:val="none" w:sz="0" w:space="0" w:color="auto"/>
        <w:left w:val="none" w:sz="0" w:space="0" w:color="auto"/>
        <w:bottom w:val="none" w:sz="0" w:space="0" w:color="auto"/>
        <w:right w:val="none" w:sz="0" w:space="0" w:color="auto"/>
      </w:divBdr>
    </w:div>
    <w:div w:id="1255744115">
      <w:marLeft w:val="0"/>
      <w:marRight w:val="0"/>
      <w:marTop w:val="100"/>
      <w:marBottom w:val="0"/>
      <w:divBdr>
        <w:top w:val="none" w:sz="0" w:space="0" w:color="auto"/>
        <w:left w:val="none" w:sz="0" w:space="0" w:color="auto"/>
        <w:bottom w:val="none" w:sz="0" w:space="0" w:color="auto"/>
        <w:right w:val="none" w:sz="0" w:space="0" w:color="auto"/>
      </w:divBdr>
    </w:div>
    <w:div w:id="1257135963">
      <w:marLeft w:val="0"/>
      <w:marRight w:val="0"/>
      <w:marTop w:val="240"/>
      <w:marBottom w:val="0"/>
      <w:divBdr>
        <w:top w:val="none" w:sz="0" w:space="0" w:color="auto"/>
        <w:left w:val="none" w:sz="0" w:space="0" w:color="auto"/>
        <w:bottom w:val="none" w:sz="0" w:space="0" w:color="auto"/>
        <w:right w:val="none" w:sz="0" w:space="0" w:color="auto"/>
      </w:divBdr>
    </w:div>
    <w:div w:id="1264343876">
      <w:marLeft w:val="0"/>
      <w:marRight w:val="0"/>
      <w:marTop w:val="100"/>
      <w:marBottom w:val="0"/>
      <w:divBdr>
        <w:top w:val="none" w:sz="0" w:space="0" w:color="auto"/>
        <w:left w:val="none" w:sz="0" w:space="0" w:color="auto"/>
        <w:bottom w:val="none" w:sz="0" w:space="0" w:color="auto"/>
        <w:right w:val="none" w:sz="0" w:space="0" w:color="auto"/>
      </w:divBdr>
    </w:div>
    <w:div w:id="1264652946">
      <w:marLeft w:val="0"/>
      <w:marRight w:val="0"/>
      <w:marTop w:val="0"/>
      <w:marBottom w:val="0"/>
      <w:divBdr>
        <w:top w:val="none" w:sz="0" w:space="0" w:color="auto"/>
        <w:left w:val="none" w:sz="0" w:space="0" w:color="auto"/>
        <w:bottom w:val="none" w:sz="0" w:space="0" w:color="auto"/>
        <w:right w:val="none" w:sz="0" w:space="0" w:color="auto"/>
      </w:divBdr>
      <w:divsChild>
        <w:div w:id="747653538">
          <w:marLeft w:val="0"/>
          <w:marRight w:val="0"/>
          <w:marTop w:val="0"/>
          <w:marBottom w:val="0"/>
          <w:divBdr>
            <w:top w:val="none" w:sz="0" w:space="0" w:color="auto"/>
            <w:left w:val="none" w:sz="0" w:space="0" w:color="auto"/>
            <w:bottom w:val="none" w:sz="0" w:space="0" w:color="auto"/>
            <w:right w:val="none" w:sz="0" w:space="0" w:color="auto"/>
          </w:divBdr>
        </w:div>
        <w:div w:id="1502116791">
          <w:marLeft w:val="0"/>
          <w:marRight w:val="0"/>
          <w:marTop w:val="0"/>
          <w:marBottom w:val="0"/>
          <w:divBdr>
            <w:top w:val="none" w:sz="0" w:space="0" w:color="auto"/>
            <w:left w:val="none" w:sz="0" w:space="0" w:color="auto"/>
            <w:bottom w:val="none" w:sz="0" w:space="0" w:color="auto"/>
            <w:right w:val="none" w:sz="0" w:space="0" w:color="auto"/>
          </w:divBdr>
        </w:div>
      </w:divsChild>
    </w:div>
    <w:div w:id="1266108578">
      <w:marLeft w:val="0"/>
      <w:marRight w:val="0"/>
      <w:marTop w:val="100"/>
      <w:marBottom w:val="0"/>
      <w:divBdr>
        <w:top w:val="none" w:sz="0" w:space="0" w:color="auto"/>
        <w:left w:val="none" w:sz="0" w:space="0" w:color="auto"/>
        <w:bottom w:val="none" w:sz="0" w:space="0" w:color="auto"/>
        <w:right w:val="none" w:sz="0" w:space="0" w:color="auto"/>
      </w:divBdr>
    </w:div>
    <w:div w:id="1266616188">
      <w:marLeft w:val="0"/>
      <w:marRight w:val="0"/>
      <w:marTop w:val="60"/>
      <w:marBottom w:val="0"/>
      <w:divBdr>
        <w:top w:val="none" w:sz="0" w:space="0" w:color="auto"/>
        <w:left w:val="none" w:sz="0" w:space="0" w:color="auto"/>
        <w:bottom w:val="none" w:sz="0" w:space="0" w:color="auto"/>
        <w:right w:val="none" w:sz="0" w:space="0" w:color="auto"/>
      </w:divBdr>
    </w:div>
    <w:div w:id="1267155113">
      <w:marLeft w:val="0"/>
      <w:marRight w:val="0"/>
      <w:marTop w:val="100"/>
      <w:marBottom w:val="0"/>
      <w:divBdr>
        <w:top w:val="none" w:sz="0" w:space="0" w:color="auto"/>
        <w:left w:val="none" w:sz="0" w:space="0" w:color="auto"/>
        <w:bottom w:val="none" w:sz="0" w:space="0" w:color="auto"/>
        <w:right w:val="none" w:sz="0" w:space="0" w:color="auto"/>
      </w:divBdr>
    </w:div>
    <w:div w:id="1270701922">
      <w:marLeft w:val="0"/>
      <w:marRight w:val="0"/>
      <w:marTop w:val="0"/>
      <w:marBottom w:val="0"/>
      <w:divBdr>
        <w:top w:val="none" w:sz="0" w:space="0" w:color="auto"/>
        <w:left w:val="none" w:sz="0" w:space="0" w:color="auto"/>
        <w:bottom w:val="none" w:sz="0" w:space="0" w:color="auto"/>
        <w:right w:val="none" w:sz="0" w:space="0" w:color="auto"/>
      </w:divBdr>
      <w:divsChild>
        <w:div w:id="1756436790">
          <w:marLeft w:val="0"/>
          <w:marRight w:val="0"/>
          <w:marTop w:val="0"/>
          <w:marBottom w:val="0"/>
          <w:divBdr>
            <w:top w:val="none" w:sz="0" w:space="0" w:color="auto"/>
            <w:left w:val="none" w:sz="0" w:space="0" w:color="auto"/>
            <w:bottom w:val="none" w:sz="0" w:space="0" w:color="auto"/>
            <w:right w:val="none" w:sz="0" w:space="0" w:color="auto"/>
          </w:divBdr>
        </w:div>
        <w:div w:id="1252279249">
          <w:marLeft w:val="0"/>
          <w:marRight w:val="0"/>
          <w:marTop w:val="0"/>
          <w:marBottom w:val="0"/>
          <w:divBdr>
            <w:top w:val="none" w:sz="0" w:space="0" w:color="auto"/>
            <w:left w:val="none" w:sz="0" w:space="0" w:color="auto"/>
            <w:bottom w:val="none" w:sz="0" w:space="0" w:color="auto"/>
            <w:right w:val="none" w:sz="0" w:space="0" w:color="auto"/>
          </w:divBdr>
        </w:div>
      </w:divsChild>
    </w:div>
    <w:div w:id="1271665418">
      <w:marLeft w:val="0"/>
      <w:marRight w:val="0"/>
      <w:marTop w:val="100"/>
      <w:marBottom w:val="0"/>
      <w:divBdr>
        <w:top w:val="none" w:sz="0" w:space="0" w:color="auto"/>
        <w:left w:val="none" w:sz="0" w:space="0" w:color="auto"/>
        <w:bottom w:val="none" w:sz="0" w:space="0" w:color="auto"/>
        <w:right w:val="none" w:sz="0" w:space="0" w:color="auto"/>
      </w:divBdr>
    </w:div>
    <w:div w:id="1273391423">
      <w:marLeft w:val="0"/>
      <w:marRight w:val="0"/>
      <w:marTop w:val="0"/>
      <w:marBottom w:val="0"/>
      <w:divBdr>
        <w:top w:val="none" w:sz="0" w:space="0" w:color="auto"/>
        <w:left w:val="none" w:sz="0" w:space="0" w:color="auto"/>
        <w:bottom w:val="none" w:sz="0" w:space="0" w:color="auto"/>
        <w:right w:val="none" w:sz="0" w:space="0" w:color="auto"/>
      </w:divBdr>
      <w:divsChild>
        <w:div w:id="2097823812">
          <w:marLeft w:val="0"/>
          <w:marRight w:val="0"/>
          <w:marTop w:val="0"/>
          <w:marBottom w:val="0"/>
          <w:divBdr>
            <w:top w:val="none" w:sz="0" w:space="0" w:color="auto"/>
            <w:left w:val="none" w:sz="0" w:space="0" w:color="auto"/>
            <w:bottom w:val="none" w:sz="0" w:space="0" w:color="auto"/>
            <w:right w:val="none" w:sz="0" w:space="0" w:color="auto"/>
          </w:divBdr>
        </w:div>
        <w:div w:id="308481377">
          <w:marLeft w:val="0"/>
          <w:marRight w:val="0"/>
          <w:marTop w:val="0"/>
          <w:marBottom w:val="0"/>
          <w:divBdr>
            <w:top w:val="none" w:sz="0" w:space="0" w:color="auto"/>
            <w:left w:val="none" w:sz="0" w:space="0" w:color="auto"/>
            <w:bottom w:val="none" w:sz="0" w:space="0" w:color="auto"/>
            <w:right w:val="none" w:sz="0" w:space="0" w:color="auto"/>
          </w:divBdr>
        </w:div>
      </w:divsChild>
    </w:div>
    <w:div w:id="1274479336">
      <w:marLeft w:val="0"/>
      <w:marRight w:val="0"/>
      <w:marTop w:val="100"/>
      <w:marBottom w:val="0"/>
      <w:divBdr>
        <w:top w:val="none" w:sz="0" w:space="0" w:color="auto"/>
        <w:left w:val="none" w:sz="0" w:space="0" w:color="auto"/>
        <w:bottom w:val="none" w:sz="0" w:space="0" w:color="auto"/>
        <w:right w:val="none" w:sz="0" w:space="0" w:color="auto"/>
      </w:divBdr>
    </w:div>
    <w:div w:id="1275358678">
      <w:marLeft w:val="0"/>
      <w:marRight w:val="0"/>
      <w:marTop w:val="100"/>
      <w:marBottom w:val="0"/>
      <w:divBdr>
        <w:top w:val="none" w:sz="0" w:space="0" w:color="auto"/>
        <w:left w:val="none" w:sz="0" w:space="0" w:color="auto"/>
        <w:bottom w:val="none" w:sz="0" w:space="0" w:color="auto"/>
        <w:right w:val="none" w:sz="0" w:space="0" w:color="auto"/>
      </w:divBdr>
    </w:div>
    <w:div w:id="1280330887">
      <w:marLeft w:val="0"/>
      <w:marRight w:val="0"/>
      <w:marTop w:val="0"/>
      <w:marBottom w:val="0"/>
      <w:divBdr>
        <w:top w:val="none" w:sz="0" w:space="0" w:color="auto"/>
        <w:left w:val="none" w:sz="0" w:space="0" w:color="auto"/>
        <w:bottom w:val="none" w:sz="0" w:space="0" w:color="auto"/>
        <w:right w:val="none" w:sz="0" w:space="0" w:color="auto"/>
      </w:divBdr>
      <w:divsChild>
        <w:div w:id="1848865016">
          <w:marLeft w:val="0"/>
          <w:marRight w:val="0"/>
          <w:marTop w:val="0"/>
          <w:marBottom w:val="0"/>
          <w:divBdr>
            <w:top w:val="none" w:sz="0" w:space="0" w:color="auto"/>
            <w:left w:val="none" w:sz="0" w:space="0" w:color="auto"/>
            <w:bottom w:val="none" w:sz="0" w:space="0" w:color="auto"/>
            <w:right w:val="none" w:sz="0" w:space="0" w:color="auto"/>
          </w:divBdr>
        </w:div>
        <w:div w:id="2021393347">
          <w:marLeft w:val="0"/>
          <w:marRight w:val="0"/>
          <w:marTop w:val="0"/>
          <w:marBottom w:val="0"/>
          <w:divBdr>
            <w:top w:val="none" w:sz="0" w:space="0" w:color="auto"/>
            <w:left w:val="none" w:sz="0" w:space="0" w:color="auto"/>
            <w:bottom w:val="none" w:sz="0" w:space="0" w:color="auto"/>
            <w:right w:val="none" w:sz="0" w:space="0" w:color="auto"/>
          </w:divBdr>
        </w:div>
      </w:divsChild>
    </w:div>
    <w:div w:id="1282348412">
      <w:marLeft w:val="0"/>
      <w:marRight w:val="0"/>
      <w:marTop w:val="0"/>
      <w:marBottom w:val="0"/>
      <w:divBdr>
        <w:top w:val="none" w:sz="0" w:space="0" w:color="auto"/>
        <w:left w:val="none" w:sz="0" w:space="0" w:color="auto"/>
        <w:bottom w:val="none" w:sz="0" w:space="0" w:color="auto"/>
        <w:right w:val="none" w:sz="0" w:space="0" w:color="auto"/>
      </w:divBdr>
      <w:divsChild>
        <w:div w:id="1457867316">
          <w:marLeft w:val="0"/>
          <w:marRight w:val="0"/>
          <w:marTop w:val="0"/>
          <w:marBottom w:val="0"/>
          <w:divBdr>
            <w:top w:val="none" w:sz="0" w:space="0" w:color="auto"/>
            <w:left w:val="none" w:sz="0" w:space="0" w:color="auto"/>
            <w:bottom w:val="none" w:sz="0" w:space="0" w:color="auto"/>
            <w:right w:val="none" w:sz="0" w:space="0" w:color="auto"/>
          </w:divBdr>
        </w:div>
      </w:divsChild>
    </w:div>
    <w:div w:id="1288781529">
      <w:marLeft w:val="0"/>
      <w:marRight w:val="0"/>
      <w:marTop w:val="60"/>
      <w:marBottom w:val="0"/>
      <w:divBdr>
        <w:top w:val="none" w:sz="0" w:space="0" w:color="auto"/>
        <w:left w:val="none" w:sz="0" w:space="0" w:color="auto"/>
        <w:bottom w:val="none" w:sz="0" w:space="0" w:color="auto"/>
        <w:right w:val="none" w:sz="0" w:space="0" w:color="auto"/>
      </w:divBdr>
    </w:div>
    <w:div w:id="1291084357">
      <w:marLeft w:val="0"/>
      <w:marRight w:val="0"/>
      <w:marTop w:val="100"/>
      <w:marBottom w:val="0"/>
      <w:divBdr>
        <w:top w:val="none" w:sz="0" w:space="0" w:color="auto"/>
        <w:left w:val="none" w:sz="0" w:space="0" w:color="auto"/>
        <w:bottom w:val="none" w:sz="0" w:space="0" w:color="auto"/>
        <w:right w:val="none" w:sz="0" w:space="0" w:color="auto"/>
      </w:divBdr>
    </w:div>
    <w:div w:id="1291203628">
      <w:marLeft w:val="0"/>
      <w:marRight w:val="0"/>
      <w:marTop w:val="0"/>
      <w:marBottom w:val="0"/>
      <w:divBdr>
        <w:top w:val="none" w:sz="0" w:space="0" w:color="auto"/>
        <w:left w:val="none" w:sz="0" w:space="0" w:color="auto"/>
        <w:bottom w:val="none" w:sz="0" w:space="0" w:color="auto"/>
        <w:right w:val="none" w:sz="0" w:space="0" w:color="auto"/>
      </w:divBdr>
    </w:div>
    <w:div w:id="1291933711">
      <w:marLeft w:val="0"/>
      <w:marRight w:val="0"/>
      <w:marTop w:val="100"/>
      <w:marBottom w:val="0"/>
      <w:divBdr>
        <w:top w:val="none" w:sz="0" w:space="0" w:color="auto"/>
        <w:left w:val="none" w:sz="0" w:space="0" w:color="auto"/>
        <w:bottom w:val="none" w:sz="0" w:space="0" w:color="auto"/>
        <w:right w:val="none" w:sz="0" w:space="0" w:color="auto"/>
      </w:divBdr>
    </w:div>
    <w:div w:id="1294284636">
      <w:marLeft w:val="0"/>
      <w:marRight w:val="0"/>
      <w:marTop w:val="100"/>
      <w:marBottom w:val="0"/>
      <w:divBdr>
        <w:top w:val="none" w:sz="0" w:space="0" w:color="auto"/>
        <w:left w:val="none" w:sz="0" w:space="0" w:color="auto"/>
        <w:bottom w:val="none" w:sz="0" w:space="0" w:color="auto"/>
        <w:right w:val="none" w:sz="0" w:space="0" w:color="auto"/>
      </w:divBdr>
    </w:div>
    <w:div w:id="1296258625">
      <w:marLeft w:val="0"/>
      <w:marRight w:val="0"/>
      <w:marTop w:val="0"/>
      <w:marBottom w:val="0"/>
      <w:divBdr>
        <w:top w:val="none" w:sz="0" w:space="0" w:color="auto"/>
        <w:left w:val="none" w:sz="0" w:space="0" w:color="auto"/>
        <w:bottom w:val="none" w:sz="0" w:space="0" w:color="auto"/>
        <w:right w:val="none" w:sz="0" w:space="0" w:color="auto"/>
      </w:divBdr>
      <w:divsChild>
        <w:div w:id="42752035">
          <w:marLeft w:val="0"/>
          <w:marRight w:val="0"/>
          <w:marTop w:val="0"/>
          <w:marBottom w:val="0"/>
          <w:divBdr>
            <w:top w:val="none" w:sz="0" w:space="0" w:color="auto"/>
            <w:left w:val="none" w:sz="0" w:space="0" w:color="auto"/>
            <w:bottom w:val="none" w:sz="0" w:space="0" w:color="auto"/>
            <w:right w:val="none" w:sz="0" w:space="0" w:color="auto"/>
          </w:divBdr>
        </w:div>
        <w:div w:id="1459954469">
          <w:marLeft w:val="0"/>
          <w:marRight w:val="0"/>
          <w:marTop w:val="0"/>
          <w:marBottom w:val="0"/>
          <w:divBdr>
            <w:top w:val="none" w:sz="0" w:space="0" w:color="auto"/>
            <w:left w:val="none" w:sz="0" w:space="0" w:color="auto"/>
            <w:bottom w:val="none" w:sz="0" w:space="0" w:color="auto"/>
            <w:right w:val="none" w:sz="0" w:space="0" w:color="auto"/>
          </w:divBdr>
        </w:div>
      </w:divsChild>
    </w:div>
    <w:div w:id="1297417803">
      <w:marLeft w:val="0"/>
      <w:marRight w:val="0"/>
      <w:marTop w:val="100"/>
      <w:marBottom w:val="0"/>
      <w:divBdr>
        <w:top w:val="none" w:sz="0" w:space="0" w:color="auto"/>
        <w:left w:val="none" w:sz="0" w:space="0" w:color="auto"/>
        <w:bottom w:val="none" w:sz="0" w:space="0" w:color="auto"/>
        <w:right w:val="none" w:sz="0" w:space="0" w:color="auto"/>
      </w:divBdr>
    </w:div>
    <w:div w:id="1299261506">
      <w:marLeft w:val="0"/>
      <w:marRight w:val="0"/>
      <w:marTop w:val="100"/>
      <w:marBottom w:val="0"/>
      <w:divBdr>
        <w:top w:val="none" w:sz="0" w:space="0" w:color="auto"/>
        <w:left w:val="none" w:sz="0" w:space="0" w:color="auto"/>
        <w:bottom w:val="none" w:sz="0" w:space="0" w:color="auto"/>
        <w:right w:val="none" w:sz="0" w:space="0" w:color="auto"/>
      </w:divBdr>
    </w:div>
    <w:div w:id="1303005182">
      <w:marLeft w:val="0"/>
      <w:marRight w:val="0"/>
      <w:marTop w:val="100"/>
      <w:marBottom w:val="0"/>
      <w:divBdr>
        <w:top w:val="none" w:sz="0" w:space="0" w:color="auto"/>
        <w:left w:val="none" w:sz="0" w:space="0" w:color="auto"/>
        <w:bottom w:val="none" w:sz="0" w:space="0" w:color="auto"/>
        <w:right w:val="none" w:sz="0" w:space="0" w:color="auto"/>
      </w:divBdr>
    </w:div>
    <w:div w:id="1307201687">
      <w:marLeft w:val="0"/>
      <w:marRight w:val="0"/>
      <w:marTop w:val="0"/>
      <w:marBottom w:val="0"/>
      <w:divBdr>
        <w:top w:val="none" w:sz="0" w:space="0" w:color="auto"/>
        <w:left w:val="none" w:sz="0" w:space="0" w:color="auto"/>
        <w:bottom w:val="none" w:sz="0" w:space="0" w:color="auto"/>
        <w:right w:val="none" w:sz="0" w:space="0" w:color="auto"/>
      </w:divBdr>
      <w:divsChild>
        <w:div w:id="437994973">
          <w:marLeft w:val="0"/>
          <w:marRight w:val="0"/>
          <w:marTop w:val="0"/>
          <w:marBottom w:val="0"/>
          <w:divBdr>
            <w:top w:val="none" w:sz="0" w:space="0" w:color="auto"/>
            <w:left w:val="none" w:sz="0" w:space="0" w:color="auto"/>
            <w:bottom w:val="none" w:sz="0" w:space="0" w:color="auto"/>
            <w:right w:val="none" w:sz="0" w:space="0" w:color="auto"/>
          </w:divBdr>
        </w:div>
      </w:divsChild>
    </w:div>
    <w:div w:id="1309357616">
      <w:marLeft w:val="0"/>
      <w:marRight w:val="0"/>
      <w:marTop w:val="0"/>
      <w:marBottom w:val="0"/>
      <w:divBdr>
        <w:top w:val="none" w:sz="0" w:space="0" w:color="auto"/>
        <w:left w:val="none" w:sz="0" w:space="0" w:color="auto"/>
        <w:bottom w:val="none" w:sz="0" w:space="0" w:color="auto"/>
        <w:right w:val="none" w:sz="0" w:space="0" w:color="auto"/>
      </w:divBdr>
      <w:divsChild>
        <w:div w:id="1419791793">
          <w:marLeft w:val="0"/>
          <w:marRight w:val="0"/>
          <w:marTop w:val="0"/>
          <w:marBottom w:val="0"/>
          <w:divBdr>
            <w:top w:val="none" w:sz="0" w:space="0" w:color="auto"/>
            <w:left w:val="none" w:sz="0" w:space="0" w:color="auto"/>
            <w:bottom w:val="none" w:sz="0" w:space="0" w:color="auto"/>
            <w:right w:val="none" w:sz="0" w:space="0" w:color="auto"/>
          </w:divBdr>
        </w:div>
        <w:div w:id="422992681">
          <w:marLeft w:val="0"/>
          <w:marRight w:val="0"/>
          <w:marTop w:val="0"/>
          <w:marBottom w:val="0"/>
          <w:divBdr>
            <w:top w:val="none" w:sz="0" w:space="0" w:color="auto"/>
            <w:left w:val="none" w:sz="0" w:space="0" w:color="auto"/>
            <w:bottom w:val="none" w:sz="0" w:space="0" w:color="auto"/>
            <w:right w:val="none" w:sz="0" w:space="0" w:color="auto"/>
          </w:divBdr>
        </w:div>
      </w:divsChild>
    </w:div>
    <w:div w:id="1310020316">
      <w:marLeft w:val="0"/>
      <w:marRight w:val="0"/>
      <w:marTop w:val="100"/>
      <w:marBottom w:val="0"/>
      <w:divBdr>
        <w:top w:val="none" w:sz="0" w:space="0" w:color="auto"/>
        <w:left w:val="none" w:sz="0" w:space="0" w:color="auto"/>
        <w:bottom w:val="none" w:sz="0" w:space="0" w:color="auto"/>
        <w:right w:val="none" w:sz="0" w:space="0" w:color="auto"/>
      </w:divBdr>
    </w:div>
    <w:div w:id="1312635645">
      <w:marLeft w:val="0"/>
      <w:marRight w:val="0"/>
      <w:marTop w:val="240"/>
      <w:marBottom w:val="0"/>
      <w:divBdr>
        <w:top w:val="none" w:sz="0" w:space="0" w:color="auto"/>
        <w:left w:val="none" w:sz="0" w:space="0" w:color="auto"/>
        <w:bottom w:val="none" w:sz="0" w:space="0" w:color="auto"/>
        <w:right w:val="none" w:sz="0" w:space="0" w:color="auto"/>
      </w:divBdr>
    </w:div>
    <w:div w:id="1314798926">
      <w:marLeft w:val="0"/>
      <w:marRight w:val="0"/>
      <w:marTop w:val="100"/>
      <w:marBottom w:val="0"/>
      <w:divBdr>
        <w:top w:val="none" w:sz="0" w:space="0" w:color="auto"/>
        <w:left w:val="none" w:sz="0" w:space="0" w:color="auto"/>
        <w:bottom w:val="none" w:sz="0" w:space="0" w:color="auto"/>
        <w:right w:val="none" w:sz="0" w:space="0" w:color="auto"/>
      </w:divBdr>
    </w:div>
    <w:div w:id="1316683847">
      <w:marLeft w:val="0"/>
      <w:marRight w:val="0"/>
      <w:marTop w:val="100"/>
      <w:marBottom w:val="0"/>
      <w:divBdr>
        <w:top w:val="none" w:sz="0" w:space="0" w:color="auto"/>
        <w:left w:val="none" w:sz="0" w:space="0" w:color="auto"/>
        <w:bottom w:val="none" w:sz="0" w:space="0" w:color="auto"/>
        <w:right w:val="none" w:sz="0" w:space="0" w:color="auto"/>
      </w:divBdr>
    </w:div>
    <w:div w:id="1318459012">
      <w:marLeft w:val="0"/>
      <w:marRight w:val="0"/>
      <w:marTop w:val="60"/>
      <w:marBottom w:val="0"/>
      <w:divBdr>
        <w:top w:val="none" w:sz="0" w:space="0" w:color="auto"/>
        <w:left w:val="none" w:sz="0" w:space="0" w:color="auto"/>
        <w:bottom w:val="none" w:sz="0" w:space="0" w:color="auto"/>
        <w:right w:val="none" w:sz="0" w:space="0" w:color="auto"/>
      </w:divBdr>
    </w:div>
    <w:div w:id="1318531436">
      <w:marLeft w:val="0"/>
      <w:marRight w:val="0"/>
      <w:marTop w:val="100"/>
      <w:marBottom w:val="0"/>
      <w:divBdr>
        <w:top w:val="none" w:sz="0" w:space="0" w:color="auto"/>
        <w:left w:val="none" w:sz="0" w:space="0" w:color="auto"/>
        <w:bottom w:val="none" w:sz="0" w:space="0" w:color="auto"/>
        <w:right w:val="none" w:sz="0" w:space="0" w:color="auto"/>
      </w:divBdr>
    </w:div>
    <w:div w:id="1319768109">
      <w:marLeft w:val="0"/>
      <w:marRight w:val="0"/>
      <w:marTop w:val="100"/>
      <w:marBottom w:val="0"/>
      <w:divBdr>
        <w:top w:val="none" w:sz="0" w:space="0" w:color="auto"/>
        <w:left w:val="none" w:sz="0" w:space="0" w:color="auto"/>
        <w:bottom w:val="none" w:sz="0" w:space="0" w:color="auto"/>
        <w:right w:val="none" w:sz="0" w:space="0" w:color="auto"/>
      </w:divBdr>
    </w:div>
    <w:div w:id="1320307971">
      <w:marLeft w:val="0"/>
      <w:marRight w:val="0"/>
      <w:marTop w:val="100"/>
      <w:marBottom w:val="0"/>
      <w:divBdr>
        <w:top w:val="none" w:sz="0" w:space="0" w:color="auto"/>
        <w:left w:val="none" w:sz="0" w:space="0" w:color="auto"/>
        <w:bottom w:val="none" w:sz="0" w:space="0" w:color="auto"/>
        <w:right w:val="none" w:sz="0" w:space="0" w:color="auto"/>
      </w:divBdr>
    </w:div>
    <w:div w:id="1320771189">
      <w:marLeft w:val="0"/>
      <w:marRight w:val="0"/>
      <w:marTop w:val="0"/>
      <w:marBottom w:val="0"/>
      <w:divBdr>
        <w:top w:val="none" w:sz="0" w:space="0" w:color="auto"/>
        <w:left w:val="none" w:sz="0" w:space="0" w:color="auto"/>
        <w:bottom w:val="none" w:sz="0" w:space="0" w:color="auto"/>
        <w:right w:val="none" w:sz="0" w:space="0" w:color="auto"/>
      </w:divBdr>
      <w:divsChild>
        <w:div w:id="1738281360">
          <w:marLeft w:val="0"/>
          <w:marRight w:val="0"/>
          <w:marTop w:val="0"/>
          <w:marBottom w:val="0"/>
          <w:divBdr>
            <w:top w:val="none" w:sz="0" w:space="0" w:color="auto"/>
            <w:left w:val="none" w:sz="0" w:space="0" w:color="auto"/>
            <w:bottom w:val="none" w:sz="0" w:space="0" w:color="auto"/>
            <w:right w:val="none" w:sz="0" w:space="0" w:color="auto"/>
          </w:divBdr>
        </w:div>
      </w:divsChild>
    </w:div>
    <w:div w:id="1324701550">
      <w:marLeft w:val="0"/>
      <w:marRight w:val="0"/>
      <w:marTop w:val="0"/>
      <w:marBottom w:val="0"/>
      <w:divBdr>
        <w:top w:val="none" w:sz="0" w:space="0" w:color="auto"/>
        <w:left w:val="none" w:sz="0" w:space="0" w:color="auto"/>
        <w:bottom w:val="none" w:sz="0" w:space="0" w:color="auto"/>
        <w:right w:val="none" w:sz="0" w:space="0" w:color="auto"/>
      </w:divBdr>
      <w:divsChild>
        <w:div w:id="1911647832">
          <w:marLeft w:val="0"/>
          <w:marRight w:val="0"/>
          <w:marTop w:val="0"/>
          <w:marBottom w:val="0"/>
          <w:divBdr>
            <w:top w:val="none" w:sz="0" w:space="0" w:color="auto"/>
            <w:left w:val="none" w:sz="0" w:space="0" w:color="auto"/>
            <w:bottom w:val="none" w:sz="0" w:space="0" w:color="auto"/>
            <w:right w:val="none" w:sz="0" w:space="0" w:color="auto"/>
          </w:divBdr>
        </w:div>
        <w:div w:id="1197043485">
          <w:marLeft w:val="0"/>
          <w:marRight w:val="0"/>
          <w:marTop w:val="0"/>
          <w:marBottom w:val="0"/>
          <w:divBdr>
            <w:top w:val="none" w:sz="0" w:space="0" w:color="auto"/>
            <w:left w:val="none" w:sz="0" w:space="0" w:color="auto"/>
            <w:bottom w:val="none" w:sz="0" w:space="0" w:color="auto"/>
            <w:right w:val="none" w:sz="0" w:space="0" w:color="auto"/>
          </w:divBdr>
        </w:div>
      </w:divsChild>
    </w:div>
    <w:div w:id="1325662510">
      <w:marLeft w:val="0"/>
      <w:marRight w:val="0"/>
      <w:marTop w:val="100"/>
      <w:marBottom w:val="0"/>
      <w:divBdr>
        <w:top w:val="none" w:sz="0" w:space="0" w:color="auto"/>
        <w:left w:val="none" w:sz="0" w:space="0" w:color="auto"/>
        <w:bottom w:val="none" w:sz="0" w:space="0" w:color="auto"/>
        <w:right w:val="none" w:sz="0" w:space="0" w:color="auto"/>
      </w:divBdr>
    </w:div>
    <w:div w:id="1327053441">
      <w:marLeft w:val="0"/>
      <w:marRight w:val="0"/>
      <w:marTop w:val="100"/>
      <w:marBottom w:val="0"/>
      <w:divBdr>
        <w:top w:val="none" w:sz="0" w:space="0" w:color="auto"/>
        <w:left w:val="none" w:sz="0" w:space="0" w:color="auto"/>
        <w:bottom w:val="none" w:sz="0" w:space="0" w:color="auto"/>
        <w:right w:val="none" w:sz="0" w:space="0" w:color="auto"/>
      </w:divBdr>
    </w:div>
    <w:div w:id="1327249392">
      <w:marLeft w:val="0"/>
      <w:marRight w:val="0"/>
      <w:marTop w:val="100"/>
      <w:marBottom w:val="0"/>
      <w:divBdr>
        <w:top w:val="none" w:sz="0" w:space="0" w:color="auto"/>
        <w:left w:val="none" w:sz="0" w:space="0" w:color="auto"/>
        <w:bottom w:val="none" w:sz="0" w:space="0" w:color="auto"/>
        <w:right w:val="none" w:sz="0" w:space="0" w:color="auto"/>
      </w:divBdr>
    </w:div>
    <w:div w:id="1328022772">
      <w:marLeft w:val="0"/>
      <w:marRight w:val="0"/>
      <w:marTop w:val="60"/>
      <w:marBottom w:val="0"/>
      <w:divBdr>
        <w:top w:val="none" w:sz="0" w:space="0" w:color="auto"/>
        <w:left w:val="none" w:sz="0" w:space="0" w:color="auto"/>
        <w:bottom w:val="none" w:sz="0" w:space="0" w:color="auto"/>
        <w:right w:val="none" w:sz="0" w:space="0" w:color="auto"/>
      </w:divBdr>
    </w:div>
    <w:div w:id="1329601049">
      <w:marLeft w:val="0"/>
      <w:marRight w:val="0"/>
      <w:marTop w:val="60"/>
      <w:marBottom w:val="0"/>
      <w:divBdr>
        <w:top w:val="none" w:sz="0" w:space="0" w:color="auto"/>
        <w:left w:val="none" w:sz="0" w:space="0" w:color="auto"/>
        <w:bottom w:val="none" w:sz="0" w:space="0" w:color="auto"/>
        <w:right w:val="none" w:sz="0" w:space="0" w:color="auto"/>
      </w:divBdr>
    </w:div>
    <w:div w:id="1330477046">
      <w:marLeft w:val="0"/>
      <w:marRight w:val="0"/>
      <w:marTop w:val="100"/>
      <w:marBottom w:val="0"/>
      <w:divBdr>
        <w:top w:val="none" w:sz="0" w:space="0" w:color="auto"/>
        <w:left w:val="none" w:sz="0" w:space="0" w:color="auto"/>
        <w:bottom w:val="none" w:sz="0" w:space="0" w:color="auto"/>
        <w:right w:val="none" w:sz="0" w:space="0" w:color="auto"/>
      </w:divBdr>
    </w:div>
    <w:div w:id="1330521871">
      <w:marLeft w:val="0"/>
      <w:marRight w:val="0"/>
      <w:marTop w:val="100"/>
      <w:marBottom w:val="0"/>
      <w:divBdr>
        <w:top w:val="none" w:sz="0" w:space="0" w:color="auto"/>
        <w:left w:val="none" w:sz="0" w:space="0" w:color="auto"/>
        <w:bottom w:val="none" w:sz="0" w:space="0" w:color="auto"/>
        <w:right w:val="none" w:sz="0" w:space="0" w:color="auto"/>
      </w:divBdr>
    </w:div>
    <w:div w:id="1331757765">
      <w:marLeft w:val="0"/>
      <w:marRight w:val="0"/>
      <w:marTop w:val="100"/>
      <w:marBottom w:val="0"/>
      <w:divBdr>
        <w:top w:val="none" w:sz="0" w:space="0" w:color="auto"/>
        <w:left w:val="none" w:sz="0" w:space="0" w:color="auto"/>
        <w:bottom w:val="none" w:sz="0" w:space="0" w:color="auto"/>
        <w:right w:val="none" w:sz="0" w:space="0" w:color="auto"/>
      </w:divBdr>
    </w:div>
    <w:div w:id="1331955356">
      <w:marLeft w:val="0"/>
      <w:marRight w:val="0"/>
      <w:marTop w:val="0"/>
      <w:marBottom w:val="0"/>
      <w:divBdr>
        <w:top w:val="none" w:sz="0" w:space="0" w:color="auto"/>
        <w:left w:val="none" w:sz="0" w:space="0" w:color="auto"/>
        <w:bottom w:val="none" w:sz="0" w:space="0" w:color="auto"/>
        <w:right w:val="none" w:sz="0" w:space="0" w:color="auto"/>
      </w:divBdr>
      <w:divsChild>
        <w:div w:id="208154549">
          <w:marLeft w:val="0"/>
          <w:marRight w:val="0"/>
          <w:marTop w:val="0"/>
          <w:marBottom w:val="0"/>
          <w:divBdr>
            <w:top w:val="none" w:sz="0" w:space="0" w:color="auto"/>
            <w:left w:val="none" w:sz="0" w:space="0" w:color="auto"/>
            <w:bottom w:val="none" w:sz="0" w:space="0" w:color="auto"/>
            <w:right w:val="none" w:sz="0" w:space="0" w:color="auto"/>
          </w:divBdr>
        </w:div>
      </w:divsChild>
    </w:div>
    <w:div w:id="1333409691">
      <w:marLeft w:val="0"/>
      <w:marRight w:val="0"/>
      <w:marTop w:val="100"/>
      <w:marBottom w:val="0"/>
      <w:divBdr>
        <w:top w:val="none" w:sz="0" w:space="0" w:color="auto"/>
        <w:left w:val="none" w:sz="0" w:space="0" w:color="auto"/>
        <w:bottom w:val="none" w:sz="0" w:space="0" w:color="auto"/>
        <w:right w:val="none" w:sz="0" w:space="0" w:color="auto"/>
      </w:divBdr>
    </w:div>
    <w:div w:id="1333802267">
      <w:marLeft w:val="0"/>
      <w:marRight w:val="0"/>
      <w:marTop w:val="240"/>
      <w:marBottom w:val="0"/>
      <w:divBdr>
        <w:top w:val="none" w:sz="0" w:space="0" w:color="auto"/>
        <w:left w:val="none" w:sz="0" w:space="0" w:color="auto"/>
        <w:bottom w:val="none" w:sz="0" w:space="0" w:color="auto"/>
        <w:right w:val="none" w:sz="0" w:space="0" w:color="auto"/>
      </w:divBdr>
    </w:div>
    <w:div w:id="1334187956">
      <w:marLeft w:val="0"/>
      <w:marRight w:val="0"/>
      <w:marTop w:val="240"/>
      <w:marBottom w:val="0"/>
      <w:divBdr>
        <w:top w:val="none" w:sz="0" w:space="0" w:color="auto"/>
        <w:left w:val="none" w:sz="0" w:space="0" w:color="auto"/>
        <w:bottom w:val="none" w:sz="0" w:space="0" w:color="auto"/>
        <w:right w:val="none" w:sz="0" w:space="0" w:color="auto"/>
      </w:divBdr>
    </w:div>
    <w:div w:id="1334652275">
      <w:marLeft w:val="0"/>
      <w:marRight w:val="0"/>
      <w:marTop w:val="60"/>
      <w:marBottom w:val="0"/>
      <w:divBdr>
        <w:top w:val="none" w:sz="0" w:space="0" w:color="auto"/>
        <w:left w:val="none" w:sz="0" w:space="0" w:color="auto"/>
        <w:bottom w:val="none" w:sz="0" w:space="0" w:color="auto"/>
        <w:right w:val="none" w:sz="0" w:space="0" w:color="auto"/>
      </w:divBdr>
    </w:div>
    <w:div w:id="1335301878">
      <w:marLeft w:val="0"/>
      <w:marRight w:val="0"/>
      <w:marTop w:val="240"/>
      <w:marBottom w:val="0"/>
      <w:divBdr>
        <w:top w:val="none" w:sz="0" w:space="0" w:color="auto"/>
        <w:left w:val="none" w:sz="0" w:space="0" w:color="auto"/>
        <w:bottom w:val="none" w:sz="0" w:space="0" w:color="auto"/>
        <w:right w:val="none" w:sz="0" w:space="0" w:color="auto"/>
      </w:divBdr>
    </w:div>
    <w:div w:id="1335450141">
      <w:marLeft w:val="0"/>
      <w:marRight w:val="0"/>
      <w:marTop w:val="60"/>
      <w:marBottom w:val="0"/>
      <w:divBdr>
        <w:top w:val="none" w:sz="0" w:space="0" w:color="auto"/>
        <w:left w:val="none" w:sz="0" w:space="0" w:color="auto"/>
        <w:bottom w:val="none" w:sz="0" w:space="0" w:color="auto"/>
        <w:right w:val="none" w:sz="0" w:space="0" w:color="auto"/>
      </w:divBdr>
    </w:div>
    <w:div w:id="1340159902">
      <w:marLeft w:val="0"/>
      <w:marRight w:val="0"/>
      <w:marTop w:val="20"/>
      <w:marBottom w:val="0"/>
      <w:divBdr>
        <w:top w:val="none" w:sz="0" w:space="0" w:color="auto"/>
        <w:left w:val="none" w:sz="0" w:space="0" w:color="auto"/>
        <w:bottom w:val="none" w:sz="0" w:space="0" w:color="auto"/>
        <w:right w:val="none" w:sz="0" w:space="0" w:color="auto"/>
      </w:divBdr>
    </w:div>
    <w:div w:id="1340428575">
      <w:marLeft w:val="0"/>
      <w:marRight w:val="0"/>
      <w:marTop w:val="0"/>
      <w:marBottom w:val="0"/>
      <w:divBdr>
        <w:top w:val="none" w:sz="0" w:space="0" w:color="auto"/>
        <w:left w:val="none" w:sz="0" w:space="0" w:color="auto"/>
        <w:bottom w:val="none" w:sz="0" w:space="0" w:color="auto"/>
        <w:right w:val="none" w:sz="0" w:space="0" w:color="auto"/>
      </w:divBdr>
      <w:divsChild>
        <w:div w:id="709066059">
          <w:marLeft w:val="0"/>
          <w:marRight w:val="0"/>
          <w:marTop w:val="0"/>
          <w:marBottom w:val="0"/>
          <w:divBdr>
            <w:top w:val="none" w:sz="0" w:space="0" w:color="auto"/>
            <w:left w:val="none" w:sz="0" w:space="0" w:color="auto"/>
            <w:bottom w:val="none" w:sz="0" w:space="0" w:color="auto"/>
            <w:right w:val="none" w:sz="0" w:space="0" w:color="auto"/>
          </w:divBdr>
        </w:div>
      </w:divsChild>
    </w:div>
    <w:div w:id="1340541198">
      <w:marLeft w:val="0"/>
      <w:marRight w:val="0"/>
      <w:marTop w:val="60"/>
      <w:marBottom w:val="0"/>
      <w:divBdr>
        <w:top w:val="none" w:sz="0" w:space="0" w:color="auto"/>
        <w:left w:val="none" w:sz="0" w:space="0" w:color="auto"/>
        <w:bottom w:val="none" w:sz="0" w:space="0" w:color="auto"/>
        <w:right w:val="none" w:sz="0" w:space="0" w:color="auto"/>
      </w:divBdr>
    </w:div>
    <w:div w:id="1343631588">
      <w:marLeft w:val="0"/>
      <w:marRight w:val="0"/>
      <w:marTop w:val="60"/>
      <w:marBottom w:val="0"/>
      <w:divBdr>
        <w:top w:val="none" w:sz="0" w:space="0" w:color="auto"/>
        <w:left w:val="none" w:sz="0" w:space="0" w:color="auto"/>
        <w:bottom w:val="none" w:sz="0" w:space="0" w:color="auto"/>
        <w:right w:val="none" w:sz="0" w:space="0" w:color="auto"/>
      </w:divBdr>
    </w:div>
    <w:div w:id="1344891825">
      <w:marLeft w:val="0"/>
      <w:marRight w:val="0"/>
      <w:marTop w:val="100"/>
      <w:marBottom w:val="0"/>
      <w:divBdr>
        <w:top w:val="none" w:sz="0" w:space="0" w:color="auto"/>
        <w:left w:val="none" w:sz="0" w:space="0" w:color="auto"/>
        <w:bottom w:val="none" w:sz="0" w:space="0" w:color="auto"/>
        <w:right w:val="none" w:sz="0" w:space="0" w:color="auto"/>
      </w:divBdr>
    </w:div>
    <w:div w:id="1345478602">
      <w:marLeft w:val="0"/>
      <w:marRight w:val="0"/>
      <w:marTop w:val="100"/>
      <w:marBottom w:val="0"/>
      <w:divBdr>
        <w:top w:val="none" w:sz="0" w:space="0" w:color="auto"/>
        <w:left w:val="none" w:sz="0" w:space="0" w:color="auto"/>
        <w:bottom w:val="none" w:sz="0" w:space="0" w:color="auto"/>
        <w:right w:val="none" w:sz="0" w:space="0" w:color="auto"/>
      </w:divBdr>
    </w:div>
    <w:div w:id="1346207191">
      <w:marLeft w:val="0"/>
      <w:marRight w:val="0"/>
      <w:marTop w:val="100"/>
      <w:marBottom w:val="0"/>
      <w:divBdr>
        <w:top w:val="none" w:sz="0" w:space="0" w:color="auto"/>
        <w:left w:val="none" w:sz="0" w:space="0" w:color="auto"/>
        <w:bottom w:val="none" w:sz="0" w:space="0" w:color="auto"/>
        <w:right w:val="none" w:sz="0" w:space="0" w:color="auto"/>
      </w:divBdr>
    </w:div>
    <w:div w:id="1346708341">
      <w:marLeft w:val="0"/>
      <w:marRight w:val="0"/>
      <w:marTop w:val="60"/>
      <w:marBottom w:val="0"/>
      <w:divBdr>
        <w:top w:val="none" w:sz="0" w:space="0" w:color="auto"/>
        <w:left w:val="none" w:sz="0" w:space="0" w:color="auto"/>
        <w:bottom w:val="none" w:sz="0" w:space="0" w:color="auto"/>
        <w:right w:val="none" w:sz="0" w:space="0" w:color="auto"/>
      </w:divBdr>
    </w:div>
    <w:div w:id="1347825648">
      <w:marLeft w:val="0"/>
      <w:marRight w:val="0"/>
      <w:marTop w:val="100"/>
      <w:marBottom w:val="0"/>
      <w:divBdr>
        <w:top w:val="none" w:sz="0" w:space="0" w:color="auto"/>
        <w:left w:val="none" w:sz="0" w:space="0" w:color="auto"/>
        <w:bottom w:val="none" w:sz="0" w:space="0" w:color="auto"/>
        <w:right w:val="none" w:sz="0" w:space="0" w:color="auto"/>
      </w:divBdr>
    </w:div>
    <w:div w:id="1354529693">
      <w:marLeft w:val="0"/>
      <w:marRight w:val="0"/>
      <w:marTop w:val="0"/>
      <w:marBottom w:val="0"/>
      <w:divBdr>
        <w:top w:val="none" w:sz="0" w:space="0" w:color="auto"/>
        <w:left w:val="none" w:sz="0" w:space="0" w:color="auto"/>
        <w:bottom w:val="none" w:sz="0" w:space="0" w:color="auto"/>
        <w:right w:val="none" w:sz="0" w:space="0" w:color="auto"/>
      </w:divBdr>
      <w:divsChild>
        <w:div w:id="1397361977">
          <w:marLeft w:val="0"/>
          <w:marRight w:val="0"/>
          <w:marTop w:val="0"/>
          <w:marBottom w:val="0"/>
          <w:divBdr>
            <w:top w:val="none" w:sz="0" w:space="0" w:color="auto"/>
            <w:left w:val="none" w:sz="0" w:space="0" w:color="auto"/>
            <w:bottom w:val="none" w:sz="0" w:space="0" w:color="auto"/>
            <w:right w:val="none" w:sz="0" w:space="0" w:color="auto"/>
          </w:divBdr>
        </w:div>
      </w:divsChild>
    </w:div>
    <w:div w:id="1359158826">
      <w:marLeft w:val="0"/>
      <w:marRight w:val="0"/>
      <w:marTop w:val="60"/>
      <w:marBottom w:val="0"/>
      <w:divBdr>
        <w:top w:val="none" w:sz="0" w:space="0" w:color="auto"/>
        <w:left w:val="none" w:sz="0" w:space="0" w:color="auto"/>
        <w:bottom w:val="none" w:sz="0" w:space="0" w:color="auto"/>
        <w:right w:val="none" w:sz="0" w:space="0" w:color="auto"/>
      </w:divBdr>
    </w:div>
    <w:div w:id="1360089783">
      <w:marLeft w:val="0"/>
      <w:marRight w:val="0"/>
      <w:marTop w:val="100"/>
      <w:marBottom w:val="0"/>
      <w:divBdr>
        <w:top w:val="none" w:sz="0" w:space="0" w:color="auto"/>
        <w:left w:val="none" w:sz="0" w:space="0" w:color="auto"/>
        <w:bottom w:val="none" w:sz="0" w:space="0" w:color="auto"/>
        <w:right w:val="none" w:sz="0" w:space="0" w:color="auto"/>
      </w:divBdr>
    </w:div>
    <w:div w:id="1360357141">
      <w:marLeft w:val="0"/>
      <w:marRight w:val="0"/>
      <w:marTop w:val="100"/>
      <w:marBottom w:val="0"/>
      <w:divBdr>
        <w:top w:val="none" w:sz="0" w:space="0" w:color="auto"/>
        <w:left w:val="none" w:sz="0" w:space="0" w:color="auto"/>
        <w:bottom w:val="none" w:sz="0" w:space="0" w:color="auto"/>
        <w:right w:val="none" w:sz="0" w:space="0" w:color="auto"/>
      </w:divBdr>
    </w:div>
    <w:div w:id="1362323050">
      <w:marLeft w:val="0"/>
      <w:marRight w:val="0"/>
      <w:marTop w:val="0"/>
      <w:marBottom w:val="0"/>
      <w:divBdr>
        <w:top w:val="none" w:sz="0" w:space="0" w:color="auto"/>
        <w:left w:val="none" w:sz="0" w:space="0" w:color="auto"/>
        <w:bottom w:val="none" w:sz="0" w:space="0" w:color="auto"/>
        <w:right w:val="none" w:sz="0" w:space="0" w:color="auto"/>
      </w:divBdr>
      <w:divsChild>
        <w:div w:id="413671999">
          <w:marLeft w:val="0"/>
          <w:marRight w:val="0"/>
          <w:marTop w:val="0"/>
          <w:marBottom w:val="0"/>
          <w:divBdr>
            <w:top w:val="none" w:sz="0" w:space="0" w:color="auto"/>
            <w:left w:val="none" w:sz="0" w:space="0" w:color="auto"/>
            <w:bottom w:val="none" w:sz="0" w:space="0" w:color="auto"/>
            <w:right w:val="none" w:sz="0" w:space="0" w:color="auto"/>
          </w:divBdr>
        </w:div>
        <w:div w:id="1367872432">
          <w:marLeft w:val="0"/>
          <w:marRight w:val="0"/>
          <w:marTop w:val="0"/>
          <w:marBottom w:val="0"/>
          <w:divBdr>
            <w:top w:val="none" w:sz="0" w:space="0" w:color="auto"/>
            <w:left w:val="none" w:sz="0" w:space="0" w:color="auto"/>
            <w:bottom w:val="none" w:sz="0" w:space="0" w:color="auto"/>
            <w:right w:val="none" w:sz="0" w:space="0" w:color="auto"/>
          </w:divBdr>
        </w:div>
      </w:divsChild>
    </w:div>
    <w:div w:id="1363900612">
      <w:marLeft w:val="0"/>
      <w:marRight w:val="0"/>
      <w:marTop w:val="240"/>
      <w:marBottom w:val="0"/>
      <w:divBdr>
        <w:top w:val="none" w:sz="0" w:space="0" w:color="auto"/>
        <w:left w:val="none" w:sz="0" w:space="0" w:color="auto"/>
        <w:bottom w:val="none" w:sz="0" w:space="0" w:color="auto"/>
        <w:right w:val="none" w:sz="0" w:space="0" w:color="auto"/>
      </w:divBdr>
    </w:div>
    <w:div w:id="1363901537">
      <w:marLeft w:val="0"/>
      <w:marRight w:val="0"/>
      <w:marTop w:val="100"/>
      <w:marBottom w:val="0"/>
      <w:divBdr>
        <w:top w:val="none" w:sz="0" w:space="0" w:color="auto"/>
        <w:left w:val="none" w:sz="0" w:space="0" w:color="auto"/>
        <w:bottom w:val="none" w:sz="0" w:space="0" w:color="auto"/>
        <w:right w:val="none" w:sz="0" w:space="0" w:color="auto"/>
      </w:divBdr>
    </w:div>
    <w:div w:id="1364865575">
      <w:marLeft w:val="0"/>
      <w:marRight w:val="0"/>
      <w:marTop w:val="100"/>
      <w:marBottom w:val="0"/>
      <w:divBdr>
        <w:top w:val="none" w:sz="0" w:space="0" w:color="auto"/>
        <w:left w:val="none" w:sz="0" w:space="0" w:color="auto"/>
        <w:bottom w:val="none" w:sz="0" w:space="0" w:color="auto"/>
        <w:right w:val="none" w:sz="0" w:space="0" w:color="auto"/>
      </w:divBdr>
    </w:div>
    <w:div w:id="1365054543">
      <w:marLeft w:val="0"/>
      <w:marRight w:val="0"/>
      <w:marTop w:val="100"/>
      <w:marBottom w:val="0"/>
      <w:divBdr>
        <w:top w:val="none" w:sz="0" w:space="0" w:color="auto"/>
        <w:left w:val="none" w:sz="0" w:space="0" w:color="auto"/>
        <w:bottom w:val="none" w:sz="0" w:space="0" w:color="auto"/>
        <w:right w:val="none" w:sz="0" w:space="0" w:color="auto"/>
      </w:divBdr>
    </w:div>
    <w:div w:id="1369376015">
      <w:marLeft w:val="0"/>
      <w:marRight w:val="0"/>
      <w:marTop w:val="100"/>
      <w:marBottom w:val="0"/>
      <w:divBdr>
        <w:top w:val="none" w:sz="0" w:space="0" w:color="auto"/>
        <w:left w:val="none" w:sz="0" w:space="0" w:color="auto"/>
        <w:bottom w:val="none" w:sz="0" w:space="0" w:color="auto"/>
        <w:right w:val="none" w:sz="0" w:space="0" w:color="auto"/>
      </w:divBdr>
    </w:div>
    <w:div w:id="1369723770">
      <w:marLeft w:val="0"/>
      <w:marRight w:val="0"/>
      <w:marTop w:val="100"/>
      <w:marBottom w:val="0"/>
      <w:divBdr>
        <w:top w:val="none" w:sz="0" w:space="0" w:color="auto"/>
        <w:left w:val="none" w:sz="0" w:space="0" w:color="auto"/>
        <w:bottom w:val="none" w:sz="0" w:space="0" w:color="auto"/>
        <w:right w:val="none" w:sz="0" w:space="0" w:color="auto"/>
      </w:divBdr>
    </w:div>
    <w:div w:id="1369793391">
      <w:marLeft w:val="0"/>
      <w:marRight w:val="0"/>
      <w:marTop w:val="60"/>
      <w:marBottom w:val="0"/>
      <w:divBdr>
        <w:top w:val="none" w:sz="0" w:space="0" w:color="auto"/>
        <w:left w:val="none" w:sz="0" w:space="0" w:color="auto"/>
        <w:bottom w:val="none" w:sz="0" w:space="0" w:color="auto"/>
        <w:right w:val="none" w:sz="0" w:space="0" w:color="auto"/>
      </w:divBdr>
    </w:div>
    <w:div w:id="1371224487">
      <w:marLeft w:val="0"/>
      <w:marRight w:val="0"/>
      <w:marTop w:val="100"/>
      <w:marBottom w:val="0"/>
      <w:divBdr>
        <w:top w:val="none" w:sz="0" w:space="0" w:color="auto"/>
        <w:left w:val="none" w:sz="0" w:space="0" w:color="auto"/>
        <w:bottom w:val="none" w:sz="0" w:space="0" w:color="auto"/>
        <w:right w:val="none" w:sz="0" w:space="0" w:color="auto"/>
      </w:divBdr>
    </w:div>
    <w:div w:id="1373577375">
      <w:marLeft w:val="0"/>
      <w:marRight w:val="0"/>
      <w:marTop w:val="60"/>
      <w:marBottom w:val="0"/>
      <w:divBdr>
        <w:top w:val="none" w:sz="0" w:space="0" w:color="auto"/>
        <w:left w:val="none" w:sz="0" w:space="0" w:color="auto"/>
        <w:bottom w:val="none" w:sz="0" w:space="0" w:color="auto"/>
        <w:right w:val="none" w:sz="0" w:space="0" w:color="auto"/>
      </w:divBdr>
    </w:div>
    <w:div w:id="1374769184">
      <w:marLeft w:val="0"/>
      <w:marRight w:val="0"/>
      <w:marTop w:val="280"/>
      <w:marBottom w:val="0"/>
      <w:divBdr>
        <w:top w:val="none" w:sz="0" w:space="0" w:color="auto"/>
        <w:left w:val="none" w:sz="0" w:space="0" w:color="auto"/>
        <w:bottom w:val="none" w:sz="0" w:space="0" w:color="auto"/>
        <w:right w:val="none" w:sz="0" w:space="0" w:color="auto"/>
      </w:divBdr>
    </w:div>
    <w:div w:id="1377704255">
      <w:marLeft w:val="0"/>
      <w:marRight w:val="0"/>
      <w:marTop w:val="60"/>
      <w:marBottom w:val="0"/>
      <w:divBdr>
        <w:top w:val="none" w:sz="0" w:space="0" w:color="auto"/>
        <w:left w:val="none" w:sz="0" w:space="0" w:color="auto"/>
        <w:bottom w:val="none" w:sz="0" w:space="0" w:color="auto"/>
        <w:right w:val="none" w:sz="0" w:space="0" w:color="auto"/>
      </w:divBdr>
    </w:div>
    <w:div w:id="1377779959">
      <w:marLeft w:val="0"/>
      <w:marRight w:val="0"/>
      <w:marTop w:val="100"/>
      <w:marBottom w:val="0"/>
      <w:divBdr>
        <w:top w:val="none" w:sz="0" w:space="0" w:color="auto"/>
        <w:left w:val="none" w:sz="0" w:space="0" w:color="auto"/>
        <w:bottom w:val="none" w:sz="0" w:space="0" w:color="auto"/>
        <w:right w:val="none" w:sz="0" w:space="0" w:color="auto"/>
      </w:divBdr>
    </w:div>
    <w:div w:id="1379401934">
      <w:marLeft w:val="0"/>
      <w:marRight w:val="0"/>
      <w:marTop w:val="100"/>
      <w:marBottom w:val="0"/>
      <w:divBdr>
        <w:top w:val="none" w:sz="0" w:space="0" w:color="auto"/>
        <w:left w:val="none" w:sz="0" w:space="0" w:color="auto"/>
        <w:bottom w:val="none" w:sz="0" w:space="0" w:color="auto"/>
        <w:right w:val="none" w:sz="0" w:space="0" w:color="auto"/>
      </w:divBdr>
    </w:div>
    <w:div w:id="1382096254">
      <w:marLeft w:val="0"/>
      <w:marRight w:val="0"/>
      <w:marTop w:val="180"/>
      <w:marBottom w:val="0"/>
      <w:divBdr>
        <w:top w:val="none" w:sz="0" w:space="0" w:color="auto"/>
        <w:left w:val="none" w:sz="0" w:space="0" w:color="auto"/>
        <w:bottom w:val="none" w:sz="0" w:space="0" w:color="auto"/>
        <w:right w:val="none" w:sz="0" w:space="0" w:color="auto"/>
      </w:divBdr>
    </w:div>
    <w:div w:id="1382166794">
      <w:marLeft w:val="0"/>
      <w:marRight w:val="0"/>
      <w:marTop w:val="100"/>
      <w:marBottom w:val="0"/>
      <w:divBdr>
        <w:top w:val="none" w:sz="0" w:space="0" w:color="auto"/>
        <w:left w:val="none" w:sz="0" w:space="0" w:color="auto"/>
        <w:bottom w:val="none" w:sz="0" w:space="0" w:color="auto"/>
        <w:right w:val="none" w:sz="0" w:space="0" w:color="auto"/>
      </w:divBdr>
    </w:div>
    <w:div w:id="1382707157">
      <w:marLeft w:val="0"/>
      <w:marRight w:val="0"/>
      <w:marTop w:val="240"/>
      <w:marBottom w:val="0"/>
      <w:divBdr>
        <w:top w:val="none" w:sz="0" w:space="0" w:color="auto"/>
        <w:left w:val="none" w:sz="0" w:space="0" w:color="auto"/>
        <w:bottom w:val="none" w:sz="0" w:space="0" w:color="auto"/>
        <w:right w:val="none" w:sz="0" w:space="0" w:color="auto"/>
      </w:divBdr>
    </w:div>
    <w:div w:id="1383404062">
      <w:marLeft w:val="0"/>
      <w:marRight w:val="0"/>
      <w:marTop w:val="100"/>
      <w:marBottom w:val="0"/>
      <w:divBdr>
        <w:top w:val="none" w:sz="0" w:space="0" w:color="auto"/>
        <w:left w:val="none" w:sz="0" w:space="0" w:color="auto"/>
        <w:bottom w:val="none" w:sz="0" w:space="0" w:color="auto"/>
        <w:right w:val="none" w:sz="0" w:space="0" w:color="auto"/>
      </w:divBdr>
    </w:div>
    <w:div w:id="1384061458">
      <w:marLeft w:val="0"/>
      <w:marRight w:val="0"/>
      <w:marTop w:val="100"/>
      <w:marBottom w:val="0"/>
      <w:divBdr>
        <w:top w:val="none" w:sz="0" w:space="0" w:color="auto"/>
        <w:left w:val="none" w:sz="0" w:space="0" w:color="auto"/>
        <w:bottom w:val="none" w:sz="0" w:space="0" w:color="auto"/>
        <w:right w:val="none" w:sz="0" w:space="0" w:color="auto"/>
      </w:divBdr>
    </w:div>
    <w:div w:id="1384256747">
      <w:marLeft w:val="0"/>
      <w:marRight w:val="0"/>
      <w:marTop w:val="0"/>
      <w:marBottom w:val="0"/>
      <w:divBdr>
        <w:top w:val="none" w:sz="0" w:space="0" w:color="auto"/>
        <w:left w:val="none" w:sz="0" w:space="0" w:color="auto"/>
        <w:bottom w:val="none" w:sz="0" w:space="0" w:color="auto"/>
        <w:right w:val="none" w:sz="0" w:space="0" w:color="auto"/>
      </w:divBdr>
      <w:divsChild>
        <w:div w:id="605115030">
          <w:marLeft w:val="0"/>
          <w:marRight w:val="0"/>
          <w:marTop w:val="0"/>
          <w:marBottom w:val="0"/>
          <w:divBdr>
            <w:top w:val="none" w:sz="0" w:space="0" w:color="auto"/>
            <w:left w:val="none" w:sz="0" w:space="0" w:color="auto"/>
            <w:bottom w:val="none" w:sz="0" w:space="0" w:color="auto"/>
            <w:right w:val="none" w:sz="0" w:space="0" w:color="auto"/>
          </w:divBdr>
        </w:div>
      </w:divsChild>
    </w:div>
    <w:div w:id="1388453247">
      <w:marLeft w:val="0"/>
      <w:marRight w:val="0"/>
      <w:marTop w:val="100"/>
      <w:marBottom w:val="0"/>
      <w:divBdr>
        <w:top w:val="none" w:sz="0" w:space="0" w:color="auto"/>
        <w:left w:val="none" w:sz="0" w:space="0" w:color="auto"/>
        <w:bottom w:val="none" w:sz="0" w:space="0" w:color="auto"/>
        <w:right w:val="none" w:sz="0" w:space="0" w:color="auto"/>
      </w:divBdr>
    </w:div>
    <w:div w:id="1391802962">
      <w:marLeft w:val="0"/>
      <w:marRight w:val="0"/>
      <w:marTop w:val="100"/>
      <w:marBottom w:val="0"/>
      <w:divBdr>
        <w:top w:val="none" w:sz="0" w:space="0" w:color="auto"/>
        <w:left w:val="none" w:sz="0" w:space="0" w:color="auto"/>
        <w:bottom w:val="none" w:sz="0" w:space="0" w:color="auto"/>
        <w:right w:val="none" w:sz="0" w:space="0" w:color="auto"/>
      </w:divBdr>
    </w:div>
    <w:div w:id="1396320305">
      <w:marLeft w:val="0"/>
      <w:marRight w:val="0"/>
      <w:marTop w:val="100"/>
      <w:marBottom w:val="0"/>
      <w:divBdr>
        <w:top w:val="none" w:sz="0" w:space="0" w:color="auto"/>
        <w:left w:val="none" w:sz="0" w:space="0" w:color="auto"/>
        <w:bottom w:val="none" w:sz="0" w:space="0" w:color="auto"/>
        <w:right w:val="none" w:sz="0" w:space="0" w:color="auto"/>
      </w:divBdr>
    </w:div>
    <w:div w:id="1397126485">
      <w:marLeft w:val="0"/>
      <w:marRight w:val="0"/>
      <w:marTop w:val="100"/>
      <w:marBottom w:val="0"/>
      <w:divBdr>
        <w:top w:val="none" w:sz="0" w:space="0" w:color="auto"/>
        <w:left w:val="none" w:sz="0" w:space="0" w:color="auto"/>
        <w:bottom w:val="none" w:sz="0" w:space="0" w:color="auto"/>
        <w:right w:val="none" w:sz="0" w:space="0" w:color="auto"/>
      </w:divBdr>
    </w:div>
    <w:div w:id="1398750587">
      <w:marLeft w:val="0"/>
      <w:marRight w:val="0"/>
      <w:marTop w:val="180"/>
      <w:marBottom w:val="180"/>
      <w:divBdr>
        <w:top w:val="none" w:sz="0" w:space="0" w:color="auto"/>
        <w:left w:val="none" w:sz="0" w:space="0" w:color="auto"/>
        <w:bottom w:val="none" w:sz="0" w:space="0" w:color="auto"/>
        <w:right w:val="none" w:sz="0" w:space="0" w:color="auto"/>
      </w:divBdr>
    </w:div>
    <w:div w:id="1399785580">
      <w:marLeft w:val="0"/>
      <w:marRight w:val="0"/>
      <w:marTop w:val="180"/>
      <w:marBottom w:val="180"/>
      <w:divBdr>
        <w:top w:val="none" w:sz="0" w:space="0" w:color="auto"/>
        <w:left w:val="none" w:sz="0" w:space="0" w:color="auto"/>
        <w:bottom w:val="none" w:sz="0" w:space="0" w:color="auto"/>
        <w:right w:val="none" w:sz="0" w:space="0" w:color="auto"/>
      </w:divBdr>
    </w:div>
    <w:div w:id="1405104262">
      <w:marLeft w:val="0"/>
      <w:marRight w:val="0"/>
      <w:marTop w:val="60"/>
      <w:marBottom w:val="0"/>
      <w:divBdr>
        <w:top w:val="none" w:sz="0" w:space="0" w:color="auto"/>
        <w:left w:val="none" w:sz="0" w:space="0" w:color="auto"/>
        <w:bottom w:val="none" w:sz="0" w:space="0" w:color="auto"/>
        <w:right w:val="none" w:sz="0" w:space="0" w:color="auto"/>
      </w:divBdr>
    </w:div>
    <w:div w:id="1408499968">
      <w:marLeft w:val="0"/>
      <w:marRight w:val="0"/>
      <w:marTop w:val="100"/>
      <w:marBottom w:val="0"/>
      <w:divBdr>
        <w:top w:val="none" w:sz="0" w:space="0" w:color="auto"/>
        <w:left w:val="none" w:sz="0" w:space="0" w:color="auto"/>
        <w:bottom w:val="none" w:sz="0" w:space="0" w:color="auto"/>
        <w:right w:val="none" w:sz="0" w:space="0" w:color="auto"/>
      </w:divBdr>
    </w:div>
    <w:div w:id="1409573169">
      <w:marLeft w:val="0"/>
      <w:marRight w:val="0"/>
      <w:marTop w:val="100"/>
      <w:marBottom w:val="0"/>
      <w:divBdr>
        <w:top w:val="none" w:sz="0" w:space="0" w:color="auto"/>
        <w:left w:val="none" w:sz="0" w:space="0" w:color="auto"/>
        <w:bottom w:val="none" w:sz="0" w:space="0" w:color="auto"/>
        <w:right w:val="none" w:sz="0" w:space="0" w:color="auto"/>
      </w:divBdr>
    </w:div>
    <w:div w:id="1410691698">
      <w:marLeft w:val="0"/>
      <w:marRight w:val="0"/>
      <w:marTop w:val="100"/>
      <w:marBottom w:val="0"/>
      <w:divBdr>
        <w:top w:val="none" w:sz="0" w:space="0" w:color="auto"/>
        <w:left w:val="none" w:sz="0" w:space="0" w:color="auto"/>
        <w:bottom w:val="none" w:sz="0" w:space="0" w:color="auto"/>
        <w:right w:val="none" w:sz="0" w:space="0" w:color="auto"/>
      </w:divBdr>
    </w:div>
    <w:div w:id="1410881126">
      <w:marLeft w:val="0"/>
      <w:marRight w:val="0"/>
      <w:marTop w:val="0"/>
      <w:marBottom w:val="0"/>
      <w:divBdr>
        <w:top w:val="none" w:sz="0" w:space="0" w:color="auto"/>
        <w:left w:val="none" w:sz="0" w:space="0" w:color="auto"/>
        <w:bottom w:val="none" w:sz="0" w:space="0" w:color="auto"/>
        <w:right w:val="none" w:sz="0" w:space="0" w:color="auto"/>
      </w:divBdr>
      <w:divsChild>
        <w:div w:id="1797479566">
          <w:marLeft w:val="0"/>
          <w:marRight w:val="0"/>
          <w:marTop w:val="0"/>
          <w:marBottom w:val="0"/>
          <w:divBdr>
            <w:top w:val="none" w:sz="0" w:space="0" w:color="auto"/>
            <w:left w:val="none" w:sz="0" w:space="0" w:color="auto"/>
            <w:bottom w:val="none" w:sz="0" w:space="0" w:color="auto"/>
            <w:right w:val="none" w:sz="0" w:space="0" w:color="auto"/>
          </w:divBdr>
        </w:div>
      </w:divsChild>
    </w:div>
    <w:div w:id="1417550883">
      <w:marLeft w:val="0"/>
      <w:marRight w:val="0"/>
      <w:marTop w:val="100"/>
      <w:marBottom w:val="0"/>
      <w:divBdr>
        <w:top w:val="none" w:sz="0" w:space="0" w:color="auto"/>
        <w:left w:val="none" w:sz="0" w:space="0" w:color="auto"/>
        <w:bottom w:val="none" w:sz="0" w:space="0" w:color="auto"/>
        <w:right w:val="none" w:sz="0" w:space="0" w:color="auto"/>
      </w:divBdr>
    </w:div>
    <w:div w:id="1417677142">
      <w:marLeft w:val="0"/>
      <w:marRight w:val="0"/>
      <w:marTop w:val="60"/>
      <w:marBottom w:val="0"/>
      <w:divBdr>
        <w:top w:val="none" w:sz="0" w:space="0" w:color="auto"/>
        <w:left w:val="none" w:sz="0" w:space="0" w:color="auto"/>
        <w:bottom w:val="none" w:sz="0" w:space="0" w:color="auto"/>
        <w:right w:val="none" w:sz="0" w:space="0" w:color="auto"/>
      </w:divBdr>
    </w:div>
    <w:div w:id="1418209450">
      <w:marLeft w:val="0"/>
      <w:marRight w:val="0"/>
      <w:marTop w:val="100"/>
      <w:marBottom w:val="0"/>
      <w:divBdr>
        <w:top w:val="none" w:sz="0" w:space="0" w:color="auto"/>
        <w:left w:val="none" w:sz="0" w:space="0" w:color="auto"/>
        <w:bottom w:val="none" w:sz="0" w:space="0" w:color="auto"/>
        <w:right w:val="none" w:sz="0" w:space="0" w:color="auto"/>
      </w:divBdr>
    </w:div>
    <w:div w:id="1420056697">
      <w:marLeft w:val="0"/>
      <w:marRight w:val="0"/>
      <w:marTop w:val="0"/>
      <w:marBottom w:val="0"/>
      <w:divBdr>
        <w:top w:val="none" w:sz="0" w:space="0" w:color="auto"/>
        <w:left w:val="none" w:sz="0" w:space="0" w:color="auto"/>
        <w:bottom w:val="none" w:sz="0" w:space="0" w:color="auto"/>
        <w:right w:val="none" w:sz="0" w:space="0" w:color="auto"/>
      </w:divBdr>
      <w:divsChild>
        <w:div w:id="1989285965">
          <w:marLeft w:val="0"/>
          <w:marRight w:val="0"/>
          <w:marTop w:val="0"/>
          <w:marBottom w:val="0"/>
          <w:divBdr>
            <w:top w:val="none" w:sz="0" w:space="0" w:color="auto"/>
            <w:left w:val="none" w:sz="0" w:space="0" w:color="auto"/>
            <w:bottom w:val="none" w:sz="0" w:space="0" w:color="auto"/>
            <w:right w:val="none" w:sz="0" w:space="0" w:color="auto"/>
          </w:divBdr>
        </w:div>
        <w:div w:id="1555653568">
          <w:marLeft w:val="0"/>
          <w:marRight w:val="0"/>
          <w:marTop w:val="0"/>
          <w:marBottom w:val="0"/>
          <w:divBdr>
            <w:top w:val="none" w:sz="0" w:space="0" w:color="auto"/>
            <w:left w:val="none" w:sz="0" w:space="0" w:color="auto"/>
            <w:bottom w:val="none" w:sz="0" w:space="0" w:color="auto"/>
            <w:right w:val="none" w:sz="0" w:space="0" w:color="auto"/>
          </w:divBdr>
        </w:div>
      </w:divsChild>
    </w:div>
    <w:div w:id="1422027874">
      <w:marLeft w:val="0"/>
      <w:marRight w:val="0"/>
      <w:marTop w:val="100"/>
      <w:marBottom w:val="0"/>
      <w:divBdr>
        <w:top w:val="none" w:sz="0" w:space="0" w:color="auto"/>
        <w:left w:val="none" w:sz="0" w:space="0" w:color="auto"/>
        <w:bottom w:val="none" w:sz="0" w:space="0" w:color="auto"/>
        <w:right w:val="none" w:sz="0" w:space="0" w:color="auto"/>
      </w:divBdr>
    </w:div>
    <w:div w:id="1424258867">
      <w:marLeft w:val="0"/>
      <w:marRight w:val="0"/>
      <w:marTop w:val="100"/>
      <w:marBottom w:val="0"/>
      <w:divBdr>
        <w:top w:val="none" w:sz="0" w:space="0" w:color="auto"/>
        <w:left w:val="none" w:sz="0" w:space="0" w:color="auto"/>
        <w:bottom w:val="none" w:sz="0" w:space="0" w:color="auto"/>
        <w:right w:val="none" w:sz="0" w:space="0" w:color="auto"/>
      </w:divBdr>
    </w:div>
    <w:div w:id="1427917200">
      <w:marLeft w:val="0"/>
      <w:marRight w:val="0"/>
      <w:marTop w:val="100"/>
      <w:marBottom w:val="0"/>
      <w:divBdr>
        <w:top w:val="none" w:sz="0" w:space="0" w:color="auto"/>
        <w:left w:val="none" w:sz="0" w:space="0" w:color="auto"/>
        <w:bottom w:val="none" w:sz="0" w:space="0" w:color="auto"/>
        <w:right w:val="none" w:sz="0" w:space="0" w:color="auto"/>
      </w:divBdr>
    </w:div>
    <w:div w:id="1431386836">
      <w:marLeft w:val="0"/>
      <w:marRight w:val="0"/>
      <w:marTop w:val="100"/>
      <w:marBottom w:val="0"/>
      <w:divBdr>
        <w:top w:val="none" w:sz="0" w:space="0" w:color="auto"/>
        <w:left w:val="none" w:sz="0" w:space="0" w:color="auto"/>
        <w:bottom w:val="none" w:sz="0" w:space="0" w:color="auto"/>
        <w:right w:val="none" w:sz="0" w:space="0" w:color="auto"/>
      </w:divBdr>
    </w:div>
    <w:div w:id="1433745477">
      <w:marLeft w:val="0"/>
      <w:marRight w:val="0"/>
      <w:marTop w:val="60"/>
      <w:marBottom w:val="0"/>
      <w:divBdr>
        <w:top w:val="none" w:sz="0" w:space="0" w:color="auto"/>
        <w:left w:val="none" w:sz="0" w:space="0" w:color="auto"/>
        <w:bottom w:val="none" w:sz="0" w:space="0" w:color="auto"/>
        <w:right w:val="none" w:sz="0" w:space="0" w:color="auto"/>
      </w:divBdr>
    </w:div>
    <w:div w:id="1436629801">
      <w:marLeft w:val="0"/>
      <w:marRight w:val="0"/>
      <w:marTop w:val="100"/>
      <w:marBottom w:val="0"/>
      <w:divBdr>
        <w:top w:val="none" w:sz="0" w:space="0" w:color="auto"/>
        <w:left w:val="none" w:sz="0" w:space="0" w:color="auto"/>
        <w:bottom w:val="none" w:sz="0" w:space="0" w:color="auto"/>
        <w:right w:val="none" w:sz="0" w:space="0" w:color="auto"/>
      </w:divBdr>
    </w:div>
    <w:div w:id="1436710873">
      <w:marLeft w:val="0"/>
      <w:marRight w:val="0"/>
      <w:marTop w:val="60"/>
      <w:marBottom w:val="0"/>
      <w:divBdr>
        <w:top w:val="none" w:sz="0" w:space="0" w:color="auto"/>
        <w:left w:val="none" w:sz="0" w:space="0" w:color="auto"/>
        <w:bottom w:val="none" w:sz="0" w:space="0" w:color="auto"/>
        <w:right w:val="none" w:sz="0" w:space="0" w:color="auto"/>
      </w:divBdr>
    </w:div>
    <w:div w:id="1436944652">
      <w:marLeft w:val="0"/>
      <w:marRight w:val="0"/>
      <w:marTop w:val="100"/>
      <w:marBottom w:val="0"/>
      <w:divBdr>
        <w:top w:val="none" w:sz="0" w:space="0" w:color="auto"/>
        <w:left w:val="none" w:sz="0" w:space="0" w:color="auto"/>
        <w:bottom w:val="none" w:sz="0" w:space="0" w:color="auto"/>
        <w:right w:val="none" w:sz="0" w:space="0" w:color="auto"/>
      </w:divBdr>
    </w:div>
    <w:div w:id="1438868134">
      <w:marLeft w:val="0"/>
      <w:marRight w:val="0"/>
      <w:marTop w:val="0"/>
      <w:marBottom w:val="0"/>
      <w:divBdr>
        <w:top w:val="none" w:sz="0" w:space="0" w:color="auto"/>
        <w:left w:val="none" w:sz="0" w:space="0" w:color="auto"/>
        <w:bottom w:val="none" w:sz="0" w:space="0" w:color="auto"/>
        <w:right w:val="none" w:sz="0" w:space="0" w:color="auto"/>
      </w:divBdr>
      <w:divsChild>
        <w:div w:id="1083839770">
          <w:marLeft w:val="0"/>
          <w:marRight w:val="0"/>
          <w:marTop w:val="0"/>
          <w:marBottom w:val="0"/>
          <w:divBdr>
            <w:top w:val="none" w:sz="0" w:space="0" w:color="auto"/>
            <w:left w:val="none" w:sz="0" w:space="0" w:color="auto"/>
            <w:bottom w:val="none" w:sz="0" w:space="0" w:color="auto"/>
            <w:right w:val="none" w:sz="0" w:space="0" w:color="auto"/>
          </w:divBdr>
        </w:div>
        <w:div w:id="624429629">
          <w:marLeft w:val="0"/>
          <w:marRight w:val="0"/>
          <w:marTop w:val="0"/>
          <w:marBottom w:val="0"/>
          <w:divBdr>
            <w:top w:val="none" w:sz="0" w:space="0" w:color="auto"/>
            <w:left w:val="none" w:sz="0" w:space="0" w:color="auto"/>
            <w:bottom w:val="none" w:sz="0" w:space="0" w:color="auto"/>
            <w:right w:val="none" w:sz="0" w:space="0" w:color="auto"/>
          </w:divBdr>
        </w:div>
      </w:divsChild>
    </w:div>
    <w:div w:id="1439713596">
      <w:marLeft w:val="0"/>
      <w:marRight w:val="0"/>
      <w:marTop w:val="100"/>
      <w:marBottom w:val="0"/>
      <w:divBdr>
        <w:top w:val="none" w:sz="0" w:space="0" w:color="auto"/>
        <w:left w:val="none" w:sz="0" w:space="0" w:color="auto"/>
        <w:bottom w:val="none" w:sz="0" w:space="0" w:color="auto"/>
        <w:right w:val="none" w:sz="0" w:space="0" w:color="auto"/>
      </w:divBdr>
    </w:div>
    <w:div w:id="1441679954">
      <w:marLeft w:val="0"/>
      <w:marRight w:val="0"/>
      <w:marTop w:val="240"/>
      <w:marBottom w:val="0"/>
      <w:divBdr>
        <w:top w:val="none" w:sz="0" w:space="0" w:color="auto"/>
        <w:left w:val="none" w:sz="0" w:space="0" w:color="auto"/>
        <w:bottom w:val="none" w:sz="0" w:space="0" w:color="auto"/>
        <w:right w:val="none" w:sz="0" w:space="0" w:color="auto"/>
      </w:divBdr>
    </w:div>
    <w:div w:id="1443185607">
      <w:marLeft w:val="0"/>
      <w:marRight w:val="0"/>
      <w:marTop w:val="240"/>
      <w:marBottom w:val="0"/>
      <w:divBdr>
        <w:top w:val="none" w:sz="0" w:space="0" w:color="auto"/>
        <w:left w:val="none" w:sz="0" w:space="0" w:color="auto"/>
        <w:bottom w:val="none" w:sz="0" w:space="0" w:color="auto"/>
        <w:right w:val="none" w:sz="0" w:space="0" w:color="auto"/>
      </w:divBdr>
    </w:div>
    <w:div w:id="1444499086">
      <w:marLeft w:val="0"/>
      <w:marRight w:val="0"/>
      <w:marTop w:val="100"/>
      <w:marBottom w:val="0"/>
      <w:divBdr>
        <w:top w:val="none" w:sz="0" w:space="0" w:color="auto"/>
        <w:left w:val="none" w:sz="0" w:space="0" w:color="auto"/>
        <w:bottom w:val="none" w:sz="0" w:space="0" w:color="auto"/>
        <w:right w:val="none" w:sz="0" w:space="0" w:color="auto"/>
      </w:divBdr>
    </w:div>
    <w:div w:id="1444765304">
      <w:marLeft w:val="0"/>
      <w:marRight w:val="0"/>
      <w:marTop w:val="100"/>
      <w:marBottom w:val="0"/>
      <w:divBdr>
        <w:top w:val="none" w:sz="0" w:space="0" w:color="auto"/>
        <w:left w:val="none" w:sz="0" w:space="0" w:color="auto"/>
        <w:bottom w:val="none" w:sz="0" w:space="0" w:color="auto"/>
        <w:right w:val="none" w:sz="0" w:space="0" w:color="auto"/>
      </w:divBdr>
    </w:div>
    <w:div w:id="1446970196">
      <w:marLeft w:val="0"/>
      <w:marRight w:val="0"/>
      <w:marTop w:val="100"/>
      <w:marBottom w:val="0"/>
      <w:divBdr>
        <w:top w:val="none" w:sz="0" w:space="0" w:color="auto"/>
        <w:left w:val="none" w:sz="0" w:space="0" w:color="auto"/>
        <w:bottom w:val="none" w:sz="0" w:space="0" w:color="auto"/>
        <w:right w:val="none" w:sz="0" w:space="0" w:color="auto"/>
      </w:divBdr>
    </w:div>
    <w:div w:id="1447430934">
      <w:marLeft w:val="0"/>
      <w:marRight w:val="0"/>
      <w:marTop w:val="60"/>
      <w:marBottom w:val="0"/>
      <w:divBdr>
        <w:top w:val="none" w:sz="0" w:space="0" w:color="auto"/>
        <w:left w:val="none" w:sz="0" w:space="0" w:color="auto"/>
        <w:bottom w:val="none" w:sz="0" w:space="0" w:color="auto"/>
        <w:right w:val="none" w:sz="0" w:space="0" w:color="auto"/>
      </w:divBdr>
    </w:div>
    <w:div w:id="1447432074">
      <w:marLeft w:val="0"/>
      <w:marRight w:val="0"/>
      <w:marTop w:val="100"/>
      <w:marBottom w:val="0"/>
      <w:divBdr>
        <w:top w:val="none" w:sz="0" w:space="0" w:color="auto"/>
        <w:left w:val="none" w:sz="0" w:space="0" w:color="auto"/>
        <w:bottom w:val="none" w:sz="0" w:space="0" w:color="auto"/>
        <w:right w:val="none" w:sz="0" w:space="0" w:color="auto"/>
      </w:divBdr>
    </w:div>
    <w:div w:id="1448966375">
      <w:marLeft w:val="0"/>
      <w:marRight w:val="0"/>
      <w:marTop w:val="240"/>
      <w:marBottom w:val="0"/>
      <w:divBdr>
        <w:top w:val="none" w:sz="0" w:space="0" w:color="auto"/>
        <w:left w:val="none" w:sz="0" w:space="0" w:color="auto"/>
        <w:bottom w:val="none" w:sz="0" w:space="0" w:color="auto"/>
        <w:right w:val="none" w:sz="0" w:space="0" w:color="auto"/>
      </w:divBdr>
    </w:div>
    <w:div w:id="1451851643">
      <w:marLeft w:val="0"/>
      <w:marRight w:val="0"/>
      <w:marTop w:val="100"/>
      <w:marBottom w:val="0"/>
      <w:divBdr>
        <w:top w:val="none" w:sz="0" w:space="0" w:color="auto"/>
        <w:left w:val="none" w:sz="0" w:space="0" w:color="auto"/>
        <w:bottom w:val="none" w:sz="0" w:space="0" w:color="auto"/>
        <w:right w:val="none" w:sz="0" w:space="0" w:color="auto"/>
      </w:divBdr>
    </w:div>
    <w:div w:id="1452481916">
      <w:marLeft w:val="0"/>
      <w:marRight w:val="0"/>
      <w:marTop w:val="60"/>
      <w:marBottom w:val="0"/>
      <w:divBdr>
        <w:top w:val="none" w:sz="0" w:space="0" w:color="auto"/>
        <w:left w:val="none" w:sz="0" w:space="0" w:color="auto"/>
        <w:bottom w:val="none" w:sz="0" w:space="0" w:color="auto"/>
        <w:right w:val="none" w:sz="0" w:space="0" w:color="auto"/>
      </w:divBdr>
    </w:div>
    <w:div w:id="1454441273">
      <w:marLeft w:val="0"/>
      <w:marRight w:val="0"/>
      <w:marTop w:val="240"/>
      <w:marBottom w:val="0"/>
      <w:divBdr>
        <w:top w:val="none" w:sz="0" w:space="0" w:color="auto"/>
        <w:left w:val="none" w:sz="0" w:space="0" w:color="auto"/>
        <w:bottom w:val="none" w:sz="0" w:space="0" w:color="auto"/>
        <w:right w:val="none" w:sz="0" w:space="0" w:color="auto"/>
      </w:divBdr>
    </w:div>
    <w:div w:id="1454639881">
      <w:marLeft w:val="0"/>
      <w:marRight w:val="0"/>
      <w:marTop w:val="100"/>
      <w:marBottom w:val="0"/>
      <w:divBdr>
        <w:top w:val="none" w:sz="0" w:space="0" w:color="auto"/>
        <w:left w:val="none" w:sz="0" w:space="0" w:color="auto"/>
        <w:bottom w:val="none" w:sz="0" w:space="0" w:color="auto"/>
        <w:right w:val="none" w:sz="0" w:space="0" w:color="auto"/>
      </w:divBdr>
    </w:div>
    <w:div w:id="1460339322">
      <w:marLeft w:val="0"/>
      <w:marRight w:val="0"/>
      <w:marTop w:val="100"/>
      <w:marBottom w:val="0"/>
      <w:divBdr>
        <w:top w:val="none" w:sz="0" w:space="0" w:color="auto"/>
        <w:left w:val="none" w:sz="0" w:space="0" w:color="auto"/>
        <w:bottom w:val="none" w:sz="0" w:space="0" w:color="auto"/>
        <w:right w:val="none" w:sz="0" w:space="0" w:color="auto"/>
      </w:divBdr>
    </w:div>
    <w:div w:id="1463577990">
      <w:marLeft w:val="0"/>
      <w:marRight w:val="0"/>
      <w:marTop w:val="240"/>
      <w:marBottom w:val="0"/>
      <w:divBdr>
        <w:top w:val="none" w:sz="0" w:space="0" w:color="auto"/>
        <w:left w:val="none" w:sz="0" w:space="0" w:color="auto"/>
        <w:bottom w:val="none" w:sz="0" w:space="0" w:color="auto"/>
        <w:right w:val="none" w:sz="0" w:space="0" w:color="auto"/>
      </w:divBdr>
    </w:div>
    <w:div w:id="1464469213">
      <w:marLeft w:val="0"/>
      <w:marRight w:val="0"/>
      <w:marTop w:val="240"/>
      <w:marBottom w:val="0"/>
      <w:divBdr>
        <w:top w:val="none" w:sz="0" w:space="0" w:color="auto"/>
        <w:left w:val="none" w:sz="0" w:space="0" w:color="auto"/>
        <w:bottom w:val="none" w:sz="0" w:space="0" w:color="auto"/>
        <w:right w:val="none" w:sz="0" w:space="0" w:color="auto"/>
      </w:divBdr>
    </w:div>
    <w:div w:id="1469399229">
      <w:marLeft w:val="0"/>
      <w:marRight w:val="0"/>
      <w:marTop w:val="100"/>
      <w:marBottom w:val="0"/>
      <w:divBdr>
        <w:top w:val="none" w:sz="0" w:space="0" w:color="auto"/>
        <w:left w:val="none" w:sz="0" w:space="0" w:color="auto"/>
        <w:bottom w:val="none" w:sz="0" w:space="0" w:color="auto"/>
        <w:right w:val="none" w:sz="0" w:space="0" w:color="auto"/>
      </w:divBdr>
    </w:div>
    <w:div w:id="1470785280">
      <w:marLeft w:val="0"/>
      <w:marRight w:val="0"/>
      <w:marTop w:val="100"/>
      <w:marBottom w:val="0"/>
      <w:divBdr>
        <w:top w:val="none" w:sz="0" w:space="0" w:color="auto"/>
        <w:left w:val="none" w:sz="0" w:space="0" w:color="auto"/>
        <w:bottom w:val="none" w:sz="0" w:space="0" w:color="auto"/>
        <w:right w:val="none" w:sz="0" w:space="0" w:color="auto"/>
      </w:divBdr>
    </w:div>
    <w:div w:id="1471632492">
      <w:marLeft w:val="0"/>
      <w:marRight w:val="0"/>
      <w:marTop w:val="100"/>
      <w:marBottom w:val="0"/>
      <w:divBdr>
        <w:top w:val="none" w:sz="0" w:space="0" w:color="auto"/>
        <w:left w:val="none" w:sz="0" w:space="0" w:color="auto"/>
        <w:bottom w:val="none" w:sz="0" w:space="0" w:color="auto"/>
        <w:right w:val="none" w:sz="0" w:space="0" w:color="auto"/>
      </w:divBdr>
    </w:div>
    <w:div w:id="1472596622">
      <w:marLeft w:val="0"/>
      <w:marRight w:val="0"/>
      <w:marTop w:val="0"/>
      <w:marBottom w:val="0"/>
      <w:divBdr>
        <w:top w:val="none" w:sz="0" w:space="0" w:color="auto"/>
        <w:left w:val="none" w:sz="0" w:space="0" w:color="auto"/>
        <w:bottom w:val="none" w:sz="0" w:space="0" w:color="auto"/>
        <w:right w:val="none" w:sz="0" w:space="0" w:color="auto"/>
      </w:divBdr>
      <w:divsChild>
        <w:div w:id="123541558">
          <w:marLeft w:val="0"/>
          <w:marRight w:val="0"/>
          <w:marTop w:val="0"/>
          <w:marBottom w:val="0"/>
          <w:divBdr>
            <w:top w:val="none" w:sz="0" w:space="0" w:color="auto"/>
            <w:left w:val="none" w:sz="0" w:space="0" w:color="auto"/>
            <w:bottom w:val="none" w:sz="0" w:space="0" w:color="auto"/>
            <w:right w:val="none" w:sz="0" w:space="0" w:color="auto"/>
          </w:divBdr>
        </w:div>
      </w:divsChild>
    </w:div>
    <w:div w:id="1472790733">
      <w:marLeft w:val="0"/>
      <w:marRight w:val="0"/>
      <w:marTop w:val="60"/>
      <w:marBottom w:val="0"/>
      <w:divBdr>
        <w:top w:val="none" w:sz="0" w:space="0" w:color="auto"/>
        <w:left w:val="none" w:sz="0" w:space="0" w:color="auto"/>
        <w:bottom w:val="none" w:sz="0" w:space="0" w:color="auto"/>
        <w:right w:val="none" w:sz="0" w:space="0" w:color="auto"/>
      </w:divBdr>
    </w:div>
    <w:div w:id="1475827446">
      <w:marLeft w:val="0"/>
      <w:marRight w:val="0"/>
      <w:marTop w:val="0"/>
      <w:marBottom w:val="0"/>
      <w:divBdr>
        <w:top w:val="none" w:sz="0" w:space="0" w:color="auto"/>
        <w:left w:val="none" w:sz="0" w:space="0" w:color="auto"/>
        <w:bottom w:val="none" w:sz="0" w:space="0" w:color="auto"/>
        <w:right w:val="none" w:sz="0" w:space="0" w:color="auto"/>
      </w:divBdr>
      <w:divsChild>
        <w:div w:id="1659503734">
          <w:marLeft w:val="0"/>
          <w:marRight w:val="0"/>
          <w:marTop w:val="0"/>
          <w:marBottom w:val="0"/>
          <w:divBdr>
            <w:top w:val="none" w:sz="0" w:space="0" w:color="auto"/>
            <w:left w:val="none" w:sz="0" w:space="0" w:color="auto"/>
            <w:bottom w:val="none" w:sz="0" w:space="0" w:color="auto"/>
            <w:right w:val="none" w:sz="0" w:space="0" w:color="auto"/>
          </w:divBdr>
        </w:div>
        <w:div w:id="920678890">
          <w:marLeft w:val="0"/>
          <w:marRight w:val="0"/>
          <w:marTop w:val="0"/>
          <w:marBottom w:val="0"/>
          <w:divBdr>
            <w:top w:val="none" w:sz="0" w:space="0" w:color="auto"/>
            <w:left w:val="none" w:sz="0" w:space="0" w:color="auto"/>
            <w:bottom w:val="none" w:sz="0" w:space="0" w:color="auto"/>
            <w:right w:val="none" w:sz="0" w:space="0" w:color="auto"/>
          </w:divBdr>
        </w:div>
      </w:divsChild>
    </w:div>
    <w:div w:id="1476411675">
      <w:marLeft w:val="0"/>
      <w:marRight w:val="0"/>
      <w:marTop w:val="100"/>
      <w:marBottom w:val="0"/>
      <w:divBdr>
        <w:top w:val="none" w:sz="0" w:space="0" w:color="auto"/>
        <w:left w:val="none" w:sz="0" w:space="0" w:color="auto"/>
        <w:bottom w:val="none" w:sz="0" w:space="0" w:color="auto"/>
        <w:right w:val="none" w:sz="0" w:space="0" w:color="auto"/>
      </w:divBdr>
    </w:div>
    <w:div w:id="1477259686">
      <w:marLeft w:val="0"/>
      <w:marRight w:val="0"/>
      <w:marTop w:val="40"/>
      <w:marBottom w:val="0"/>
      <w:divBdr>
        <w:top w:val="none" w:sz="0" w:space="0" w:color="auto"/>
        <w:left w:val="none" w:sz="0" w:space="0" w:color="auto"/>
        <w:bottom w:val="none" w:sz="0" w:space="0" w:color="auto"/>
        <w:right w:val="none" w:sz="0" w:space="0" w:color="auto"/>
      </w:divBdr>
    </w:div>
    <w:div w:id="1480610104">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2098015424">
          <w:marLeft w:val="0"/>
          <w:marRight w:val="0"/>
          <w:marTop w:val="0"/>
          <w:marBottom w:val="0"/>
          <w:divBdr>
            <w:top w:val="none" w:sz="0" w:space="0" w:color="auto"/>
            <w:left w:val="none" w:sz="0" w:space="0" w:color="auto"/>
            <w:bottom w:val="none" w:sz="0" w:space="0" w:color="auto"/>
            <w:right w:val="none" w:sz="0" w:space="0" w:color="auto"/>
          </w:divBdr>
        </w:div>
      </w:divsChild>
    </w:div>
    <w:div w:id="1481732704">
      <w:marLeft w:val="0"/>
      <w:marRight w:val="0"/>
      <w:marTop w:val="240"/>
      <w:marBottom w:val="0"/>
      <w:divBdr>
        <w:top w:val="none" w:sz="0" w:space="0" w:color="auto"/>
        <w:left w:val="none" w:sz="0" w:space="0" w:color="auto"/>
        <w:bottom w:val="none" w:sz="0" w:space="0" w:color="auto"/>
        <w:right w:val="none" w:sz="0" w:space="0" w:color="auto"/>
      </w:divBdr>
    </w:div>
    <w:div w:id="1482387929">
      <w:marLeft w:val="0"/>
      <w:marRight w:val="0"/>
      <w:marTop w:val="100"/>
      <w:marBottom w:val="0"/>
      <w:divBdr>
        <w:top w:val="none" w:sz="0" w:space="0" w:color="auto"/>
        <w:left w:val="none" w:sz="0" w:space="0" w:color="auto"/>
        <w:bottom w:val="none" w:sz="0" w:space="0" w:color="auto"/>
        <w:right w:val="none" w:sz="0" w:space="0" w:color="auto"/>
      </w:divBdr>
    </w:div>
    <w:div w:id="1482849712">
      <w:marLeft w:val="0"/>
      <w:marRight w:val="0"/>
      <w:marTop w:val="0"/>
      <w:marBottom w:val="0"/>
      <w:divBdr>
        <w:top w:val="none" w:sz="0" w:space="0" w:color="auto"/>
        <w:left w:val="none" w:sz="0" w:space="0" w:color="auto"/>
        <w:bottom w:val="none" w:sz="0" w:space="0" w:color="auto"/>
        <w:right w:val="none" w:sz="0" w:space="0" w:color="auto"/>
      </w:divBdr>
      <w:divsChild>
        <w:div w:id="271791642">
          <w:marLeft w:val="0"/>
          <w:marRight w:val="0"/>
          <w:marTop w:val="0"/>
          <w:marBottom w:val="0"/>
          <w:divBdr>
            <w:top w:val="none" w:sz="0" w:space="0" w:color="auto"/>
            <w:left w:val="none" w:sz="0" w:space="0" w:color="auto"/>
            <w:bottom w:val="none" w:sz="0" w:space="0" w:color="auto"/>
            <w:right w:val="none" w:sz="0" w:space="0" w:color="auto"/>
          </w:divBdr>
        </w:div>
        <w:div w:id="758916111">
          <w:marLeft w:val="0"/>
          <w:marRight w:val="0"/>
          <w:marTop w:val="0"/>
          <w:marBottom w:val="0"/>
          <w:divBdr>
            <w:top w:val="none" w:sz="0" w:space="0" w:color="auto"/>
            <w:left w:val="none" w:sz="0" w:space="0" w:color="auto"/>
            <w:bottom w:val="none" w:sz="0" w:space="0" w:color="auto"/>
            <w:right w:val="none" w:sz="0" w:space="0" w:color="auto"/>
          </w:divBdr>
        </w:div>
      </w:divsChild>
    </w:div>
    <w:div w:id="1487748602">
      <w:marLeft w:val="0"/>
      <w:marRight w:val="0"/>
      <w:marTop w:val="60"/>
      <w:marBottom w:val="0"/>
      <w:divBdr>
        <w:top w:val="none" w:sz="0" w:space="0" w:color="auto"/>
        <w:left w:val="none" w:sz="0" w:space="0" w:color="auto"/>
        <w:bottom w:val="none" w:sz="0" w:space="0" w:color="auto"/>
        <w:right w:val="none" w:sz="0" w:space="0" w:color="auto"/>
      </w:divBdr>
    </w:div>
    <w:div w:id="1488089506">
      <w:marLeft w:val="0"/>
      <w:marRight w:val="0"/>
      <w:marTop w:val="60"/>
      <w:marBottom w:val="0"/>
      <w:divBdr>
        <w:top w:val="none" w:sz="0" w:space="0" w:color="auto"/>
        <w:left w:val="none" w:sz="0" w:space="0" w:color="auto"/>
        <w:bottom w:val="none" w:sz="0" w:space="0" w:color="auto"/>
        <w:right w:val="none" w:sz="0" w:space="0" w:color="auto"/>
      </w:divBdr>
    </w:div>
    <w:div w:id="1488280634">
      <w:marLeft w:val="0"/>
      <w:marRight w:val="0"/>
      <w:marTop w:val="100"/>
      <w:marBottom w:val="0"/>
      <w:divBdr>
        <w:top w:val="none" w:sz="0" w:space="0" w:color="auto"/>
        <w:left w:val="none" w:sz="0" w:space="0" w:color="auto"/>
        <w:bottom w:val="none" w:sz="0" w:space="0" w:color="auto"/>
        <w:right w:val="none" w:sz="0" w:space="0" w:color="auto"/>
      </w:divBdr>
    </w:div>
    <w:div w:id="1489439842">
      <w:marLeft w:val="0"/>
      <w:marRight w:val="0"/>
      <w:marTop w:val="100"/>
      <w:marBottom w:val="0"/>
      <w:divBdr>
        <w:top w:val="none" w:sz="0" w:space="0" w:color="auto"/>
        <w:left w:val="none" w:sz="0" w:space="0" w:color="auto"/>
        <w:bottom w:val="none" w:sz="0" w:space="0" w:color="auto"/>
        <w:right w:val="none" w:sz="0" w:space="0" w:color="auto"/>
      </w:divBdr>
    </w:div>
    <w:div w:id="1490949904">
      <w:marLeft w:val="0"/>
      <w:marRight w:val="0"/>
      <w:marTop w:val="240"/>
      <w:marBottom w:val="0"/>
      <w:divBdr>
        <w:top w:val="none" w:sz="0" w:space="0" w:color="auto"/>
        <w:left w:val="none" w:sz="0" w:space="0" w:color="auto"/>
        <w:bottom w:val="none" w:sz="0" w:space="0" w:color="auto"/>
        <w:right w:val="none" w:sz="0" w:space="0" w:color="auto"/>
      </w:divBdr>
    </w:div>
    <w:div w:id="1491822012">
      <w:marLeft w:val="0"/>
      <w:marRight w:val="0"/>
      <w:marTop w:val="0"/>
      <w:marBottom w:val="0"/>
      <w:divBdr>
        <w:top w:val="none" w:sz="0" w:space="0" w:color="auto"/>
        <w:left w:val="none" w:sz="0" w:space="0" w:color="auto"/>
        <w:bottom w:val="none" w:sz="0" w:space="0" w:color="auto"/>
        <w:right w:val="none" w:sz="0" w:space="0" w:color="auto"/>
      </w:divBdr>
      <w:divsChild>
        <w:div w:id="1134059587">
          <w:marLeft w:val="0"/>
          <w:marRight w:val="0"/>
          <w:marTop w:val="0"/>
          <w:marBottom w:val="0"/>
          <w:divBdr>
            <w:top w:val="none" w:sz="0" w:space="0" w:color="auto"/>
            <w:left w:val="none" w:sz="0" w:space="0" w:color="auto"/>
            <w:bottom w:val="none" w:sz="0" w:space="0" w:color="auto"/>
            <w:right w:val="none" w:sz="0" w:space="0" w:color="auto"/>
          </w:divBdr>
        </w:div>
        <w:div w:id="263154111">
          <w:marLeft w:val="0"/>
          <w:marRight w:val="0"/>
          <w:marTop w:val="0"/>
          <w:marBottom w:val="0"/>
          <w:divBdr>
            <w:top w:val="none" w:sz="0" w:space="0" w:color="auto"/>
            <w:left w:val="none" w:sz="0" w:space="0" w:color="auto"/>
            <w:bottom w:val="none" w:sz="0" w:space="0" w:color="auto"/>
            <w:right w:val="none" w:sz="0" w:space="0" w:color="auto"/>
          </w:divBdr>
        </w:div>
      </w:divsChild>
    </w:div>
    <w:div w:id="1492672205">
      <w:marLeft w:val="0"/>
      <w:marRight w:val="0"/>
      <w:marTop w:val="100"/>
      <w:marBottom w:val="0"/>
      <w:divBdr>
        <w:top w:val="none" w:sz="0" w:space="0" w:color="auto"/>
        <w:left w:val="none" w:sz="0" w:space="0" w:color="auto"/>
        <w:bottom w:val="none" w:sz="0" w:space="0" w:color="auto"/>
        <w:right w:val="none" w:sz="0" w:space="0" w:color="auto"/>
      </w:divBdr>
    </w:div>
    <w:div w:id="1494762659">
      <w:marLeft w:val="0"/>
      <w:marRight w:val="0"/>
      <w:marTop w:val="100"/>
      <w:marBottom w:val="0"/>
      <w:divBdr>
        <w:top w:val="none" w:sz="0" w:space="0" w:color="auto"/>
        <w:left w:val="none" w:sz="0" w:space="0" w:color="auto"/>
        <w:bottom w:val="none" w:sz="0" w:space="0" w:color="auto"/>
        <w:right w:val="none" w:sz="0" w:space="0" w:color="auto"/>
      </w:divBdr>
    </w:div>
    <w:div w:id="1496141313">
      <w:marLeft w:val="0"/>
      <w:marRight w:val="0"/>
      <w:marTop w:val="140"/>
      <w:marBottom w:val="0"/>
      <w:divBdr>
        <w:top w:val="none" w:sz="0" w:space="0" w:color="auto"/>
        <w:left w:val="none" w:sz="0" w:space="0" w:color="auto"/>
        <w:bottom w:val="none" w:sz="0" w:space="0" w:color="auto"/>
        <w:right w:val="none" w:sz="0" w:space="0" w:color="auto"/>
      </w:divBdr>
    </w:div>
    <w:div w:id="1496410005">
      <w:marLeft w:val="0"/>
      <w:marRight w:val="0"/>
      <w:marTop w:val="0"/>
      <w:marBottom w:val="0"/>
      <w:divBdr>
        <w:top w:val="none" w:sz="0" w:space="0" w:color="auto"/>
        <w:left w:val="none" w:sz="0" w:space="0" w:color="auto"/>
        <w:bottom w:val="none" w:sz="0" w:space="0" w:color="auto"/>
        <w:right w:val="none" w:sz="0" w:space="0" w:color="auto"/>
      </w:divBdr>
      <w:divsChild>
        <w:div w:id="395201920">
          <w:marLeft w:val="0"/>
          <w:marRight w:val="0"/>
          <w:marTop w:val="0"/>
          <w:marBottom w:val="0"/>
          <w:divBdr>
            <w:top w:val="none" w:sz="0" w:space="0" w:color="auto"/>
            <w:left w:val="none" w:sz="0" w:space="0" w:color="auto"/>
            <w:bottom w:val="none" w:sz="0" w:space="0" w:color="auto"/>
            <w:right w:val="none" w:sz="0" w:space="0" w:color="auto"/>
          </w:divBdr>
        </w:div>
      </w:divsChild>
    </w:div>
    <w:div w:id="1497107587">
      <w:marLeft w:val="0"/>
      <w:marRight w:val="0"/>
      <w:marTop w:val="100"/>
      <w:marBottom w:val="0"/>
      <w:divBdr>
        <w:top w:val="none" w:sz="0" w:space="0" w:color="auto"/>
        <w:left w:val="none" w:sz="0" w:space="0" w:color="auto"/>
        <w:bottom w:val="none" w:sz="0" w:space="0" w:color="auto"/>
        <w:right w:val="none" w:sz="0" w:space="0" w:color="auto"/>
      </w:divBdr>
    </w:div>
    <w:div w:id="1499231994">
      <w:marLeft w:val="0"/>
      <w:marRight w:val="0"/>
      <w:marTop w:val="240"/>
      <w:marBottom w:val="0"/>
      <w:divBdr>
        <w:top w:val="none" w:sz="0" w:space="0" w:color="auto"/>
        <w:left w:val="none" w:sz="0" w:space="0" w:color="auto"/>
        <w:bottom w:val="none" w:sz="0" w:space="0" w:color="auto"/>
        <w:right w:val="none" w:sz="0" w:space="0" w:color="auto"/>
      </w:divBdr>
    </w:div>
    <w:div w:id="1499274574">
      <w:marLeft w:val="0"/>
      <w:marRight w:val="0"/>
      <w:marTop w:val="0"/>
      <w:marBottom w:val="0"/>
      <w:divBdr>
        <w:top w:val="none" w:sz="0" w:space="0" w:color="auto"/>
        <w:left w:val="none" w:sz="0" w:space="0" w:color="auto"/>
        <w:bottom w:val="none" w:sz="0" w:space="0" w:color="auto"/>
        <w:right w:val="none" w:sz="0" w:space="0" w:color="auto"/>
      </w:divBdr>
      <w:divsChild>
        <w:div w:id="1226912266">
          <w:marLeft w:val="0"/>
          <w:marRight w:val="0"/>
          <w:marTop w:val="0"/>
          <w:marBottom w:val="0"/>
          <w:divBdr>
            <w:top w:val="none" w:sz="0" w:space="0" w:color="auto"/>
            <w:left w:val="none" w:sz="0" w:space="0" w:color="auto"/>
            <w:bottom w:val="none" w:sz="0" w:space="0" w:color="auto"/>
            <w:right w:val="none" w:sz="0" w:space="0" w:color="auto"/>
          </w:divBdr>
        </w:div>
        <w:div w:id="1088505052">
          <w:marLeft w:val="0"/>
          <w:marRight w:val="0"/>
          <w:marTop w:val="0"/>
          <w:marBottom w:val="0"/>
          <w:divBdr>
            <w:top w:val="none" w:sz="0" w:space="0" w:color="auto"/>
            <w:left w:val="none" w:sz="0" w:space="0" w:color="auto"/>
            <w:bottom w:val="none" w:sz="0" w:space="0" w:color="auto"/>
            <w:right w:val="none" w:sz="0" w:space="0" w:color="auto"/>
          </w:divBdr>
        </w:div>
      </w:divsChild>
    </w:div>
    <w:div w:id="1500539209">
      <w:marLeft w:val="0"/>
      <w:marRight w:val="0"/>
      <w:marTop w:val="60"/>
      <w:marBottom w:val="0"/>
      <w:divBdr>
        <w:top w:val="none" w:sz="0" w:space="0" w:color="auto"/>
        <w:left w:val="none" w:sz="0" w:space="0" w:color="auto"/>
        <w:bottom w:val="none" w:sz="0" w:space="0" w:color="auto"/>
        <w:right w:val="none" w:sz="0" w:space="0" w:color="auto"/>
      </w:divBdr>
    </w:div>
    <w:div w:id="1501963690">
      <w:marLeft w:val="0"/>
      <w:marRight w:val="0"/>
      <w:marTop w:val="240"/>
      <w:marBottom w:val="0"/>
      <w:divBdr>
        <w:top w:val="none" w:sz="0" w:space="0" w:color="auto"/>
        <w:left w:val="none" w:sz="0" w:space="0" w:color="auto"/>
        <w:bottom w:val="none" w:sz="0" w:space="0" w:color="auto"/>
        <w:right w:val="none" w:sz="0" w:space="0" w:color="auto"/>
      </w:divBdr>
    </w:div>
    <w:div w:id="1502309282">
      <w:marLeft w:val="0"/>
      <w:marRight w:val="0"/>
      <w:marTop w:val="240"/>
      <w:marBottom w:val="0"/>
      <w:divBdr>
        <w:top w:val="none" w:sz="0" w:space="0" w:color="auto"/>
        <w:left w:val="none" w:sz="0" w:space="0" w:color="auto"/>
        <w:bottom w:val="none" w:sz="0" w:space="0" w:color="auto"/>
        <w:right w:val="none" w:sz="0" w:space="0" w:color="auto"/>
      </w:divBdr>
    </w:div>
    <w:div w:id="1502699908">
      <w:marLeft w:val="0"/>
      <w:marRight w:val="0"/>
      <w:marTop w:val="100"/>
      <w:marBottom w:val="0"/>
      <w:divBdr>
        <w:top w:val="none" w:sz="0" w:space="0" w:color="auto"/>
        <w:left w:val="none" w:sz="0" w:space="0" w:color="auto"/>
        <w:bottom w:val="none" w:sz="0" w:space="0" w:color="auto"/>
        <w:right w:val="none" w:sz="0" w:space="0" w:color="auto"/>
      </w:divBdr>
    </w:div>
    <w:div w:id="1504586877">
      <w:marLeft w:val="0"/>
      <w:marRight w:val="0"/>
      <w:marTop w:val="100"/>
      <w:marBottom w:val="0"/>
      <w:divBdr>
        <w:top w:val="none" w:sz="0" w:space="0" w:color="auto"/>
        <w:left w:val="none" w:sz="0" w:space="0" w:color="auto"/>
        <w:bottom w:val="none" w:sz="0" w:space="0" w:color="auto"/>
        <w:right w:val="none" w:sz="0" w:space="0" w:color="auto"/>
      </w:divBdr>
    </w:div>
    <w:div w:id="1505780232">
      <w:marLeft w:val="0"/>
      <w:marRight w:val="0"/>
      <w:marTop w:val="100"/>
      <w:marBottom w:val="0"/>
      <w:divBdr>
        <w:top w:val="none" w:sz="0" w:space="0" w:color="auto"/>
        <w:left w:val="none" w:sz="0" w:space="0" w:color="auto"/>
        <w:bottom w:val="none" w:sz="0" w:space="0" w:color="auto"/>
        <w:right w:val="none" w:sz="0" w:space="0" w:color="auto"/>
      </w:divBdr>
    </w:div>
    <w:div w:id="1507283409">
      <w:marLeft w:val="0"/>
      <w:marRight w:val="0"/>
      <w:marTop w:val="240"/>
      <w:marBottom w:val="0"/>
      <w:divBdr>
        <w:top w:val="none" w:sz="0" w:space="0" w:color="auto"/>
        <w:left w:val="none" w:sz="0" w:space="0" w:color="auto"/>
        <w:bottom w:val="none" w:sz="0" w:space="0" w:color="auto"/>
        <w:right w:val="none" w:sz="0" w:space="0" w:color="auto"/>
      </w:divBdr>
    </w:div>
    <w:div w:id="1508859462">
      <w:marLeft w:val="0"/>
      <w:marRight w:val="0"/>
      <w:marTop w:val="60"/>
      <w:marBottom w:val="0"/>
      <w:divBdr>
        <w:top w:val="none" w:sz="0" w:space="0" w:color="auto"/>
        <w:left w:val="none" w:sz="0" w:space="0" w:color="auto"/>
        <w:bottom w:val="none" w:sz="0" w:space="0" w:color="auto"/>
        <w:right w:val="none" w:sz="0" w:space="0" w:color="auto"/>
      </w:divBdr>
    </w:div>
    <w:div w:id="1513492247">
      <w:marLeft w:val="0"/>
      <w:marRight w:val="0"/>
      <w:marTop w:val="0"/>
      <w:marBottom w:val="0"/>
      <w:divBdr>
        <w:top w:val="none" w:sz="0" w:space="0" w:color="auto"/>
        <w:left w:val="none" w:sz="0" w:space="0" w:color="auto"/>
        <w:bottom w:val="none" w:sz="0" w:space="0" w:color="auto"/>
        <w:right w:val="none" w:sz="0" w:space="0" w:color="auto"/>
      </w:divBdr>
      <w:divsChild>
        <w:div w:id="1047604354">
          <w:marLeft w:val="0"/>
          <w:marRight w:val="0"/>
          <w:marTop w:val="0"/>
          <w:marBottom w:val="0"/>
          <w:divBdr>
            <w:top w:val="none" w:sz="0" w:space="0" w:color="auto"/>
            <w:left w:val="none" w:sz="0" w:space="0" w:color="auto"/>
            <w:bottom w:val="none" w:sz="0" w:space="0" w:color="auto"/>
            <w:right w:val="none" w:sz="0" w:space="0" w:color="auto"/>
          </w:divBdr>
        </w:div>
        <w:div w:id="249318798">
          <w:marLeft w:val="0"/>
          <w:marRight w:val="0"/>
          <w:marTop w:val="0"/>
          <w:marBottom w:val="0"/>
          <w:divBdr>
            <w:top w:val="none" w:sz="0" w:space="0" w:color="auto"/>
            <w:left w:val="none" w:sz="0" w:space="0" w:color="auto"/>
            <w:bottom w:val="none" w:sz="0" w:space="0" w:color="auto"/>
            <w:right w:val="none" w:sz="0" w:space="0" w:color="auto"/>
          </w:divBdr>
        </w:div>
      </w:divsChild>
    </w:div>
    <w:div w:id="1515073302">
      <w:marLeft w:val="0"/>
      <w:marRight w:val="0"/>
      <w:marTop w:val="100"/>
      <w:marBottom w:val="0"/>
      <w:divBdr>
        <w:top w:val="none" w:sz="0" w:space="0" w:color="auto"/>
        <w:left w:val="none" w:sz="0" w:space="0" w:color="auto"/>
        <w:bottom w:val="none" w:sz="0" w:space="0" w:color="auto"/>
        <w:right w:val="none" w:sz="0" w:space="0" w:color="auto"/>
      </w:divBdr>
    </w:div>
    <w:div w:id="1515652695">
      <w:marLeft w:val="0"/>
      <w:marRight w:val="0"/>
      <w:marTop w:val="240"/>
      <w:marBottom w:val="0"/>
      <w:divBdr>
        <w:top w:val="none" w:sz="0" w:space="0" w:color="auto"/>
        <w:left w:val="none" w:sz="0" w:space="0" w:color="auto"/>
        <w:bottom w:val="none" w:sz="0" w:space="0" w:color="auto"/>
        <w:right w:val="none" w:sz="0" w:space="0" w:color="auto"/>
      </w:divBdr>
    </w:div>
    <w:div w:id="1516967214">
      <w:marLeft w:val="0"/>
      <w:marRight w:val="0"/>
      <w:marTop w:val="0"/>
      <w:marBottom w:val="0"/>
      <w:divBdr>
        <w:top w:val="none" w:sz="0" w:space="0" w:color="auto"/>
        <w:left w:val="none" w:sz="0" w:space="0" w:color="auto"/>
        <w:bottom w:val="none" w:sz="0" w:space="0" w:color="auto"/>
        <w:right w:val="none" w:sz="0" w:space="0" w:color="auto"/>
      </w:divBdr>
      <w:divsChild>
        <w:div w:id="1249116863">
          <w:marLeft w:val="0"/>
          <w:marRight w:val="0"/>
          <w:marTop w:val="0"/>
          <w:marBottom w:val="0"/>
          <w:divBdr>
            <w:top w:val="none" w:sz="0" w:space="0" w:color="auto"/>
            <w:left w:val="none" w:sz="0" w:space="0" w:color="auto"/>
            <w:bottom w:val="none" w:sz="0" w:space="0" w:color="auto"/>
            <w:right w:val="none" w:sz="0" w:space="0" w:color="auto"/>
          </w:divBdr>
        </w:div>
      </w:divsChild>
    </w:div>
    <w:div w:id="1524585988">
      <w:marLeft w:val="0"/>
      <w:marRight w:val="0"/>
      <w:marTop w:val="100"/>
      <w:marBottom w:val="0"/>
      <w:divBdr>
        <w:top w:val="none" w:sz="0" w:space="0" w:color="auto"/>
        <w:left w:val="none" w:sz="0" w:space="0" w:color="auto"/>
        <w:bottom w:val="none" w:sz="0" w:space="0" w:color="auto"/>
        <w:right w:val="none" w:sz="0" w:space="0" w:color="auto"/>
      </w:divBdr>
    </w:div>
    <w:div w:id="1525090174">
      <w:marLeft w:val="0"/>
      <w:marRight w:val="0"/>
      <w:marTop w:val="0"/>
      <w:marBottom w:val="0"/>
      <w:divBdr>
        <w:top w:val="none" w:sz="0" w:space="0" w:color="auto"/>
        <w:left w:val="none" w:sz="0" w:space="0" w:color="auto"/>
        <w:bottom w:val="none" w:sz="0" w:space="0" w:color="auto"/>
        <w:right w:val="none" w:sz="0" w:space="0" w:color="auto"/>
      </w:divBdr>
      <w:divsChild>
        <w:div w:id="111094434">
          <w:marLeft w:val="0"/>
          <w:marRight w:val="0"/>
          <w:marTop w:val="0"/>
          <w:marBottom w:val="0"/>
          <w:divBdr>
            <w:top w:val="none" w:sz="0" w:space="0" w:color="auto"/>
            <w:left w:val="none" w:sz="0" w:space="0" w:color="auto"/>
            <w:bottom w:val="none" w:sz="0" w:space="0" w:color="auto"/>
            <w:right w:val="none" w:sz="0" w:space="0" w:color="auto"/>
          </w:divBdr>
        </w:div>
        <w:div w:id="319501198">
          <w:marLeft w:val="0"/>
          <w:marRight w:val="0"/>
          <w:marTop w:val="0"/>
          <w:marBottom w:val="0"/>
          <w:divBdr>
            <w:top w:val="none" w:sz="0" w:space="0" w:color="auto"/>
            <w:left w:val="none" w:sz="0" w:space="0" w:color="auto"/>
            <w:bottom w:val="none" w:sz="0" w:space="0" w:color="auto"/>
            <w:right w:val="none" w:sz="0" w:space="0" w:color="auto"/>
          </w:divBdr>
        </w:div>
      </w:divsChild>
    </w:div>
    <w:div w:id="1527601993">
      <w:marLeft w:val="0"/>
      <w:marRight w:val="0"/>
      <w:marTop w:val="100"/>
      <w:marBottom w:val="0"/>
      <w:divBdr>
        <w:top w:val="none" w:sz="0" w:space="0" w:color="auto"/>
        <w:left w:val="none" w:sz="0" w:space="0" w:color="auto"/>
        <w:bottom w:val="none" w:sz="0" w:space="0" w:color="auto"/>
        <w:right w:val="none" w:sz="0" w:space="0" w:color="auto"/>
      </w:divBdr>
    </w:div>
    <w:div w:id="1527867516">
      <w:marLeft w:val="0"/>
      <w:marRight w:val="0"/>
      <w:marTop w:val="100"/>
      <w:marBottom w:val="0"/>
      <w:divBdr>
        <w:top w:val="none" w:sz="0" w:space="0" w:color="auto"/>
        <w:left w:val="none" w:sz="0" w:space="0" w:color="auto"/>
        <w:bottom w:val="none" w:sz="0" w:space="0" w:color="auto"/>
        <w:right w:val="none" w:sz="0" w:space="0" w:color="auto"/>
      </w:divBdr>
    </w:div>
    <w:div w:id="1530995261">
      <w:marLeft w:val="0"/>
      <w:marRight w:val="0"/>
      <w:marTop w:val="100"/>
      <w:marBottom w:val="0"/>
      <w:divBdr>
        <w:top w:val="none" w:sz="0" w:space="0" w:color="auto"/>
        <w:left w:val="none" w:sz="0" w:space="0" w:color="auto"/>
        <w:bottom w:val="none" w:sz="0" w:space="0" w:color="auto"/>
        <w:right w:val="none" w:sz="0" w:space="0" w:color="auto"/>
      </w:divBdr>
    </w:div>
    <w:div w:id="1534344874">
      <w:marLeft w:val="0"/>
      <w:marRight w:val="0"/>
      <w:marTop w:val="100"/>
      <w:marBottom w:val="0"/>
      <w:divBdr>
        <w:top w:val="none" w:sz="0" w:space="0" w:color="auto"/>
        <w:left w:val="none" w:sz="0" w:space="0" w:color="auto"/>
        <w:bottom w:val="none" w:sz="0" w:space="0" w:color="auto"/>
        <w:right w:val="none" w:sz="0" w:space="0" w:color="auto"/>
      </w:divBdr>
    </w:div>
    <w:div w:id="1538816998">
      <w:marLeft w:val="0"/>
      <w:marRight w:val="0"/>
      <w:marTop w:val="100"/>
      <w:marBottom w:val="0"/>
      <w:divBdr>
        <w:top w:val="none" w:sz="0" w:space="0" w:color="auto"/>
        <w:left w:val="none" w:sz="0" w:space="0" w:color="auto"/>
        <w:bottom w:val="none" w:sz="0" w:space="0" w:color="auto"/>
        <w:right w:val="none" w:sz="0" w:space="0" w:color="auto"/>
      </w:divBdr>
    </w:div>
    <w:div w:id="1539009515">
      <w:marLeft w:val="0"/>
      <w:marRight w:val="0"/>
      <w:marTop w:val="100"/>
      <w:marBottom w:val="0"/>
      <w:divBdr>
        <w:top w:val="none" w:sz="0" w:space="0" w:color="auto"/>
        <w:left w:val="none" w:sz="0" w:space="0" w:color="auto"/>
        <w:bottom w:val="none" w:sz="0" w:space="0" w:color="auto"/>
        <w:right w:val="none" w:sz="0" w:space="0" w:color="auto"/>
      </w:divBdr>
    </w:div>
    <w:div w:id="1539271588">
      <w:marLeft w:val="0"/>
      <w:marRight w:val="0"/>
      <w:marTop w:val="240"/>
      <w:marBottom w:val="0"/>
      <w:divBdr>
        <w:top w:val="none" w:sz="0" w:space="0" w:color="auto"/>
        <w:left w:val="none" w:sz="0" w:space="0" w:color="auto"/>
        <w:bottom w:val="none" w:sz="0" w:space="0" w:color="auto"/>
        <w:right w:val="none" w:sz="0" w:space="0" w:color="auto"/>
      </w:divBdr>
    </w:div>
    <w:div w:id="1542475003">
      <w:marLeft w:val="0"/>
      <w:marRight w:val="0"/>
      <w:marTop w:val="0"/>
      <w:marBottom w:val="0"/>
      <w:divBdr>
        <w:top w:val="none" w:sz="0" w:space="0" w:color="auto"/>
        <w:left w:val="none" w:sz="0" w:space="0" w:color="auto"/>
        <w:bottom w:val="none" w:sz="0" w:space="0" w:color="auto"/>
        <w:right w:val="none" w:sz="0" w:space="0" w:color="auto"/>
      </w:divBdr>
      <w:divsChild>
        <w:div w:id="1556239829">
          <w:marLeft w:val="0"/>
          <w:marRight w:val="0"/>
          <w:marTop w:val="0"/>
          <w:marBottom w:val="0"/>
          <w:divBdr>
            <w:top w:val="none" w:sz="0" w:space="0" w:color="auto"/>
            <w:left w:val="none" w:sz="0" w:space="0" w:color="auto"/>
            <w:bottom w:val="none" w:sz="0" w:space="0" w:color="auto"/>
            <w:right w:val="none" w:sz="0" w:space="0" w:color="auto"/>
          </w:divBdr>
        </w:div>
        <w:div w:id="1977176752">
          <w:marLeft w:val="0"/>
          <w:marRight w:val="0"/>
          <w:marTop w:val="0"/>
          <w:marBottom w:val="0"/>
          <w:divBdr>
            <w:top w:val="none" w:sz="0" w:space="0" w:color="auto"/>
            <w:left w:val="none" w:sz="0" w:space="0" w:color="auto"/>
            <w:bottom w:val="none" w:sz="0" w:space="0" w:color="auto"/>
            <w:right w:val="none" w:sz="0" w:space="0" w:color="auto"/>
          </w:divBdr>
        </w:div>
      </w:divsChild>
    </w:div>
    <w:div w:id="1547527131">
      <w:marLeft w:val="0"/>
      <w:marRight w:val="0"/>
      <w:marTop w:val="100"/>
      <w:marBottom w:val="0"/>
      <w:divBdr>
        <w:top w:val="none" w:sz="0" w:space="0" w:color="auto"/>
        <w:left w:val="none" w:sz="0" w:space="0" w:color="auto"/>
        <w:bottom w:val="none" w:sz="0" w:space="0" w:color="auto"/>
        <w:right w:val="none" w:sz="0" w:space="0" w:color="auto"/>
      </w:divBdr>
    </w:div>
    <w:div w:id="1548830283">
      <w:marLeft w:val="0"/>
      <w:marRight w:val="0"/>
      <w:marTop w:val="100"/>
      <w:marBottom w:val="0"/>
      <w:divBdr>
        <w:top w:val="none" w:sz="0" w:space="0" w:color="auto"/>
        <w:left w:val="none" w:sz="0" w:space="0" w:color="auto"/>
        <w:bottom w:val="none" w:sz="0" w:space="0" w:color="auto"/>
        <w:right w:val="none" w:sz="0" w:space="0" w:color="auto"/>
      </w:divBdr>
    </w:div>
    <w:div w:id="1549759575">
      <w:marLeft w:val="0"/>
      <w:marRight w:val="0"/>
      <w:marTop w:val="60"/>
      <w:marBottom w:val="0"/>
      <w:divBdr>
        <w:top w:val="none" w:sz="0" w:space="0" w:color="auto"/>
        <w:left w:val="none" w:sz="0" w:space="0" w:color="auto"/>
        <w:bottom w:val="none" w:sz="0" w:space="0" w:color="auto"/>
        <w:right w:val="none" w:sz="0" w:space="0" w:color="auto"/>
      </w:divBdr>
    </w:div>
    <w:div w:id="1550337850">
      <w:marLeft w:val="0"/>
      <w:marRight w:val="0"/>
      <w:marTop w:val="100"/>
      <w:marBottom w:val="0"/>
      <w:divBdr>
        <w:top w:val="none" w:sz="0" w:space="0" w:color="auto"/>
        <w:left w:val="none" w:sz="0" w:space="0" w:color="auto"/>
        <w:bottom w:val="none" w:sz="0" w:space="0" w:color="auto"/>
        <w:right w:val="none" w:sz="0" w:space="0" w:color="auto"/>
      </w:divBdr>
    </w:div>
    <w:div w:id="1552573544">
      <w:marLeft w:val="0"/>
      <w:marRight w:val="0"/>
      <w:marTop w:val="100"/>
      <w:marBottom w:val="0"/>
      <w:divBdr>
        <w:top w:val="none" w:sz="0" w:space="0" w:color="auto"/>
        <w:left w:val="none" w:sz="0" w:space="0" w:color="auto"/>
        <w:bottom w:val="none" w:sz="0" w:space="0" w:color="auto"/>
        <w:right w:val="none" w:sz="0" w:space="0" w:color="auto"/>
      </w:divBdr>
    </w:div>
    <w:div w:id="1559972314">
      <w:marLeft w:val="0"/>
      <w:marRight w:val="0"/>
      <w:marTop w:val="60"/>
      <w:marBottom w:val="0"/>
      <w:divBdr>
        <w:top w:val="none" w:sz="0" w:space="0" w:color="auto"/>
        <w:left w:val="none" w:sz="0" w:space="0" w:color="auto"/>
        <w:bottom w:val="none" w:sz="0" w:space="0" w:color="auto"/>
        <w:right w:val="none" w:sz="0" w:space="0" w:color="auto"/>
      </w:divBdr>
    </w:div>
    <w:div w:id="1562405312">
      <w:marLeft w:val="0"/>
      <w:marRight w:val="0"/>
      <w:marTop w:val="240"/>
      <w:marBottom w:val="0"/>
      <w:divBdr>
        <w:top w:val="none" w:sz="0" w:space="0" w:color="auto"/>
        <w:left w:val="none" w:sz="0" w:space="0" w:color="auto"/>
        <w:bottom w:val="none" w:sz="0" w:space="0" w:color="auto"/>
        <w:right w:val="none" w:sz="0" w:space="0" w:color="auto"/>
      </w:divBdr>
    </w:div>
    <w:div w:id="1562910368">
      <w:marLeft w:val="0"/>
      <w:marRight w:val="0"/>
      <w:marTop w:val="0"/>
      <w:marBottom w:val="0"/>
      <w:divBdr>
        <w:top w:val="none" w:sz="0" w:space="0" w:color="auto"/>
        <w:left w:val="none" w:sz="0" w:space="0" w:color="auto"/>
        <w:bottom w:val="none" w:sz="0" w:space="0" w:color="auto"/>
        <w:right w:val="none" w:sz="0" w:space="0" w:color="auto"/>
      </w:divBdr>
      <w:divsChild>
        <w:div w:id="394162071">
          <w:marLeft w:val="0"/>
          <w:marRight w:val="0"/>
          <w:marTop w:val="0"/>
          <w:marBottom w:val="0"/>
          <w:divBdr>
            <w:top w:val="none" w:sz="0" w:space="0" w:color="auto"/>
            <w:left w:val="none" w:sz="0" w:space="0" w:color="auto"/>
            <w:bottom w:val="none" w:sz="0" w:space="0" w:color="auto"/>
            <w:right w:val="none" w:sz="0" w:space="0" w:color="auto"/>
          </w:divBdr>
        </w:div>
        <w:div w:id="470099513">
          <w:marLeft w:val="0"/>
          <w:marRight w:val="0"/>
          <w:marTop w:val="0"/>
          <w:marBottom w:val="0"/>
          <w:divBdr>
            <w:top w:val="none" w:sz="0" w:space="0" w:color="auto"/>
            <w:left w:val="none" w:sz="0" w:space="0" w:color="auto"/>
            <w:bottom w:val="none" w:sz="0" w:space="0" w:color="auto"/>
            <w:right w:val="none" w:sz="0" w:space="0" w:color="auto"/>
          </w:divBdr>
        </w:div>
      </w:divsChild>
    </w:div>
    <w:div w:id="1563564028">
      <w:marLeft w:val="0"/>
      <w:marRight w:val="0"/>
      <w:marTop w:val="100"/>
      <w:marBottom w:val="0"/>
      <w:divBdr>
        <w:top w:val="none" w:sz="0" w:space="0" w:color="auto"/>
        <w:left w:val="none" w:sz="0" w:space="0" w:color="auto"/>
        <w:bottom w:val="none" w:sz="0" w:space="0" w:color="auto"/>
        <w:right w:val="none" w:sz="0" w:space="0" w:color="auto"/>
      </w:divBdr>
    </w:div>
    <w:div w:id="1567884404">
      <w:marLeft w:val="0"/>
      <w:marRight w:val="0"/>
      <w:marTop w:val="100"/>
      <w:marBottom w:val="0"/>
      <w:divBdr>
        <w:top w:val="none" w:sz="0" w:space="0" w:color="auto"/>
        <w:left w:val="none" w:sz="0" w:space="0" w:color="auto"/>
        <w:bottom w:val="none" w:sz="0" w:space="0" w:color="auto"/>
        <w:right w:val="none" w:sz="0" w:space="0" w:color="auto"/>
      </w:divBdr>
    </w:div>
    <w:div w:id="1567955967">
      <w:marLeft w:val="0"/>
      <w:marRight w:val="0"/>
      <w:marTop w:val="240"/>
      <w:marBottom w:val="0"/>
      <w:divBdr>
        <w:top w:val="none" w:sz="0" w:space="0" w:color="auto"/>
        <w:left w:val="none" w:sz="0" w:space="0" w:color="auto"/>
        <w:bottom w:val="none" w:sz="0" w:space="0" w:color="auto"/>
        <w:right w:val="none" w:sz="0" w:space="0" w:color="auto"/>
      </w:divBdr>
    </w:div>
    <w:div w:id="1568145823">
      <w:marLeft w:val="0"/>
      <w:marRight w:val="0"/>
      <w:marTop w:val="0"/>
      <w:marBottom w:val="0"/>
      <w:divBdr>
        <w:top w:val="none" w:sz="0" w:space="0" w:color="auto"/>
        <w:left w:val="none" w:sz="0" w:space="0" w:color="auto"/>
        <w:bottom w:val="none" w:sz="0" w:space="0" w:color="auto"/>
        <w:right w:val="none" w:sz="0" w:space="0" w:color="auto"/>
      </w:divBdr>
      <w:divsChild>
        <w:div w:id="43605444">
          <w:marLeft w:val="0"/>
          <w:marRight w:val="0"/>
          <w:marTop w:val="0"/>
          <w:marBottom w:val="0"/>
          <w:divBdr>
            <w:top w:val="none" w:sz="0" w:space="0" w:color="auto"/>
            <w:left w:val="none" w:sz="0" w:space="0" w:color="auto"/>
            <w:bottom w:val="none" w:sz="0" w:space="0" w:color="auto"/>
            <w:right w:val="none" w:sz="0" w:space="0" w:color="auto"/>
          </w:divBdr>
        </w:div>
        <w:div w:id="1549416281">
          <w:marLeft w:val="0"/>
          <w:marRight w:val="0"/>
          <w:marTop w:val="0"/>
          <w:marBottom w:val="0"/>
          <w:divBdr>
            <w:top w:val="none" w:sz="0" w:space="0" w:color="auto"/>
            <w:left w:val="none" w:sz="0" w:space="0" w:color="auto"/>
            <w:bottom w:val="none" w:sz="0" w:space="0" w:color="auto"/>
            <w:right w:val="none" w:sz="0" w:space="0" w:color="auto"/>
          </w:divBdr>
        </w:div>
      </w:divsChild>
    </w:div>
    <w:div w:id="1568497225">
      <w:marLeft w:val="0"/>
      <w:marRight w:val="0"/>
      <w:marTop w:val="100"/>
      <w:marBottom w:val="0"/>
      <w:divBdr>
        <w:top w:val="none" w:sz="0" w:space="0" w:color="auto"/>
        <w:left w:val="none" w:sz="0" w:space="0" w:color="auto"/>
        <w:bottom w:val="none" w:sz="0" w:space="0" w:color="auto"/>
        <w:right w:val="none" w:sz="0" w:space="0" w:color="auto"/>
      </w:divBdr>
    </w:div>
    <w:div w:id="1569652769">
      <w:marLeft w:val="0"/>
      <w:marRight w:val="0"/>
      <w:marTop w:val="0"/>
      <w:marBottom w:val="0"/>
      <w:divBdr>
        <w:top w:val="none" w:sz="0" w:space="0" w:color="auto"/>
        <w:left w:val="none" w:sz="0" w:space="0" w:color="auto"/>
        <w:bottom w:val="none" w:sz="0" w:space="0" w:color="auto"/>
        <w:right w:val="none" w:sz="0" w:space="0" w:color="auto"/>
      </w:divBdr>
      <w:divsChild>
        <w:div w:id="1689327789">
          <w:marLeft w:val="0"/>
          <w:marRight w:val="0"/>
          <w:marTop w:val="0"/>
          <w:marBottom w:val="0"/>
          <w:divBdr>
            <w:top w:val="none" w:sz="0" w:space="0" w:color="auto"/>
            <w:left w:val="none" w:sz="0" w:space="0" w:color="auto"/>
            <w:bottom w:val="none" w:sz="0" w:space="0" w:color="auto"/>
            <w:right w:val="none" w:sz="0" w:space="0" w:color="auto"/>
          </w:divBdr>
        </w:div>
        <w:div w:id="1035036805">
          <w:marLeft w:val="0"/>
          <w:marRight w:val="0"/>
          <w:marTop w:val="0"/>
          <w:marBottom w:val="0"/>
          <w:divBdr>
            <w:top w:val="none" w:sz="0" w:space="0" w:color="auto"/>
            <w:left w:val="none" w:sz="0" w:space="0" w:color="auto"/>
            <w:bottom w:val="none" w:sz="0" w:space="0" w:color="auto"/>
            <w:right w:val="none" w:sz="0" w:space="0" w:color="auto"/>
          </w:divBdr>
        </w:div>
      </w:divsChild>
    </w:div>
    <w:div w:id="1570263834">
      <w:marLeft w:val="0"/>
      <w:marRight w:val="0"/>
      <w:marTop w:val="100"/>
      <w:marBottom w:val="0"/>
      <w:divBdr>
        <w:top w:val="none" w:sz="0" w:space="0" w:color="auto"/>
        <w:left w:val="none" w:sz="0" w:space="0" w:color="auto"/>
        <w:bottom w:val="none" w:sz="0" w:space="0" w:color="auto"/>
        <w:right w:val="none" w:sz="0" w:space="0" w:color="auto"/>
      </w:divBdr>
    </w:div>
    <w:div w:id="1570457639">
      <w:marLeft w:val="0"/>
      <w:marRight w:val="0"/>
      <w:marTop w:val="0"/>
      <w:marBottom w:val="0"/>
      <w:divBdr>
        <w:top w:val="none" w:sz="0" w:space="0" w:color="auto"/>
        <w:left w:val="none" w:sz="0" w:space="0" w:color="auto"/>
        <w:bottom w:val="none" w:sz="0" w:space="0" w:color="auto"/>
        <w:right w:val="none" w:sz="0" w:space="0" w:color="auto"/>
      </w:divBdr>
      <w:divsChild>
        <w:div w:id="1859082215">
          <w:marLeft w:val="0"/>
          <w:marRight w:val="0"/>
          <w:marTop w:val="0"/>
          <w:marBottom w:val="0"/>
          <w:divBdr>
            <w:top w:val="none" w:sz="0" w:space="0" w:color="auto"/>
            <w:left w:val="none" w:sz="0" w:space="0" w:color="auto"/>
            <w:bottom w:val="none" w:sz="0" w:space="0" w:color="auto"/>
            <w:right w:val="none" w:sz="0" w:space="0" w:color="auto"/>
          </w:divBdr>
        </w:div>
        <w:div w:id="1734891442">
          <w:marLeft w:val="0"/>
          <w:marRight w:val="0"/>
          <w:marTop w:val="0"/>
          <w:marBottom w:val="0"/>
          <w:divBdr>
            <w:top w:val="none" w:sz="0" w:space="0" w:color="auto"/>
            <w:left w:val="none" w:sz="0" w:space="0" w:color="auto"/>
            <w:bottom w:val="none" w:sz="0" w:space="0" w:color="auto"/>
            <w:right w:val="none" w:sz="0" w:space="0" w:color="auto"/>
          </w:divBdr>
        </w:div>
      </w:divsChild>
    </w:div>
    <w:div w:id="1573855173">
      <w:marLeft w:val="0"/>
      <w:marRight w:val="0"/>
      <w:marTop w:val="100"/>
      <w:marBottom w:val="0"/>
      <w:divBdr>
        <w:top w:val="none" w:sz="0" w:space="0" w:color="auto"/>
        <w:left w:val="none" w:sz="0" w:space="0" w:color="auto"/>
        <w:bottom w:val="none" w:sz="0" w:space="0" w:color="auto"/>
        <w:right w:val="none" w:sz="0" w:space="0" w:color="auto"/>
      </w:divBdr>
    </w:div>
    <w:div w:id="1574044800">
      <w:marLeft w:val="0"/>
      <w:marRight w:val="0"/>
      <w:marTop w:val="60"/>
      <w:marBottom w:val="0"/>
      <w:divBdr>
        <w:top w:val="none" w:sz="0" w:space="0" w:color="auto"/>
        <w:left w:val="none" w:sz="0" w:space="0" w:color="auto"/>
        <w:bottom w:val="none" w:sz="0" w:space="0" w:color="auto"/>
        <w:right w:val="none" w:sz="0" w:space="0" w:color="auto"/>
      </w:divBdr>
    </w:div>
    <w:div w:id="1574391309">
      <w:marLeft w:val="0"/>
      <w:marRight w:val="0"/>
      <w:marTop w:val="100"/>
      <w:marBottom w:val="0"/>
      <w:divBdr>
        <w:top w:val="none" w:sz="0" w:space="0" w:color="auto"/>
        <w:left w:val="none" w:sz="0" w:space="0" w:color="auto"/>
        <w:bottom w:val="none" w:sz="0" w:space="0" w:color="auto"/>
        <w:right w:val="none" w:sz="0" w:space="0" w:color="auto"/>
      </w:divBdr>
    </w:div>
    <w:div w:id="1574924956">
      <w:marLeft w:val="0"/>
      <w:marRight w:val="0"/>
      <w:marTop w:val="100"/>
      <w:marBottom w:val="0"/>
      <w:divBdr>
        <w:top w:val="none" w:sz="0" w:space="0" w:color="auto"/>
        <w:left w:val="none" w:sz="0" w:space="0" w:color="auto"/>
        <w:bottom w:val="none" w:sz="0" w:space="0" w:color="auto"/>
        <w:right w:val="none" w:sz="0" w:space="0" w:color="auto"/>
      </w:divBdr>
    </w:div>
    <w:div w:id="1575166439">
      <w:marLeft w:val="0"/>
      <w:marRight w:val="0"/>
      <w:marTop w:val="100"/>
      <w:marBottom w:val="0"/>
      <w:divBdr>
        <w:top w:val="none" w:sz="0" w:space="0" w:color="auto"/>
        <w:left w:val="none" w:sz="0" w:space="0" w:color="auto"/>
        <w:bottom w:val="none" w:sz="0" w:space="0" w:color="auto"/>
        <w:right w:val="none" w:sz="0" w:space="0" w:color="auto"/>
      </w:divBdr>
    </w:div>
    <w:div w:id="1577939077">
      <w:marLeft w:val="0"/>
      <w:marRight w:val="0"/>
      <w:marTop w:val="60"/>
      <w:marBottom w:val="0"/>
      <w:divBdr>
        <w:top w:val="none" w:sz="0" w:space="0" w:color="auto"/>
        <w:left w:val="none" w:sz="0" w:space="0" w:color="auto"/>
        <w:bottom w:val="none" w:sz="0" w:space="0" w:color="auto"/>
        <w:right w:val="none" w:sz="0" w:space="0" w:color="auto"/>
      </w:divBdr>
    </w:div>
    <w:div w:id="1580869533">
      <w:marLeft w:val="0"/>
      <w:marRight w:val="0"/>
      <w:marTop w:val="240"/>
      <w:marBottom w:val="0"/>
      <w:divBdr>
        <w:top w:val="none" w:sz="0" w:space="0" w:color="auto"/>
        <w:left w:val="none" w:sz="0" w:space="0" w:color="auto"/>
        <w:bottom w:val="none" w:sz="0" w:space="0" w:color="auto"/>
        <w:right w:val="none" w:sz="0" w:space="0" w:color="auto"/>
      </w:divBdr>
    </w:div>
    <w:div w:id="1582791411">
      <w:marLeft w:val="0"/>
      <w:marRight w:val="0"/>
      <w:marTop w:val="40"/>
      <w:marBottom w:val="0"/>
      <w:divBdr>
        <w:top w:val="none" w:sz="0" w:space="0" w:color="auto"/>
        <w:left w:val="none" w:sz="0" w:space="0" w:color="auto"/>
        <w:bottom w:val="none" w:sz="0" w:space="0" w:color="auto"/>
        <w:right w:val="none" w:sz="0" w:space="0" w:color="auto"/>
      </w:divBdr>
    </w:div>
    <w:div w:id="1583563389">
      <w:marLeft w:val="0"/>
      <w:marRight w:val="0"/>
      <w:marTop w:val="0"/>
      <w:marBottom w:val="0"/>
      <w:divBdr>
        <w:top w:val="none" w:sz="0" w:space="0" w:color="auto"/>
        <w:left w:val="none" w:sz="0" w:space="0" w:color="auto"/>
        <w:bottom w:val="none" w:sz="0" w:space="0" w:color="auto"/>
        <w:right w:val="none" w:sz="0" w:space="0" w:color="auto"/>
      </w:divBdr>
      <w:divsChild>
        <w:div w:id="778065174">
          <w:marLeft w:val="0"/>
          <w:marRight w:val="0"/>
          <w:marTop w:val="0"/>
          <w:marBottom w:val="0"/>
          <w:divBdr>
            <w:top w:val="none" w:sz="0" w:space="0" w:color="auto"/>
            <w:left w:val="none" w:sz="0" w:space="0" w:color="auto"/>
            <w:bottom w:val="none" w:sz="0" w:space="0" w:color="auto"/>
            <w:right w:val="none" w:sz="0" w:space="0" w:color="auto"/>
          </w:divBdr>
        </w:div>
      </w:divsChild>
    </w:div>
    <w:div w:id="1583678112">
      <w:marLeft w:val="0"/>
      <w:marRight w:val="0"/>
      <w:marTop w:val="240"/>
      <w:marBottom w:val="0"/>
      <w:divBdr>
        <w:top w:val="none" w:sz="0" w:space="0" w:color="auto"/>
        <w:left w:val="none" w:sz="0" w:space="0" w:color="auto"/>
        <w:bottom w:val="none" w:sz="0" w:space="0" w:color="auto"/>
        <w:right w:val="none" w:sz="0" w:space="0" w:color="auto"/>
      </w:divBdr>
    </w:div>
    <w:div w:id="1585142951">
      <w:marLeft w:val="0"/>
      <w:marRight w:val="0"/>
      <w:marTop w:val="60"/>
      <w:marBottom w:val="0"/>
      <w:divBdr>
        <w:top w:val="none" w:sz="0" w:space="0" w:color="auto"/>
        <w:left w:val="none" w:sz="0" w:space="0" w:color="auto"/>
        <w:bottom w:val="none" w:sz="0" w:space="0" w:color="auto"/>
        <w:right w:val="none" w:sz="0" w:space="0" w:color="auto"/>
      </w:divBdr>
    </w:div>
    <w:div w:id="1586645696">
      <w:marLeft w:val="0"/>
      <w:marRight w:val="0"/>
      <w:marTop w:val="60"/>
      <w:marBottom w:val="0"/>
      <w:divBdr>
        <w:top w:val="none" w:sz="0" w:space="0" w:color="auto"/>
        <w:left w:val="none" w:sz="0" w:space="0" w:color="auto"/>
        <w:bottom w:val="none" w:sz="0" w:space="0" w:color="auto"/>
        <w:right w:val="none" w:sz="0" w:space="0" w:color="auto"/>
      </w:divBdr>
    </w:div>
    <w:div w:id="1590307468">
      <w:marLeft w:val="0"/>
      <w:marRight w:val="0"/>
      <w:marTop w:val="100"/>
      <w:marBottom w:val="0"/>
      <w:divBdr>
        <w:top w:val="none" w:sz="0" w:space="0" w:color="auto"/>
        <w:left w:val="none" w:sz="0" w:space="0" w:color="auto"/>
        <w:bottom w:val="none" w:sz="0" w:space="0" w:color="auto"/>
        <w:right w:val="none" w:sz="0" w:space="0" w:color="auto"/>
      </w:divBdr>
    </w:div>
    <w:div w:id="1591306467">
      <w:marLeft w:val="0"/>
      <w:marRight w:val="0"/>
      <w:marTop w:val="100"/>
      <w:marBottom w:val="0"/>
      <w:divBdr>
        <w:top w:val="none" w:sz="0" w:space="0" w:color="auto"/>
        <w:left w:val="none" w:sz="0" w:space="0" w:color="auto"/>
        <w:bottom w:val="none" w:sz="0" w:space="0" w:color="auto"/>
        <w:right w:val="none" w:sz="0" w:space="0" w:color="auto"/>
      </w:divBdr>
    </w:div>
    <w:div w:id="1593513676">
      <w:marLeft w:val="0"/>
      <w:marRight w:val="0"/>
      <w:marTop w:val="0"/>
      <w:marBottom w:val="0"/>
      <w:divBdr>
        <w:top w:val="none" w:sz="0" w:space="0" w:color="auto"/>
        <w:left w:val="none" w:sz="0" w:space="0" w:color="auto"/>
        <w:bottom w:val="none" w:sz="0" w:space="0" w:color="auto"/>
        <w:right w:val="none" w:sz="0" w:space="0" w:color="auto"/>
      </w:divBdr>
      <w:divsChild>
        <w:div w:id="587809585">
          <w:marLeft w:val="0"/>
          <w:marRight w:val="0"/>
          <w:marTop w:val="0"/>
          <w:marBottom w:val="0"/>
          <w:divBdr>
            <w:top w:val="none" w:sz="0" w:space="0" w:color="auto"/>
            <w:left w:val="none" w:sz="0" w:space="0" w:color="auto"/>
            <w:bottom w:val="none" w:sz="0" w:space="0" w:color="auto"/>
            <w:right w:val="none" w:sz="0" w:space="0" w:color="auto"/>
          </w:divBdr>
        </w:div>
        <w:div w:id="1198785332">
          <w:marLeft w:val="0"/>
          <w:marRight w:val="0"/>
          <w:marTop w:val="0"/>
          <w:marBottom w:val="0"/>
          <w:divBdr>
            <w:top w:val="none" w:sz="0" w:space="0" w:color="auto"/>
            <w:left w:val="none" w:sz="0" w:space="0" w:color="auto"/>
            <w:bottom w:val="none" w:sz="0" w:space="0" w:color="auto"/>
            <w:right w:val="none" w:sz="0" w:space="0" w:color="auto"/>
          </w:divBdr>
        </w:div>
      </w:divsChild>
    </w:div>
    <w:div w:id="1594822500">
      <w:marLeft w:val="0"/>
      <w:marRight w:val="0"/>
      <w:marTop w:val="100"/>
      <w:marBottom w:val="0"/>
      <w:divBdr>
        <w:top w:val="none" w:sz="0" w:space="0" w:color="auto"/>
        <w:left w:val="none" w:sz="0" w:space="0" w:color="auto"/>
        <w:bottom w:val="none" w:sz="0" w:space="0" w:color="auto"/>
        <w:right w:val="none" w:sz="0" w:space="0" w:color="auto"/>
      </w:divBdr>
    </w:div>
    <w:div w:id="1598169441">
      <w:marLeft w:val="0"/>
      <w:marRight w:val="0"/>
      <w:marTop w:val="100"/>
      <w:marBottom w:val="0"/>
      <w:divBdr>
        <w:top w:val="none" w:sz="0" w:space="0" w:color="auto"/>
        <w:left w:val="none" w:sz="0" w:space="0" w:color="auto"/>
        <w:bottom w:val="none" w:sz="0" w:space="0" w:color="auto"/>
        <w:right w:val="none" w:sz="0" w:space="0" w:color="auto"/>
      </w:divBdr>
    </w:div>
    <w:div w:id="1599755684">
      <w:marLeft w:val="0"/>
      <w:marRight w:val="0"/>
      <w:marTop w:val="100"/>
      <w:marBottom w:val="0"/>
      <w:divBdr>
        <w:top w:val="none" w:sz="0" w:space="0" w:color="auto"/>
        <w:left w:val="none" w:sz="0" w:space="0" w:color="auto"/>
        <w:bottom w:val="none" w:sz="0" w:space="0" w:color="auto"/>
        <w:right w:val="none" w:sz="0" w:space="0" w:color="auto"/>
      </w:divBdr>
    </w:div>
    <w:div w:id="1602298173">
      <w:marLeft w:val="0"/>
      <w:marRight w:val="0"/>
      <w:marTop w:val="100"/>
      <w:marBottom w:val="0"/>
      <w:divBdr>
        <w:top w:val="none" w:sz="0" w:space="0" w:color="auto"/>
        <w:left w:val="none" w:sz="0" w:space="0" w:color="auto"/>
        <w:bottom w:val="none" w:sz="0" w:space="0" w:color="auto"/>
        <w:right w:val="none" w:sz="0" w:space="0" w:color="auto"/>
      </w:divBdr>
    </w:div>
    <w:div w:id="1604848433">
      <w:marLeft w:val="0"/>
      <w:marRight w:val="0"/>
      <w:marTop w:val="60"/>
      <w:marBottom w:val="0"/>
      <w:divBdr>
        <w:top w:val="none" w:sz="0" w:space="0" w:color="auto"/>
        <w:left w:val="none" w:sz="0" w:space="0" w:color="auto"/>
        <w:bottom w:val="none" w:sz="0" w:space="0" w:color="auto"/>
        <w:right w:val="none" w:sz="0" w:space="0" w:color="auto"/>
      </w:divBdr>
    </w:div>
    <w:div w:id="1606385604">
      <w:marLeft w:val="0"/>
      <w:marRight w:val="0"/>
      <w:marTop w:val="100"/>
      <w:marBottom w:val="0"/>
      <w:divBdr>
        <w:top w:val="none" w:sz="0" w:space="0" w:color="auto"/>
        <w:left w:val="none" w:sz="0" w:space="0" w:color="auto"/>
        <w:bottom w:val="none" w:sz="0" w:space="0" w:color="auto"/>
        <w:right w:val="none" w:sz="0" w:space="0" w:color="auto"/>
      </w:divBdr>
    </w:div>
    <w:div w:id="1607349161">
      <w:marLeft w:val="0"/>
      <w:marRight w:val="0"/>
      <w:marTop w:val="100"/>
      <w:marBottom w:val="0"/>
      <w:divBdr>
        <w:top w:val="none" w:sz="0" w:space="0" w:color="auto"/>
        <w:left w:val="none" w:sz="0" w:space="0" w:color="auto"/>
        <w:bottom w:val="none" w:sz="0" w:space="0" w:color="auto"/>
        <w:right w:val="none" w:sz="0" w:space="0" w:color="auto"/>
      </w:divBdr>
    </w:div>
    <w:div w:id="1608200702">
      <w:marLeft w:val="0"/>
      <w:marRight w:val="0"/>
      <w:marTop w:val="180"/>
      <w:marBottom w:val="0"/>
      <w:divBdr>
        <w:top w:val="none" w:sz="0" w:space="0" w:color="auto"/>
        <w:left w:val="none" w:sz="0" w:space="0" w:color="auto"/>
        <w:bottom w:val="none" w:sz="0" w:space="0" w:color="auto"/>
        <w:right w:val="none" w:sz="0" w:space="0" w:color="auto"/>
      </w:divBdr>
    </w:div>
    <w:div w:id="1608809678">
      <w:marLeft w:val="0"/>
      <w:marRight w:val="0"/>
      <w:marTop w:val="100"/>
      <w:marBottom w:val="0"/>
      <w:divBdr>
        <w:top w:val="none" w:sz="0" w:space="0" w:color="auto"/>
        <w:left w:val="none" w:sz="0" w:space="0" w:color="auto"/>
        <w:bottom w:val="none" w:sz="0" w:space="0" w:color="auto"/>
        <w:right w:val="none" w:sz="0" w:space="0" w:color="auto"/>
      </w:divBdr>
    </w:div>
    <w:div w:id="1609845973">
      <w:marLeft w:val="0"/>
      <w:marRight w:val="0"/>
      <w:marTop w:val="100"/>
      <w:marBottom w:val="0"/>
      <w:divBdr>
        <w:top w:val="none" w:sz="0" w:space="0" w:color="auto"/>
        <w:left w:val="none" w:sz="0" w:space="0" w:color="auto"/>
        <w:bottom w:val="none" w:sz="0" w:space="0" w:color="auto"/>
        <w:right w:val="none" w:sz="0" w:space="0" w:color="auto"/>
      </w:divBdr>
    </w:div>
    <w:div w:id="1613592388">
      <w:marLeft w:val="0"/>
      <w:marRight w:val="0"/>
      <w:marTop w:val="280"/>
      <w:marBottom w:val="0"/>
      <w:divBdr>
        <w:top w:val="none" w:sz="0" w:space="0" w:color="auto"/>
        <w:left w:val="none" w:sz="0" w:space="0" w:color="auto"/>
        <w:bottom w:val="none" w:sz="0" w:space="0" w:color="auto"/>
        <w:right w:val="none" w:sz="0" w:space="0" w:color="auto"/>
      </w:divBdr>
    </w:div>
    <w:div w:id="1613634453">
      <w:marLeft w:val="0"/>
      <w:marRight w:val="0"/>
      <w:marTop w:val="240"/>
      <w:marBottom w:val="0"/>
      <w:divBdr>
        <w:top w:val="none" w:sz="0" w:space="0" w:color="auto"/>
        <w:left w:val="none" w:sz="0" w:space="0" w:color="auto"/>
        <w:bottom w:val="none" w:sz="0" w:space="0" w:color="auto"/>
        <w:right w:val="none" w:sz="0" w:space="0" w:color="auto"/>
      </w:divBdr>
    </w:div>
    <w:div w:id="1616672496">
      <w:marLeft w:val="0"/>
      <w:marRight w:val="0"/>
      <w:marTop w:val="60"/>
      <w:marBottom w:val="0"/>
      <w:divBdr>
        <w:top w:val="none" w:sz="0" w:space="0" w:color="auto"/>
        <w:left w:val="none" w:sz="0" w:space="0" w:color="auto"/>
        <w:bottom w:val="none" w:sz="0" w:space="0" w:color="auto"/>
        <w:right w:val="none" w:sz="0" w:space="0" w:color="auto"/>
      </w:divBdr>
    </w:div>
    <w:div w:id="1619482127">
      <w:marLeft w:val="0"/>
      <w:marRight w:val="0"/>
      <w:marTop w:val="240"/>
      <w:marBottom w:val="0"/>
      <w:divBdr>
        <w:top w:val="none" w:sz="0" w:space="0" w:color="auto"/>
        <w:left w:val="none" w:sz="0" w:space="0" w:color="auto"/>
        <w:bottom w:val="none" w:sz="0" w:space="0" w:color="auto"/>
        <w:right w:val="none" w:sz="0" w:space="0" w:color="auto"/>
      </w:divBdr>
    </w:div>
    <w:div w:id="1620062358">
      <w:marLeft w:val="0"/>
      <w:marRight w:val="0"/>
      <w:marTop w:val="100"/>
      <w:marBottom w:val="0"/>
      <w:divBdr>
        <w:top w:val="none" w:sz="0" w:space="0" w:color="auto"/>
        <w:left w:val="none" w:sz="0" w:space="0" w:color="auto"/>
        <w:bottom w:val="none" w:sz="0" w:space="0" w:color="auto"/>
        <w:right w:val="none" w:sz="0" w:space="0" w:color="auto"/>
      </w:divBdr>
    </w:div>
    <w:div w:id="1620456569">
      <w:marLeft w:val="0"/>
      <w:marRight w:val="0"/>
      <w:marTop w:val="100"/>
      <w:marBottom w:val="0"/>
      <w:divBdr>
        <w:top w:val="none" w:sz="0" w:space="0" w:color="auto"/>
        <w:left w:val="none" w:sz="0" w:space="0" w:color="auto"/>
        <w:bottom w:val="none" w:sz="0" w:space="0" w:color="auto"/>
        <w:right w:val="none" w:sz="0" w:space="0" w:color="auto"/>
      </w:divBdr>
    </w:div>
    <w:div w:id="1620840965">
      <w:marLeft w:val="0"/>
      <w:marRight w:val="0"/>
      <w:marTop w:val="100"/>
      <w:marBottom w:val="0"/>
      <w:divBdr>
        <w:top w:val="none" w:sz="0" w:space="0" w:color="auto"/>
        <w:left w:val="none" w:sz="0" w:space="0" w:color="auto"/>
        <w:bottom w:val="none" w:sz="0" w:space="0" w:color="auto"/>
        <w:right w:val="none" w:sz="0" w:space="0" w:color="auto"/>
      </w:divBdr>
    </w:div>
    <w:div w:id="1621380191">
      <w:marLeft w:val="0"/>
      <w:marRight w:val="0"/>
      <w:marTop w:val="100"/>
      <w:marBottom w:val="0"/>
      <w:divBdr>
        <w:top w:val="none" w:sz="0" w:space="0" w:color="auto"/>
        <w:left w:val="none" w:sz="0" w:space="0" w:color="auto"/>
        <w:bottom w:val="none" w:sz="0" w:space="0" w:color="auto"/>
        <w:right w:val="none" w:sz="0" w:space="0" w:color="auto"/>
      </w:divBdr>
    </w:div>
    <w:div w:id="1622764870">
      <w:marLeft w:val="0"/>
      <w:marRight w:val="0"/>
      <w:marTop w:val="100"/>
      <w:marBottom w:val="0"/>
      <w:divBdr>
        <w:top w:val="none" w:sz="0" w:space="0" w:color="auto"/>
        <w:left w:val="none" w:sz="0" w:space="0" w:color="auto"/>
        <w:bottom w:val="none" w:sz="0" w:space="0" w:color="auto"/>
        <w:right w:val="none" w:sz="0" w:space="0" w:color="auto"/>
      </w:divBdr>
    </w:div>
    <w:div w:id="1624579049">
      <w:marLeft w:val="0"/>
      <w:marRight w:val="0"/>
      <w:marTop w:val="100"/>
      <w:marBottom w:val="0"/>
      <w:divBdr>
        <w:top w:val="none" w:sz="0" w:space="0" w:color="auto"/>
        <w:left w:val="none" w:sz="0" w:space="0" w:color="auto"/>
        <w:bottom w:val="none" w:sz="0" w:space="0" w:color="auto"/>
        <w:right w:val="none" w:sz="0" w:space="0" w:color="auto"/>
      </w:divBdr>
    </w:div>
    <w:div w:id="1625311970">
      <w:marLeft w:val="0"/>
      <w:marRight w:val="0"/>
      <w:marTop w:val="0"/>
      <w:marBottom w:val="0"/>
      <w:divBdr>
        <w:top w:val="none" w:sz="0" w:space="0" w:color="auto"/>
        <w:left w:val="none" w:sz="0" w:space="0" w:color="auto"/>
        <w:bottom w:val="none" w:sz="0" w:space="0" w:color="auto"/>
        <w:right w:val="none" w:sz="0" w:space="0" w:color="auto"/>
      </w:divBdr>
      <w:divsChild>
        <w:div w:id="777600503">
          <w:marLeft w:val="0"/>
          <w:marRight w:val="0"/>
          <w:marTop w:val="0"/>
          <w:marBottom w:val="0"/>
          <w:divBdr>
            <w:top w:val="none" w:sz="0" w:space="0" w:color="auto"/>
            <w:left w:val="none" w:sz="0" w:space="0" w:color="auto"/>
            <w:bottom w:val="none" w:sz="0" w:space="0" w:color="auto"/>
            <w:right w:val="none" w:sz="0" w:space="0" w:color="auto"/>
          </w:divBdr>
        </w:div>
        <w:div w:id="1370378865">
          <w:marLeft w:val="0"/>
          <w:marRight w:val="0"/>
          <w:marTop w:val="0"/>
          <w:marBottom w:val="0"/>
          <w:divBdr>
            <w:top w:val="none" w:sz="0" w:space="0" w:color="auto"/>
            <w:left w:val="none" w:sz="0" w:space="0" w:color="auto"/>
            <w:bottom w:val="none" w:sz="0" w:space="0" w:color="auto"/>
            <w:right w:val="none" w:sz="0" w:space="0" w:color="auto"/>
          </w:divBdr>
        </w:div>
      </w:divsChild>
    </w:div>
    <w:div w:id="1628004618">
      <w:marLeft w:val="0"/>
      <w:marRight w:val="0"/>
      <w:marTop w:val="100"/>
      <w:marBottom w:val="0"/>
      <w:divBdr>
        <w:top w:val="none" w:sz="0" w:space="0" w:color="auto"/>
        <w:left w:val="none" w:sz="0" w:space="0" w:color="auto"/>
        <w:bottom w:val="none" w:sz="0" w:space="0" w:color="auto"/>
        <w:right w:val="none" w:sz="0" w:space="0" w:color="auto"/>
      </w:divBdr>
    </w:div>
    <w:div w:id="1628390227">
      <w:marLeft w:val="0"/>
      <w:marRight w:val="0"/>
      <w:marTop w:val="100"/>
      <w:marBottom w:val="0"/>
      <w:divBdr>
        <w:top w:val="none" w:sz="0" w:space="0" w:color="auto"/>
        <w:left w:val="none" w:sz="0" w:space="0" w:color="auto"/>
        <w:bottom w:val="none" w:sz="0" w:space="0" w:color="auto"/>
        <w:right w:val="none" w:sz="0" w:space="0" w:color="auto"/>
      </w:divBdr>
    </w:div>
    <w:div w:id="1629386708">
      <w:marLeft w:val="0"/>
      <w:marRight w:val="0"/>
      <w:marTop w:val="100"/>
      <w:marBottom w:val="0"/>
      <w:divBdr>
        <w:top w:val="none" w:sz="0" w:space="0" w:color="auto"/>
        <w:left w:val="none" w:sz="0" w:space="0" w:color="auto"/>
        <w:bottom w:val="none" w:sz="0" w:space="0" w:color="auto"/>
        <w:right w:val="none" w:sz="0" w:space="0" w:color="auto"/>
      </w:divBdr>
    </w:div>
    <w:div w:id="1630359416">
      <w:marLeft w:val="0"/>
      <w:marRight w:val="0"/>
      <w:marTop w:val="0"/>
      <w:marBottom w:val="0"/>
      <w:divBdr>
        <w:top w:val="none" w:sz="0" w:space="0" w:color="auto"/>
        <w:left w:val="none" w:sz="0" w:space="0" w:color="auto"/>
        <w:bottom w:val="none" w:sz="0" w:space="0" w:color="auto"/>
        <w:right w:val="none" w:sz="0" w:space="0" w:color="auto"/>
      </w:divBdr>
      <w:divsChild>
        <w:div w:id="1241404448">
          <w:marLeft w:val="0"/>
          <w:marRight w:val="0"/>
          <w:marTop w:val="0"/>
          <w:marBottom w:val="0"/>
          <w:divBdr>
            <w:top w:val="none" w:sz="0" w:space="0" w:color="auto"/>
            <w:left w:val="none" w:sz="0" w:space="0" w:color="auto"/>
            <w:bottom w:val="none" w:sz="0" w:space="0" w:color="auto"/>
            <w:right w:val="none" w:sz="0" w:space="0" w:color="auto"/>
          </w:divBdr>
        </w:div>
        <w:div w:id="1859269064">
          <w:marLeft w:val="0"/>
          <w:marRight w:val="0"/>
          <w:marTop w:val="0"/>
          <w:marBottom w:val="0"/>
          <w:divBdr>
            <w:top w:val="none" w:sz="0" w:space="0" w:color="auto"/>
            <w:left w:val="none" w:sz="0" w:space="0" w:color="auto"/>
            <w:bottom w:val="none" w:sz="0" w:space="0" w:color="auto"/>
            <w:right w:val="none" w:sz="0" w:space="0" w:color="auto"/>
          </w:divBdr>
        </w:div>
      </w:divsChild>
    </w:div>
    <w:div w:id="1631521768">
      <w:marLeft w:val="0"/>
      <w:marRight w:val="0"/>
      <w:marTop w:val="240"/>
      <w:marBottom w:val="0"/>
      <w:divBdr>
        <w:top w:val="none" w:sz="0" w:space="0" w:color="auto"/>
        <w:left w:val="none" w:sz="0" w:space="0" w:color="auto"/>
        <w:bottom w:val="none" w:sz="0" w:space="0" w:color="auto"/>
        <w:right w:val="none" w:sz="0" w:space="0" w:color="auto"/>
      </w:divBdr>
    </w:div>
    <w:div w:id="1632395328">
      <w:marLeft w:val="0"/>
      <w:marRight w:val="0"/>
      <w:marTop w:val="0"/>
      <w:marBottom w:val="0"/>
      <w:divBdr>
        <w:top w:val="none" w:sz="0" w:space="0" w:color="auto"/>
        <w:left w:val="none" w:sz="0" w:space="0" w:color="auto"/>
        <w:bottom w:val="none" w:sz="0" w:space="0" w:color="auto"/>
        <w:right w:val="none" w:sz="0" w:space="0" w:color="auto"/>
      </w:divBdr>
      <w:divsChild>
        <w:div w:id="493642189">
          <w:marLeft w:val="0"/>
          <w:marRight w:val="0"/>
          <w:marTop w:val="0"/>
          <w:marBottom w:val="0"/>
          <w:divBdr>
            <w:top w:val="none" w:sz="0" w:space="0" w:color="auto"/>
            <w:left w:val="none" w:sz="0" w:space="0" w:color="auto"/>
            <w:bottom w:val="none" w:sz="0" w:space="0" w:color="auto"/>
            <w:right w:val="none" w:sz="0" w:space="0" w:color="auto"/>
          </w:divBdr>
        </w:div>
        <w:div w:id="147139493">
          <w:marLeft w:val="0"/>
          <w:marRight w:val="0"/>
          <w:marTop w:val="0"/>
          <w:marBottom w:val="0"/>
          <w:divBdr>
            <w:top w:val="none" w:sz="0" w:space="0" w:color="auto"/>
            <w:left w:val="none" w:sz="0" w:space="0" w:color="auto"/>
            <w:bottom w:val="none" w:sz="0" w:space="0" w:color="auto"/>
            <w:right w:val="none" w:sz="0" w:space="0" w:color="auto"/>
          </w:divBdr>
        </w:div>
      </w:divsChild>
    </w:div>
    <w:div w:id="1634671082">
      <w:marLeft w:val="0"/>
      <w:marRight w:val="0"/>
      <w:marTop w:val="240"/>
      <w:marBottom w:val="0"/>
      <w:divBdr>
        <w:top w:val="none" w:sz="0" w:space="0" w:color="auto"/>
        <w:left w:val="none" w:sz="0" w:space="0" w:color="auto"/>
        <w:bottom w:val="none" w:sz="0" w:space="0" w:color="auto"/>
        <w:right w:val="none" w:sz="0" w:space="0" w:color="auto"/>
      </w:divBdr>
    </w:div>
    <w:div w:id="1635987489">
      <w:marLeft w:val="0"/>
      <w:marRight w:val="0"/>
      <w:marTop w:val="100"/>
      <w:marBottom w:val="0"/>
      <w:divBdr>
        <w:top w:val="none" w:sz="0" w:space="0" w:color="auto"/>
        <w:left w:val="none" w:sz="0" w:space="0" w:color="auto"/>
        <w:bottom w:val="none" w:sz="0" w:space="0" w:color="auto"/>
        <w:right w:val="none" w:sz="0" w:space="0" w:color="auto"/>
      </w:divBdr>
    </w:div>
    <w:div w:id="1636569817">
      <w:marLeft w:val="0"/>
      <w:marRight w:val="0"/>
      <w:marTop w:val="100"/>
      <w:marBottom w:val="0"/>
      <w:divBdr>
        <w:top w:val="none" w:sz="0" w:space="0" w:color="auto"/>
        <w:left w:val="none" w:sz="0" w:space="0" w:color="auto"/>
        <w:bottom w:val="none" w:sz="0" w:space="0" w:color="auto"/>
        <w:right w:val="none" w:sz="0" w:space="0" w:color="auto"/>
      </w:divBdr>
    </w:div>
    <w:div w:id="1637832100">
      <w:marLeft w:val="0"/>
      <w:marRight w:val="0"/>
      <w:marTop w:val="0"/>
      <w:marBottom w:val="0"/>
      <w:divBdr>
        <w:top w:val="none" w:sz="0" w:space="0" w:color="auto"/>
        <w:left w:val="none" w:sz="0" w:space="0" w:color="auto"/>
        <w:bottom w:val="none" w:sz="0" w:space="0" w:color="auto"/>
        <w:right w:val="none" w:sz="0" w:space="0" w:color="auto"/>
      </w:divBdr>
      <w:divsChild>
        <w:div w:id="1807963701">
          <w:marLeft w:val="0"/>
          <w:marRight w:val="0"/>
          <w:marTop w:val="0"/>
          <w:marBottom w:val="0"/>
          <w:divBdr>
            <w:top w:val="none" w:sz="0" w:space="0" w:color="auto"/>
            <w:left w:val="none" w:sz="0" w:space="0" w:color="auto"/>
            <w:bottom w:val="none" w:sz="0" w:space="0" w:color="auto"/>
            <w:right w:val="none" w:sz="0" w:space="0" w:color="auto"/>
          </w:divBdr>
        </w:div>
      </w:divsChild>
    </w:div>
    <w:div w:id="1640957568">
      <w:marLeft w:val="0"/>
      <w:marRight w:val="0"/>
      <w:marTop w:val="100"/>
      <w:marBottom w:val="0"/>
      <w:divBdr>
        <w:top w:val="none" w:sz="0" w:space="0" w:color="auto"/>
        <w:left w:val="none" w:sz="0" w:space="0" w:color="auto"/>
        <w:bottom w:val="none" w:sz="0" w:space="0" w:color="auto"/>
        <w:right w:val="none" w:sz="0" w:space="0" w:color="auto"/>
      </w:divBdr>
    </w:div>
    <w:div w:id="1644769557">
      <w:marLeft w:val="0"/>
      <w:marRight w:val="0"/>
      <w:marTop w:val="180"/>
      <w:marBottom w:val="180"/>
      <w:divBdr>
        <w:top w:val="none" w:sz="0" w:space="0" w:color="auto"/>
        <w:left w:val="none" w:sz="0" w:space="0" w:color="auto"/>
        <w:bottom w:val="none" w:sz="0" w:space="0" w:color="auto"/>
        <w:right w:val="none" w:sz="0" w:space="0" w:color="auto"/>
      </w:divBdr>
    </w:div>
    <w:div w:id="1646082323">
      <w:marLeft w:val="0"/>
      <w:marRight w:val="0"/>
      <w:marTop w:val="100"/>
      <w:marBottom w:val="0"/>
      <w:divBdr>
        <w:top w:val="none" w:sz="0" w:space="0" w:color="auto"/>
        <w:left w:val="none" w:sz="0" w:space="0" w:color="auto"/>
        <w:bottom w:val="none" w:sz="0" w:space="0" w:color="auto"/>
        <w:right w:val="none" w:sz="0" w:space="0" w:color="auto"/>
      </w:divBdr>
    </w:div>
    <w:div w:id="1648196243">
      <w:marLeft w:val="0"/>
      <w:marRight w:val="0"/>
      <w:marTop w:val="100"/>
      <w:marBottom w:val="0"/>
      <w:divBdr>
        <w:top w:val="none" w:sz="0" w:space="0" w:color="auto"/>
        <w:left w:val="none" w:sz="0" w:space="0" w:color="auto"/>
        <w:bottom w:val="none" w:sz="0" w:space="0" w:color="auto"/>
        <w:right w:val="none" w:sz="0" w:space="0" w:color="auto"/>
      </w:divBdr>
    </w:div>
    <w:div w:id="1648776787">
      <w:marLeft w:val="0"/>
      <w:marRight w:val="0"/>
      <w:marTop w:val="100"/>
      <w:marBottom w:val="0"/>
      <w:divBdr>
        <w:top w:val="none" w:sz="0" w:space="0" w:color="auto"/>
        <w:left w:val="none" w:sz="0" w:space="0" w:color="auto"/>
        <w:bottom w:val="none" w:sz="0" w:space="0" w:color="auto"/>
        <w:right w:val="none" w:sz="0" w:space="0" w:color="auto"/>
      </w:divBdr>
    </w:div>
    <w:div w:id="1652363530">
      <w:marLeft w:val="0"/>
      <w:marRight w:val="0"/>
      <w:marTop w:val="0"/>
      <w:marBottom w:val="0"/>
      <w:divBdr>
        <w:top w:val="none" w:sz="0" w:space="0" w:color="auto"/>
        <w:left w:val="none" w:sz="0" w:space="0" w:color="auto"/>
        <w:bottom w:val="none" w:sz="0" w:space="0" w:color="auto"/>
        <w:right w:val="none" w:sz="0" w:space="0" w:color="auto"/>
      </w:divBdr>
    </w:div>
    <w:div w:id="1653100993">
      <w:marLeft w:val="0"/>
      <w:marRight w:val="0"/>
      <w:marTop w:val="100"/>
      <w:marBottom w:val="0"/>
      <w:divBdr>
        <w:top w:val="none" w:sz="0" w:space="0" w:color="auto"/>
        <w:left w:val="none" w:sz="0" w:space="0" w:color="auto"/>
        <w:bottom w:val="none" w:sz="0" w:space="0" w:color="auto"/>
        <w:right w:val="none" w:sz="0" w:space="0" w:color="auto"/>
      </w:divBdr>
    </w:div>
    <w:div w:id="1653482304">
      <w:marLeft w:val="0"/>
      <w:marRight w:val="0"/>
      <w:marTop w:val="240"/>
      <w:marBottom w:val="0"/>
      <w:divBdr>
        <w:top w:val="none" w:sz="0" w:space="0" w:color="auto"/>
        <w:left w:val="none" w:sz="0" w:space="0" w:color="auto"/>
        <w:bottom w:val="none" w:sz="0" w:space="0" w:color="auto"/>
        <w:right w:val="none" w:sz="0" w:space="0" w:color="auto"/>
      </w:divBdr>
    </w:div>
    <w:div w:id="1654141297">
      <w:marLeft w:val="0"/>
      <w:marRight w:val="0"/>
      <w:marTop w:val="0"/>
      <w:marBottom w:val="0"/>
      <w:divBdr>
        <w:top w:val="none" w:sz="0" w:space="0" w:color="auto"/>
        <w:left w:val="none" w:sz="0" w:space="0" w:color="auto"/>
        <w:bottom w:val="none" w:sz="0" w:space="0" w:color="auto"/>
        <w:right w:val="none" w:sz="0" w:space="0" w:color="auto"/>
      </w:divBdr>
      <w:divsChild>
        <w:div w:id="1580868486">
          <w:marLeft w:val="0"/>
          <w:marRight w:val="0"/>
          <w:marTop w:val="0"/>
          <w:marBottom w:val="0"/>
          <w:divBdr>
            <w:top w:val="none" w:sz="0" w:space="0" w:color="auto"/>
            <w:left w:val="none" w:sz="0" w:space="0" w:color="auto"/>
            <w:bottom w:val="none" w:sz="0" w:space="0" w:color="auto"/>
            <w:right w:val="none" w:sz="0" w:space="0" w:color="auto"/>
          </w:divBdr>
        </w:div>
      </w:divsChild>
    </w:div>
    <w:div w:id="1654529153">
      <w:marLeft w:val="0"/>
      <w:marRight w:val="0"/>
      <w:marTop w:val="100"/>
      <w:marBottom w:val="0"/>
      <w:divBdr>
        <w:top w:val="none" w:sz="0" w:space="0" w:color="auto"/>
        <w:left w:val="none" w:sz="0" w:space="0" w:color="auto"/>
        <w:bottom w:val="none" w:sz="0" w:space="0" w:color="auto"/>
        <w:right w:val="none" w:sz="0" w:space="0" w:color="auto"/>
      </w:divBdr>
    </w:div>
    <w:div w:id="1654792238">
      <w:marLeft w:val="0"/>
      <w:marRight w:val="0"/>
      <w:marTop w:val="100"/>
      <w:marBottom w:val="0"/>
      <w:divBdr>
        <w:top w:val="none" w:sz="0" w:space="0" w:color="auto"/>
        <w:left w:val="none" w:sz="0" w:space="0" w:color="auto"/>
        <w:bottom w:val="none" w:sz="0" w:space="0" w:color="auto"/>
        <w:right w:val="none" w:sz="0" w:space="0" w:color="auto"/>
      </w:divBdr>
    </w:div>
    <w:div w:id="1656907600">
      <w:marLeft w:val="0"/>
      <w:marRight w:val="0"/>
      <w:marTop w:val="0"/>
      <w:marBottom w:val="0"/>
      <w:divBdr>
        <w:top w:val="none" w:sz="0" w:space="0" w:color="auto"/>
        <w:left w:val="none" w:sz="0" w:space="0" w:color="auto"/>
        <w:bottom w:val="none" w:sz="0" w:space="0" w:color="auto"/>
        <w:right w:val="none" w:sz="0" w:space="0" w:color="auto"/>
      </w:divBdr>
      <w:divsChild>
        <w:div w:id="1140802934">
          <w:marLeft w:val="0"/>
          <w:marRight w:val="0"/>
          <w:marTop w:val="0"/>
          <w:marBottom w:val="0"/>
          <w:divBdr>
            <w:top w:val="none" w:sz="0" w:space="0" w:color="auto"/>
            <w:left w:val="none" w:sz="0" w:space="0" w:color="auto"/>
            <w:bottom w:val="none" w:sz="0" w:space="0" w:color="auto"/>
            <w:right w:val="none" w:sz="0" w:space="0" w:color="auto"/>
          </w:divBdr>
        </w:div>
      </w:divsChild>
    </w:div>
    <w:div w:id="1658996914">
      <w:marLeft w:val="0"/>
      <w:marRight w:val="0"/>
      <w:marTop w:val="100"/>
      <w:marBottom w:val="0"/>
      <w:divBdr>
        <w:top w:val="none" w:sz="0" w:space="0" w:color="auto"/>
        <w:left w:val="none" w:sz="0" w:space="0" w:color="auto"/>
        <w:bottom w:val="none" w:sz="0" w:space="0" w:color="auto"/>
        <w:right w:val="none" w:sz="0" w:space="0" w:color="auto"/>
      </w:divBdr>
    </w:div>
    <w:div w:id="1659379499">
      <w:marLeft w:val="0"/>
      <w:marRight w:val="0"/>
      <w:marTop w:val="240"/>
      <w:marBottom w:val="0"/>
      <w:divBdr>
        <w:top w:val="none" w:sz="0" w:space="0" w:color="auto"/>
        <w:left w:val="none" w:sz="0" w:space="0" w:color="auto"/>
        <w:bottom w:val="none" w:sz="0" w:space="0" w:color="auto"/>
        <w:right w:val="none" w:sz="0" w:space="0" w:color="auto"/>
      </w:divBdr>
    </w:div>
    <w:div w:id="1660425900">
      <w:marLeft w:val="0"/>
      <w:marRight w:val="0"/>
      <w:marTop w:val="100"/>
      <w:marBottom w:val="0"/>
      <w:divBdr>
        <w:top w:val="none" w:sz="0" w:space="0" w:color="auto"/>
        <w:left w:val="none" w:sz="0" w:space="0" w:color="auto"/>
        <w:bottom w:val="none" w:sz="0" w:space="0" w:color="auto"/>
        <w:right w:val="none" w:sz="0" w:space="0" w:color="auto"/>
      </w:divBdr>
    </w:div>
    <w:div w:id="1661538459">
      <w:marLeft w:val="0"/>
      <w:marRight w:val="0"/>
      <w:marTop w:val="60"/>
      <w:marBottom w:val="0"/>
      <w:divBdr>
        <w:top w:val="none" w:sz="0" w:space="0" w:color="auto"/>
        <w:left w:val="none" w:sz="0" w:space="0" w:color="auto"/>
        <w:bottom w:val="none" w:sz="0" w:space="0" w:color="auto"/>
        <w:right w:val="none" w:sz="0" w:space="0" w:color="auto"/>
      </w:divBdr>
    </w:div>
    <w:div w:id="1663505864">
      <w:marLeft w:val="0"/>
      <w:marRight w:val="0"/>
      <w:marTop w:val="60"/>
      <w:marBottom w:val="0"/>
      <w:divBdr>
        <w:top w:val="none" w:sz="0" w:space="0" w:color="auto"/>
        <w:left w:val="none" w:sz="0" w:space="0" w:color="auto"/>
        <w:bottom w:val="none" w:sz="0" w:space="0" w:color="auto"/>
        <w:right w:val="none" w:sz="0" w:space="0" w:color="auto"/>
      </w:divBdr>
    </w:div>
    <w:div w:id="1664626243">
      <w:marLeft w:val="0"/>
      <w:marRight w:val="0"/>
      <w:marTop w:val="60"/>
      <w:marBottom w:val="0"/>
      <w:divBdr>
        <w:top w:val="none" w:sz="0" w:space="0" w:color="auto"/>
        <w:left w:val="none" w:sz="0" w:space="0" w:color="auto"/>
        <w:bottom w:val="none" w:sz="0" w:space="0" w:color="auto"/>
        <w:right w:val="none" w:sz="0" w:space="0" w:color="auto"/>
      </w:divBdr>
    </w:div>
    <w:div w:id="1665352120">
      <w:marLeft w:val="0"/>
      <w:marRight w:val="0"/>
      <w:marTop w:val="60"/>
      <w:marBottom w:val="0"/>
      <w:divBdr>
        <w:top w:val="none" w:sz="0" w:space="0" w:color="auto"/>
        <w:left w:val="none" w:sz="0" w:space="0" w:color="auto"/>
        <w:bottom w:val="none" w:sz="0" w:space="0" w:color="auto"/>
        <w:right w:val="none" w:sz="0" w:space="0" w:color="auto"/>
      </w:divBdr>
    </w:div>
    <w:div w:id="1665931421">
      <w:marLeft w:val="0"/>
      <w:marRight w:val="0"/>
      <w:marTop w:val="100"/>
      <w:marBottom w:val="0"/>
      <w:divBdr>
        <w:top w:val="none" w:sz="0" w:space="0" w:color="auto"/>
        <w:left w:val="none" w:sz="0" w:space="0" w:color="auto"/>
        <w:bottom w:val="none" w:sz="0" w:space="0" w:color="auto"/>
        <w:right w:val="none" w:sz="0" w:space="0" w:color="auto"/>
      </w:divBdr>
    </w:div>
    <w:div w:id="1666784491">
      <w:marLeft w:val="0"/>
      <w:marRight w:val="0"/>
      <w:marTop w:val="60"/>
      <w:marBottom w:val="0"/>
      <w:divBdr>
        <w:top w:val="none" w:sz="0" w:space="0" w:color="auto"/>
        <w:left w:val="none" w:sz="0" w:space="0" w:color="auto"/>
        <w:bottom w:val="none" w:sz="0" w:space="0" w:color="auto"/>
        <w:right w:val="none" w:sz="0" w:space="0" w:color="auto"/>
      </w:divBdr>
    </w:div>
    <w:div w:id="1667124384">
      <w:marLeft w:val="0"/>
      <w:marRight w:val="0"/>
      <w:marTop w:val="0"/>
      <w:marBottom w:val="0"/>
      <w:divBdr>
        <w:top w:val="none" w:sz="0" w:space="0" w:color="auto"/>
        <w:left w:val="none" w:sz="0" w:space="0" w:color="auto"/>
        <w:bottom w:val="none" w:sz="0" w:space="0" w:color="auto"/>
        <w:right w:val="none" w:sz="0" w:space="0" w:color="auto"/>
      </w:divBdr>
      <w:divsChild>
        <w:div w:id="2093041248">
          <w:marLeft w:val="0"/>
          <w:marRight w:val="0"/>
          <w:marTop w:val="0"/>
          <w:marBottom w:val="0"/>
          <w:divBdr>
            <w:top w:val="none" w:sz="0" w:space="0" w:color="auto"/>
            <w:left w:val="none" w:sz="0" w:space="0" w:color="auto"/>
            <w:bottom w:val="none" w:sz="0" w:space="0" w:color="auto"/>
            <w:right w:val="none" w:sz="0" w:space="0" w:color="auto"/>
          </w:divBdr>
        </w:div>
      </w:divsChild>
    </w:div>
    <w:div w:id="1667127668">
      <w:marLeft w:val="0"/>
      <w:marRight w:val="0"/>
      <w:marTop w:val="100"/>
      <w:marBottom w:val="0"/>
      <w:divBdr>
        <w:top w:val="none" w:sz="0" w:space="0" w:color="auto"/>
        <w:left w:val="none" w:sz="0" w:space="0" w:color="auto"/>
        <w:bottom w:val="none" w:sz="0" w:space="0" w:color="auto"/>
        <w:right w:val="none" w:sz="0" w:space="0" w:color="auto"/>
      </w:divBdr>
    </w:div>
    <w:div w:id="1670013604">
      <w:marLeft w:val="0"/>
      <w:marRight w:val="0"/>
      <w:marTop w:val="100"/>
      <w:marBottom w:val="0"/>
      <w:divBdr>
        <w:top w:val="none" w:sz="0" w:space="0" w:color="auto"/>
        <w:left w:val="none" w:sz="0" w:space="0" w:color="auto"/>
        <w:bottom w:val="none" w:sz="0" w:space="0" w:color="auto"/>
        <w:right w:val="none" w:sz="0" w:space="0" w:color="auto"/>
      </w:divBdr>
    </w:div>
    <w:div w:id="1673096469">
      <w:marLeft w:val="0"/>
      <w:marRight w:val="0"/>
      <w:marTop w:val="100"/>
      <w:marBottom w:val="0"/>
      <w:divBdr>
        <w:top w:val="none" w:sz="0" w:space="0" w:color="auto"/>
        <w:left w:val="none" w:sz="0" w:space="0" w:color="auto"/>
        <w:bottom w:val="none" w:sz="0" w:space="0" w:color="auto"/>
        <w:right w:val="none" w:sz="0" w:space="0" w:color="auto"/>
      </w:divBdr>
    </w:div>
    <w:div w:id="1673725654">
      <w:marLeft w:val="0"/>
      <w:marRight w:val="0"/>
      <w:marTop w:val="100"/>
      <w:marBottom w:val="0"/>
      <w:divBdr>
        <w:top w:val="none" w:sz="0" w:space="0" w:color="auto"/>
        <w:left w:val="none" w:sz="0" w:space="0" w:color="auto"/>
        <w:bottom w:val="none" w:sz="0" w:space="0" w:color="auto"/>
        <w:right w:val="none" w:sz="0" w:space="0" w:color="auto"/>
      </w:divBdr>
    </w:div>
    <w:div w:id="1674185161">
      <w:marLeft w:val="0"/>
      <w:marRight w:val="0"/>
      <w:marTop w:val="0"/>
      <w:marBottom w:val="0"/>
      <w:divBdr>
        <w:top w:val="none" w:sz="0" w:space="0" w:color="auto"/>
        <w:left w:val="none" w:sz="0" w:space="0" w:color="auto"/>
        <w:bottom w:val="none" w:sz="0" w:space="0" w:color="auto"/>
        <w:right w:val="none" w:sz="0" w:space="0" w:color="auto"/>
      </w:divBdr>
      <w:divsChild>
        <w:div w:id="1351688834">
          <w:marLeft w:val="0"/>
          <w:marRight w:val="0"/>
          <w:marTop w:val="0"/>
          <w:marBottom w:val="0"/>
          <w:divBdr>
            <w:top w:val="none" w:sz="0" w:space="0" w:color="auto"/>
            <w:left w:val="none" w:sz="0" w:space="0" w:color="auto"/>
            <w:bottom w:val="none" w:sz="0" w:space="0" w:color="auto"/>
            <w:right w:val="none" w:sz="0" w:space="0" w:color="auto"/>
          </w:divBdr>
        </w:div>
      </w:divsChild>
    </w:div>
    <w:div w:id="1674607228">
      <w:marLeft w:val="0"/>
      <w:marRight w:val="0"/>
      <w:marTop w:val="100"/>
      <w:marBottom w:val="0"/>
      <w:divBdr>
        <w:top w:val="none" w:sz="0" w:space="0" w:color="auto"/>
        <w:left w:val="none" w:sz="0" w:space="0" w:color="auto"/>
        <w:bottom w:val="none" w:sz="0" w:space="0" w:color="auto"/>
        <w:right w:val="none" w:sz="0" w:space="0" w:color="auto"/>
      </w:divBdr>
    </w:div>
    <w:div w:id="1675110888">
      <w:marLeft w:val="0"/>
      <w:marRight w:val="0"/>
      <w:marTop w:val="0"/>
      <w:marBottom w:val="0"/>
      <w:divBdr>
        <w:top w:val="none" w:sz="0" w:space="0" w:color="auto"/>
        <w:left w:val="none" w:sz="0" w:space="0" w:color="auto"/>
        <w:bottom w:val="none" w:sz="0" w:space="0" w:color="auto"/>
        <w:right w:val="none" w:sz="0" w:space="0" w:color="auto"/>
      </w:divBdr>
      <w:divsChild>
        <w:div w:id="728069361">
          <w:marLeft w:val="0"/>
          <w:marRight w:val="0"/>
          <w:marTop w:val="0"/>
          <w:marBottom w:val="0"/>
          <w:divBdr>
            <w:top w:val="none" w:sz="0" w:space="0" w:color="auto"/>
            <w:left w:val="none" w:sz="0" w:space="0" w:color="auto"/>
            <w:bottom w:val="none" w:sz="0" w:space="0" w:color="auto"/>
            <w:right w:val="none" w:sz="0" w:space="0" w:color="auto"/>
          </w:divBdr>
        </w:div>
      </w:divsChild>
    </w:div>
    <w:div w:id="1675256951">
      <w:marLeft w:val="0"/>
      <w:marRight w:val="0"/>
      <w:marTop w:val="180"/>
      <w:marBottom w:val="180"/>
      <w:divBdr>
        <w:top w:val="none" w:sz="0" w:space="0" w:color="auto"/>
        <w:left w:val="none" w:sz="0" w:space="0" w:color="auto"/>
        <w:bottom w:val="none" w:sz="0" w:space="0" w:color="auto"/>
        <w:right w:val="none" w:sz="0" w:space="0" w:color="auto"/>
      </w:divBdr>
    </w:div>
    <w:div w:id="1675835364">
      <w:marLeft w:val="0"/>
      <w:marRight w:val="0"/>
      <w:marTop w:val="100"/>
      <w:marBottom w:val="0"/>
      <w:divBdr>
        <w:top w:val="none" w:sz="0" w:space="0" w:color="auto"/>
        <w:left w:val="none" w:sz="0" w:space="0" w:color="auto"/>
        <w:bottom w:val="none" w:sz="0" w:space="0" w:color="auto"/>
        <w:right w:val="none" w:sz="0" w:space="0" w:color="auto"/>
      </w:divBdr>
    </w:div>
    <w:div w:id="1679770863">
      <w:marLeft w:val="0"/>
      <w:marRight w:val="0"/>
      <w:marTop w:val="0"/>
      <w:marBottom w:val="160"/>
      <w:divBdr>
        <w:top w:val="none" w:sz="0" w:space="0" w:color="auto"/>
        <w:left w:val="none" w:sz="0" w:space="0" w:color="auto"/>
        <w:bottom w:val="none" w:sz="0" w:space="0" w:color="auto"/>
        <w:right w:val="none" w:sz="0" w:space="0" w:color="auto"/>
      </w:divBdr>
    </w:div>
    <w:div w:id="1681739841">
      <w:marLeft w:val="0"/>
      <w:marRight w:val="0"/>
      <w:marTop w:val="60"/>
      <w:marBottom w:val="0"/>
      <w:divBdr>
        <w:top w:val="none" w:sz="0" w:space="0" w:color="auto"/>
        <w:left w:val="none" w:sz="0" w:space="0" w:color="auto"/>
        <w:bottom w:val="none" w:sz="0" w:space="0" w:color="auto"/>
        <w:right w:val="none" w:sz="0" w:space="0" w:color="auto"/>
      </w:divBdr>
    </w:div>
    <w:div w:id="1684432547">
      <w:marLeft w:val="0"/>
      <w:marRight w:val="0"/>
      <w:marTop w:val="100"/>
      <w:marBottom w:val="0"/>
      <w:divBdr>
        <w:top w:val="none" w:sz="0" w:space="0" w:color="auto"/>
        <w:left w:val="none" w:sz="0" w:space="0" w:color="auto"/>
        <w:bottom w:val="none" w:sz="0" w:space="0" w:color="auto"/>
        <w:right w:val="none" w:sz="0" w:space="0" w:color="auto"/>
      </w:divBdr>
    </w:div>
    <w:div w:id="1684741333">
      <w:marLeft w:val="0"/>
      <w:marRight w:val="0"/>
      <w:marTop w:val="240"/>
      <w:marBottom w:val="0"/>
      <w:divBdr>
        <w:top w:val="none" w:sz="0" w:space="0" w:color="auto"/>
        <w:left w:val="none" w:sz="0" w:space="0" w:color="auto"/>
        <w:bottom w:val="none" w:sz="0" w:space="0" w:color="auto"/>
        <w:right w:val="none" w:sz="0" w:space="0" w:color="auto"/>
      </w:divBdr>
    </w:div>
    <w:div w:id="1687252065">
      <w:marLeft w:val="0"/>
      <w:marRight w:val="0"/>
      <w:marTop w:val="100"/>
      <w:marBottom w:val="0"/>
      <w:divBdr>
        <w:top w:val="none" w:sz="0" w:space="0" w:color="auto"/>
        <w:left w:val="none" w:sz="0" w:space="0" w:color="auto"/>
        <w:bottom w:val="none" w:sz="0" w:space="0" w:color="auto"/>
        <w:right w:val="none" w:sz="0" w:space="0" w:color="auto"/>
      </w:divBdr>
    </w:div>
    <w:div w:id="1689596146">
      <w:marLeft w:val="0"/>
      <w:marRight w:val="0"/>
      <w:marTop w:val="100"/>
      <w:marBottom w:val="0"/>
      <w:divBdr>
        <w:top w:val="none" w:sz="0" w:space="0" w:color="auto"/>
        <w:left w:val="none" w:sz="0" w:space="0" w:color="auto"/>
        <w:bottom w:val="none" w:sz="0" w:space="0" w:color="auto"/>
        <w:right w:val="none" w:sz="0" w:space="0" w:color="auto"/>
      </w:divBdr>
    </w:div>
    <w:div w:id="1690715329">
      <w:marLeft w:val="0"/>
      <w:marRight w:val="0"/>
      <w:marTop w:val="0"/>
      <w:marBottom w:val="0"/>
      <w:divBdr>
        <w:top w:val="none" w:sz="0" w:space="0" w:color="auto"/>
        <w:left w:val="none" w:sz="0" w:space="0" w:color="auto"/>
        <w:bottom w:val="none" w:sz="0" w:space="0" w:color="auto"/>
        <w:right w:val="none" w:sz="0" w:space="0" w:color="auto"/>
      </w:divBdr>
      <w:divsChild>
        <w:div w:id="1406995158">
          <w:marLeft w:val="0"/>
          <w:marRight w:val="0"/>
          <w:marTop w:val="0"/>
          <w:marBottom w:val="0"/>
          <w:divBdr>
            <w:top w:val="none" w:sz="0" w:space="0" w:color="auto"/>
            <w:left w:val="none" w:sz="0" w:space="0" w:color="auto"/>
            <w:bottom w:val="none" w:sz="0" w:space="0" w:color="auto"/>
            <w:right w:val="none" w:sz="0" w:space="0" w:color="auto"/>
          </w:divBdr>
        </w:div>
        <w:div w:id="828834278">
          <w:marLeft w:val="0"/>
          <w:marRight w:val="0"/>
          <w:marTop w:val="0"/>
          <w:marBottom w:val="0"/>
          <w:divBdr>
            <w:top w:val="none" w:sz="0" w:space="0" w:color="auto"/>
            <w:left w:val="none" w:sz="0" w:space="0" w:color="auto"/>
            <w:bottom w:val="none" w:sz="0" w:space="0" w:color="auto"/>
            <w:right w:val="none" w:sz="0" w:space="0" w:color="auto"/>
          </w:divBdr>
        </w:div>
      </w:divsChild>
    </w:div>
    <w:div w:id="1692995561">
      <w:marLeft w:val="0"/>
      <w:marRight w:val="0"/>
      <w:marTop w:val="0"/>
      <w:marBottom w:val="0"/>
      <w:divBdr>
        <w:top w:val="none" w:sz="0" w:space="0" w:color="auto"/>
        <w:left w:val="none" w:sz="0" w:space="0" w:color="auto"/>
        <w:bottom w:val="none" w:sz="0" w:space="0" w:color="auto"/>
        <w:right w:val="none" w:sz="0" w:space="0" w:color="auto"/>
      </w:divBdr>
      <w:divsChild>
        <w:div w:id="1819296835">
          <w:marLeft w:val="0"/>
          <w:marRight w:val="0"/>
          <w:marTop w:val="0"/>
          <w:marBottom w:val="0"/>
          <w:divBdr>
            <w:top w:val="none" w:sz="0" w:space="0" w:color="auto"/>
            <w:left w:val="none" w:sz="0" w:space="0" w:color="auto"/>
            <w:bottom w:val="none" w:sz="0" w:space="0" w:color="auto"/>
            <w:right w:val="none" w:sz="0" w:space="0" w:color="auto"/>
          </w:divBdr>
        </w:div>
      </w:divsChild>
    </w:div>
    <w:div w:id="1694108227">
      <w:marLeft w:val="0"/>
      <w:marRight w:val="0"/>
      <w:marTop w:val="240"/>
      <w:marBottom w:val="0"/>
      <w:divBdr>
        <w:top w:val="none" w:sz="0" w:space="0" w:color="auto"/>
        <w:left w:val="none" w:sz="0" w:space="0" w:color="auto"/>
        <w:bottom w:val="none" w:sz="0" w:space="0" w:color="auto"/>
        <w:right w:val="none" w:sz="0" w:space="0" w:color="auto"/>
      </w:divBdr>
    </w:div>
    <w:div w:id="1696228192">
      <w:marLeft w:val="0"/>
      <w:marRight w:val="0"/>
      <w:marTop w:val="240"/>
      <w:marBottom w:val="0"/>
      <w:divBdr>
        <w:top w:val="none" w:sz="0" w:space="0" w:color="auto"/>
        <w:left w:val="none" w:sz="0" w:space="0" w:color="auto"/>
        <w:bottom w:val="none" w:sz="0" w:space="0" w:color="auto"/>
        <w:right w:val="none" w:sz="0" w:space="0" w:color="auto"/>
      </w:divBdr>
    </w:div>
    <w:div w:id="1698844947">
      <w:marLeft w:val="0"/>
      <w:marRight w:val="0"/>
      <w:marTop w:val="100"/>
      <w:marBottom w:val="0"/>
      <w:divBdr>
        <w:top w:val="none" w:sz="0" w:space="0" w:color="auto"/>
        <w:left w:val="none" w:sz="0" w:space="0" w:color="auto"/>
        <w:bottom w:val="none" w:sz="0" w:space="0" w:color="auto"/>
        <w:right w:val="none" w:sz="0" w:space="0" w:color="auto"/>
      </w:divBdr>
    </w:div>
    <w:div w:id="1700619133">
      <w:marLeft w:val="0"/>
      <w:marRight w:val="0"/>
      <w:marTop w:val="280"/>
      <w:marBottom w:val="0"/>
      <w:divBdr>
        <w:top w:val="none" w:sz="0" w:space="0" w:color="auto"/>
        <w:left w:val="none" w:sz="0" w:space="0" w:color="auto"/>
        <w:bottom w:val="none" w:sz="0" w:space="0" w:color="auto"/>
        <w:right w:val="none" w:sz="0" w:space="0" w:color="auto"/>
      </w:divBdr>
    </w:div>
    <w:div w:id="1705448087">
      <w:marLeft w:val="0"/>
      <w:marRight w:val="0"/>
      <w:marTop w:val="100"/>
      <w:marBottom w:val="0"/>
      <w:divBdr>
        <w:top w:val="none" w:sz="0" w:space="0" w:color="auto"/>
        <w:left w:val="none" w:sz="0" w:space="0" w:color="auto"/>
        <w:bottom w:val="none" w:sz="0" w:space="0" w:color="auto"/>
        <w:right w:val="none" w:sz="0" w:space="0" w:color="auto"/>
      </w:divBdr>
    </w:div>
    <w:div w:id="1706444200">
      <w:marLeft w:val="0"/>
      <w:marRight w:val="0"/>
      <w:marTop w:val="100"/>
      <w:marBottom w:val="0"/>
      <w:divBdr>
        <w:top w:val="none" w:sz="0" w:space="0" w:color="auto"/>
        <w:left w:val="none" w:sz="0" w:space="0" w:color="auto"/>
        <w:bottom w:val="none" w:sz="0" w:space="0" w:color="auto"/>
        <w:right w:val="none" w:sz="0" w:space="0" w:color="auto"/>
      </w:divBdr>
    </w:div>
    <w:div w:id="1707289648">
      <w:marLeft w:val="0"/>
      <w:marRight w:val="0"/>
      <w:marTop w:val="60"/>
      <w:marBottom w:val="0"/>
      <w:divBdr>
        <w:top w:val="none" w:sz="0" w:space="0" w:color="auto"/>
        <w:left w:val="none" w:sz="0" w:space="0" w:color="auto"/>
        <w:bottom w:val="none" w:sz="0" w:space="0" w:color="auto"/>
        <w:right w:val="none" w:sz="0" w:space="0" w:color="auto"/>
      </w:divBdr>
    </w:div>
    <w:div w:id="1710255499">
      <w:marLeft w:val="0"/>
      <w:marRight w:val="0"/>
      <w:marTop w:val="100"/>
      <w:marBottom w:val="0"/>
      <w:divBdr>
        <w:top w:val="none" w:sz="0" w:space="0" w:color="auto"/>
        <w:left w:val="none" w:sz="0" w:space="0" w:color="auto"/>
        <w:bottom w:val="none" w:sz="0" w:space="0" w:color="auto"/>
        <w:right w:val="none" w:sz="0" w:space="0" w:color="auto"/>
      </w:divBdr>
    </w:div>
    <w:div w:id="1713193286">
      <w:marLeft w:val="0"/>
      <w:marRight w:val="0"/>
      <w:marTop w:val="100"/>
      <w:marBottom w:val="0"/>
      <w:divBdr>
        <w:top w:val="none" w:sz="0" w:space="0" w:color="auto"/>
        <w:left w:val="none" w:sz="0" w:space="0" w:color="auto"/>
        <w:bottom w:val="none" w:sz="0" w:space="0" w:color="auto"/>
        <w:right w:val="none" w:sz="0" w:space="0" w:color="auto"/>
      </w:divBdr>
    </w:div>
    <w:div w:id="1717123793">
      <w:marLeft w:val="0"/>
      <w:marRight w:val="0"/>
      <w:marTop w:val="100"/>
      <w:marBottom w:val="0"/>
      <w:divBdr>
        <w:top w:val="none" w:sz="0" w:space="0" w:color="auto"/>
        <w:left w:val="none" w:sz="0" w:space="0" w:color="auto"/>
        <w:bottom w:val="none" w:sz="0" w:space="0" w:color="auto"/>
        <w:right w:val="none" w:sz="0" w:space="0" w:color="auto"/>
      </w:divBdr>
    </w:div>
    <w:div w:id="1720544742">
      <w:marLeft w:val="0"/>
      <w:marRight w:val="0"/>
      <w:marTop w:val="100"/>
      <w:marBottom w:val="0"/>
      <w:divBdr>
        <w:top w:val="none" w:sz="0" w:space="0" w:color="auto"/>
        <w:left w:val="none" w:sz="0" w:space="0" w:color="auto"/>
        <w:bottom w:val="none" w:sz="0" w:space="0" w:color="auto"/>
        <w:right w:val="none" w:sz="0" w:space="0" w:color="auto"/>
      </w:divBdr>
    </w:div>
    <w:div w:id="1721440328">
      <w:marLeft w:val="0"/>
      <w:marRight w:val="0"/>
      <w:marTop w:val="100"/>
      <w:marBottom w:val="0"/>
      <w:divBdr>
        <w:top w:val="none" w:sz="0" w:space="0" w:color="auto"/>
        <w:left w:val="none" w:sz="0" w:space="0" w:color="auto"/>
        <w:bottom w:val="none" w:sz="0" w:space="0" w:color="auto"/>
        <w:right w:val="none" w:sz="0" w:space="0" w:color="auto"/>
      </w:divBdr>
    </w:div>
    <w:div w:id="1723019859">
      <w:marLeft w:val="0"/>
      <w:marRight w:val="0"/>
      <w:marTop w:val="100"/>
      <w:marBottom w:val="0"/>
      <w:divBdr>
        <w:top w:val="none" w:sz="0" w:space="0" w:color="auto"/>
        <w:left w:val="none" w:sz="0" w:space="0" w:color="auto"/>
        <w:bottom w:val="none" w:sz="0" w:space="0" w:color="auto"/>
        <w:right w:val="none" w:sz="0" w:space="0" w:color="auto"/>
      </w:divBdr>
    </w:div>
    <w:div w:id="1724138013">
      <w:marLeft w:val="0"/>
      <w:marRight w:val="0"/>
      <w:marTop w:val="100"/>
      <w:marBottom w:val="0"/>
      <w:divBdr>
        <w:top w:val="none" w:sz="0" w:space="0" w:color="auto"/>
        <w:left w:val="none" w:sz="0" w:space="0" w:color="auto"/>
        <w:bottom w:val="none" w:sz="0" w:space="0" w:color="auto"/>
        <w:right w:val="none" w:sz="0" w:space="0" w:color="auto"/>
      </w:divBdr>
    </w:div>
    <w:div w:id="1724481288">
      <w:marLeft w:val="0"/>
      <w:marRight w:val="0"/>
      <w:marTop w:val="240"/>
      <w:marBottom w:val="0"/>
      <w:divBdr>
        <w:top w:val="none" w:sz="0" w:space="0" w:color="auto"/>
        <w:left w:val="none" w:sz="0" w:space="0" w:color="auto"/>
        <w:bottom w:val="none" w:sz="0" w:space="0" w:color="auto"/>
        <w:right w:val="none" w:sz="0" w:space="0" w:color="auto"/>
      </w:divBdr>
    </w:div>
    <w:div w:id="1724524059">
      <w:marLeft w:val="0"/>
      <w:marRight w:val="0"/>
      <w:marTop w:val="100"/>
      <w:marBottom w:val="0"/>
      <w:divBdr>
        <w:top w:val="none" w:sz="0" w:space="0" w:color="auto"/>
        <w:left w:val="none" w:sz="0" w:space="0" w:color="auto"/>
        <w:bottom w:val="none" w:sz="0" w:space="0" w:color="auto"/>
        <w:right w:val="none" w:sz="0" w:space="0" w:color="auto"/>
      </w:divBdr>
    </w:div>
    <w:div w:id="1732071007">
      <w:marLeft w:val="0"/>
      <w:marRight w:val="0"/>
      <w:marTop w:val="100"/>
      <w:marBottom w:val="0"/>
      <w:divBdr>
        <w:top w:val="none" w:sz="0" w:space="0" w:color="auto"/>
        <w:left w:val="none" w:sz="0" w:space="0" w:color="auto"/>
        <w:bottom w:val="none" w:sz="0" w:space="0" w:color="auto"/>
        <w:right w:val="none" w:sz="0" w:space="0" w:color="auto"/>
      </w:divBdr>
    </w:div>
    <w:div w:id="1732578558">
      <w:marLeft w:val="0"/>
      <w:marRight w:val="0"/>
      <w:marTop w:val="100"/>
      <w:marBottom w:val="0"/>
      <w:divBdr>
        <w:top w:val="none" w:sz="0" w:space="0" w:color="auto"/>
        <w:left w:val="none" w:sz="0" w:space="0" w:color="auto"/>
        <w:bottom w:val="none" w:sz="0" w:space="0" w:color="auto"/>
        <w:right w:val="none" w:sz="0" w:space="0" w:color="auto"/>
      </w:divBdr>
    </w:div>
    <w:div w:id="1734162469">
      <w:marLeft w:val="0"/>
      <w:marRight w:val="0"/>
      <w:marTop w:val="60"/>
      <w:marBottom w:val="0"/>
      <w:divBdr>
        <w:top w:val="none" w:sz="0" w:space="0" w:color="auto"/>
        <w:left w:val="none" w:sz="0" w:space="0" w:color="auto"/>
        <w:bottom w:val="none" w:sz="0" w:space="0" w:color="auto"/>
        <w:right w:val="none" w:sz="0" w:space="0" w:color="auto"/>
      </w:divBdr>
    </w:div>
    <w:div w:id="1735884507">
      <w:marLeft w:val="0"/>
      <w:marRight w:val="0"/>
      <w:marTop w:val="100"/>
      <w:marBottom w:val="0"/>
      <w:divBdr>
        <w:top w:val="none" w:sz="0" w:space="0" w:color="auto"/>
        <w:left w:val="none" w:sz="0" w:space="0" w:color="auto"/>
        <w:bottom w:val="none" w:sz="0" w:space="0" w:color="auto"/>
        <w:right w:val="none" w:sz="0" w:space="0" w:color="auto"/>
      </w:divBdr>
    </w:div>
    <w:div w:id="1736273645">
      <w:marLeft w:val="0"/>
      <w:marRight w:val="0"/>
      <w:marTop w:val="100"/>
      <w:marBottom w:val="0"/>
      <w:divBdr>
        <w:top w:val="none" w:sz="0" w:space="0" w:color="auto"/>
        <w:left w:val="none" w:sz="0" w:space="0" w:color="auto"/>
        <w:bottom w:val="none" w:sz="0" w:space="0" w:color="auto"/>
        <w:right w:val="none" w:sz="0" w:space="0" w:color="auto"/>
      </w:divBdr>
    </w:div>
    <w:div w:id="1736782108">
      <w:marLeft w:val="0"/>
      <w:marRight w:val="0"/>
      <w:marTop w:val="240"/>
      <w:marBottom w:val="0"/>
      <w:divBdr>
        <w:top w:val="none" w:sz="0" w:space="0" w:color="auto"/>
        <w:left w:val="none" w:sz="0" w:space="0" w:color="auto"/>
        <w:bottom w:val="none" w:sz="0" w:space="0" w:color="auto"/>
        <w:right w:val="none" w:sz="0" w:space="0" w:color="auto"/>
      </w:divBdr>
    </w:div>
    <w:div w:id="1737389754">
      <w:marLeft w:val="0"/>
      <w:marRight w:val="0"/>
      <w:marTop w:val="240"/>
      <w:marBottom w:val="0"/>
      <w:divBdr>
        <w:top w:val="none" w:sz="0" w:space="0" w:color="auto"/>
        <w:left w:val="none" w:sz="0" w:space="0" w:color="auto"/>
        <w:bottom w:val="none" w:sz="0" w:space="0" w:color="auto"/>
        <w:right w:val="none" w:sz="0" w:space="0" w:color="auto"/>
      </w:divBdr>
    </w:div>
    <w:div w:id="1737971329">
      <w:marLeft w:val="0"/>
      <w:marRight w:val="0"/>
      <w:marTop w:val="100"/>
      <w:marBottom w:val="0"/>
      <w:divBdr>
        <w:top w:val="none" w:sz="0" w:space="0" w:color="auto"/>
        <w:left w:val="none" w:sz="0" w:space="0" w:color="auto"/>
        <w:bottom w:val="none" w:sz="0" w:space="0" w:color="auto"/>
        <w:right w:val="none" w:sz="0" w:space="0" w:color="auto"/>
      </w:divBdr>
    </w:div>
    <w:div w:id="1738625691">
      <w:marLeft w:val="0"/>
      <w:marRight w:val="0"/>
      <w:marTop w:val="60"/>
      <w:marBottom w:val="0"/>
      <w:divBdr>
        <w:top w:val="none" w:sz="0" w:space="0" w:color="auto"/>
        <w:left w:val="none" w:sz="0" w:space="0" w:color="auto"/>
        <w:bottom w:val="none" w:sz="0" w:space="0" w:color="auto"/>
        <w:right w:val="none" w:sz="0" w:space="0" w:color="auto"/>
      </w:divBdr>
    </w:div>
    <w:div w:id="1739548124">
      <w:marLeft w:val="0"/>
      <w:marRight w:val="0"/>
      <w:marTop w:val="100"/>
      <w:marBottom w:val="0"/>
      <w:divBdr>
        <w:top w:val="none" w:sz="0" w:space="0" w:color="auto"/>
        <w:left w:val="none" w:sz="0" w:space="0" w:color="auto"/>
        <w:bottom w:val="none" w:sz="0" w:space="0" w:color="auto"/>
        <w:right w:val="none" w:sz="0" w:space="0" w:color="auto"/>
      </w:divBdr>
    </w:div>
    <w:div w:id="1739593522">
      <w:marLeft w:val="0"/>
      <w:marRight w:val="0"/>
      <w:marTop w:val="0"/>
      <w:marBottom w:val="0"/>
      <w:divBdr>
        <w:top w:val="none" w:sz="0" w:space="0" w:color="auto"/>
        <w:left w:val="none" w:sz="0" w:space="0" w:color="auto"/>
        <w:bottom w:val="none" w:sz="0" w:space="0" w:color="auto"/>
        <w:right w:val="none" w:sz="0" w:space="0" w:color="auto"/>
      </w:divBdr>
      <w:divsChild>
        <w:div w:id="1626497197">
          <w:marLeft w:val="0"/>
          <w:marRight w:val="0"/>
          <w:marTop w:val="0"/>
          <w:marBottom w:val="0"/>
          <w:divBdr>
            <w:top w:val="none" w:sz="0" w:space="0" w:color="auto"/>
            <w:left w:val="none" w:sz="0" w:space="0" w:color="auto"/>
            <w:bottom w:val="none" w:sz="0" w:space="0" w:color="auto"/>
            <w:right w:val="none" w:sz="0" w:space="0" w:color="auto"/>
          </w:divBdr>
        </w:div>
      </w:divsChild>
    </w:div>
    <w:div w:id="1740244739">
      <w:marLeft w:val="0"/>
      <w:marRight w:val="0"/>
      <w:marTop w:val="240"/>
      <w:marBottom w:val="0"/>
      <w:divBdr>
        <w:top w:val="none" w:sz="0" w:space="0" w:color="auto"/>
        <w:left w:val="none" w:sz="0" w:space="0" w:color="auto"/>
        <w:bottom w:val="none" w:sz="0" w:space="0" w:color="auto"/>
        <w:right w:val="none" w:sz="0" w:space="0" w:color="auto"/>
      </w:divBdr>
    </w:div>
    <w:div w:id="1740706249">
      <w:marLeft w:val="0"/>
      <w:marRight w:val="0"/>
      <w:marTop w:val="60"/>
      <w:marBottom w:val="0"/>
      <w:divBdr>
        <w:top w:val="none" w:sz="0" w:space="0" w:color="auto"/>
        <w:left w:val="none" w:sz="0" w:space="0" w:color="auto"/>
        <w:bottom w:val="none" w:sz="0" w:space="0" w:color="auto"/>
        <w:right w:val="none" w:sz="0" w:space="0" w:color="auto"/>
      </w:divBdr>
    </w:div>
    <w:div w:id="1741248349">
      <w:marLeft w:val="0"/>
      <w:marRight w:val="0"/>
      <w:marTop w:val="60"/>
      <w:marBottom w:val="0"/>
      <w:divBdr>
        <w:top w:val="none" w:sz="0" w:space="0" w:color="auto"/>
        <w:left w:val="none" w:sz="0" w:space="0" w:color="auto"/>
        <w:bottom w:val="none" w:sz="0" w:space="0" w:color="auto"/>
        <w:right w:val="none" w:sz="0" w:space="0" w:color="auto"/>
      </w:divBdr>
    </w:div>
    <w:div w:id="1742289490">
      <w:marLeft w:val="0"/>
      <w:marRight w:val="0"/>
      <w:marTop w:val="100"/>
      <w:marBottom w:val="0"/>
      <w:divBdr>
        <w:top w:val="none" w:sz="0" w:space="0" w:color="auto"/>
        <w:left w:val="none" w:sz="0" w:space="0" w:color="auto"/>
        <w:bottom w:val="none" w:sz="0" w:space="0" w:color="auto"/>
        <w:right w:val="none" w:sz="0" w:space="0" w:color="auto"/>
      </w:divBdr>
    </w:div>
    <w:div w:id="1742485490">
      <w:marLeft w:val="0"/>
      <w:marRight w:val="0"/>
      <w:marTop w:val="60"/>
      <w:marBottom w:val="0"/>
      <w:divBdr>
        <w:top w:val="none" w:sz="0" w:space="0" w:color="auto"/>
        <w:left w:val="none" w:sz="0" w:space="0" w:color="auto"/>
        <w:bottom w:val="none" w:sz="0" w:space="0" w:color="auto"/>
        <w:right w:val="none" w:sz="0" w:space="0" w:color="auto"/>
      </w:divBdr>
    </w:div>
    <w:div w:id="1743403210">
      <w:marLeft w:val="0"/>
      <w:marRight w:val="0"/>
      <w:marTop w:val="60"/>
      <w:marBottom w:val="0"/>
      <w:divBdr>
        <w:top w:val="none" w:sz="0" w:space="0" w:color="auto"/>
        <w:left w:val="none" w:sz="0" w:space="0" w:color="auto"/>
        <w:bottom w:val="none" w:sz="0" w:space="0" w:color="auto"/>
        <w:right w:val="none" w:sz="0" w:space="0" w:color="auto"/>
      </w:divBdr>
    </w:div>
    <w:div w:id="1743526237">
      <w:marLeft w:val="0"/>
      <w:marRight w:val="0"/>
      <w:marTop w:val="100"/>
      <w:marBottom w:val="0"/>
      <w:divBdr>
        <w:top w:val="none" w:sz="0" w:space="0" w:color="auto"/>
        <w:left w:val="none" w:sz="0" w:space="0" w:color="auto"/>
        <w:bottom w:val="none" w:sz="0" w:space="0" w:color="auto"/>
        <w:right w:val="none" w:sz="0" w:space="0" w:color="auto"/>
      </w:divBdr>
    </w:div>
    <w:div w:id="1745492307">
      <w:marLeft w:val="0"/>
      <w:marRight w:val="0"/>
      <w:marTop w:val="100"/>
      <w:marBottom w:val="0"/>
      <w:divBdr>
        <w:top w:val="none" w:sz="0" w:space="0" w:color="auto"/>
        <w:left w:val="none" w:sz="0" w:space="0" w:color="auto"/>
        <w:bottom w:val="none" w:sz="0" w:space="0" w:color="auto"/>
        <w:right w:val="none" w:sz="0" w:space="0" w:color="auto"/>
      </w:divBdr>
    </w:div>
    <w:div w:id="1747530302">
      <w:marLeft w:val="0"/>
      <w:marRight w:val="0"/>
      <w:marTop w:val="100"/>
      <w:marBottom w:val="0"/>
      <w:divBdr>
        <w:top w:val="none" w:sz="0" w:space="0" w:color="auto"/>
        <w:left w:val="none" w:sz="0" w:space="0" w:color="auto"/>
        <w:bottom w:val="none" w:sz="0" w:space="0" w:color="auto"/>
        <w:right w:val="none" w:sz="0" w:space="0" w:color="auto"/>
      </w:divBdr>
    </w:div>
    <w:div w:id="1752778382">
      <w:marLeft w:val="0"/>
      <w:marRight w:val="0"/>
      <w:marTop w:val="0"/>
      <w:marBottom w:val="0"/>
      <w:divBdr>
        <w:top w:val="none" w:sz="0" w:space="0" w:color="auto"/>
        <w:left w:val="none" w:sz="0" w:space="0" w:color="auto"/>
        <w:bottom w:val="none" w:sz="0" w:space="0" w:color="auto"/>
        <w:right w:val="none" w:sz="0" w:space="0" w:color="auto"/>
      </w:divBdr>
      <w:divsChild>
        <w:div w:id="1367024779">
          <w:marLeft w:val="0"/>
          <w:marRight w:val="0"/>
          <w:marTop w:val="0"/>
          <w:marBottom w:val="0"/>
          <w:divBdr>
            <w:top w:val="none" w:sz="0" w:space="0" w:color="auto"/>
            <w:left w:val="none" w:sz="0" w:space="0" w:color="auto"/>
            <w:bottom w:val="none" w:sz="0" w:space="0" w:color="auto"/>
            <w:right w:val="none" w:sz="0" w:space="0" w:color="auto"/>
          </w:divBdr>
        </w:div>
      </w:divsChild>
    </w:div>
    <w:div w:id="1753816435">
      <w:marLeft w:val="0"/>
      <w:marRight w:val="0"/>
      <w:marTop w:val="100"/>
      <w:marBottom w:val="0"/>
      <w:divBdr>
        <w:top w:val="none" w:sz="0" w:space="0" w:color="auto"/>
        <w:left w:val="none" w:sz="0" w:space="0" w:color="auto"/>
        <w:bottom w:val="none" w:sz="0" w:space="0" w:color="auto"/>
        <w:right w:val="none" w:sz="0" w:space="0" w:color="auto"/>
      </w:divBdr>
    </w:div>
    <w:div w:id="1755319064">
      <w:marLeft w:val="0"/>
      <w:marRight w:val="0"/>
      <w:marTop w:val="100"/>
      <w:marBottom w:val="0"/>
      <w:divBdr>
        <w:top w:val="none" w:sz="0" w:space="0" w:color="auto"/>
        <w:left w:val="none" w:sz="0" w:space="0" w:color="auto"/>
        <w:bottom w:val="none" w:sz="0" w:space="0" w:color="auto"/>
        <w:right w:val="none" w:sz="0" w:space="0" w:color="auto"/>
      </w:divBdr>
    </w:div>
    <w:div w:id="1760523919">
      <w:marLeft w:val="0"/>
      <w:marRight w:val="0"/>
      <w:marTop w:val="100"/>
      <w:marBottom w:val="0"/>
      <w:divBdr>
        <w:top w:val="none" w:sz="0" w:space="0" w:color="auto"/>
        <w:left w:val="none" w:sz="0" w:space="0" w:color="auto"/>
        <w:bottom w:val="none" w:sz="0" w:space="0" w:color="auto"/>
        <w:right w:val="none" w:sz="0" w:space="0" w:color="auto"/>
      </w:divBdr>
    </w:div>
    <w:div w:id="1763065251">
      <w:marLeft w:val="0"/>
      <w:marRight w:val="0"/>
      <w:marTop w:val="0"/>
      <w:marBottom w:val="0"/>
      <w:divBdr>
        <w:top w:val="none" w:sz="0" w:space="0" w:color="auto"/>
        <w:left w:val="none" w:sz="0" w:space="0" w:color="auto"/>
        <w:bottom w:val="none" w:sz="0" w:space="0" w:color="auto"/>
        <w:right w:val="none" w:sz="0" w:space="0" w:color="auto"/>
      </w:divBdr>
      <w:divsChild>
        <w:div w:id="798887837">
          <w:marLeft w:val="0"/>
          <w:marRight w:val="0"/>
          <w:marTop w:val="0"/>
          <w:marBottom w:val="0"/>
          <w:divBdr>
            <w:top w:val="none" w:sz="0" w:space="0" w:color="auto"/>
            <w:left w:val="none" w:sz="0" w:space="0" w:color="auto"/>
            <w:bottom w:val="none" w:sz="0" w:space="0" w:color="auto"/>
            <w:right w:val="none" w:sz="0" w:space="0" w:color="auto"/>
          </w:divBdr>
        </w:div>
        <w:div w:id="416946968">
          <w:marLeft w:val="0"/>
          <w:marRight w:val="0"/>
          <w:marTop w:val="0"/>
          <w:marBottom w:val="0"/>
          <w:divBdr>
            <w:top w:val="none" w:sz="0" w:space="0" w:color="auto"/>
            <w:left w:val="none" w:sz="0" w:space="0" w:color="auto"/>
            <w:bottom w:val="none" w:sz="0" w:space="0" w:color="auto"/>
            <w:right w:val="none" w:sz="0" w:space="0" w:color="auto"/>
          </w:divBdr>
        </w:div>
      </w:divsChild>
    </w:div>
    <w:div w:id="1763258571">
      <w:marLeft w:val="0"/>
      <w:marRight w:val="0"/>
      <w:marTop w:val="100"/>
      <w:marBottom w:val="0"/>
      <w:divBdr>
        <w:top w:val="none" w:sz="0" w:space="0" w:color="auto"/>
        <w:left w:val="none" w:sz="0" w:space="0" w:color="auto"/>
        <w:bottom w:val="none" w:sz="0" w:space="0" w:color="auto"/>
        <w:right w:val="none" w:sz="0" w:space="0" w:color="auto"/>
      </w:divBdr>
      <w:divsChild>
        <w:div w:id="669521647">
          <w:marLeft w:val="0"/>
          <w:marRight w:val="0"/>
          <w:marTop w:val="0"/>
          <w:marBottom w:val="0"/>
          <w:divBdr>
            <w:top w:val="none" w:sz="0" w:space="0" w:color="auto"/>
            <w:left w:val="none" w:sz="0" w:space="0" w:color="auto"/>
            <w:bottom w:val="none" w:sz="0" w:space="0" w:color="auto"/>
            <w:right w:val="none" w:sz="0" w:space="0" w:color="auto"/>
          </w:divBdr>
        </w:div>
        <w:div w:id="1358388163">
          <w:marLeft w:val="0"/>
          <w:marRight w:val="0"/>
          <w:marTop w:val="0"/>
          <w:marBottom w:val="0"/>
          <w:divBdr>
            <w:top w:val="none" w:sz="0" w:space="0" w:color="auto"/>
            <w:left w:val="none" w:sz="0" w:space="0" w:color="auto"/>
            <w:bottom w:val="none" w:sz="0" w:space="0" w:color="auto"/>
            <w:right w:val="none" w:sz="0" w:space="0" w:color="auto"/>
          </w:divBdr>
        </w:div>
        <w:div w:id="1907643807">
          <w:marLeft w:val="0"/>
          <w:marRight w:val="0"/>
          <w:marTop w:val="0"/>
          <w:marBottom w:val="0"/>
          <w:divBdr>
            <w:top w:val="none" w:sz="0" w:space="0" w:color="auto"/>
            <w:left w:val="none" w:sz="0" w:space="0" w:color="auto"/>
            <w:bottom w:val="none" w:sz="0" w:space="0" w:color="auto"/>
            <w:right w:val="none" w:sz="0" w:space="0" w:color="auto"/>
          </w:divBdr>
        </w:div>
        <w:div w:id="1445810233">
          <w:marLeft w:val="0"/>
          <w:marRight w:val="0"/>
          <w:marTop w:val="0"/>
          <w:marBottom w:val="0"/>
          <w:divBdr>
            <w:top w:val="none" w:sz="0" w:space="0" w:color="auto"/>
            <w:left w:val="none" w:sz="0" w:space="0" w:color="auto"/>
            <w:bottom w:val="none" w:sz="0" w:space="0" w:color="auto"/>
            <w:right w:val="none" w:sz="0" w:space="0" w:color="auto"/>
          </w:divBdr>
        </w:div>
        <w:div w:id="843935546">
          <w:marLeft w:val="0"/>
          <w:marRight w:val="0"/>
          <w:marTop w:val="0"/>
          <w:marBottom w:val="0"/>
          <w:divBdr>
            <w:top w:val="none" w:sz="0" w:space="0" w:color="auto"/>
            <w:left w:val="none" w:sz="0" w:space="0" w:color="auto"/>
            <w:bottom w:val="none" w:sz="0" w:space="0" w:color="auto"/>
            <w:right w:val="none" w:sz="0" w:space="0" w:color="auto"/>
          </w:divBdr>
        </w:div>
        <w:div w:id="470558563">
          <w:marLeft w:val="0"/>
          <w:marRight w:val="0"/>
          <w:marTop w:val="0"/>
          <w:marBottom w:val="0"/>
          <w:divBdr>
            <w:top w:val="none" w:sz="0" w:space="0" w:color="auto"/>
            <w:left w:val="none" w:sz="0" w:space="0" w:color="auto"/>
            <w:bottom w:val="none" w:sz="0" w:space="0" w:color="auto"/>
            <w:right w:val="none" w:sz="0" w:space="0" w:color="auto"/>
          </w:divBdr>
        </w:div>
      </w:divsChild>
    </w:div>
    <w:div w:id="1763335950">
      <w:marLeft w:val="0"/>
      <w:marRight w:val="0"/>
      <w:marTop w:val="240"/>
      <w:marBottom w:val="0"/>
      <w:divBdr>
        <w:top w:val="none" w:sz="0" w:space="0" w:color="auto"/>
        <w:left w:val="none" w:sz="0" w:space="0" w:color="auto"/>
        <w:bottom w:val="none" w:sz="0" w:space="0" w:color="auto"/>
        <w:right w:val="none" w:sz="0" w:space="0" w:color="auto"/>
      </w:divBdr>
    </w:div>
    <w:div w:id="1766027382">
      <w:marLeft w:val="0"/>
      <w:marRight w:val="0"/>
      <w:marTop w:val="0"/>
      <w:marBottom w:val="0"/>
      <w:divBdr>
        <w:top w:val="none" w:sz="0" w:space="0" w:color="auto"/>
        <w:left w:val="none" w:sz="0" w:space="0" w:color="auto"/>
        <w:bottom w:val="none" w:sz="0" w:space="0" w:color="auto"/>
        <w:right w:val="none" w:sz="0" w:space="0" w:color="auto"/>
      </w:divBdr>
    </w:div>
    <w:div w:id="1769422430">
      <w:marLeft w:val="0"/>
      <w:marRight w:val="0"/>
      <w:marTop w:val="100"/>
      <w:marBottom w:val="0"/>
      <w:divBdr>
        <w:top w:val="none" w:sz="0" w:space="0" w:color="auto"/>
        <w:left w:val="none" w:sz="0" w:space="0" w:color="auto"/>
        <w:bottom w:val="none" w:sz="0" w:space="0" w:color="auto"/>
        <w:right w:val="none" w:sz="0" w:space="0" w:color="auto"/>
      </w:divBdr>
    </w:div>
    <w:div w:id="1770000489">
      <w:marLeft w:val="0"/>
      <w:marRight w:val="0"/>
      <w:marTop w:val="100"/>
      <w:marBottom w:val="0"/>
      <w:divBdr>
        <w:top w:val="none" w:sz="0" w:space="0" w:color="auto"/>
        <w:left w:val="none" w:sz="0" w:space="0" w:color="auto"/>
        <w:bottom w:val="none" w:sz="0" w:space="0" w:color="auto"/>
        <w:right w:val="none" w:sz="0" w:space="0" w:color="auto"/>
      </w:divBdr>
    </w:div>
    <w:div w:id="1771973478">
      <w:marLeft w:val="0"/>
      <w:marRight w:val="0"/>
      <w:marTop w:val="0"/>
      <w:marBottom w:val="0"/>
      <w:divBdr>
        <w:top w:val="none" w:sz="0" w:space="0" w:color="auto"/>
        <w:left w:val="none" w:sz="0" w:space="0" w:color="auto"/>
        <w:bottom w:val="none" w:sz="0" w:space="0" w:color="auto"/>
        <w:right w:val="none" w:sz="0" w:space="0" w:color="auto"/>
      </w:divBdr>
      <w:divsChild>
        <w:div w:id="473841515">
          <w:marLeft w:val="0"/>
          <w:marRight w:val="0"/>
          <w:marTop w:val="0"/>
          <w:marBottom w:val="0"/>
          <w:divBdr>
            <w:top w:val="none" w:sz="0" w:space="0" w:color="auto"/>
            <w:left w:val="none" w:sz="0" w:space="0" w:color="auto"/>
            <w:bottom w:val="none" w:sz="0" w:space="0" w:color="auto"/>
            <w:right w:val="none" w:sz="0" w:space="0" w:color="auto"/>
          </w:divBdr>
        </w:div>
        <w:div w:id="26225646">
          <w:marLeft w:val="0"/>
          <w:marRight w:val="0"/>
          <w:marTop w:val="0"/>
          <w:marBottom w:val="0"/>
          <w:divBdr>
            <w:top w:val="none" w:sz="0" w:space="0" w:color="auto"/>
            <w:left w:val="none" w:sz="0" w:space="0" w:color="auto"/>
            <w:bottom w:val="none" w:sz="0" w:space="0" w:color="auto"/>
            <w:right w:val="none" w:sz="0" w:space="0" w:color="auto"/>
          </w:divBdr>
        </w:div>
      </w:divsChild>
    </w:div>
    <w:div w:id="1777363231">
      <w:marLeft w:val="0"/>
      <w:marRight w:val="0"/>
      <w:marTop w:val="100"/>
      <w:marBottom w:val="0"/>
      <w:divBdr>
        <w:top w:val="none" w:sz="0" w:space="0" w:color="auto"/>
        <w:left w:val="none" w:sz="0" w:space="0" w:color="auto"/>
        <w:bottom w:val="none" w:sz="0" w:space="0" w:color="auto"/>
        <w:right w:val="none" w:sz="0" w:space="0" w:color="auto"/>
      </w:divBdr>
    </w:div>
    <w:div w:id="1779567034">
      <w:marLeft w:val="0"/>
      <w:marRight w:val="0"/>
      <w:marTop w:val="60"/>
      <w:marBottom w:val="0"/>
      <w:divBdr>
        <w:top w:val="none" w:sz="0" w:space="0" w:color="auto"/>
        <w:left w:val="none" w:sz="0" w:space="0" w:color="auto"/>
        <w:bottom w:val="none" w:sz="0" w:space="0" w:color="auto"/>
        <w:right w:val="none" w:sz="0" w:space="0" w:color="auto"/>
      </w:divBdr>
    </w:div>
    <w:div w:id="1781874230">
      <w:marLeft w:val="0"/>
      <w:marRight w:val="0"/>
      <w:marTop w:val="100"/>
      <w:marBottom w:val="0"/>
      <w:divBdr>
        <w:top w:val="none" w:sz="0" w:space="0" w:color="auto"/>
        <w:left w:val="none" w:sz="0" w:space="0" w:color="auto"/>
        <w:bottom w:val="none" w:sz="0" w:space="0" w:color="auto"/>
        <w:right w:val="none" w:sz="0" w:space="0" w:color="auto"/>
      </w:divBdr>
    </w:div>
    <w:div w:id="1782608062">
      <w:marLeft w:val="0"/>
      <w:marRight w:val="0"/>
      <w:marTop w:val="100"/>
      <w:marBottom w:val="0"/>
      <w:divBdr>
        <w:top w:val="none" w:sz="0" w:space="0" w:color="auto"/>
        <w:left w:val="none" w:sz="0" w:space="0" w:color="auto"/>
        <w:bottom w:val="none" w:sz="0" w:space="0" w:color="auto"/>
        <w:right w:val="none" w:sz="0" w:space="0" w:color="auto"/>
      </w:divBdr>
    </w:div>
    <w:div w:id="1783959066">
      <w:marLeft w:val="0"/>
      <w:marRight w:val="0"/>
      <w:marTop w:val="100"/>
      <w:marBottom w:val="0"/>
      <w:divBdr>
        <w:top w:val="none" w:sz="0" w:space="0" w:color="auto"/>
        <w:left w:val="none" w:sz="0" w:space="0" w:color="auto"/>
        <w:bottom w:val="none" w:sz="0" w:space="0" w:color="auto"/>
        <w:right w:val="none" w:sz="0" w:space="0" w:color="auto"/>
      </w:divBdr>
    </w:div>
    <w:div w:id="1785462837">
      <w:marLeft w:val="0"/>
      <w:marRight w:val="0"/>
      <w:marTop w:val="100"/>
      <w:marBottom w:val="0"/>
      <w:divBdr>
        <w:top w:val="none" w:sz="0" w:space="0" w:color="auto"/>
        <w:left w:val="none" w:sz="0" w:space="0" w:color="auto"/>
        <w:bottom w:val="none" w:sz="0" w:space="0" w:color="auto"/>
        <w:right w:val="none" w:sz="0" w:space="0" w:color="auto"/>
      </w:divBdr>
    </w:div>
    <w:div w:id="1785610804">
      <w:marLeft w:val="0"/>
      <w:marRight w:val="0"/>
      <w:marTop w:val="0"/>
      <w:marBottom w:val="0"/>
      <w:divBdr>
        <w:top w:val="none" w:sz="0" w:space="0" w:color="auto"/>
        <w:left w:val="none" w:sz="0" w:space="0" w:color="auto"/>
        <w:bottom w:val="none" w:sz="0" w:space="0" w:color="auto"/>
        <w:right w:val="none" w:sz="0" w:space="0" w:color="auto"/>
      </w:divBdr>
    </w:div>
    <w:div w:id="1790466561">
      <w:marLeft w:val="0"/>
      <w:marRight w:val="0"/>
      <w:marTop w:val="100"/>
      <w:marBottom w:val="0"/>
      <w:divBdr>
        <w:top w:val="none" w:sz="0" w:space="0" w:color="auto"/>
        <w:left w:val="none" w:sz="0" w:space="0" w:color="auto"/>
        <w:bottom w:val="none" w:sz="0" w:space="0" w:color="auto"/>
        <w:right w:val="none" w:sz="0" w:space="0" w:color="auto"/>
      </w:divBdr>
    </w:div>
    <w:div w:id="1790974179">
      <w:marLeft w:val="0"/>
      <w:marRight w:val="0"/>
      <w:marTop w:val="240"/>
      <w:marBottom w:val="0"/>
      <w:divBdr>
        <w:top w:val="none" w:sz="0" w:space="0" w:color="auto"/>
        <w:left w:val="none" w:sz="0" w:space="0" w:color="auto"/>
        <w:bottom w:val="none" w:sz="0" w:space="0" w:color="auto"/>
        <w:right w:val="none" w:sz="0" w:space="0" w:color="auto"/>
      </w:divBdr>
    </w:div>
    <w:div w:id="1791169975">
      <w:marLeft w:val="0"/>
      <w:marRight w:val="0"/>
      <w:marTop w:val="100"/>
      <w:marBottom w:val="0"/>
      <w:divBdr>
        <w:top w:val="none" w:sz="0" w:space="0" w:color="auto"/>
        <w:left w:val="none" w:sz="0" w:space="0" w:color="auto"/>
        <w:bottom w:val="none" w:sz="0" w:space="0" w:color="auto"/>
        <w:right w:val="none" w:sz="0" w:space="0" w:color="auto"/>
      </w:divBdr>
    </w:div>
    <w:div w:id="1791850986">
      <w:marLeft w:val="0"/>
      <w:marRight w:val="0"/>
      <w:marTop w:val="0"/>
      <w:marBottom w:val="0"/>
      <w:divBdr>
        <w:top w:val="none" w:sz="0" w:space="0" w:color="auto"/>
        <w:left w:val="none" w:sz="0" w:space="0" w:color="auto"/>
        <w:bottom w:val="none" w:sz="0" w:space="0" w:color="auto"/>
        <w:right w:val="none" w:sz="0" w:space="0" w:color="auto"/>
      </w:divBdr>
      <w:divsChild>
        <w:div w:id="403845633">
          <w:marLeft w:val="0"/>
          <w:marRight w:val="0"/>
          <w:marTop w:val="0"/>
          <w:marBottom w:val="0"/>
          <w:divBdr>
            <w:top w:val="none" w:sz="0" w:space="0" w:color="auto"/>
            <w:left w:val="none" w:sz="0" w:space="0" w:color="auto"/>
            <w:bottom w:val="none" w:sz="0" w:space="0" w:color="auto"/>
            <w:right w:val="none" w:sz="0" w:space="0" w:color="auto"/>
          </w:divBdr>
        </w:div>
      </w:divsChild>
    </w:div>
    <w:div w:id="1791967881">
      <w:marLeft w:val="0"/>
      <w:marRight w:val="0"/>
      <w:marTop w:val="60"/>
      <w:marBottom w:val="0"/>
      <w:divBdr>
        <w:top w:val="none" w:sz="0" w:space="0" w:color="auto"/>
        <w:left w:val="none" w:sz="0" w:space="0" w:color="auto"/>
        <w:bottom w:val="none" w:sz="0" w:space="0" w:color="auto"/>
        <w:right w:val="none" w:sz="0" w:space="0" w:color="auto"/>
      </w:divBdr>
    </w:div>
    <w:div w:id="1793666685">
      <w:marLeft w:val="0"/>
      <w:marRight w:val="0"/>
      <w:marTop w:val="100"/>
      <w:marBottom w:val="0"/>
      <w:divBdr>
        <w:top w:val="none" w:sz="0" w:space="0" w:color="auto"/>
        <w:left w:val="none" w:sz="0" w:space="0" w:color="auto"/>
        <w:bottom w:val="none" w:sz="0" w:space="0" w:color="auto"/>
        <w:right w:val="none" w:sz="0" w:space="0" w:color="auto"/>
      </w:divBdr>
    </w:div>
    <w:div w:id="1794864756">
      <w:marLeft w:val="0"/>
      <w:marRight w:val="0"/>
      <w:marTop w:val="0"/>
      <w:marBottom w:val="160"/>
      <w:divBdr>
        <w:top w:val="none" w:sz="0" w:space="0" w:color="auto"/>
        <w:left w:val="none" w:sz="0" w:space="0" w:color="auto"/>
        <w:bottom w:val="none" w:sz="0" w:space="0" w:color="auto"/>
        <w:right w:val="none" w:sz="0" w:space="0" w:color="auto"/>
      </w:divBdr>
    </w:div>
    <w:div w:id="1794979899">
      <w:marLeft w:val="0"/>
      <w:marRight w:val="0"/>
      <w:marTop w:val="100"/>
      <w:marBottom w:val="0"/>
      <w:divBdr>
        <w:top w:val="none" w:sz="0" w:space="0" w:color="auto"/>
        <w:left w:val="none" w:sz="0" w:space="0" w:color="auto"/>
        <w:bottom w:val="none" w:sz="0" w:space="0" w:color="auto"/>
        <w:right w:val="none" w:sz="0" w:space="0" w:color="auto"/>
      </w:divBdr>
    </w:div>
    <w:div w:id="1794981927">
      <w:marLeft w:val="0"/>
      <w:marRight w:val="0"/>
      <w:marTop w:val="100"/>
      <w:marBottom w:val="0"/>
      <w:divBdr>
        <w:top w:val="none" w:sz="0" w:space="0" w:color="auto"/>
        <w:left w:val="none" w:sz="0" w:space="0" w:color="auto"/>
        <w:bottom w:val="none" w:sz="0" w:space="0" w:color="auto"/>
        <w:right w:val="none" w:sz="0" w:space="0" w:color="auto"/>
      </w:divBdr>
    </w:div>
    <w:div w:id="1796630705">
      <w:marLeft w:val="0"/>
      <w:marRight w:val="0"/>
      <w:marTop w:val="100"/>
      <w:marBottom w:val="0"/>
      <w:divBdr>
        <w:top w:val="none" w:sz="0" w:space="0" w:color="auto"/>
        <w:left w:val="none" w:sz="0" w:space="0" w:color="auto"/>
        <w:bottom w:val="none" w:sz="0" w:space="0" w:color="auto"/>
        <w:right w:val="none" w:sz="0" w:space="0" w:color="auto"/>
      </w:divBdr>
    </w:div>
    <w:div w:id="1798134062">
      <w:marLeft w:val="0"/>
      <w:marRight w:val="0"/>
      <w:marTop w:val="280"/>
      <w:marBottom w:val="0"/>
      <w:divBdr>
        <w:top w:val="none" w:sz="0" w:space="0" w:color="auto"/>
        <w:left w:val="none" w:sz="0" w:space="0" w:color="auto"/>
        <w:bottom w:val="none" w:sz="0" w:space="0" w:color="auto"/>
        <w:right w:val="none" w:sz="0" w:space="0" w:color="auto"/>
      </w:divBdr>
    </w:div>
    <w:div w:id="1798834080">
      <w:marLeft w:val="0"/>
      <w:marRight w:val="0"/>
      <w:marTop w:val="60"/>
      <w:marBottom w:val="0"/>
      <w:divBdr>
        <w:top w:val="none" w:sz="0" w:space="0" w:color="auto"/>
        <w:left w:val="none" w:sz="0" w:space="0" w:color="auto"/>
        <w:bottom w:val="none" w:sz="0" w:space="0" w:color="auto"/>
        <w:right w:val="none" w:sz="0" w:space="0" w:color="auto"/>
      </w:divBdr>
    </w:div>
    <w:div w:id="1801414885">
      <w:marLeft w:val="0"/>
      <w:marRight w:val="0"/>
      <w:marTop w:val="100"/>
      <w:marBottom w:val="0"/>
      <w:divBdr>
        <w:top w:val="none" w:sz="0" w:space="0" w:color="auto"/>
        <w:left w:val="none" w:sz="0" w:space="0" w:color="auto"/>
        <w:bottom w:val="none" w:sz="0" w:space="0" w:color="auto"/>
        <w:right w:val="none" w:sz="0" w:space="0" w:color="auto"/>
      </w:divBdr>
    </w:div>
    <w:div w:id="1801536577">
      <w:marLeft w:val="0"/>
      <w:marRight w:val="0"/>
      <w:marTop w:val="100"/>
      <w:marBottom w:val="0"/>
      <w:divBdr>
        <w:top w:val="none" w:sz="0" w:space="0" w:color="auto"/>
        <w:left w:val="none" w:sz="0" w:space="0" w:color="auto"/>
        <w:bottom w:val="none" w:sz="0" w:space="0" w:color="auto"/>
        <w:right w:val="none" w:sz="0" w:space="0" w:color="auto"/>
      </w:divBdr>
    </w:div>
    <w:div w:id="1801916910">
      <w:marLeft w:val="0"/>
      <w:marRight w:val="0"/>
      <w:marTop w:val="60"/>
      <w:marBottom w:val="0"/>
      <w:divBdr>
        <w:top w:val="none" w:sz="0" w:space="0" w:color="auto"/>
        <w:left w:val="none" w:sz="0" w:space="0" w:color="auto"/>
        <w:bottom w:val="none" w:sz="0" w:space="0" w:color="auto"/>
        <w:right w:val="none" w:sz="0" w:space="0" w:color="auto"/>
      </w:divBdr>
    </w:div>
    <w:div w:id="1802071880">
      <w:marLeft w:val="0"/>
      <w:marRight w:val="0"/>
      <w:marTop w:val="240"/>
      <w:marBottom w:val="0"/>
      <w:divBdr>
        <w:top w:val="none" w:sz="0" w:space="0" w:color="auto"/>
        <w:left w:val="none" w:sz="0" w:space="0" w:color="auto"/>
        <w:bottom w:val="none" w:sz="0" w:space="0" w:color="auto"/>
        <w:right w:val="none" w:sz="0" w:space="0" w:color="auto"/>
      </w:divBdr>
    </w:div>
    <w:div w:id="1805390072">
      <w:marLeft w:val="0"/>
      <w:marRight w:val="0"/>
      <w:marTop w:val="60"/>
      <w:marBottom w:val="0"/>
      <w:divBdr>
        <w:top w:val="none" w:sz="0" w:space="0" w:color="auto"/>
        <w:left w:val="none" w:sz="0" w:space="0" w:color="auto"/>
        <w:bottom w:val="none" w:sz="0" w:space="0" w:color="auto"/>
        <w:right w:val="none" w:sz="0" w:space="0" w:color="auto"/>
      </w:divBdr>
    </w:div>
    <w:div w:id="1808812320">
      <w:marLeft w:val="0"/>
      <w:marRight w:val="0"/>
      <w:marTop w:val="0"/>
      <w:marBottom w:val="0"/>
      <w:divBdr>
        <w:top w:val="none" w:sz="0" w:space="0" w:color="auto"/>
        <w:left w:val="none" w:sz="0" w:space="0" w:color="auto"/>
        <w:bottom w:val="none" w:sz="0" w:space="0" w:color="auto"/>
        <w:right w:val="none" w:sz="0" w:space="0" w:color="auto"/>
      </w:divBdr>
      <w:divsChild>
        <w:div w:id="353196511">
          <w:marLeft w:val="0"/>
          <w:marRight w:val="0"/>
          <w:marTop w:val="0"/>
          <w:marBottom w:val="0"/>
          <w:divBdr>
            <w:top w:val="none" w:sz="0" w:space="0" w:color="auto"/>
            <w:left w:val="none" w:sz="0" w:space="0" w:color="auto"/>
            <w:bottom w:val="none" w:sz="0" w:space="0" w:color="auto"/>
            <w:right w:val="none" w:sz="0" w:space="0" w:color="auto"/>
          </w:divBdr>
        </w:div>
        <w:div w:id="1640569280">
          <w:marLeft w:val="0"/>
          <w:marRight w:val="0"/>
          <w:marTop w:val="0"/>
          <w:marBottom w:val="0"/>
          <w:divBdr>
            <w:top w:val="none" w:sz="0" w:space="0" w:color="auto"/>
            <w:left w:val="none" w:sz="0" w:space="0" w:color="auto"/>
            <w:bottom w:val="none" w:sz="0" w:space="0" w:color="auto"/>
            <w:right w:val="none" w:sz="0" w:space="0" w:color="auto"/>
          </w:divBdr>
        </w:div>
      </w:divsChild>
    </w:div>
    <w:div w:id="1808814327">
      <w:marLeft w:val="0"/>
      <w:marRight w:val="0"/>
      <w:marTop w:val="60"/>
      <w:marBottom w:val="0"/>
      <w:divBdr>
        <w:top w:val="none" w:sz="0" w:space="0" w:color="auto"/>
        <w:left w:val="none" w:sz="0" w:space="0" w:color="auto"/>
        <w:bottom w:val="none" w:sz="0" w:space="0" w:color="auto"/>
        <w:right w:val="none" w:sz="0" w:space="0" w:color="auto"/>
      </w:divBdr>
    </w:div>
    <w:div w:id="1810588522">
      <w:marLeft w:val="0"/>
      <w:marRight w:val="0"/>
      <w:marTop w:val="60"/>
      <w:marBottom w:val="0"/>
      <w:divBdr>
        <w:top w:val="none" w:sz="0" w:space="0" w:color="auto"/>
        <w:left w:val="none" w:sz="0" w:space="0" w:color="auto"/>
        <w:bottom w:val="none" w:sz="0" w:space="0" w:color="auto"/>
        <w:right w:val="none" w:sz="0" w:space="0" w:color="auto"/>
      </w:divBdr>
    </w:div>
    <w:div w:id="1811166686">
      <w:marLeft w:val="0"/>
      <w:marRight w:val="0"/>
      <w:marTop w:val="100"/>
      <w:marBottom w:val="0"/>
      <w:divBdr>
        <w:top w:val="none" w:sz="0" w:space="0" w:color="auto"/>
        <w:left w:val="none" w:sz="0" w:space="0" w:color="auto"/>
        <w:bottom w:val="none" w:sz="0" w:space="0" w:color="auto"/>
        <w:right w:val="none" w:sz="0" w:space="0" w:color="auto"/>
      </w:divBdr>
    </w:div>
    <w:div w:id="1813251134">
      <w:marLeft w:val="0"/>
      <w:marRight w:val="0"/>
      <w:marTop w:val="240"/>
      <w:marBottom w:val="0"/>
      <w:divBdr>
        <w:top w:val="none" w:sz="0" w:space="0" w:color="auto"/>
        <w:left w:val="none" w:sz="0" w:space="0" w:color="auto"/>
        <w:bottom w:val="none" w:sz="0" w:space="0" w:color="auto"/>
        <w:right w:val="none" w:sz="0" w:space="0" w:color="auto"/>
      </w:divBdr>
    </w:div>
    <w:div w:id="1813908265">
      <w:marLeft w:val="0"/>
      <w:marRight w:val="0"/>
      <w:marTop w:val="0"/>
      <w:marBottom w:val="0"/>
      <w:divBdr>
        <w:top w:val="none" w:sz="0" w:space="0" w:color="auto"/>
        <w:left w:val="none" w:sz="0" w:space="0" w:color="auto"/>
        <w:bottom w:val="none" w:sz="0" w:space="0" w:color="auto"/>
        <w:right w:val="none" w:sz="0" w:space="0" w:color="auto"/>
      </w:divBdr>
      <w:divsChild>
        <w:div w:id="365376416">
          <w:marLeft w:val="0"/>
          <w:marRight w:val="0"/>
          <w:marTop w:val="0"/>
          <w:marBottom w:val="0"/>
          <w:divBdr>
            <w:top w:val="none" w:sz="0" w:space="0" w:color="auto"/>
            <w:left w:val="none" w:sz="0" w:space="0" w:color="auto"/>
            <w:bottom w:val="none" w:sz="0" w:space="0" w:color="auto"/>
            <w:right w:val="none" w:sz="0" w:space="0" w:color="auto"/>
          </w:divBdr>
        </w:div>
        <w:div w:id="622073683">
          <w:marLeft w:val="0"/>
          <w:marRight w:val="0"/>
          <w:marTop w:val="0"/>
          <w:marBottom w:val="0"/>
          <w:divBdr>
            <w:top w:val="none" w:sz="0" w:space="0" w:color="auto"/>
            <w:left w:val="none" w:sz="0" w:space="0" w:color="auto"/>
            <w:bottom w:val="none" w:sz="0" w:space="0" w:color="auto"/>
            <w:right w:val="none" w:sz="0" w:space="0" w:color="auto"/>
          </w:divBdr>
        </w:div>
      </w:divsChild>
    </w:div>
    <w:div w:id="1814446045">
      <w:marLeft w:val="0"/>
      <w:marRight w:val="0"/>
      <w:marTop w:val="100"/>
      <w:marBottom w:val="0"/>
      <w:divBdr>
        <w:top w:val="none" w:sz="0" w:space="0" w:color="auto"/>
        <w:left w:val="none" w:sz="0" w:space="0" w:color="auto"/>
        <w:bottom w:val="none" w:sz="0" w:space="0" w:color="auto"/>
        <w:right w:val="none" w:sz="0" w:space="0" w:color="auto"/>
      </w:divBdr>
    </w:div>
    <w:div w:id="1816026073">
      <w:marLeft w:val="0"/>
      <w:marRight w:val="0"/>
      <w:marTop w:val="100"/>
      <w:marBottom w:val="0"/>
      <w:divBdr>
        <w:top w:val="none" w:sz="0" w:space="0" w:color="auto"/>
        <w:left w:val="none" w:sz="0" w:space="0" w:color="auto"/>
        <w:bottom w:val="none" w:sz="0" w:space="0" w:color="auto"/>
        <w:right w:val="none" w:sz="0" w:space="0" w:color="auto"/>
      </w:divBdr>
    </w:div>
    <w:div w:id="1818762379">
      <w:marLeft w:val="0"/>
      <w:marRight w:val="0"/>
      <w:marTop w:val="100"/>
      <w:marBottom w:val="0"/>
      <w:divBdr>
        <w:top w:val="none" w:sz="0" w:space="0" w:color="auto"/>
        <w:left w:val="none" w:sz="0" w:space="0" w:color="auto"/>
        <w:bottom w:val="none" w:sz="0" w:space="0" w:color="auto"/>
        <w:right w:val="none" w:sz="0" w:space="0" w:color="auto"/>
      </w:divBdr>
    </w:div>
    <w:div w:id="1818767190">
      <w:marLeft w:val="0"/>
      <w:marRight w:val="0"/>
      <w:marTop w:val="0"/>
      <w:marBottom w:val="0"/>
      <w:divBdr>
        <w:top w:val="none" w:sz="0" w:space="0" w:color="auto"/>
        <w:left w:val="none" w:sz="0" w:space="0" w:color="auto"/>
        <w:bottom w:val="none" w:sz="0" w:space="0" w:color="auto"/>
        <w:right w:val="none" w:sz="0" w:space="0" w:color="auto"/>
      </w:divBdr>
      <w:divsChild>
        <w:div w:id="2087723997">
          <w:marLeft w:val="0"/>
          <w:marRight w:val="0"/>
          <w:marTop w:val="0"/>
          <w:marBottom w:val="0"/>
          <w:divBdr>
            <w:top w:val="none" w:sz="0" w:space="0" w:color="auto"/>
            <w:left w:val="none" w:sz="0" w:space="0" w:color="auto"/>
            <w:bottom w:val="none" w:sz="0" w:space="0" w:color="auto"/>
            <w:right w:val="none" w:sz="0" w:space="0" w:color="auto"/>
          </w:divBdr>
        </w:div>
      </w:divsChild>
    </w:div>
    <w:div w:id="1819303260">
      <w:marLeft w:val="0"/>
      <w:marRight w:val="0"/>
      <w:marTop w:val="100"/>
      <w:marBottom w:val="0"/>
      <w:divBdr>
        <w:top w:val="none" w:sz="0" w:space="0" w:color="auto"/>
        <w:left w:val="none" w:sz="0" w:space="0" w:color="auto"/>
        <w:bottom w:val="none" w:sz="0" w:space="0" w:color="auto"/>
        <w:right w:val="none" w:sz="0" w:space="0" w:color="auto"/>
      </w:divBdr>
    </w:div>
    <w:div w:id="1820683630">
      <w:marLeft w:val="0"/>
      <w:marRight w:val="0"/>
      <w:marTop w:val="100"/>
      <w:marBottom w:val="0"/>
      <w:divBdr>
        <w:top w:val="none" w:sz="0" w:space="0" w:color="auto"/>
        <w:left w:val="none" w:sz="0" w:space="0" w:color="auto"/>
        <w:bottom w:val="none" w:sz="0" w:space="0" w:color="auto"/>
        <w:right w:val="none" w:sz="0" w:space="0" w:color="auto"/>
      </w:divBdr>
    </w:div>
    <w:div w:id="1821387279">
      <w:marLeft w:val="0"/>
      <w:marRight w:val="0"/>
      <w:marTop w:val="100"/>
      <w:marBottom w:val="0"/>
      <w:divBdr>
        <w:top w:val="none" w:sz="0" w:space="0" w:color="auto"/>
        <w:left w:val="none" w:sz="0" w:space="0" w:color="auto"/>
        <w:bottom w:val="none" w:sz="0" w:space="0" w:color="auto"/>
        <w:right w:val="none" w:sz="0" w:space="0" w:color="auto"/>
      </w:divBdr>
    </w:div>
    <w:div w:id="1823158397">
      <w:marLeft w:val="0"/>
      <w:marRight w:val="0"/>
      <w:marTop w:val="240"/>
      <w:marBottom w:val="0"/>
      <w:divBdr>
        <w:top w:val="none" w:sz="0" w:space="0" w:color="auto"/>
        <w:left w:val="none" w:sz="0" w:space="0" w:color="auto"/>
        <w:bottom w:val="none" w:sz="0" w:space="0" w:color="auto"/>
        <w:right w:val="none" w:sz="0" w:space="0" w:color="auto"/>
      </w:divBdr>
    </w:div>
    <w:div w:id="1824544465">
      <w:marLeft w:val="0"/>
      <w:marRight w:val="0"/>
      <w:marTop w:val="100"/>
      <w:marBottom w:val="0"/>
      <w:divBdr>
        <w:top w:val="none" w:sz="0" w:space="0" w:color="auto"/>
        <w:left w:val="none" w:sz="0" w:space="0" w:color="auto"/>
        <w:bottom w:val="none" w:sz="0" w:space="0" w:color="auto"/>
        <w:right w:val="none" w:sz="0" w:space="0" w:color="auto"/>
      </w:divBdr>
    </w:div>
    <w:div w:id="1826388274">
      <w:marLeft w:val="0"/>
      <w:marRight w:val="0"/>
      <w:marTop w:val="100"/>
      <w:marBottom w:val="0"/>
      <w:divBdr>
        <w:top w:val="none" w:sz="0" w:space="0" w:color="auto"/>
        <w:left w:val="none" w:sz="0" w:space="0" w:color="auto"/>
        <w:bottom w:val="none" w:sz="0" w:space="0" w:color="auto"/>
        <w:right w:val="none" w:sz="0" w:space="0" w:color="auto"/>
      </w:divBdr>
      <w:divsChild>
        <w:div w:id="1878590768">
          <w:marLeft w:val="0"/>
          <w:marRight w:val="0"/>
          <w:marTop w:val="0"/>
          <w:marBottom w:val="0"/>
          <w:divBdr>
            <w:top w:val="none" w:sz="0" w:space="0" w:color="auto"/>
            <w:left w:val="none" w:sz="0" w:space="0" w:color="auto"/>
            <w:bottom w:val="none" w:sz="0" w:space="0" w:color="auto"/>
            <w:right w:val="none" w:sz="0" w:space="0" w:color="auto"/>
          </w:divBdr>
        </w:div>
      </w:divsChild>
    </w:div>
    <w:div w:id="1826848056">
      <w:marLeft w:val="0"/>
      <w:marRight w:val="0"/>
      <w:marTop w:val="100"/>
      <w:marBottom w:val="0"/>
      <w:divBdr>
        <w:top w:val="none" w:sz="0" w:space="0" w:color="auto"/>
        <w:left w:val="none" w:sz="0" w:space="0" w:color="auto"/>
        <w:bottom w:val="none" w:sz="0" w:space="0" w:color="auto"/>
        <w:right w:val="none" w:sz="0" w:space="0" w:color="auto"/>
      </w:divBdr>
    </w:div>
    <w:div w:id="1827355393">
      <w:marLeft w:val="0"/>
      <w:marRight w:val="0"/>
      <w:marTop w:val="240"/>
      <w:marBottom w:val="0"/>
      <w:divBdr>
        <w:top w:val="none" w:sz="0" w:space="0" w:color="auto"/>
        <w:left w:val="none" w:sz="0" w:space="0" w:color="auto"/>
        <w:bottom w:val="none" w:sz="0" w:space="0" w:color="auto"/>
        <w:right w:val="none" w:sz="0" w:space="0" w:color="auto"/>
      </w:divBdr>
    </w:div>
    <w:div w:id="1827670259">
      <w:marLeft w:val="0"/>
      <w:marRight w:val="0"/>
      <w:marTop w:val="0"/>
      <w:marBottom w:val="0"/>
      <w:divBdr>
        <w:top w:val="none" w:sz="0" w:space="0" w:color="auto"/>
        <w:left w:val="none" w:sz="0" w:space="0" w:color="auto"/>
        <w:bottom w:val="none" w:sz="0" w:space="0" w:color="auto"/>
        <w:right w:val="none" w:sz="0" w:space="0" w:color="auto"/>
      </w:divBdr>
      <w:divsChild>
        <w:div w:id="912276183">
          <w:marLeft w:val="0"/>
          <w:marRight w:val="0"/>
          <w:marTop w:val="0"/>
          <w:marBottom w:val="0"/>
          <w:divBdr>
            <w:top w:val="none" w:sz="0" w:space="0" w:color="auto"/>
            <w:left w:val="none" w:sz="0" w:space="0" w:color="auto"/>
            <w:bottom w:val="none" w:sz="0" w:space="0" w:color="auto"/>
            <w:right w:val="none" w:sz="0" w:space="0" w:color="auto"/>
          </w:divBdr>
        </w:div>
      </w:divsChild>
    </w:div>
    <w:div w:id="1828545111">
      <w:marLeft w:val="0"/>
      <w:marRight w:val="0"/>
      <w:marTop w:val="240"/>
      <w:marBottom w:val="0"/>
      <w:divBdr>
        <w:top w:val="none" w:sz="0" w:space="0" w:color="auto"/>
        <w:left w:val="none" w:sz="0" w:space="0" w:color="auto"/>
        <w:bottom w:val="none" w:sz="0" w:space="0" w:color="auto"/>
        <w:right w:val="none" w:sz="0" w:space="0" w:color="auto"/>
      </w:divBdr>
    </w:div>
    <w:div w:id="1829442276">
      <w:marLeft w:val="0"/>
      <w:marRight w:val="0"/>
      <w:marTop w:val="100"/>
      <w:marBottom w:val="0"/>
      <w:divBdr>
        <w:top w:val="none" w:sz="0" w:space="0" w:color="auto"/>
        <w:left w:val="none" w:sz="0" w:space="0" w:color="auto"/>
        <w:bottom w:val="none" w:sz="0" w:space="0" w:color="auto"/>
        <w:right w:val="none" w:sz="0" w:space="0" w:color="auto"/>
      </w:divBdr>
    </w:div>
    <w:div w:id="1830247481">
      <w:marLeft w:val="0"/>
      <w:marRight w:val="0"/>
      <w:marTop w:val="0"/>
      <w:marBottom w:val="0"/>
      <w:divBdr>
        <w:top w:val="none" w:sz="0" w:space="0" w:color="auto"/>
        <w:left w:val="none" w:sz="0" w:space="0" w:color="auto"/>
        <w:bottom w:val="none" w:sz="0" w:space="0" w:color="auto"/>
        <w:right w:val="none" w:sz="0" w:space="0" w:color="auto"/>
      </w:divBdr>
      <w:divsChild>
        <w:div w:id="1554387138">
          <w:marLeft w:val="0"/>
          <w:marRight w:val="0"/>
          <w:marTop w:val="0"/>
          <w:marBottom w:val="0"/>
          <w:divBdr>
            <w:top w:val="none" w:sz="0" w:space="0" w:color="auto"/>
            <w:left w:val="none" w:sz="0" w:space="0" w:color="auto"/>
            <w:bottom w:val="none" w:sz="0" w:space="0" w:color="auto"/>
            <w:right w:val="none" w:sz="0" w:space="0" w:color="auto"/>
          </w:divBdr>
        </w:div>
      </w:divsChild>
    </w:div>
    <w:div w:id="1830632970">
      <w:marLeft w:val="0"/>
      <w:marRight w:val="0"/>
      <w:marTop w:val="100"/>
      <w:marBottom w:val="0"/>
      <w:divBdr>
        <w:top w:val="none" w:sz="0" w:space="0" w:color="auto"/>
        <w:left w:val="none" w:sz="0" w:space="0" w:color="auto"/>
        <w:bottom w:val="none" w:sz="0" w:space="0" w:color="auto"/>
        <w:right w:val="none" w:sz="0" w:space="0" w:color="auto"/>
      </w:divBdr>
    </w:div>
    <w:div w:id="1831365113">
      <w:marLeft w:val="0"/>
      <w:marRight w:val="0"/>
      <w:marTop w:val="280"/>
      <w:marBottom w:val="0"/>
      <w:divBdr>
        <w:top w:val="none" w:sz="0" w:space="0" w:color="auto"/>
        <w:left w:val="none" w:sz="0" w:space="0" w:color="auto"/>
        <w:bottom w:val="none" w:sz="0" w:space="0" w:color="auto"/>
        <w:right w:val="none" w:sz="0" w:space="0" w:color="auto"/>
      </w:divBdr>
    </w:div>
    <w:div w:id="1831404735">
      <w:marLeft w:val="0"/>
      <w:marRight w:val="0"/>
      <w:marTop w:val="100"/>
      <w:marBottom w:val="0"/>
      <w:divBdr>
        <w:top w:val="none" w:sz="0" w:space="0" w:color="auto"/>
        <w:left w:val="none" w:sz="0" w:space="0" w:color="auto"/>
        <w:bottom w:val="none" w:sz="0" w:space="0" w:color="auto"/>
        <w:right w:val="none" w:sz="0" w:space="0" w:color="auto"/>
      </w:divBdr>
    </w:div>
    <w:div w:id="1835487334">
      <w:marLeft w:val="0"/>
      <w:marRight w:val="0"/>
      <w:marTop w:val="100"/>
      <w:marBottom w:val="0"/>
      <w:divBdr>
        <w:top w:val="none" w:sz="0" w:space="0" w:color="auto"/>
        <w:left w:val="none" w:sz="0" w:space="0" w:color="auto"/>
        <w:bottom w:val="none" w:sz="0" w:space="0" w:color="auto"/>
        <w:right w:val="none" w:sz="0" w:space="0" w:color="auto"/>
      </w:divBdr>
    </w:div>
    <w:div w:id="1837064517">
      <w:marLeft w:val="0"/>
      <w:marRight w:val="0"/>
      <w:marTop w:val="100"/>
      <w:marBottom w:val="0"/>
      <w:divBdr>
        <w:top w:val="none" w:sz="0" w:space="0" w:color="auto"/>
        <w:left w:val="none" w:sz="0" w:space="0" w:color="auto"/>
        <w:bottom w:val="none" w:sz="0" w:space="0" w:color="auto"/>
        <w:right w:val="none" w:sz="0" w:space="0" w:color="auto"/>
      </w:divBdr>
    </w:div>
    <w:div w:id="1837649145">
      <w:marLeft w:val="0"/>
      <w:marRight w:val="0"/>
      <w:marTop w:val="100"/>
      <w:marBottom w:val="0"/>
      <w:divBdr>
        <w:top w:val="none" w:sz="0" w:space="0" w:color="auto"/>
        <w:left w:val="none" w:sz="0" w:space="0" w:color="auto"/>
        <w:bottom w:val="none" w:sz="0" w:space="0" w:color="auto"/>
        <w:right w:val="none" w:sz="0" w:space="0" w:color="auto"/>
      </w:divBdr>
    </w:div>
    <w:div w:id="1838301992">
      <w:marLeft w:val="0"/>
      <w:marRight w:val="0"/>
      <w:marTop w:val="100"/>
      <w:marBottom w:val="0"/>
      <w:divBdr>
        <w:top w:val="none" w:sz="0" w:space="0" w:color="auto"/>
        <w:left w:val="none" w:sz="0" w:space="0" w:color="auto"/>
        <w:bottom w:val="none" w:sz="0" w:space="0" w:color="auto"/>
        <w:right w:val="none" w:sz="0" w:space="0" w:color="auto"/>
      </w:divBdr>
    </w:div>
    <w:div w:id="1838494530">
      <w:marLeft w:val="0"/>
      <w:marRight w:val="0"/>
      <w:marTop w:val="60"/>
      <w:marBottom w:val="0"/>
      <w:divBdr>
        <w:top w:val="none" w:sz="0" w:space="0" w:color="auto"/>
        <w:left w:val="none" w:sz="0" w:space="0" w:color="auto"/>
        <w:bottom w:val="none" w:sz="0" w:space="0" w:color="auto"/>
        <w:right w:val="none" w:sz="0" w:space="0" w:color="auto"/>
      </w:divBdr>
    </w:div>
    <w:div w:id="1838685274">
      <w:marLeft w:val="0"/>
      <w:marRight w:val="0"/>
      <w:marTop w:val="0"/>
      <w:marBottom w:val="0"/>
      <w:divBdr>
        <w:top w:val="none" w:sz="0" w:space="0" w:color="auto"/>
        <w:left w:val="none" w:sz="0" w:space="0" w:color="auto"/>
        <w:bottom w:val="none" w:sz="0" w:space="0" w:color="auto"/>
        <w:right w:val="none" w:sz="0" w:space="0" w:color="auto"/>
      </w:divBdr>
      <w:divsChild>
        <w:div w:id="859318901">
          <w:marLeft w:val="0"/>
          <w:marRight w:val="0"/>
          <w:marTop w:val="0"/>
          <w:marBottom w:val="0"/>
          <w:divBdr>
            <w:top w:val="none" w:sz="0" w:space="0" w:color="auto"/>
            <w:left w:val="none" w:sz="0" w:space="0" w:color="auto"/>
            <w:bottom w:val="none" w:sz="0" w:space="0" w:color="auto"/>
            <w:right w:val="none" w:sz="0" w:space="0" w:color="auto"/>
          </w:divBdr>
        </w:div>
      </w:divsChild>
    </w:div>
    <w:div w:id="1840611130">
      <w:marLeft w:val="0"/>
      <w:marRight w:val="0"/>
      <w:marTop w:val="60"/>
      <w:marBottom w:val="0"/>
      <w:divBdr>
        <w:top w:val="none" w:sz="0" w:space="0" w:color="auto"/>
        <w:left w:val="none" w:sz="0" w:space="0" w:color="auto"/>
        <w:bottom w:val="none" w:sz="0" w:space="0" w:color="auto"/>
        <w:right w:val="none" w:sz="0" w:space="0" w:color="auto"/>
      </w:divBdr>
    </w:div>
    <w:div w:id="1843397353">
      <w:marLeft w:val="0"/>
      <w:marRight w:val="0"/>
      <w:marTop w:val="100"/>
      <w:marBottom w:val="0"/>
      <w:divBdr>
        <w:top w:val="none" w:sz="0" w:space="0" w:color="auto"/>
        <w:left w:val="none" w:sz="0" w:space="0" w:color="auto"/>
        <w:bottom w:val="none" w:sz="0" w:space="0" w:color="auto"/>
        <w:right w:val="none" w:sz="0" w:space="0" w:color="auto"/>
      </w:divBdr>
    </w:div>
    <w:div w:id="1849371386">
      <w:marLeft w:val="0"/>
      <w:marRight w:val="0"/>
      <w:marTop w:val="100"/>
      <w:marBottom w:val="0"/>
      <w:divBdr>
        <w:top w:val="none" w:sz="0" w:space="0" w:color="auto"/>
        <w:left w:val="none" w:sz="0" w:space="0" w:color="auto"/>
        <w:bottom w:val="none" w:sz="0" w:space="0" w:color="auto"/>
        <w:right w:val="none" w:sz="0" w:space="0" w:color="auto"/>
      </w:divBdr>
    </w:div>
    <w:div w:id="1851291217">
      <w:marLeft w:val="0"/>
      <w:marRight w:val="0"/>
      <w:marTop w:val="240"/>
      <w:marBottom w:val="0"/>
      <w:divBdr>
        <w:top w:val="none" w:sz="0" w:space="0" w:color="auto"/>
        <w:left w:val="none" w:sz="0" w:space="0" w:color="auto"/>
        <w:bottom w:val="none" w:sz="0" w:space="0" w:color="auto"/>
        <w:right w:val="none" w:sz="0" w:space="0" w:color="auto"/>
      </w:divBdr>
    </w:div>
    <w:div w:id="1852986370">
      <w:marLeft w:val="0"/>
      <w:marRight w:val="0"/>
      <w:marTop w:val="60"/>
      <w:marBottom w:val="0"/>
      <w:divBdr>
        <w:top w:val="none" w:sz="0" w:space="0" w:color="auto"/>
        <w:left w:val="none" w:sz="0" w:space="0" w:color="auto"/>
        <w:bottom w:val="none" w:sz="0" w:space="0" w:color="auto"/>
        <w:right w:val="none" w:sz="0" w:space="0" w:color="auto"/>
      </w:divBdr>
    </w:div>
    <w:div w:id="1853759388">
      <w:marLeft w:val="0"/>
      <w:marRight w:val="0"/>
      <w:marTop w:val="100"/>
      <w:marBottom w:val="0"/>
      <w:divBdr>
        <w:top w:val="none" w:sz="0" w:space="0" w:color="auto"/>
        <w:left w:val="none" w:sz="0" w:space="0" w:color="auto"/>
        <w:bottom w:val="none" w:sz="0" w:space="0" w:color="auto"/>
        <w:right w:val="none" w:sz="0" w:space="0" w:color="auto"/>
      </w:divBdr>
    </w:div>
    <w:div w:id="1855611184">
      <w:marLeft w:val="0"/>
      <w:marRight w:val="0"/>
      <w:marTop w:val="0"/>
      <w:marBottom w:val="0"/>
      <w:divBdr>
        <w:top w:val="none" w:sz="0" w:space="0" w:color="auto"/>
        <w:left w:val="none" w:sz="0" w:space="0" w:color="auto"/>
        <w:bottom w:val="none" w:sz="0" w:space="0" w:color="auto"/>
        <w:right w:val="none" w:sz="0" w:space="0" w:color="auto"/>
      </w:divBdr>
      <w:divsChild>
        <w:div w:id="1381321049">
          <w:marLeft w:val="0"/>
          <w:marRight w:val="0"/>
          <w:marTop w:val="0"/>
          <w:marBottom w:val="0"/>
          <w:divBdr>
            <w:top w:val="none" w:sz="0" w:space="0" w:color="auto"/>
            <w:left w:val="none" w:sz="0" w:space="0" w:color="auto"/>
            <w:bottom w:val="none" w:sz="0" w:space="0" w:color="auto"/>
            <w:right w:val="none" w:sz="0" w:space="0" w:color="auto"/>
          </w:divBdr>
        </w:div>
      </w:divsChild>
    </w:div>
    <w:div w:id="1858929601">
      <w:marLeft w:val="0"/>
      <w:marRight w:val="0"/>
      <w:marTop w:val="100"/>
      <w:marBottom w:val="0"/>
      <w:divBdr>
        <w:top w:val="none" w:sz="0" w:space="0" w:color="auto"/>
        <w:left w:val="none" w:sz="0" w:space="0" w:color="auto"/>
        <w:bottom w:val="none" w:sz="0" w:space="0" w:color="auto"/>
        <w:right w:val="none" w:sz="0" w:space="0" w:color="auto"/>
      </w:divBdr>
    </w:div>
    <w:div w:id="1859658018">
      <w:marLeft w:val="0"/>
      <w:marRight w:val="0"/>
      <w:marTop w:val="60"/>
      <w:marBottom w:val="0"/>
      <w:divBdr>
        <w:top w:val="none" w:sz="0" w:space="0" w:color="auto"/>
        <w:left w:val="none" w:sz="0" w:space="0" w:color="auto"/>
        <w:bottom w:val="none" w:sz="0" w:space="0" w:color="auto"/>
        <w:right w:val="none" w:sz="0" w:space="0" w:color="auto"/>
      </w:divBdr>
    </w:div>
    <w:div w:id="1860698481">
      <w:marLeft w:val="0"/>
      <w:marRight w:val="0"/>
      <w:marTop w:val="60"/>
      <w:marBottom w:val="0"/>
      <w:divBdr>
        <w:top w:val="none" w:sz="0" w:space="0" w:color="auto"/>
        <w:left w:val="none" w:sz="0" w:space="0" w:color="auto"/>
        <w:bottom w:val="none" w:sz="0" w:space="0" w:color="auto"/>
        <w:right w:val="none" w:sz="0" w:space="0" w:color="auto"/>
      </w:divBdr>
    </w:div>
    <w:div w:id="1862085428">
      <w:marLeft w:val="0"/>
      <w:marRight w:val="0"/>
      <w:marTop w:val="240"/>
      <w:marBottom w:val="0"/>
      <w:divBdr>
        <w:top w:val="none" w:sz="0" w:space="0" w:color="auto"/>
        <w:left w:val="none" w:sz="0" w:space="0" w:color="auto"/>
        <w:bottom w:val="none" w:sz="0" w:space="0" w:color="auto"/>
        <w:right w:val="none" w:sz="0" w:space="0" w:color="auto"/>
      </w:divBdr>
    </w:div>
    <w:div w:id="1864633870">
      <w:marLeft w:val="0"/>
      <w:marRight w:val="0"/>
      <w:marTop w:val="60"/>
      <w:marBottom w:val="0"/>
      <w:divBdr>
        <w:top w:val="none" w:sz="0" w:space="0" w:color="auto"/>
        <w:left w:val="none" w:sz="0" w:space="0" w:color="auto"/>
        <w:bottom w:val="none" w:sz="0" w:space="0" w:color="auto"/>
        <w:right w:val="none" w:sz="0" w:space="0" w:color="auto"/>
      </w:divBdr>
    </w:div>
    <w:div w:id="1864853687">
      <w:marLeft w:val="0"/>
      <w:marRight w:val="0"/>
      <w:marTop w:val="100"/>
      <w:marBottom w:val="0"/>
      <w:divBdr>
        <w:top w:val="none" w:sz="0" w:space="0" w:color="auto"/>
        <w:left w:val="none" w:sz="0" w:space="0" w:color="auto"/>
        <w:bottom w:val="none" w:sz="0" w:space="0" w:color="auto"/>
        <w:right w:val="none" w:sz="0" w:space="0" w:color="auto"/>
      </w:divBdr>
    </w:div>
    <w:div w:id="1865558474">
      <w:marLeft w:val="0"/>
      <w:marRight w:val="0"/>
      <w:marTop w:val="0"/>
      <w:marBottom w:val="0"/>
      <w:divBdr>
        <w:top w:val="none" w:sz="0" w:space="0" w:color="auto"/>
        <w:left w:val="none" w:sz="0" w:space="0" w:color="auto"/>
        <w:bottom w:val="none" w:sz="0" w:space="0" w:color="auto"/>
        <w:right w:val="none" w:sz="0" w:space="0" w:color="auto"/>
      </w:divBdr>
      <w:divsChild>
        <w:div w:id="661471293">
          <w:marLeft w:val="0"/>
          <w:marRight w:val="0"/>
          <w:marTop w:val="0"/>
          <w:marBottom w:val="0"/>
          <w:divBdr>
            <w:top w:val="none" w:sz="0" w:space="0" w:color="auto"/>
            <w:left w:val="none" w:sz="0" w:space="0" w:color="auto"/>
            <w:bottom w:val="none" w:sz="0" w:space="0" w:color="auto"/>
            <w:right w:val="none" w:sz="0" w:space="0" w:color="auto"/>
          </w:divBdr>
        </w:div>
      </w:divsChild>
    </w:div>
    <w:div w:id="1865631917">
      <w:marLeft w:val="0"/>
      <w:marRight w:val="0"/>
      <w:marTop w:val="240"/>
      <w:marBottom w:val="0"/>
      <w:divBdr>
        <w:top w:val="none" w:sz="0" w:space="0" w:color="auto"/>
        <w:left w:val="none" w:sz="0" w:space="0" w:color="auto"/>
        <w:bottom w:val="none" w:sz="0" w:space="0" w:color="auto"/>
        <w:right w:val="none" w:sz="0" w:space="0" w:color="auto"/>
      </w:divBdr>
    </w:div>
    <w:div w:id="1865896779">
      <w:marLeft w:val="0"/>
      <w:marRight w:val="0"/>
      <w:marTop w:val="100"/>
      <w:marBottom w:val="0"/>
      <w:divBdr>
        <w:top w:val="none" w:sz="0" w:space="0" w:color="auto"/>
        <w:left w:val="none" w:sz="0" w:space="0" w:color="auto"/>
        <w:bottom w:val="none" w:sz="0" w:space="0" w:color="auto"/>
        <w:right w:val="none" w:sz="0" w:space="0" w:color="auto"/>
      </w:divBdr>
    </w:div>
    <w:div w:id="1866399868">
      <w:marLeft w:val="0"/>
      <w:marRight w:val="0"/>
      <w:marTop w:val="100"/>
      <w:marBottom w:val="0"/>
      <w:divBdr>
        <w:top w:val="none" w:sz="0" w:space="0" w:color="auto"/>
        <w:left w:val="none" w:sz="0" w:space="0" w:color="auto"/>
        <w:bottom w:val="none" w:sz="0" w:space="0" w:color="auto"/>
        <w:right w:val="none" w:sz="0" w:space="0" w:color="auto"/>
      </w:divBdr>
    </w:div>
    <w:div w:id="1867256958">
      <w:marLeft w:val="0"/>
      <w:marRight w:val="0"/>
      <w:marTop w:val="100"/>
      <w:marBottom w:val="0"/>
      <w:divBdr>
        <w:top w:val="none" w:sz="0" w:space="0" w:color="auto"/>
        <w:left w:val="none" w:sz="0" w:space="0" w:color="auto"/>
        <w:bottom w:val="none" w:sz="0" w:space="0" w:color="auto"/>
        <w:right w:val="none" w:sz="0" w:space="0" w:color="auto"/>
      </w:divBdr>
    </w:div>
    <w:div w:id="1868790248">
      <w:marLeft w:val="0"/>
      <w:marRight w:val="0"/>
      <w:marTop w:val="60"/>
      <w:marBottom w:val="0"/>
      <w:divBdr>
        <w:top w:val="none" w:sz="0" w:space="0" w:color="auto"/>
        <w:left w:val="none" w:sz="0" w:space="0" w:color="auto"/>
        <w:bottom w:val="none" w:sz="0" w:space="0" w:color="auto"/>
        <w:right w:val="none" w:sz="0" w:space="0" w:color="auto"/>
      </w:divBdr>
    </w:div>
    <w:div w:id="1870951663">
      <w:marLeft w:val="0"/>
      <w:marRight w:val="0"/>
      <w:marTop w:val="60"/>
      <w:marBottom w:val="0"/>
      <w:divBdr>
        <w:top w:val="none" w:sz="0" w:space="0" w:color="auto"/>
        <w:left w:val="none" w:sz="0" w:space="0" w:color="auto"/>
        <w:bottom w:val="none" w:sz="0" w:space="0" w:color="auto"/>
        <w:right w:val="none" w:sz="0" w:space="0" w:color="auto"/>
      </w:divBdr>
    </w:div>
    <w:div w:id="1872037018">
      <w:marLeft w:val="0"/>
      <w:marRight w:val="0"/>
      <w:marTop w:val="240"/>
      <w:marBottom w:val="0"/>
      <w:divBdr>
        <w:top w:val="none" w:sz="0" w:space="0" w:color="auto"/>
        <w:left w:val="none" w:sz="0" w:space="0" w:color="auto"/>
        <w:bottom w:val="none" w:sz="0" w:space="0" w:color="auto"/>
        <w:right w:val="none" w:sz="0" w:space="0" w:color="auto"/>
      </w:divBdr>
    </w:div>
    <w:div w:id="1873496499">
      <w:marLeft w:val="0"/>
      <w:marRight w:val="0"/>
      <w:marTop w:val="100"/>
      <w:marBottom w:val="0"/>
      <w:divBdr>
        <w:top w:val="none" w:sz="0" w:space="0" w:color="auto"/>
        <w:left w:val="none" w:sz="0" w:space="0" w:color="auto"/>
        <w:bottom w:val="none" w:sz="0" w:space="0" w:color="auto"/>
        <w:right w:val="none" w:sz="0" w:space="0" w:color="auto"/>
      </w:divBdr>
    </w:div>
    <w:div w:id="1873616545">
      <w:marLeft w:val="0"/>
      <w:marRight w:val="0"/>
      <w:marTop w:val="100"/>
      <w:marBottom w:val="0"/>
      <w:divBdr>
        <w:top w:val="none" w:sz="0" w:space="0" w:color="auto"/>
        <w:left w:val="none" w:sz="0" w:space="0" w:color="auto"/>
        <w:bottom w:val="none" w:sz="0" w:space="0" w:color="auto"/>
        <w:right w:val="none" w:sz="0" w:space="0" w:color="auto"/>
      </w:divBdr>
    </w:div>
    <w:div w:id="1877617241">
      <w:marLeft w:val="0"/>
      <w:marRight w:val="0"/>
      <w:marTop w:val="100"/>
      <w:marBottom w:val="0"/>
      <w:divBdr>
        <w:top w:val="none" w:sz="0" w:space="0" w:color="auto"/>
        <w:left w:val="none" w:sz="0" w:space="0" w:color="auto"/>
        <w:bottom w:val="none" w:sz="0" w:space="0" w:color="auto"/>
        <w:right w:val="none" w:sz="0" w:space="0" w:color="auto"/>
      </w:divBdr>
      <w:divsChild>
        <w:div w:id="1425955884">
          <w:marLeft w:val="0"/>
          <w:marRight w:val="0"/>
          <w:marTop w:val="0"/>
          <w:marBottom w:val="0"/>
          <w:divBdr>
            <w:top w:val="none" w:sz="0" w:space="0" w:color="auto"/>
            <w:left w:val="none" w:sz="0" w:space="0" w:color="auto"/>
            <w:bottom w:val="none" w:sz="0" w:space="0" w:color="auto"/>
            <w:right w:val="none" w:sz="0" w:space="0" w:color="auto"/>
          </w:divBdr>
        </w:div>
      </w:divsChild>
    </w:div>
    <w:div w:id="1880505091">
      <w:marLeft w:val="0"/>
      <w:marRight w:val="0"/>
      <w:marTop w:val="0"/>
      <w:marBottom w:val="0"/>
      <w:divBdr>
        <w:top w:val="none" w:sz="0" w:space="0" w:color="auto"/>
        <w:left w:val="none" w:sz="0" w:space="0" w:color="auto"/>
        <w:bottom w:val="none" w:sz="0" w:space="0" w:color="auto"/>
        <w:right w:val="none" w:sz="0" w:space="0" w:color="auto"/>
      </w:divBdr>
      <w:divsChild>
        <w:div w:id="487985419">
          <w:marLeft w:val="0"/>
          <w:marRight w:val="0"/>
          <w:marTop w:val="0"/>
          <w:marBottom w:val="0"/>
          <w:divBdr>
            <w:top w:val="none" w:sz="0" w:space="0" w:color="auto"/>
            <w:left w:val="none" w:sz="0" w:space="0" w:color="auto"/>
            <w:bottom w:val="none" w:sz="0" w:space="0" w:color="auto"/>
            <w:right w:val="none" w:sz="0" w:space="0" w:color="auto"/>
          </w:divBdr>
        </w:div>
      </w:divsChild>
    </w:div>
    <w:div w:id="1882210190">
      <w:marLeft w:val="0"/>
      <w:marRight w:val="0"/>
      <w:marTop w:val="100"/>
      <w:marBottom w:val="0"/>
      <w:divBdr>
        <w:top w:val="none" w:sz="0" w:space="0" w:color="auto"/>
        <w:left w:val="none" w:sz="0" w:space="0" w:color="auto"/>
        <w:bottom w:val="none" w:sz="0" w:space="0" w:color="auto"/>
        <w:right w:val="none" w:sz="0" w:space="0" w:color="auto"/>
      </w:divBdr>
    </w:div>
    <w:div w:id="1882665133">
      <w:marLeft w:val="0"/>
      <w:marRight w:val="0"/>
      <w:marTop w:val="0"/>
      <w:marBottom w:val="0"/>
      <w:divBdr>
        <w:top w:val="none" w:sz="0" w:space="0" w:color="auto"/>
        <w:left w:val="none" w:sz="0" w:space="0" w:color="auto"/>
        <w:bottom w:val="none" w:sz="0" w:space="0" w:color="auto"/>
        <w:right w:val="none" w:sz="0" w:space="0" w:color="auto"/>
      </w:divBdr>
      <w:divsChild>
        <w:div w:id="207768914">
          <w:marLeft w:val="0"/>
          <w:marRight w:val="0"/>
          <w:marTop w:val="0"/>
          <w:marBottom w:val="0"/>
          <w:divBdr>
            <w:top w:val="none" w:sz="0" w:space="0" w:color="auto"/>
            <w:left w:val="none" w:sz="0" w:space="0" w:color="auto"/>
            <w:bottom w:val="none" w:sz="0" w:space="0" w:color="auto"/>
            <w:right w:val="none" w:sz="0" w:space="0" w:color="auto"/>
          </w:divBdr>
        </w:div>
      </w:divsChild>
    </w:div>
    <w:div w:id="1883056123">
      <w:marLeft w:val="0"/>
      <w:marRight w:val="0"/>
      <w:marTop w:val="100"/>
      <w:marBottom w:val="0"/>
      <w:divBdr>
        <w:top w:val="none" w:sz="0" w:space="0" w:color="auto"/>
        <w:left w:val="none" w:sz="0" w:space="0" w:color="auto"/>
        <w:bottom w:val="none" w:sz="0" w:space="0" w:color="auto"/>
        <w:right w:val="none" w:sz="0" w:space="0" w:color="auto"/>
      </w:divBdr>
    </w:div>
    <w:div w:id="1883785272">
      <w:marLeft w:val="0"/>
      <w:marRight w:val="0"/>
      <w:marTop w:val="240"/>
      <w:marBottom w:val="0"/>
      <w:divBdr>
        <w:top w:val="none" w:sz="0" w:space="0" w:color="auto"/>
        <w:left w:val="none" w:sz="0" w:space="0" w:color="auto"/>
        <w:bottom w:val="none" w:sz="0" w:space="0" w:color="auto"/>
        <w:right w:val="none" w:sz="0" w:space="0" w:color="auto"/>
      </w:divBdr>
    </w:div>
    <w:div w:id="1886719986">
      <w:marLeft w:val="0"/>
      <w:marRight w:val="0"/>
      <w:marTop w:val="0"/>
      <w:marBottom w:val="0"/>
      <w:divBdr>
        <w:top w:val="none" w:sz="0" w:space="0" w:color="auto"/>
        <w:left w:val="none" w:sz="0" w:space="0" w:color="auto"/>
        <w:bottom w:val="none" w:sz="0" w:space="0" w:color="auto"/>
        <w:right w:val="none" w:sz="0" w:space="0" w:color="auto"/>
      </w:divBdr>
      <w:divsChild>
        <w:div w:id="1214851448">
          <w:marLeft w:val="0"/>
          <w:marRight w:val="0"/>
          <w:marTop w:val="0"/>
          <w:marBottom w:val="0"/>
          <w:divBdr>
            <w:top w:val="none" w:sz="0" w:space="0" w:color="auto"/>
            <w:left w:val="none" w:sz="0" w:space="0" w:color="auto"/>
            <w:bottom w:val="none" w:sz="0" w:space="0" w:color="auto"/>
            <w:right w:val="none" w:sz="0" w:space="0" w:color="auto"/>
          </w:divBdr>
        </w:div>
        <w:div w:id="2013221363">
          <w:marLeft w:val="0"/>
          <w:marRight w:val="0"/>
          <w:marTop w:val="0"/>
          <w:marBottom w:val="0"/>
          <w:divBdr>
            <w:top w:val="none" w:sz="0" w:space="0" w:color="auto"/>
            <w:left w:val="none" w:sz="0" w:space="0" w:color="auto"/>
            <w:bottom w:val="none" w:sz="0" w:space="0" w:color="auto"/>
            <w:right w:val="none" w:sz="0" w:space="0" w:color="auto"/>
          </w:divBdr>
        </w:div>
      </w:divsChild>
    </w:div>
    <w:div w:id="1887599756">
      <w:marLeft w:val="0"/>
      <w:marRight w:val="0"/>
      <w:marTop w:val="100"/>
      <w:marBottom w:val="0"/>
      <w:divBdr>
        <w:top w:val="none" w:sz="0" w:space="0" w:color="auto"/>
        <w:left w:val="none" w:sz="0" w:space="0" w:color="auto"/>
        <w:bottom w:val="none" w:sz="0" w:space="0" w:color="auto"/>
        <w:right w:val="none" w:sz="0" w:space="0" w:color="auto"/>
      </w:divBdr>
    </w:div>
    <w:div w:id="1887638321">
      <w:marLeft w:val="0"/>
      <w:marRight w:val="0"/>
      <w:marTop w:val="0"/>
      <w:marBottom w:val="0"/>
      <w:divBdr>
        <w:top w:val="none" w:sz="0" w:space="0" w:color="auto"/>
        <w:left w:val="none" w:sz="0" w:space="0" w:color="auto"/>
        <w:bottom w:val="none" w:sz="0" w:space="0" w:color="auto"/>
        <w:right w:val="none" w:sz="0" w:space="0" w:color="auto"/>
      </w:divBdr>
      <w:divsChild>
        <w:div w:id="1370380256">
          <w:marLeft w:val="0"/>
          <w:marRight w:val="0"/>
          <w:marTop w:val="0"/>
          <w:marBottom w:val="0"/>
          <w:divBdr>
            <w:top w:val="none" w:sz="0" w:space="0" w:color="auto"/>
            <w:left w:val="none" w:sz="0" w:space="0" w:color="auto"/>
            <w:bottom w:val="none" w:sz="0" w:space="0" w:color="auto"/>
            <w:right w:val="none" w:sz="0" w:space="0" w:color="auto"/>
          </w:divBdr>
        </w:div>
        <w:div w:id="1503819307">
          <w:marLeft w:val="0"/>
          <w:marRight w:val="0"/>
          <w:marTop w:val="0"/>
          <w:marBottom w:val="0"/>
          <w:divBdr>
            <w:top w:val="none" w:sz="0" w:space="0" w:color="auto"/>
            <w:left w:val="none" w:sz="0" w:space="0" w:color="auto"/>
            <w:bottom w:val="none" w:sz="0" w:space="0" w:color="auto"/>
            <w:right w:val="none" w:sz="0" w:space="0" w:color="auto"/>
          </w:divBdr>
        </w:div>
      </w:divsChild>
    </w:div>
    <w:div w:id="1887914646">
      <w:marLeft w:val="0"/>
      <w:marRight w:val="0"/>
      <w:marTop w:val="100"/>
      <w:marBottom w:val="0"/>
      <w:divBdr>
        <w:top w:val="none" w:sz="0" w:space="0" w:color="auto"/>
        <w:left w:val="none" w:sz="0" w:space="0" w:color="auto"/>
        <w:bottom w:val="none" w:sz="0" w:space="0" w:color="auto"/>
        <w:right w:val="none" w:sz="0" w:space="0" w:color="auto"/>
      </w:divBdr>
      <w:divsChild>
        <w:div w:id="556598057">
          <w:marLeft w:val="0"/>
          <w:marRight w:val="0"/>
          <w:marTop w:val="0"/>
          <w:marBottom w:val="0"/>
          <w:divBdr>
            <w:top w:val="none" w:sz="0" w:space="0" w:color="auto"/>
            <w:left w:val="none" w:sz="0" w:space="0" w:color="auto"/>
            <w:bottom w:val="none" w:sz="0" w:space="0" w:color="auto"/>
            <w:right w:val="none" w:sz="0" w:space="0" w:color="auto"/>
          </w:divBdr>
        </w:div>
        <w:div w:id="1326662945">
          <w:marLeft w:val="0"/>
          <w:marRight w:val="0"/>
          <w:marTop w:val="0"/>
          <w:marBottom w:val="0"/>
          <w:divBdr>
            <w:top w:val="none" w:sz="0" w:space="0" w:color="auto"/>
            <w:left w:val="none" w:sz="0" w:space="0" w:color="auto"/>
            <w:bottom w:val="none" w:sz="0" w:space="0" w:color="auto"/>
            <w:right w:val="none" w:sz="0" w:space="0" w:color="auto"/>
          </w:divBdr>
        </w:div>
        <w:div w:id="350032512">
          <w:marLeft w:val="0"/>
          <w:marRight w:val="0"/>
          <w:marTop w:val="0"/>
          <w:marBottom w:val="0"/>
          <w:divBdr>
            <w:top w:val="none" w:sz="0" w:space="0" w:color="auto"/>
            <w:left w:val="none" w:sz="0" w:space="0" w:color="auto"/>
            <w:bottom w:val="none" w:sz="0" w:space="0" w:color="auto"/>
            <w:right w:val="none" w:sz="0" w:space="0" w:color="auto"/>
          </w:divBdr>
        </w:div>
        <w:div w:id="1416971391">
          <w:marLeft w:val="0"/>
          <w:marRight w:val="0"/>
          <w:marTop w:val="0"/>
          <w:marBottom w:val="0"/>
          <w:divBdr>
            <w:top w:val="none" w:sz="0" w:space="0" w:color="auto"/>
            <w:left w:val="none" w:sz="0" w:space="0" w:color="auto"/>
            <w:bottom w:val="none" w:sz="0" w:space="0" w:color="auto"/>
            <w:right w:val="none" w:sz="0" w:space="0" w:color="auto"/>
          </w:divBdr>
        </w:div>
      </w:divsChild>
    </w:div>
    <w:div w:id="1890528904">
      <w:marLeft w:val="0"/>
      <w:marRight w:val="0"/>
      <w:marTop w:val="0"/>
      <w:marBottom w:val="0"/>
      <w:divBdr>
        <w:top w:val="none" w:sz="0" w:space="0" w:color="auto"/>
        <w:left w:val="none" w:sz="0" w:space="0" w:color="auto"/>
        <w:bottom w:val="none" w:sz="0" w:space="0" w:color="auto"/>
        <w:right w:val="none" w:sz="0" w:space="0" w:color="auto"/>
      </w:divBdr>
      <w:divsChild>
        <w:div w:id="382993357">
          <w:marLeft w:val="0"/>
          <w:marRight w:val="0"/>
          <w:marTop w:val="0"/>
          <w:marBottom w:val="0"/>
          <w:divBdr>
            <w:top w:val="none" w:sz="0" w:space="0" w:color="auto"/>
            <w:left w:val="none" w:sz="0" w:space="0" w:color="auto"/>
            <w:bottom w:val="none" w:sz="0" w:space="0" w:color="auto"/>
            <w:right w:val="none" w:sz="0" w:space="0" w:color="auto"/>
          </w:divBdr>
        </w:div>
        <w:div w:id="1307515632">
          <w:marLeft w:val="0"/>
          <w:marRight w:val="0"/>
          <w:marTop w:val="0"/>
          <w:marBottom w:val="0"/>
          <w:divBdr>
            <w:top w:val="none" w:sz="0" w:space="0" w:color="auto"/>
            <w:left w:val="none" w:sz="0" w:space="0" w:color="auto"/>
            <w:bottom w:val="none" w:sz="0" w:space="0" w:color="auto"/>
            <w:right w:val="none" w:sz="0" w:space="0" w:color="auto"/>
          </w:divBdr>
        </w:div>
      </w:divsChild>
    </w:div>
    <w:div w:id="1893926263">
      <w:marLeft w:val="0"/>
      <w:marRight w:val="0"/>
      <w:marTop w:val="100"/>
      <w:marBottom w:val="0"/>
      <w:divBdr>
        <w:top w:val="none" w:sz="0" w:space="0" w:color="auto"/>
        <w:left w:val="none" w:sz="0" w:space="0" w:color="auto"/>
        <w:bottom w:val="none" w:sz="0" w:space="0" w:color="auto"/>
        <w:right w:val="none" w:sz="0" w:space="0" w:color="auto"/>
      </w:divBdr>
    </w:div>
    <w:div w:id="1894854604">
      <w:marLeft w:val="0"/>
      <w:marRight w:val="0"/>
      <w:marTop w:val="280"/>
      <w:marBottom w:val="0"/>
      <w:divBdr>
        <w:top w:val="none" w:sz="0" w:space="0" w:color="auto"/>
        <w:left w:val="none" w:sz="0" w:space="0" w:color="auto"/>
        <w:bottom w:val="none" w:sz="0" w:space="0" w:color="auto"/>
        <w:right w:val="none" w:sz="0" w:space="0" w:color="auto"/>
      </w:divBdr>
    </w:div>
    <w:div w:id="1895046091">
      <w:marLeft w:val="0"/>
      <w:marRight w:val="0"/>
      <w:marTop w:val="60"/>
      <w:marBottom w:val="0"/>
      <w:divBdr>
        <w:top w:val="none" w:sz="0" w:space="0" w:color="auto"/>
        <w:left w:val="none" w:sz="0" w:space="0" w:color="auto"/>
        <w:bottom w:val="none" w:sz="0" w:space="0" w:color="auto"/>
        <w:right w:val="none" w:sz="0" w:space="0" w:color="auto"/>
      </w:divBdr>
    </w:div>
    <w:div w:id="1895197869">
      <w:marLeft w:val="0"/>
      <w:marRight w:val="0"/>
      <w:marTop w:val="60"/>
      <w:marBottom w:val="0"/>
      <w:divBdr>
        <w:top w:val="none" w:sz="0" w:space="0" w:color="auto"/>
        <w:left w:val="none" w:sz="0" w:space="0" w:color="auto"/>
        <w:bottom w:val="none" w:sz="0" w:space="0" w:color="auto"/>
        <w:right w:val="none" w:sz="0" w:space="0" w:color="auto"/>
      </w:divBdr>
    </w:div>
    <w:div w:id="1898930035">
      <w:marLeft w:val="0"/>
      <w:marRight w:val="0"/>
      <w:marTop w:val="240"/>
      <w:marBottom w:val="0"/>
      <w:divBdr>
        <w:top w:val="none" w:sz="0" w:space="0" w:color="auto"/>
        <w:left w:val="none" w:sz="0" w:space="0" w:color="auto"/>
        <w:bottom w:val="none" w:sz="0" w:space="0" w:color="auto"/>
        <w:right w:val="none" w:sz="0" w:space="0" w:color="auto"/>
      </w:divBdr>
    </w:div>
    <w:div w:id="1899198749">
      <w:marLeft w:val="0"/>
      <w:marRight w:val="0"/>
      <w:marTop w:val="100"/>
      <w:marBottom w:val="0"/>
      <w:divBdr>
        <w:top w:val="none" w:sz="0" w:space="0" w:color="auto"/>
        <w:left w:val="none" w:sz="0" w:space="0" w:color="auto"/>
        <w:bottom w:val="none" w:sz="0" w:space="0" w:color="auto"/>
        <w:right w:val="none" w:sz="0" w:space="0" w:color="auto"/>
      </w:divBdr>
    </w:div>
    <w:div w:id="1899703239">
      <w:marLeft w:val="0"/>
      <w:marRight w:val="0"/>
      <w:marTop w:val="100"/>
      <w:marBottom w:val="0"/>
      <w:divBdr>
        <w:top w:val="none" w:sz="0" w:space="0" w:color="auto"/>
        <w:left w:val="none" w:sz="0" w:space="0" w:color="auto"/>
        <w:bottom w:val="none" w:sz="0" w:space="0" w:color="auto"/>
        <w:right w:val="none" w:sz="0" w:space="0" w:color="auto"/>
      </w:divBdr>
      <w:divsChild>
        <w:div w:id="2007853822">
          <w:marLeft w:val="0"/>
          <w:marRight w:val="0"/>
          <w:marTop w:val="0"/>
          <w:marBottom w:val="0"/>
          <w:divBdr>
            <w:top w:val="none" w:sz="0" w:space="0" w:color="auto"/>
            <w:left w:val="none" w:sz="0" w:space="0" w:color="auto"/>
            <w:bottom w:val="none" w:sz="0" w:space="0" w:color="auto"/>
            <w:right w:val="none" w:sz="0" w:space="0" w:color="auto"/>
          </w:divBdr>
        </w:div>
        <w:div w:id="1006903445">
          <w:marLeft w:val="0"/>
          <w:marRight w:val="0"/>
          <w:marTop w:val="0"/>
          <w:marBottom w:val="0"/>
          <w:divBdr>
            <w:top w:val="none" w:sz="0" w:space="0" w:color="auto"/>
            <w:left w:val="none" w:sz="0" w:space="0" w:color="auto"/>
            <w:bottom w:val="none" w:sz="0" w:space="0" w:color="auto"/>
            <w:right w:val="none" w:sz="0" w:space="0" w:color="auto"/>
          </w:divBdr>
        </w:div>
        <w:div w:id="62608620">
          <w:marLeft w:val="0"/>
          <w:marRight w:val="0"/>
          <w:marTop w:val="0"/>
          <w:marBottom w:val="0"/>
          <w:divBdr>
            <w:top w:val="none" w:sz="0" w:space="0" w:color="auto"/>
            <w:left w:val="none" w:sz="0" w:space="0" w:color="auto"/>
            <w:bottom w:val="none" w:sz="0" w:space="0" w:color="auto"/>
            <w:right w:val="none" w:sz="0" w:space="0" w:color="auto"/>
          </w:divBdr>
        </w:div>
        <w:div w:id="157304742">
          <w:marLeft w:val="0"/>
          <w:marRight w:val="0"/>
          <w:marTop w:val="0"/>
          <w:marBottom w:val="0"/>
          <w:divBdr>
            <w:top w:val="none" w:sz="0" w:space="0" w:color="auto"/>
            <w:left w:val="none" w:sz="0" w:space="0" w:color="auto"/>
            <w:bottom w:val="none" w:sz="0" w:space="0" w:color="auto"/>
            <w:right w:val="none" w:sz="0" w:space="0" w:color="auto"/>
          </w:divBdr>
        </w:div>
      </w:divsChild>
    </w:div>
    <w:div w:id="1900047489">
      <w:marLeft w:val="0"/>
      <w:marRight w:val="0"/>
      <w:marTop w:val="0"/>
      <w:marBottom w:val="0"/>
      <w:divBdr>
        <w:top w:val="none" w:sz="0" w:space="0" w:color="auto"/>
        <w:left w:val="none" w:sz="0" w:space="0" w:color="auto"/>
        <w:bottom w:val="none" w:sz="0" w:space="0" w:color="auto"/>
        <w:right w:val="none" w:sz="0" w:space="0" w:color="auto"/>
      </w:divBdr>
      <w:divsChild>
        <w:div w:id="994145212">
          <w:marLeft w:val="0"/>
          <w:marRight w:val="0"/>
          <w:marTop w:val="0"/>
          <w:marBottom w:val="0"/>
          <w:divBdr>
            <w:top w:val="none" w:sz="0" w:space="0" w:color="auto"/>
            <w:left w:val="none" w:sz="0" w:space="0" w:color="auto"/>
            <w:bottom w:val="none" w:sz="0" w:space="0" w:color="auto"/>
            <w:right w:val="none" w:sz="0" w:space="0" w:color="auto"/>
          </w:divBdr>
        </w:div>
        <w:div w:id="751856484">
          <w:marLeft w:val="0"/>
          <w:marRight w:val="0"/>
          <w:marTop w:val="0"/>
          <w:marBottom w:val="0"/>
          <w:divBdr>
            <w:top w:val="none" w:sz="0" w:space="0" w:color="auto"/>
            <w:left w:val="none" w:sz="0" w:space="0" w:color="auto"/>
            <w:bottom w:val="none" w:sz="0" w:space="0" w:color="auto"/>
            <w:right w:val="none" w:sz="0" w:space="0" w:color="auto"/>
          </w:divBdr>
        </w:div>
      </w:divsChild>
    </w:div>
    <w:div w:id="1901286313">
      <w:marLeft w:val="0"/>
      <w:marRight w:val="0"/>
      <w:marTop w:val="60"/>
      <w:marBottom w:val="0"/>
      <w:divBdr>
        <w:top w:val="none" w:sz="0" w:space="0" w:color="auto"/>
        <w:left w:val="none" w:sz="0" w:space="0" w:color="auto"/>
        <w:bottom w:val="none" w:sz="0" w:space="0" w:color="auto"/>
        <w:right w:val="none" w:sz="0" w:space="0" w:color="auto"/>
      </w:divBdr>
    </w:div>
    <w:div w:id="1902402403">
      <w:marLeft w:val="0"/>
      <w:marRight w:val="0"/>
      <w:marTop w:val="100"/>
      <w:marBottom w:val="0"/>
      <w:divBdr>
        <w:top w:val="none" w:sz="0" w:space="0" w:color="auto"/>
        <w:left w:val="none" w:sz="0" w:space="0" w:color="auto"/>
        <w:bottom w:val="none" w:sz="0" w:space="0" w:color="auto"/>
        <w:right w:val="none" w:sz="0" w:space="0" w:color="auto"/>
      </w:divBdr>
    </w:div>
    <w:div w:id="1904370339">
      <w:marLeft w:val="0"/>
      <w:marRight w:val="0"/>
      <w:marTop w:val="100"/>
      <w:marBottom w:val="0"/>
      <w:divBdr>
        <w:top w:val="none" w:sz="0" w:space="0" w:color="auto"/>
        <w:left w:val="none" w:sz="0" w:space="0" w:color="auto"/>
        <w:bottom w:val="none" w:sz="0" w:space="0" w:color="auto"/>
        <w:right w:val="none" w:sz="0" w:space="0" w:color="auto"/>
      </w:divBdr>
    </w:div>
    <w:div w:id="1904484842">
      <w:marLeft w:val="0"/>
      <w:marRight w:val="0"/>
      <w:marTop w:val="60"/>
      <w:marBottom w:val="0"/>
      <w:divBdr>
        <w:top w:val="none" w:sz="0" w:space="0" w:color="auto"/>
        <w:left w:val="none" w:sz="0" w:space="0" w:color="auto"/>
        <w:bottom w:val="none" w:sz="0" w:space="0" w:color="auto"/>
        <w:right w:val="none" w:sz="0" w:space="0" w:color="auto"/>
      </w:divBdr>
    </w:div>
    <w:div w:id="1904636324">
      <w:marLeft w:val="0"/>
      <w:marRight w:val="0"/>
      <w:marTop w:val="100"/>
      <w:marBottom w:val="0"/>
      <w:divBdr>
        <w:top w:val="none" w:sz="0" w:space="0" w:color="auto"/>
        <w:left w:val="none" w:sz="0" w:space="0" w:color="auto"/>
        <w:bottom w:val="none" w:sz="0" w:space="0" w:color="auto"/>
        <w:right w:val="none" w:sz="0" w:space="0" w:color="auto"/>
      </w:divBdr>
    </w:div>
    <w:div w:id="1906336506">
      <w:marLeft w:val="0"/>
      <w:marRight w:val="0"/>
      <w:marTop w:val="100"/>
      <w:marBottom w:val="0"/>
      <w:divBdr>
        <w:top w:val="none" w:sz="0" w:space="0" w:color="auto"/>
        <w:left w:val="none" w:sz="0" w:space="0" w:color="auto"/>
        <w:bottom w:val="none" w:sz="0" w:space="0" w:color="auto"/>
        <w:right w:val="none" w:sz="0" w:space="0" w:color="auto"/>
      </w:divBdr>
    </w:div>
    <w:div w:id="1907492867">
      <w:marLeft w:val="0"/>
      <w:marRight w:val="0"/>
      <w:marTop w:val="100"/>
      <w:marBottom w:val="0"/>
      <w:divBdr>
        <w:top w:val="none" w:sz="0" w:space="0" w:color="auto"/>
        <w:left w:val="none" w:sz="0" w:space="0" w:color="auto"/>
        <w:bottom w:val="none" w:sz="0" w:space="0" w:color="auto"/>
        <w:right w:val="none" w:sz="0" w:space="0" w:color="auto"/>
      </w:divBdr>
    </w:div>
    <w:div w:id="1911188344">
      <w:marLeft w:val="0"/>
      <w:marRight w:val="0"/>
      <w:marTop w:val="100"/>
      <w:marBottom w:val="0"/>
      <w:divBdr>
        <w:top w:val="none" w:sz="0" w:space="0" w:color="auto"/>
        <w:left w:val="none" w:sz="0" w:space="0" w:color="auto"/>
        <w:bottom w:val="none" w:sz="0" w:space="0" w:color="auto"/>
        <w:right w:val="none" w:sz="0" w:space="0" w:color="auto"/>
      </w:divBdr>
    </w:div>
    <w:div w:id="1912419368">
      <w:marLeft w:val="0"/>
      <w:marRight w:val="0"/>
      <w:marTop w:val="100"/>
      <w:marBottom w:val="0"/>
      <w:divBdr>
        <w:top w:val="none" w:sz="0" w:space="0" w:color="auto"/>
        <w:left w:val="none" w:sz="0" w:space="0" w:color="auto"/>
        <w:bottom w:val="none" w:sz="0" w:space="0" w:color="auto"/>
        <w:right w:val="none" w:sz="0" w:space="0" w:color="auto"/>
      </w:divBdr>
    </w:div>
    <w:div w:id="1912735552">
      <w:marLeft w:val="0"/>
      <w:marRight w:val="0"/>
      <w:marTop w:val="240"/>
      <w:marBottom w:val="0"/>
      <w:divBdr>
        <w:top w:val="none" w:sz="0" w:space="0" w:color="auto"/>
        <w:left w:val="none" w:sz="0" w:space="0" w:color="auto"/>
        <w:bottom w:val="none" w:sz="0" w:space="0" w:color="auto"/>
        <w:right w:val="none" w:sz="0" w:space="0" w:color="auto"/>
      </w:divBdr>
    </w:div>
    <w:div w:id="1912957535">
      <w:marLeft w:val="0"/>
      <w:marRight w:val="0"/>
      <w:marTop w:val="100"/>
      <w:marBottom w:val="0"/>
      <w:divBdr>
        <w:top w:val="none" w:sz="0" w:space="0" w:color="auto"/>
        <w:left w:val="none" w:sz="0" w:space="0" w:color="auto"/>
        <w:bottom w:val="none" w:sz="0" w:space="0" w:color="auto"/>
        <w:right w:val="none" w:sz="0" w:space="0" w:color="auto"/>
      </w:divBdr>
    </w:div>
    <w:div w:id="1916090683">
      <w:marLeft w:val="0"/>
      <w:marRight w:val="0"/>
      <w:marTop w:val="100"/>
      <w:marBottom w:val="0"/>
      <w:divBdr>
        <w:top w:val="none" w:sz="0" w:space="0" w:color="auto"/>
        <w:left w:val="none" w:sz="0" w:space="0" w:color="auto"/>
        <w:bottom w:val="none" w:sz="0" w:space="0" w:color="auto"/>
        <w:right w:val="none" w:sz="0" w:space="0" w:color="auto"/>
      </w:divBdr>
    </w:div>
    <w:div w:id="1917588845">
      <w:marLeft w:val="0"/>
      <w:marRight w:val="0"/>
      <w:marTop w:val="100"/>
      <w:marBottom w:val="0"/>
      <w:divBdr>
        <w:top w:val="none" w:sz="0" w:space="0" w:color="auto"/>
        <w:left w:val="none" w:sz="0" w:space="0" w:color="auto"/>
        <w:bottom w:val="none" w:sz="0" w:space="0" w:color="auto"/>
        <w:right w:val="none" w:sz="0" w:space="0" w:color="auto"/>
      </w:divBdr>
    </w:div>
    <w:div w:id="1920091902">
      <w:marLeft w:val="0"/>
      <w:marRight w:val="0"/>
      <w:marTop w:val="60"/>
      <w:marBottom w:val="0"/>
      <w:divBdr>
        <w:top w:val="none" w:sz="0" w:space="0" w:color="auto"/>
        <w:left w:val="none" w:sz="0" w:space="0" w:color="auto"/>
        <w:bottom w:val="none" w:sz="0" w:space="0" w:color="auto"/>
        <w:right w:val="none" w:sz="0" w:space="0" w:color="auto"/>
      </w:divBdr>
    </w:div>
    <w:div w:id="1920403154">
      <w:marLeft w:val="0"/>
      <w:marRight w:val="0"/>
      <w:marTop w:val="0"/>
      <w:marBottom w:val="0"/>
      <w:divBdr>
        <w:top w:val="none" w:sz="0" w:space="0" w:color="auto"/>
        <w:left w:val="none" w:sz="0" w:space="0" w:color="auto"/>
        <w:bottom w:val="none" w:sz="0" w:space="0" w:color="auto"/>
        <w:right w:val="none" w:sz="0" w:space="0" w:color="auto"/>
      </w:divBdr>
    </w:div>
    <w:div w:id="1924680032">
      <w:marLeft w:val="0"/>
      <w:marRight w:val="0"/>
      <w:marTop w:val="100"/>
      <w:marBottom w:val="0"/>
      <w:divBdr>
        <w:top w:val="none" w:sz="0" w:space="0" w:color="auto"/>
        <w:left w:val="none" w:sz="0" w:space="0" w:color="auto"/>
        <w:bottom w:val="none" w:sz="0" w:space="0" w:color="auto"/>
        <w:right w:val="none" w:sz="0" w:space="0" w:color="auto"/>
      </w:divBdr>
    </w:div>
    <w:div w:id="1925332996">
      <w:marLeft w:val="0"/>
      <w:marRight w:val="0"/>
      <w:marTop w:val="240"/>
      <w:marBottom w:val="0"/>
      <w:divBdr>
        <w:top w:val="none" w:sz="0" w:space="0" w:color="auto"/>
        <w:left w:val="none" w:sz="0" w:space="0" w:color="auto"/>
        <w:bottom w:val="none" w:sz="0" w:space="0" w:color="auto"/>
        <w:right w:val="none" w:sz="0" w:space="0" w:color="auto"/>
      </w:divBdr>
    </w:div>
    <w:div w:id="1925383409">
      <w:marLeft w:val="0"/>
      <w:marRight w:val="0"/>
      <w:marTop w:val="100"/>
      <w:marBottom w:val="0"/>
      <w:divBdr>
        <w:top w:val="none" w:sz="0" w:space="0" w:color="auto"/>
        <w:left w:val="none" w:sz="0" w:space="0" w:color="auto"/>
        <w:bottom w:val="none" w:sz="0" w:space="0" w:color="auto"/>
        <w:right w:val="none" w:sz="0" w:space="0" w:color="auto"/>
      </w:divBdr>
    </w:div>
    <w:div w:id="1926189389">
      <w:marLeft w:val="0"/>
      <w:marRight w:val="0"/>
      <w:marTop w:val="180"/>
      <w:marBottom w:val="0"/>
      <w:divBdr>
        <w:top w:val="none" w:sz="0" w:space="0" w:color="auto"/>
        <w:left w:val="none" w:sz="0" w:space="0" w:color="auto"/>
        <w:bottom w:val="none" w:sz="0" w:space="0" w:color="auto"/>
        <w:right w:val="none" w:sz="0" w:space="0" w:color="auto"/>
      </w:divBdr>
    </w:div>
    <w:div w:id="1926647594">
      <w:marLeft w:val="0"/>
      <w:marRight w:val="0"/>
      <w:marTop w:val="60"/>
      <w:marBottom w:val="0"/>
      <w:divBdr>
        <w:top w:val="none" w:sz="0" w:space="0" w:color="auto"/>
        <w:left w:val="none" w:sz="0" w:space="0" w:color="auto"/>
        <w:bottom w:val="none" w:sz="0" w:space="0" w:color="auto"/>
        <w:right w:val="none" w:sz="0" w:space="0" w:color="auto"/>
      </w:divBdr>
    </w:div>
    <w:div w:id="1927037587">
      <w:marLeft w:val="0"/>
      <w:marRight w:val="0"/>
      <w:marTop w:val="0"/>
      <w:marBottom w:val="0"/>
      <w:divBdr>
        <w:top w:val="none" w:sz="0" w:space="0" w:color="auto"/>
        <w:left w:val="none" w:sz="0" w:space="0" w:color="auto"/>
        <w:bottom w:val="none" w:sz="0" w:space="0" w:color="auto"/>
        <w:right w:val="none" w:sz="0" w:space="0" w:color="auto"/>
      </w:divBdr>
      <w:divsChild>
        <w:div w:id="178467120">
          <w:marLeft w:val="0"/>
          <w:marRight w:val="0"/>
          <w:marTop w:val="0"/>
          <w:marBottom w:val="0"/>
          <w:divBdr>
            <w:top w:val="none" w:sz="0" w:space="0" w:color="auto"/>
            <w:left w:val="none" w:sz="0" w:space="0" w:color="auto"/>
            <w:bottom w:val="none" w:sz="0" w:space="0" w:color="auto"/>
            <w:right w:val="none" w:sz="0" w:space="0" w:color="auto"/>
          </w:divBdr>
        </w:div>
        <w:div w:id="97527633">
          <w:marLeft w:val="0"/>
          <w:marRight w:val="0"/>
          <w:marTop w:val="0"/>
          <w:marBottom w:val="0"/>
          <w:divBdr>
            <w:top w:val="none" w:sz="0" w:space="0" w:color="auto"/>
            <w:left w:val="none" w:sz="0" w:space="0" w:color="auto"/>
            <w:bottom w:val="none" w:sz="0" w:space="0" w:color="auto"/>
            <w:right w:val="none" w:sz="0" w:space="0" w:color="auto"/>
          </w:divBdr>
        </w:div>
      </w:divsChild>
    </w:div>
    <w:div w:id="1930307243">
      <w:marLeft w:val="0"/>
      <w:marRight w:val="0"/>
      <w:marTop w:val="100"/>
      <w:marBottom w:val="0"/>
      <w:divBdr>
        <w:top w:val="none" w:sz="0" w:space="0" w:color="auto"/>
        <w:left w:val="none" w:sz="0" w:space="0" w:color="auto"/>
        <w:bottom w:val="none" w:sz="0" w:space="0" w:color="auto"/>
        <w:right w:val="none" w:sz="0" w:space="0" w:color="auto"/>
      </w:divBdr>
    </w:div>
    <w:div w:id="1930573840">
      <w:marLeft w:val="0"/>
      <w:marRight w:val="0"/>
      <w:marTop w:val="60"/>
      <w:marBottom w:val="0"/>
      <w:divBdr>
        <w:top w:val="none" w:sz="0" w:space="0" w:color="auto"/>
        <w:left w:val="none" w:sz="0" w:space="0" w:color="auto"/>
        <w:bottom w:val="none" w:sz="0" w:space="0" w:color="auto"/>
        <w:right w:val="none" w:sz="0" w:space="0" w:color="auto"/>
      </w:divBdr>
    </w:div>
    <w:div w:id="1931426535">
      <w:marLeft w:val="0"/>
      <w:marRight w:val="0"/>
      <w:marTop w:val="180"/>
      <w:marBottom w:val="180"/>
      <w:divBdr>
        <w:top w:val="none" w:sz="0" w:space="0" w:color="auto"/>
        <w:left w:val="none" w:sz="0" w:space="0" w:color="auto"/>
        <w:bottom w:val="none" w:sz="0" w:space="0" w:color="auto"/>
        <w:right w:val="none" w:sz="0" w:space="0" w:color="auto"/>
      </w:divBdr>
    </w:div>
    <w:div w:id="1933929001">
      <w:marLeft w:val="0"/>
      <w:marRight w:val="0"/>
      <w:marTop w:val="100"/>
      <w:marBottom w:val="0"/>
      <w:divBdr>
        <w:top w:val="none" w:sz="0" w:space="0" w:color="auto"/>
        <w:left w:val="none" w:sz="0" w:space="0" w:color="auto"/>
        <w:bottom w:val="none" w:sz="0" w:space="0" w:color="auto"/>
        <w:right w:val="none" w:sz="0" w:space="0" w:color="auto"/>
      </w:divBdr>
    </w:div>
    <w:div w:id="1934705897">
      <w:marLeft w:val="0"/>
      <w:marRight w:val="0"/>
      <w:marTop w:val="240"/>
      <w:marBottom w:val="0"/>
      <w:divBdr>
        <w:top w:val="none" w:sz="0" w:space="0" w:color="auto"/>
        <w:left w:val="none" w:sz="0" w:space="0" w:color="auto"/>
        <w:bottom w:val="none" w:sz="0" w:space="0" w:color="auto"/>
        <w:right w:val="none" w:sz="0" w:space="0" w:color="auto"/>
      </w:divBdr>
    </w:div>
    <w:div w:id="1935743693">
      <w:marLeft w:val="0"/>
      <w:marRight w:val="0"/>
      <w:marTop w:val="240"/>
      <w:marBottom w:val="0"/>
      <w:divBdr>
        <w:top w:val="none" w:sz="0" w:space="0" w:color="auto"/>
        <w:left w:val="none" w:sz="0" w:space="0" w:color="auto"/>
        <w:bottom w:val="none" w:sz="0" w:space="0" w:color="auto"/>
        <w:right w:val="none" w:sz="0" w:space="0" w:color="auto"/>
      </w:divBdr>
    </w:div>
    <w:div w:id="1940483716">
      <w:marLeft w:val="0"/>
      <w:marRight w:val="0"/>
      <w:marTop w:val="0"/>
      <w:marBottom w:val="0"/>
      <w:divBdr>
        <w:top w:val="none" w:sz="0" w:space="0" w:color="auto"/>
        <w:left w:val="none" w:sz="0" w:space="0" w:color="auto"/>
        <w:bottom w:val="none" w:sz="0" w:space="0" w:color="auto"/>
        <w:right w:val="none" w:sz="0" w:space="0" w:color="auto"/>
      </w:divBdr>
      <w:divsChild>
        <w:div w:id="1253054519">
          <w:marLeft w:val="0"/>
          <w:marRight w:val="0"/>
          <w:marTop w:val="0"/>
          <w:marBottom w:val="0"/>
          <w:divBdr>
            <w:top w:val="none" w:sz="0" w:space="0" w:color="auto"/>
            <w:left w:val="none" w:sz="0" w:space="0" w:color="auto"/>
            <w:bottom w:val="none" w:sz="0" w:space="0" w:color="auto"/>
            <w:right w:val="none" w:sz="0" w:space="0" w:color="auto"/>
          </w:divBdr>
        </w:div>
        <w:div w:id="2078629694">
          <w:marLeft w:val="0"/>
          <w:marRight w:val="0"/>
          <w:marTop w:val="0"/>
          <w:marBottom w:val="0"/>
          <w:divBdr>
            <w:top w:val="none" w:sz="0" w:space="0" w:color="auto"/>
            <w:left w:val="none" w:sz="0" w:space="0" w:color="auto"/>
            <w:bottom w:val="none" w:sz="0" w:space="0" w:color="auto"/>
            <w:right w:val="none" w:sz="0" w:space="0" w:color="auto"/>
          </w:divBdr>
        </w:div>
      </w:divsChild>
    </w:div>
    <w:div w:id="1940870563">
      <w:marLeft w:val="0"/>
      <w:marRight w:val="0"/>
      <w:marTop w:val="100"/>
      <w:marBottom w:val="0"/>
      <w:divBdr>
        <w:top w:val="none" w:sz="0" w:space="0" w:color="auto"/>
        <w:left w:val="none" w:sz="0" w:space="0" w:color="auto"/>
        <w:bottom w:val="none" w:sz="0" w:space="0" w:color="auto"/>
        <w:right w:val="none" w:sz="0" w:space="0" w:color="auto"/>
      </w:divBdr>
    </w:div>
    <w:div w:id="1944995491">
      <w:marLeft w:val="0"/>
      <w:marRight w:val="0"/>
      <w:marTop w:val="100"/>
      <w:marBottom w:val="0"/>
      <w:divBdr>
        <w:top w:val="none" w:sz="0" w:space="0" w:color="auto"/>
        <w:left w:val="none" w:sz="0" w:space="0" w:color="auto"/>
        <w:bottom w:val="none" w:sz="0" w:space="0" w:color="auto"/>
        <w:right w:val="none" w:sz="0" w:space="0" w:color="auto"/>
      </w:divBdr>
    </w:div>
    <w:div w:id="1947272820">
      <w:marLeft w:val="0"/>
      <w:marRight w:val="0"/>
      <w:marTop w:val="0"/>
      <w:marBottom w:val="0"/>
      <w:divBdr>
        <w:top w:val="none" w:sz="0" w:space="0" w:color="auto"/>
        <w:left w:val="none" w:sz="0" w:space="0" w:color="auto"/>
        <w:bottom w:val="none" w:sz="0" w:space="0" w:color="auto"/>
        <w:right w:val="none" w:sz="0" w:space="0" w:color="auto"/>
      </w:divBdr>
    </w:div>
    <w:div w:id="1950817455">
      <w:marLeft w:val="0"/>
      <w:marRight w:val="0"/>
      <w:marTop w:val="240"/>
      <w:marBottom w:val="0"/>
      <w:divBdr>
        <w:top w:val="none" w:sz="0" w:space="0" w:color="auto"/>
        <w:left w:val="none" w:sz="0" w:space="0" w:color="auto"/>
        <w:bottom w:val="none" w:sz="0" w:space="0" w:color="auto"/>
        <w:right w:val="none" w:sz="0" w:space="0" w:color="auto"/>
      </w:divBdr>
    </w:div>
    <w:div w:id="1954827003">
      <w:marLeft w:val="0"/>
      <w:marRight w:val="0"/>
      <w:marTop w:val="2500"/>
      <w:marBottom w:val="0"/>
      <w:divBdr>
        <w:top w:val="none" w:sz="0" w:space="0" w:color="auto"/>
        <w:left w:val="none" w:sz="0" w:space="0" w:color="auto"/>
        <w:bottom w:val="none" w:sz="0" w:space="0" w:color="auto"/>
        <w:right w:val="none" w:sz="0" w:space="0" w:color="auto"/>
      </w:divBdr>
    </w:div>
    <w:div w:id="1955284950">
      <w:marLeft w:val="0"/>
      <w:marRight w:val="0"/>
      <w:marTop w:val="240"/>
      <w:marBottom w:val="0"/>
      <w:divBdr>
        <w:top w:val="none" w:sz="0" w:space="0" w:color="auto"/>
        <w:left w:val="none" w:sz="0" w:space="0" w:color="auto"/>
        <w:bottom w:val="none" w:sz="0" w:space="0" w:color="auto"/>
        <w:right w:val="none" w:sz="0" w:space="0" w:color="auto"/>
      </w:divBdr>
    </w:div>
    <w:div w:id="1956864483">
      <w:marLeft w:val="0"/>
      <w:marRight w:val="0"/>
      <w:marTop w:val="60"/>
      <w:marBottom w:val="0"/>
      <w:divBdr>
        <w:top w:val="none" w:sz="0" w:space="0" w:color="auto"/>
        <w:left w:val="none" w:sz="0" w:space="0" w:color="auto"/>
        <w:bottom w:val="none" w:sz="0" w:space="0" w:color="auto"/>
        <w:right w:val="none" w:sz="0" w:space="0" w:color="auto"/>
      </w:divBdr>
    </w:div>
    <w:div w:id="1958832747">
      <w:marLeft w:val="0"/>
      <w:marRight w:val="0"/>
      <w:marTop w:val="100"/>
      <w:marBottom w:val="0"/>
      <w:divBdr>
        <w:top w:val="none" w:sz="0" w:space="0" w:color="auto"/>
        <w:left w:val="none" w:sz="0" w:space="0" w:color="auto"/>
        <w:bottom w:val="none" w:sz="0" w:space="0" w:color="auto"/>
        <w:right w:val="none" w:sz="0" w:space="0" w:color="auto"/>
      </w:divBdr>
    </w:div>
    <w:div w:id="1960985681">
      <w:marLeft w:val="0"/>
      <w:marRight w:val="0"/>
      <w:marTop w:val="100"/>
      <w:marBottom w:val="0"/>
      <w:divBdr>
        <w:top w:val="none" w:sz="0" w:space="0" w:color="auto"/>
        <w:left w:val="none" w:sz="0" w:space="0" w:color="auto"/>
        <w:bottom w:val="none" w:sz="0" w:space="0" w:color="auto"/>
        <w:right w:val="none" w:sz="0" w:space="0" w:color="auto"/>
      </w:divBdr>
    </w:div>
    <w:div w:id="1961761006">
      <w:marLeft w:val="0"/>
      <w:marRight w:val="0"/>
      <w:marTop w:val="100"/>
      <w:marBottom w:val="0"/>
      <w:divBdr>
        <w:top w:val="none" w:sz="0" w:space="0" w:color="auto"/>
        <w:left w:val="none" w:sz="0" w:space="0" w:color="auto"/>
        <w:bottom w:val="none" w:sz="0" w:space="0" w:color="auto"/>
        <w:right w:val="none" w:sz="0" w:space="0" w:color="auto"/>
      </w:divBdr>
    </w:div>
    <w:div w:id="1963150535">
      <w:marLeft w:val="0"/>
      <w:marRight w:val="0"/>
      <w:marTop w:val="0"/>
      <w:marBottom w:val="0"/>
      <w:divBdr>
        <w:top w:val="none" w:sz="0" w:space="0" w:color="auto"/>
        <w:left w:val="none" w:sz="0" w:space="0" w:color="auto"/>
        <w:bottom w:val="none" w:sz="0" w:space="0" w:color="auto"/>
        <w:right w:val="none" w:sz="0" w:space="0" w:color="auto"/>
      </w:divBdr>
      <w:divsChild>
        <w:div w:id="708653807">
          <w:marLeft w:val="0"/>
          <w:marRight w:val="0"/>
          <w:marTop w:val="0"/>
          <w:marBottom w:val="0"/>
          <w:divBdr>
            <w:top w:val="none" w:sz="0" w:space="0" w:color="auto"/>
            <w:left w:val="none" w:sz="0" w:space="0" w:color="auto"/>
            <w:bottom w:val="none" w:sz="0" w:space="0" w:color="auto"/>
            <w:right w:val="none" w:sz="0" w:space="0" w:color="auto"/>
          </w:divBdr>
        </w:div>
        <w:div w:id="436481897">
          <w:marLeft w:val="0"/>
          <w:marRight w:val="0"/>
          <w:marTop w:val="0"/>
          <w:marBottom w:val="0"/>
          <w:divBdr>
            <w:top w:val="none" w:sz="0" w:space="0" w:color="auto"/>
            <w:left w:val="none" w:sz="0" w:space="0" w:color="auto"/>
            <w:bottom w:val="none" w:sz="0" w:space="0" w:color="auto"/>
            <w:right w:val="none" w:sz="0" w:space="0" w:color="auto"/>
          </w:divBdr>
        </w:div>
      </w:divsChild>
    </w:div>
    <w:div w:id="1967202113">
      <w:marLeft w:val="0"/>
      <w:marRight w:val="0"/>
      <w:marTop w:val="100"/>
      <w:marBottom w:val="0"/>
      <w:divBdr>
        <w:top w:val="none" w:sz="0" w:space="0" w:color="auto"/>
        <w:left w:val="none" w:sz="0" w:space="0" w:color="auto"/>
        <w:bottom w:val="none" w:sz="0" w:space="0" w:color="auto"/>
        <w:right w:val="none" w:sz="0" w:space="0" w:color="auto"/>
      </w:divBdr>
    </w:div>
    <w:div w:id="1967614766">
      <w:marLeft w:val="0"/>
      <w:marRight w:val="0"/>
      <w:marTop w:val="60"/>
      <w:marBottom w:val="0"/>
      <w:divBdr>
        <w:top w:val="none" w:sz="0" w:space="0" w:color="auto"/>
        <w:left w:val="none" w:sz="0" w:space="0" w:color="auto"/>
        <w:bottom w:val="none" w:sz="0" w:space="0" w:color="auto"/>
        <w:right w:val="none" w:sz="0" w:space="0" w:color="auto"/>
      </w:divBdr>
    </w:div>
    <w:div w:id="1967811768">
      <w:marLeft w:val="0"/>
      <w:marRight w:val="0"/>
      <w:marTop w:val="100"/>
      <w:marBottom w:val="0"/>
      <w:divBdr>
        <w:top w:val="none" w:sz="0" w:space="0" w:color="auto"/>
        <w:left w:val="none" w:sz="0" w:space="0" w:color="auto"/>
        <w:bottom w:val="none" w:sz="0" w:space="0" w:color="auto"/>
        <w:right w:val="none" w:sz="0" w:space="0" w:color="auto"/>
      </w:divBdr>
    </w:div>
    <w:div w:id="1968386006">
      <w:marLeft w:val="0"/>
      <w:marRight w:val="0"/>
      <w:marTop w:val="240"/>
      <w:marBottom w:val="0"/>
      <w:divBdr>
        <w:top w:val="none" w:sz="0" w:space="0" w:color="auto"/>
        <w:left w:val="none" w:sz="0" w:space="0" w:color="auto"/>
        <w:bottom w:val="none" w:sz="0" w:space="0" w:color="auto"/>
        <w:right w:val="none" w:sz="0" w:space="0" w:color="auto"/>
      </w:divBdr>
    </w:div>
    <w:div w:id="1970893753">
      <w:marLeft w:val="0"/>
      <w:marRight w:val="0"/>
      <w:marTop w:val="100"/>
      <w:marBottom w:val="0"/>
      <w:divBdr>
        <w:top w:val="none" w:sz="0" w:space="0" w:color="auto"/>
        <w:left w:val="none" w:sz="0" w:space="0" w:color="auto"/>
        <w:bottom w:val="none" w:sz="0" w:space="0" w:color="auto"/>
        <w:right w:val="none" w:sz="0" w:space="0" w:color="auto"/>
      </w:divBdr>
    </w:div>
    <w:div w:id="1971595300">
      <w:marLeft w:val="0"/>
      <w:marRight w:val="0"/>
      <w:marTop w:val="240"/>
      <w:marBottom w:val="0"/>
      <w:divBdr>
        <w:top w:val="none" w:sz="0" w:space="0" w:color="auto"/>
        <w:left w:val="none" w:sz="0" w:space="0" w:color="auto"/>
        <w:bottom w:val="none" w:sz="0" w:space="0" w:color="auto"/>
        <w:right w:val="none" w:sz="0" w:space="0" w:color="auto"/>
      </w:divBdr>
    </w:div>
    <w:div w:id="1973898875">
      <w:marLeft w:val="0"/>
      <w:marRight w:val="0"/>
      <w:marTop w:val="100"/>
      <w:marBottom w:val="0"/>
      <w:divBdr>
        <w:top w:val="none" w:sz="0" w:space="0" w:color="auto"/>
        <w:left w:val="none" w:sz="0" w:space="0" w:color="auto"/>
        <w:bottom w:val="none" w:sz="0" w:space="0" w:color="auto"/>
        <w:right w:val="none" w:sz="0" w:space="0" w:color="auto"/>
      </w:divBdr>
    </w:div>
    <w:div w:id="1974288021">
      <w:marLeft w:val="0"/>
      <w:marRight w:val="0"/>
      <w:marTop w:val="60"/>
      <w:marBottom w:val="0"/>
      <w:divBdr>
        <w:top w:val="none" w:sz="0" w:space="0" w:color="auto"/>
        <w:left w:val="none" w:sz="0" w:space="0" w:color="auto"/>
        <w:bottom w:val="none" w:sz="0" w:space="0" w:color="auto"/>
        <w:right w:val="none" w:sz="0" w:space="0" w:color="auto"/>
      </w:divBdr>
    </w:div>
    <w:div w:id="1975141513">
      <w:marLeft w:val="0"/>
      <w:marRight w:val="0"/>
      <w:marTop w:val="100"/>
      <w:marBottom w:val="0"/>
      <w:divBdr>
        <w:top w:val="none" w:sz="0" w:space="0" w:color="auto"/>
        <w:left w:val="none" w:sz="0" w:space="0" w:color="auto"/>
        <w:bottom w:val="none" w:sz="0" w:space="0" w:color="auto"/>
        <w:right w:val="none" w:sz="0" w:space="0" w:color="auto"/>
      </w:divBdr>
    </w:div>
    <w:div w:id="1975213568">
      <w:marLeft w:val="0"/>
      <w:marRight w:val="0"/>
      <w:marTop w:val="60"/>
      <w:marBottom w:val="0"/>
      <w:divBdr>
        <w:top w:val="none" w:sz="0" w:space="0" w:color="auto"/>
        <w:left w:val="none" w:sz="0" w:space="0" w:color="auto"/>
        <w:bottom w:val="none" w:sz="0" w:space="0" w:color="auto"/>
        <w:right w:val="none" w:sz="0" w:space="0" w:color="auto"/>
      </w:divBdr>
    </w:div>
    <w:div w:id="1975984322">
      <w:marLeft w:val="0"/>
      <w:marRight w:val="0"/>
      <w:marTop w:val="100"/>
      <w:marBottom w:val="0"/>
      <w:divBdr>
        <w:top w:val="none" w:sz="0" w:space="0" w:color="auto"/>
        <w:left w:val="none" w:sz="0" w:space="0" w:color="auto"/>
        <w:bottom w:val="none" w:sz="0" w:space="0" w:color="auto"/>
        <w:right w:val="none" w:sz="0" w:space="0" w:color="auto"/>
      </w:divBdr>
    </w:div>
    <w:div w:id="1977635958">
      <w:marLeft w:val="0"/>
      <w:marRight w:val="0"/>
      <w:marTop w:val="100"/>
      <w:marBottom w:val="0"/>
      <w:divBdr>
        <w:top w:val="none" w:sz="0" w:space="0" w:color="auto"/>
        <w:left w:val="none" w:sz="0" w:space="0" w:color="auto"/>
        <w:bottom w:val="none" w:sz="0" w:space="0" w:color="auto"/>
        <w:right w:val="none" w:sz="0" w:space="0" w:color="auto"/>
      </w:divBdr>
    </w:div>
    <w:div w:id="1979456033">
      <w:marLeft w:val="0"/>
      <w:marRight w:val="0"/>
      <w:marTop w:val="180"/>
      <w:marBottom w:val="180"/>
      <w:divBdr>
        <w:top w:val="none" w:sz="0" w:space="0" w:color="auto"/>
        <w:left w:val="none" w:sz="0" w:space="0" w:color="auto"/>
        <w:bottom w:val="none" w:sz="0" w:space="0" w:color="auto"/>
        <w:right w:val="none" w:sz="0" w:space="0" w:color="auto"/>
      </w:divBdr>
    </w:div>
    <w:div w:id="1980382801">
      <w:marLeft w:val="0"/>
      <w:marRight w:val="0"/>
      <w:marTop w:val="100"/>
      <w:marBottom w:val="0"/>
      <w:divBdr>
        <w:top w:val="none" w:sz="0" w:space="0" w:color="auto"/>
        <w:left w:val="none" w:sz="0" w:space="0" w:color="auto"/>
        <w:bottom w:val="none" w:sz="0" w:space="0" w:color="auto"/>
        <w:right w:val="none" w:sz="0" w:space="0" w:color="auto"/>
      </w:divBdr>
    </w:div>
    <w:div w:id="1981493918">
      <w:marLeft w:val="0"/>
      <w:marRight w:val="0"/>
      <w:marTop w:val="100"/>
      <w:marBottom w:val="0"/>
      <w:divBdr>
        <w:top w:val="none" w:sz="0" w:space="0" w:color="auto"/>
        <w:left w:val="none" w:sz="0" w:space="0" w:color="auto"/>
        <w:bottom w:val="none" w:sz="0" w:space="0" w:color="auto"/>
        <w:right w:val="none" w:sz="0" w:space="0" w:color="auto"/>
      </w:divBdr>
    </w:div>
    <w:div w:id="1982035669">
      <w:marLeft w:val="0"/>
      <w:marRight w:val="0"/>
      <w:marTop w:val="100"/>
      <w:marBottom w:val="0"/>
      <w:divBdr>
        <w:top w:val="none" w:sz="0" w:space="0" w:color="auto"/>
        <w:left w:val="none" w:sz="0" w:space="0" w:color="auto"/>
        <w:bottom w:val="none" w:sz="0" w:space="0" w:color="auto"/>
        <w:right w:val="none" w:sz="0" w:space="0" w:color="auto"/>
      </w:divBdr>
    </w:div>
    <w:div w:id="1982727042">
      <w:marLeft w:val="0"/>
      <w:marRight w:val="0"/>
      <w:marTop w:val="60"/>
      <w:marBottom w:val="0"/>
      <w:divBdr>
        <w:top w:val="none" w:sz="0" w:space="0" w:color="auto"/>
        <w:left w:val="none" w:sz="0" w:space="0" w:color="auto"/>
        <w:bottom w:val="none" w:sz="0" w:space="0" w:color="auto"/>
        <w:right w:val="none" w:sz="0" w:space="0" w:color="auto"/>
      </w:divBdr>
    </w:div>
    <w:div w:id="1982886641">
      <w:marLeft w:val="0"/>
      <w:marRight w:val="0"/>
      <w:marTop w:val="180"/>
      <w:marBottom w:val="0"/>
      <w:divBdr>
        <w:top w:val="none" w:sz="0" w:space="0" w:color="auto"/>
        <w:left w:val="none" w:sz="0" w:space="0" w:color="auto"/>
        <w:bottom w:val="none" w:sz="0" w:space="0" w:color="auto"/>
        <w:right w:val="none" w:sz="0" w:space="0" w:color="auto"/>
      </w:divBdr>
    </w:div>
    <w:div w:id="1986542972">
      <w:marLeft w:val="0"/>
      <w:marRight w:val="0"/>
      <w:marTop w:val="100"/>
      <w:marBottom w:val="0"/>
      <w:divBdr>
        <w:top w:val="none" w:sz="0" w:space="0" w:color="auto"/>
        <w:left w:val="none" w:sz="0" w:space="0" w:color="auto"/>
        <w:bottom w:val="none" w:sz="0" w:space="0" w:color="auto"/>
        <w:right w:val="none" w:sz="0" w:space="0" w:color="auto"/>
      </w:divBdr>
    </w:div>
    <w:div w:id="1989746588">
      <w:marLeft w:val="0"/>
      <w:marRight w:val="0"/>
      <w:marTop w:val="0"/>
      <w:marBottom w:val="0"/>
      <w:divBdr>
        <w:top w:val="none" w:sz="0" w:space="0" w:color="auto"/>
        <w:left w:val="none" w:sz="0" w:space="0" w:color="auto"/>
        <w:bottom w:val="none" w:sz="0" w:space="0" w:color="auto"/>
        <w:right w:val="none" w:sz="0" w:space="0" w:color="auto"/>
      </w:divBdr>
      <w:divsChild>
        <w:div w:id="1954705514">
          <w:marLeft w:val="0"/>
          <w:marRight w:val="0"/>
          <w:marTop w:val="0"/>
          <w:marBottom w:val="0"/>
          <w:divBdr>
            <w:top w:val="none" w:sz="0" w:space="0" w:color="auto"/>
            <w:left w:val="none" w:sz="0" w:space="0" w:color="auto"/>
            <w:bottom w:val="none" w:sz="0" w:space="0" w:color="auto"/>
            <w:right w:val="none" w:sz="0" w:space="0" w:color="auto"/>
          </w:divBdr>
        </w:div>
        <w:div w:id="845945023">
          <w:marLeft w:val="0"/>
          <w:marRight w:val="0"/>
          <w:marTop w:val="0"/>
          <w:marBottom w:val="0"/>
          <w:divBdr>
            <w:top w:val="none" w:sz="0" w:space="0" w:color="auto"/>
            <w:left w:val="none" w:sz="0" w:space="0" w:color="auto"/>
            <w:bottom w:val="none" w:sz="0" w:space="0" w:color="auto"/>
            <w:right w:val="none" w:sz="0" w:space="0" w:color="auto"/>
          </w:divBdr>
        </w:div>
      </w:divsChild>
    </w:div>
    <w:div w:id="1989825195">
      <w:marLeft w:val="0"/>
      <w:marRight w:val="0"/>
      <w:marTop w:val="100"/>
      <w:marBottom w:val="0"/>
      <w:divBdr>
        <w:top w:val="none" w:sz="0" w:space="0" w:color="auto"/>
        <w:left w:val="none" w:sz="0" w:space="0" w:color="auto"/>
        <w:bottom w:val="none" w:sz="0" w:space="0" w:color="auto"/>
        <w:right w:val="none" w:sz="0" w:space="0" w:color="auto"/>
      </w:divBdr>
    </w:div>
    <w:div w:id="1990330556">
      <w:marLeft w:val="0"/>
      <w:marRight w:val="0"/>
      <w:marTop w:val="60"/>
      <w:marBottom w:val="0"/>
      <w:divBdr>
        <w:top w:val="none" w:sz="0" w:space="0" w:color="auto"/>
        <w:left w:val="none" w:sz="0" w:space="0" w:color="auto"/>
        <w:bottom w:val="none" w:sz="0" w:space="0" w:color="auto"/>
        <w:right w:val="none" w:sz="0" w:space="0" w:color="auto"/>
      </w:divBdr>
    </w:div>
    <w:div w:id="1991976789">
      <w:marLeft w:val="0"/>
      <w:marRight w:val="0"/>
      <w:marTop w:val="100"/>
      <w:marBottom w:val="0"/>
      <w:divBdr>
        <w:top w:val="none" w:sz="0" w:space="0" w:color="auto"/>
        <w:left w:val="none" w:sz="0" w:space="0" w:color="auto"/>
        <w:bottom w:val="none" w:sz="0" w:space="0" w:color="auto"/>
        <w:right w:val="none" w:sz="0" w:space="0" w:color="auto"/>
      </w:divBdr>
      <w:divsChild>
        <w:div w:id="825901304">
          <w:marLeft w:val="0"/>
          <w:marRight w:val="0"/>
          <w:marTop w:val="0"/>
          <w:marBottom w:val="0"/>
          <w:divBdr>
            <w:top w:val="none" w:sz="0" w:space="0" w:color="auto"/>
            <w:left w:val="none" w:sz="0" w:space="0" w:color="auto"/>
            <w:bottom w:val="none" w:sz="0" w:space="0" w:color="auto"/>
            <w:right w:val="none" w:sz="0" w:space="0" w:color="auto"/>
          </w:divBdr>
        </w:div>
      </w:divsChild>
    </w:div>
    <w:div w:id="1994986110">
      <w:marLeft w:val="0"/>
      <w:marRight w:val="0"/>
      <w:marTop w:val="100"/>
      <w:marBottom w:val="0"/>
      <w:divBdr>
        <w:top w:val="none" w:sz="0" w:space="0" w:color="auto"/>
        <w:left w:val="none" w:sz="0" w:space="0" w:color="auto"/>
        <w:bottom w:val="none" w:sz="0" w:space="0" w:color="auto"/>
        <w:right w:val="none" w:sz="0" w:space="0" w:color="auto"/>
      </w:divBdr>
    </w:div>
    <w:div w:id="1995450636">
      <w:marLeft w:val="0"/>
      <w:marRight w:val="0"/>
      <w:marTop w:val="100"/>
      <w:marBottom w:val="0"/>
      <w:divBdr>
        <w:top w:val="none" w:sz="0" w:space="0" w:color="auto"/>
        <w:left w:val="none" w:sz="0" w:space="0" w:color="auto"/>
        <w:bottom w:val="none" w:sz="0" w:space="0" w:color="auto"/>
        <w:right w:val="none" w:sz="0" w:space="0" w:color="auto"/>
      </w:divBdr>
    </w:div>
    <w:div w:id="1996255817">
      <w:marLeft w:val="0"/>
      <w:marRight w:val="0"/>
      <w:marTop w:val="100"/>
      <w:marBottom w:val="0"/>
      <w:divBdr>
        <w:top w:val="none" w:sz="0" w:space="0" w:color="auto"/>
        <w:left w:val="none" w:sz="0" w:space="0" w:color="auto"/>
        <w:bottom w:val="none" w:sz="0" w:space="0" w:color="auto"/>
        <w:right w:val="none" w:sz="0" w:space="0" w:color="auto"/>
      </w:divBdr>
    </w:div>
    <w:div w:id="1997763222">
      <w:marLeft w:val="0"/>
      <w:marRight w:val="0"/>
      <w:marTop w:val="100"/>
      <w:marBottom w:val="0"/>
      <w:divBdr>
        <w:top w:val="none" w:sz="0" w:space="0" w:color="auto"/>
        <w:left w:val="none" w:sz="0" w:space="0" w:color="auto"/>
        <w:bottom w:val="none" w:sz="0" w:space="0" w:color="auto"/>
        <w:right w:val="none" w:sz="0" w:space="0" w:color="auto"/>
      </w:divBdr>
    </w:div>
    <w:div w:id="1999916860">
      <w:marLeft w:val="0"/>
      <w:marRight w:val="0"/>
      <w:marTop w:val="0"/>
      <w:marBottom w:val="0"/>
      <w:divBdr>
        <w:top w:val="none" w:sz="0" w:space="0" w:color="auto"/>
        <w:left w:val="none" w:sz="0" w:space="0" w:color="auto"/>
        <w:bottom w:val="none" w:sz="0" w:space="0" w:color="auto"/>
        <w:right w:val="none" w:sz="0" w:space="0" w:color="auto"/>
      </w:divBdr>
      <w:divsChild>
        <w:div w:id="1433237796">
          <w:marLeft w:val="0"/>
          <w:marRight w:val="0"/>
          <w:marTop w:val="0"/>
          <w:marBottom w:val="0"/>
          <w:divBdr>
            <w:top w:val="none" w:sz="0" w:space="0" w:color="auto"/>
            <w:left w:val="none" w:sz="0" w:space="0" w:color="auto"/>
            <w:bottom w:val="none" w:sz="0" w:space="0" w:color="auto"/>
            <w:right w:val="none" w:sz="0" w:space="0" w:color="auto"/>
          </w:divBdr>
        </w:div>
      </w:divsChild>
    </w:div>
    <w:div w:id="2003771405">
      <w:marLeft w:val="0"/>
      <w:marRight w:val="0"/>
      <w:marTop w:val="100"/>
      <w:marBottom w:val="0"/>
      <w:divBdr>
        <w:top w:val="none" w:sz="0" w:space="0" w:color="auto"/>
        <w:left w:val="none" w:sz="0" w:space="0" w:color="auto"/>
        <w:bottom w:val="none" w:sz="0" w:space="0" w:color="auto"/>
        <w:right w:val="none" w:sz="0" w:space="0" w:color="auto"/>
      </w:divBdr>
      <w:divsChild>
        <w:div w:id="1075322086">
          <w:marLeft w:val="0"/>
          <w:marRight w:val="0"/>
          <w:marTop w:val="100"/>
          <w:marBottom w:val="0"/>
          <w:divBdr>
            <w:top w:val="none" w:sz="0" w:space="0" w:color="auto"/>
            <w:left w:val="none" w:sz="0" w:space="0" w:color="auto"/>
            <w:bottom w:val="none" w:sz="0" w:space="0" w:color="auto"/>
            <w:right w:val="none" w:sz="0" w:space="0" w:color="auto"/>
          </w:divBdr>
        </w:div>
      </w:divsChild>
    </w:div>
    <w:div w:id="2007441138">
      <w:marLeft w:val="0"/>
      <w:marRight w:val="0"/>
      <w:marTop w:val="100"/>
      <w:marBottom w:val="0"/>
      <w:divBdr>
        <w:top w:val="none" w:sz="0" w:space="0" w:color="auto"/>
        <w:left w:val="none" w:sz="0" w:space="0" w:color="auto"/>
        <w:bottom w:val="none" w:sz="0" w:space="0" w:color="auto"/>
        <w:right w:val="none" w:sz="0" w:space="0" w:color="auto"/>
      </w:divBdr>
    </w:div>
    <w:div w:id="2008745471">
      <w:marLeft w:val="0"/>
      <w:marRight w:val="0"/>
      <w:marTop w:val="100"/>
      <w:marBottom w:val="0"/>
      <w:divBdr>
        <w:top w:val="none" w:sz="0" w:space="0" w:color="auto"/>
        <w:left w:val="none" w:sz="0" w:space="0" w:color="auto"/>
        <w:bottom w:val="none" w:sz="0" w:space="0" w:color="auto"/>
        <w:right w:val="none" w:sz="0" w:space="0" w:color="auto"/>
      </w:divBdr>
    </w:div>
    <w:div w:id="2009668401">
      <w:marLeft w:val="0"/>
      <w:marRight w:val="0"/>
      <w:marTop w:val="100"/>
      <w:marBottom w:val="0"/>
      <w:divBdr>
        <w:top w:val="none" w:sz="0" w:space="0" w:color="auto"/>
        <w:left w:val="none" w:sz="0" w:space="0" w:color="auto"/>
        <w:bottom w:val="none" w:sz="0" w:space="0" w:color="auto"/>
        <w:right w:val="none" w:sz="0" w:space="0" w:color="auto"/>
      </w:divBdr>
    </w:div>
    <w:div w:id="2010254127">
      <w:marLeft w:val="0"/>
      <w:marRight w:val="0"/>
      <w:marTop w:val="100"/>
      <w:marBottom w:val="0"/>
      <w:divBdr>
        <w:top w:val="none" w:sz="0" w:space="0" w:color="auto"/>
        <w:left w:val="none" w:sz="0" w:space="0" w:color="auto"/>
        <w:bottom w:val="none" w:sz="0" w:space="0" w:color="auto"/>
        <w:right w:val="none" w:sz="0" w:space="0" w:color="auto"/>
      </w:divBdr>
    </w:div>
    <w:div w:id="2016568439">
      <w:marLeft w:val="0"/>
      <w:marRight w:val="0"/>
      <w:marTop w:val="240"/>
      <w:marBottom w:val="0"/>
      <w:divBdr>
        <w:top w:val="none" w:sz="0" w:space="0" w:color="auto"/>
        <w:left w:val="none" w:sz="0" w:space="0" w:color="auto"/>
        <w:bottom w:val="none" w:sz="0" w:space="0" w:color="auto"/>
        <w:right w:val="none" w:sz="0" w:space="0" w:color="auto"/>
      </w:divBdr>
    </w:div>
    <w:div w:id="2016570569">
      <w:marLeft w:val="0"/>
      <w:marRight w:val="0"/>
      <w:marTop w:val="240"/>
      <w:marBottom w:val="0"/>
      <w:divBdr>
        <w:top w:val="none" w:sz="0" w:space="0" w:color="auto"/>
        <w:left w:val="none" w:sz="0" w:space="0" w:color="auto"/>
        <w:bottom w:val="none" w:sz="0" w:space="0" w:color="auto"/>
        <w:right w:val="none" w:sz="0" w:space="0" w:color="auto"/>
      </w:divBdr>
    </w:div>
    <w:div w:id="2018846267">
      <w:marLeft w:val="0"/>
      <w:marRight w:val="0"/>
      <w:marTop w:val="100"/>
      <w:marBottom w:val="0"/>
      <w:divBdr>
        <w:top w:val="none" w:sz="0" w:space="0" w:color="auto"/>
        <w:left w:val="none" w:sz="0" w:space="0" w:color="auto"/>
        <w:bottom w:val="none" w:sz="0" w:space="0" w:color="auto"/>
        <w:right w:val="none" w:sz="0" w:space="0" w:color="auto"/>
      </w:divBdr>
    </w:div>
    <w:div w:id="2021002858">
      <w:marLeft w:val="0"/>
      <w:marRight w:val="0"/>
      <w:marTop w:val="100"/>
      <w:marBottom w:val="0"/>
      <w:divBdr>
        <w:top w:val="none" w:sz="0" w:space="0" w:color="auto"/>
        <w:left w:val="none" w:sz="0" w:space="0" w:color="auto"/>
        <w:bottom w:val="none" w:sz="0" w:space="0" w:color="auto"/>
        <w:right w:val="none" w:sz="0" w:space="0" w:color="auto"/>
      </w:divBdr>
    </w:div>
    <w:div w:id="2024553833">
      <w:marLeft w:val="0"/>
      <w:marRight w:val="0"/>
      <w:marTop w:val="60"/>
      <w:marBottom w:val="0"/>
      <w:divBdr>
        <w:top w:val="none" w:sz="0" w:space="0" w:color="auto"/>
        <w:left w:val="none" w:sz="0" w:space="0" w:color="auto"/>
        <w:bottom w:val="none" w:sz="0" w:space="0" w:color="auto"/>
        <w:right w:val="none" w:sz="0" w:space="0" w:color="auto"/>
      </w:divBdr>
    </w:div>
    <w:div w:id="2024866030">
      <w:marLeft w:val="0"/>
      <w:marRight w:val="0"/>
      <w:marTop w:val="180"/>
      <w:marBottom w:val="0"/>
      <w:divBdr>
        <w:top w:val="none" w:sz="0" w:space="0" w:color="auto"/>
        <w:left w:val="none" w:sz="0" w:space="0" w:color="auto"/>
        <w:bottom w:val="none" w:sz="0" w:space="0" w:color="auto"/>
        <w:right w:val="none" w:sz="0" w:space="0" w:color="auto"/>
      </w:divBdr>
    </w:div>
    <w:div w:id="2029334789">
      <w:marLeft w:val="0"/>
      <w:marRight w:val="0"/>
      <w:marTop w:val="100"/>
      <w:marBottom w:val="0"/>
      <w:divBdr>
        <w:top w:val="none" w:sz="0" w:space="0" w:color="auto"/>
        <w:left w:val="none" w:sz="0" w:space="0" w:color="auto"/>
        <w:bottom w:val="none" w:sz="0" w:space="0" w:color="auto"/>
        <w:right w:val="none" w:sz="0" w:space="0" w:color="auto"/>
      </w:divBdr>
    </w:div>
    <w:div w:id="2030135934">
      <w:marLeft w:val="0"/>
      <w:marRight w:val="0"/>
      <w:marTop w:val="100"/>
      <w:marBottom w:val="0"/>
      <w:divBdr>
        <w:top w:val="none" w:sz="0" w:space="0" w:color="auto"/>
        <w:left w:val="none" w:sz="0" w:space="0" w:color="auto"/>
        <w:bottom w:val="none" w:sz="0" w:space="0" w:color="auto"/>
        <w:right w:val="none" w:sz="0" w:space="0" w:color="auto"/>
      </w:divBdr>
    </w:div>
    <w:div w:id="2032297653">
      <w:marLeft w:val="0"/>
      <w:marRight w:val="0"/>
      <w:marTop w:val="100"/>
      <w:marBottom w:val="0"/>
      <w:divBdr>
        <w:top w:val="none" w:sz="0" w:space="0" w:color="auto"/>
        <w:left w:val="none" w:sz="0" w:space="0" w:color="auto"/>
        <w:bottom w:val="none" w:sz="0" w:space="0" w:color="auto"/>
        <w:right w:val="none" w:sz="0" w:space="0" w:color="auto"/>
      </w:divBdr>
    </w:div>
    <w:div w:id="2033142557">
      <w:marLeft w:val="0"/>
      <w:marRight w:val="0"/>
      <w:marTop w:val="240"/>
      <w:marBottom w:val="0"/>
      <w:divBdr>
        <w:top w:val="none" w:sz="0" w:space="0" w:color="auto"/>
        <w:left w:val="none" w:sz="0" w:space="0" w:color="auto"/>
        <w:bottom w:val="none" w:sz="0" w:space="0" w:color="auto"/>
        <w:right w:val="none" w:sz="0" w:space="0" w:color="auto"/>
      </w:divBdr>
    </w:div>
    <w:div w:id="2033452448">
      <w:marLeft w:val="0"/>
      <w:marRight w:val="0"/>
      <w:marTop w:val="240"/>
      <w:marBottom w:val="0"/>
      <w:divBdr>
        <w:top w:val="none" w:sz="0" w:space="0" w:color="auto"/>
        <w:left w:val="none" w:sz="0" w:space="0" w:color="auto"/>
        <w:bottom w:val="none" w:sz="0" w:space="0" w:color="auto"/>
        <w:right w:val="none" w:sz="0" w:space="0" w:color="auto"/>
      </w:divBdr>
    </w:div>
    <w:div w:id="2034189606">
      <w:marLeft w:val="0"/>
      <w:marRight w:val="0"/>
      <w:marTop w:val="60"/>
      <w:marBottom w:val="0"/>
      <w:divBdr>
        <w:top w:val="none" w:sz="0" w:space="0" w:color="auto"/>
        <w:left w:val="none" w:sz="0" w:space="0" w:color="auto"/>
        <w:bottom w:val="none" w:sz="0" w:space="0" w:color="auto"/>
        <w:right w:val="none" w:sz="0" w:space="0" w:color="auto"/>
      </w:divBdr>
    </w:div>
    <w:div w:id="2034838817">
      <w:marLeft w:val="0"/>
      <w:marRight w:val="0"/>
      <w:marTop w:val="100"/>
      <w:marBottom w:val="0"/>
      <w:divBdr>
        <w:top w:val="none" w:sz="0" w:space="0" w:color="auto"/>
        <w:left w:val="none" w:sz="0" w:space="0" w:color="auto"/>
        <w:bottom w:val="none" w:sz="0" w:space="0" w:color="auto"/>
        <w:right w:val="none" w:sz="0" w:space="0" w:color="auto"/>
      </w:divBdr>
    </w:div>
    <w:div w:id="2035497407">
      <w:marLeft w:val="0"/>
      <w:marRight w:val="0"/>
      <w:marTop w:val="100"/>
      <w:marBottom w:val="0"/>
      <w:divBdr>
        <w:top w:val="none" w:sz="0" w:space="0" w:color="auto"/>
        <w:left w:val="none" w:sz="0" w:space="0" w:color="auto"/>
        <w:bottom w:val="none" w:sz="0" w:space="0" w:color="auto"/>
        <w:right w:val="none" w:sz="0" w:space="0" w:color="auto"/>
      </w:divBdr>
      <w:divsChild>
        <w:div w:id="1410931076">
          <w:marLeft w:val="0"/>
          <w:marRight w:val="0"/>
          <w:marTop w:val="0"/>
          <w:marBottom w:val="0"/>
          <w:divBdr>
            <w:top w:val="none" w:sz="0" w:space="0" w:color="auto"/>
            <w:left w:val="none" w:sz="0" w:space="0" w:color="auto"/>
            <w:bottom w:val="none" w:sz="0" w:space="0" w:color="auto"/>
            <w:right w:val="none" w:sz="0" w:space="0" w:color="auto"/>
          </w:divBdr>
        </w:div>
      </w:divsChild>
    </w:div>
    <w:div w:id="2036998009">
      <w:marLeft w:val="0"/>
      <w:marRight w:val="0"/>
      <w:marTop w:val="100"/>
      <w:marBottom w:val="0"/>
      <w:divBdr>
        <w:top w:val="none" w:sz="0" w:space="0" w:color="auto"/>
        <w:left w:val="none" w:sz="0" w:space="0" w:color="auto"/>
        <w:bottom w:val="none" w:sz="0" w:space="0" w:color="auto"/>
        <w:right w:val="none" w:sz="0" w:space="0" w:color="auto"/>
      </w:divBdr>
    </w:div>
    <w:div w:id="2038388605">
      <w:marLeft w:val="0"/>
      <w:marRight w:val="0"/>
      <w:marTop w:val="0"/>
      <w:marBottom w:val="0"/>
      <w:divBdr>
        <w:top w:val="none" w:sz="0" w:space="0" w:color="auto"/>
        <w:left w:val="none" w:sz="0" w:space="0" w:color="auto"/>
        <w:bottom w:val="none" w:sz="0" w:space="0" w:color="auto"/>
        <w:right w:val="none" w:sz="0" w:space="0" w:color="auto"/>
      </w:divBdr>
    </w:div>
    <w:div w:id="2039314350">
      <w:marLeft w:val="0"/>
      <w:marRight w:val="0"/>
      <w:marTop w:val="0"/>
      <w:marBottom w:val="0"/>
      <w:divBdr>
        <w:top w:val="none" w:sz="0" w:space="0" w:color="auto"/>
        <w:left w:val="none" w:sz="0" w:space="0" w:color="auto"/>
        <w:bottom w:val="none" w:sz="0" w:space="0" w:color="auto"/>
        <w:right w:val="none" w:sz="0" w:space="0" w:color="auto"/>
      </w:divBdr>
      <w:divsChild>
        <w:div w:id="743114112">
          <w:marLeft w:val="0"/>
          <w:marRight w:val="0"/>
          <w:marTop w:val="0"/>
          <w:marBottom w:val="0"/>
          <w:divBdr>
            <w:top w:val="none" w:sz="0" w:space="0" w:color="auto"/>
            <w:left w:val="none" w:sz="0" w:space="0" w:color="auto"/>
            <w:bottom w:val="none" w:sz="0" w:space="0" w:color="auto"/>
            <w:right w:val="none" w:sz="0" w:space="0" w:color="auto"/>
          </w:divBdr>
        </w:div>
      </w:divsChild>
    </w:div>
    <w:div w:id="2039818082">
      <w:marLeft w:val="0"/>
      <w:marRight w:val="0"/>
      <w:marTop w:val="100"/>
      <w:marBottom w:val="0"/>
      <w:divBdr>
        <w:top w:val="none" w:sz="0" w:space="0" w:color="auto"/>
        <w:left w:val="none" w:sz="0" w:space="0" w:color="auto"/>
        <w:bottom w:val="none" w:sz="0" w:space="0" w:color="auto"/>
        <w:right w:val="none" w:sz="0" w:space="0" w:color="auto"/>
      </w:divBdr>
    </w:div>
    <w:div w:id="2043238620">
      <w:marLeft w:val="0"/>
      <w:marRight w:val="0"/>
      <w:marTop w:val="0"/>
      <w:marBottom w:val="0"/>
      <w:divBdr>
        <w:top w:val="none" w:sz="0" w:space="0" w:color="auto"/>
        <w:left w:val="none" w:sz="0" w:space="0" w:color="auto"/>
        <w:bottom w:val="none" w:sz="0" w:space="0" w:color="auto"/>
        <w:right w:val="none" w:sz="0" w:space="0" w:color="auto"/>
      </w:divBdr>
      <w:divsChild>
        <w:div w:id="82188449">
          <w:marLeft w:val="0"/>
          <w:marRight w:val="0"/>
          <w:marTop w:val="0"/>
          <w:marBottom w:val="0"/>
          <w:divBdr>
            <w:top w:val="none" w:sz="0" w:space="0" w:color="auto"/>
            <w:left w:val="none" w:sz="0" w:space="0" w:color="auto"/>
            <w:bottom w:val="none" w:sz="0" w:space="0" w:color="auto"/>
            <w:right w:val="none" w:sz="0" w:space="0" w:color="auto"/>
          </w:divBdr>
        </w:div>
      </w:divsChild>
    </w:div>
    <w:div w:id="2043288072">
      <w:marLeft w:val="0"/>
      <w:marRight w:val="0"/>
      <w:marTop w:val="240"/>
      <w:marBottom w:val="0"/>
      <w:divBdr>
        <w:top w:val="none" w:sz="0" w:space="0" w:color="auto"/>
        <w:left w:val="none" w:sz="0" w:space="0" w:color="auto"/>
        <w:bottom w:val="none" w:sz="0" w:space="0" w:color="auto"/>
        <w:right w:val="none" w:sz="0" w:space="0" w:color="auto"/>
      </w:divBdr>
    </w:div>
    <w:div w:id="2043748310">
      <w:marLeft w:val="0"/>
      <w:marRight w:val="0"/>
      <w:marTop w:val="100"/>
      <w:marBottom w:val="0"/>
      <w:divBdr>
        <w:top w:val="none" w:sz="0" w:space="0" w:color="auto"/>
        <w:left w:val="none" w:sz="0" w:space="0" w:color="auto"/>
        <w:bottom w:val="none" w:sz="0" w:space="0" w:color="auto"/>
        <w:right w:val="none" w:sz="0" w:space="0" w:color="auto"/>
      </w:divBdr>
    </w:div>
    <w:div w:id="2044135075">
      <w:marLeft w:val="0"/>
      <w:marRight w:val="0"/>
      <w:marTop w:val="100"/>
      <w:marBottom w:val="0"/>
      <w:divBdr>
        <w:top w:val="none" w:sz="0" w:space="0" w:color="auto"/>
        <w:left w:val="none" w:sz="0" w:space="0" w:color="auto"/>
        <w:bottom w:val="none" w:sz="0" w:space="0" w:color="auto"/>
        <w:right w:val="none" w:sz="0" w:space="0" w:color="auto"/>
      </w:divBdr>
    </w:div>
    <w:div w:id="2050569632">
      <w:marLeft w:val="0"/>
      <w:marRight w:val="0"/>
      <w:marTop w:val="0"/>
      <w:marBottom w:val="0"/>
      <w:divBdr>
        <w:top w:val="none" w:sz="0" w:space="0" w:color="auto"/>
        <w:left w:val="none" w:sz="0" w:space="0" w:color="auto"/>
        <w:bottom w:val="none" w:sz="0" w:space="0" w:color="auto"/>
        <w:right w:val="none" w:sz="0" w:space="0" w:color="auto"/>
      </w:divBdr>
      <w:divsChild>
        <w:div w:id="279193059">
          <w:marLeft w:val="0"/>
          <w:marRight w:val="0"/>
          <w:marTop w:val="0"/>
          <w:marBottom w:val="0"/>
          <w:divBdr>
            <w:top w:val="none" w:sz="0" w:space="0" w:color="auto"/>
            <w:left w:val="none" w:sz="0" w:space="0" w:color="auto"/>
            <w:bottom w:val="none" w:sz="0" w:space="0" w:color="auto"/>
            <w:right w:val="none" w:sz="0" w:space="0" w:color="auto"/>
          </w:divBdr>
        </w:div>
      </w:divsChild>
    </w:div>
    <w:div w:id="2054651452">
      <w:marLeft w:val="0"/>
      <w:marRight w:val="0"/>
      <w:marTop w:val="100"/>
      <w:marBottom w:val="0"/>
      <w:divBdr>
        <w:top w:val="none" w:sz="0" w:space="0" w:color="auto"/>
        <w:left w:val="none" w:sz="0" w:space="0" w:color="auto"/>
        <w:bottom w:val="none" w:sz="0" w:space="0" w:color="auto"/>
        <w:right w:val="none" w:sz="0" w:space="0" w:color="auto"/>
      </w:divBdr>
    </w:div>
    <w:div w:id="2054696456">
      <w:marLeft w:val="0"/>
      <w:marRight w:val="0"/>
      <w:marTop w:val="100"/>
      <w:marBottom w:val="0"/>
      <w:divBdr>
        <w:top w:val="none" w:sz="0" w:space="0" w:color="auto"/>
        <w:left w:val="none" w:sz="0" w:space="0" w:color="auto"/>
        <w:bottom w:val="none" w:sz="0" w:space="0" w:color="auto"/>
        <w:right w:val="none" w:sz="0" w:space="0" w:color="auto"/>
      </w:divBdr>
    </w:div>
    <w:div w:id="2056614178">
      <w:marLeft w:val="0"/>
      <w:marRight w:val="0"/>
      <w:marTop w:val="240"/>
      <w:marBottom w:val="0"/>
      <w:divBdr>
        <w:top w:val="none" w:sz="0" w:space="0" w:color="auto"/>
        <w:left w:val="none" w:sz="0" w:space="0" w:color="auto"/>
        <w:bottom w:val="none" w:sz="0" w:space="0" w:color="auto"/>
        <w:right w:val="none" w:sz="0" w:space="0" w:color="auto"/>
      </w:divBdr>
    </w:div>
    <w:div w:id="2058355294">
      <w:marLeft w:val="0"/>
      <w:marRight w:val="0"/>
      <w:marTop w:val="100"/>
      <w:marBottom w:val="0"/>
      <w:divBdr>
        <w:top w:val="none" w:sz="0" w:space="0" w:color="auto"/>
        <w:left w:val="none" w:sz="0" w:space="0" w:color="auto"/>
        <w:bottom w:val="none" w:sz="0" w:space="0" w:color="auto"/>
        <w:right w:val="none" w:sz="0" w:space="0" w:color="auto"/>
      </w:divBdr>
    </w:div>
    <w:div w:id="2059232626">
      <w:marLeft w:val="0"/>
      <w:marRight w:val="0"/>
      <w:marTop w:val="100"/>
      <w:marBottom w:val="0"/>
      <w:divBdr>
        <w:top w:val="none" w:sz="0" w:space="0" w:color="auto"/>
        <w:left w:val="none" w:sz="0" w:space="0" w:color="auto"/>
        <w:bottom w:val="none" w:sz="0" w:space="0" w:color="auto"/>
        <w:right w:val="none" w:sz="0" w:space="0" w:color="auto"/>
      </w:divBdr>
    </w:div>
    <w:div w:id="2063366162">
      <w:marLeft w:val="0"/>
      <w:marRight w:val="0"/>
      <w:marTop w:val="100"/>
      <w:marBottom w:val="0"/>
      <w:divBdr>
        <w:top w:val="none" w:sz="0" w:space="0" w:color="auto"/>
        <w:left w:val="none" w:sz="0" w:space="0" w:color="auto"/>
        <w:bottom w:val="none" w:sz="0" w:space="0" w:color="auto"/>
        <w:right w:val="none" w:sz="0" w:space="0" w:color="auto"/>
      </w:divBdr>
    </w:div>
    <w:div w:id="2064597573">
      <w:marLeft w:val="0"/>
      <w:marRight w:val="0"/>
      <w:marTop w:val="100"/>
      <w:marBottom w:val="0"/>
      <w:divBdr>
        <w:top w:val="none" w:sz="0" w:space="0" w:color="auto"/>
        <w:left w:val="none" w:sz="0" w:space="0" w:color="auto"/>
        <w:bottom w:val="none" w:sz="0" w:space="0" w:color="auto"/>
        <w:right w:val="none" w:sz="0" w:space="0" w:color="auto"/>
      </w:divBdr>
    </w:div>
    <w:div w:id="2064865986">
      <w:marLeft w:val="0"/>
      <w:marRight w:val="0"/>
      <w:marTop w:val="100"/>
      <w:marBottom w:val="0"/>
      <w:divBdr>
        <w:top w:val="none" w:sz="0" w:space="0" w:color="auto"/>
        <w:left w:val="none" w:sz="0" w:space="0" w:color="auto"/>
        <w:bottom w:val="none" w:sz="0" w:space="0" w:color="auto"/>
        <w:right w:val="none" w:sz="0" w:space="0" w:color="auto"/>
      </w:divBdr>
    </w:div>
    <w:div w:id="2070300056">
      <w:marLeft w:val="0"/>
      <w:marRight w:val="0"/>
      <w:marTop w:val="0"/>
      <w:marBottom w:val="0"/>
      <w:divBdr>
        <w:top w:val="none" w:sz="0" w:space="0" w:color="auto"/>
        <w:left w:val="none" w:sz="0" w:space="0" w:color="auto"/>
        <w:bottom w:val="none" w:sz="0" w:space="0" w:color="auto"/>
        <w:right w:val="none" w:sz="0" w:space="0" w:color="auto"/>
      </w:divBdr>
      <w:divsChild>
        <w:div w:id="1906837000">
          <w:marLeft w:val="0"/>
          <w:marRight w:val="0"/>
          <w:marTop w:val="0"/>
          <w:marBottom w:val="0"/>
          <w:divBdr>
            <w:top w:val="none" w:sz="0" w:space="0" w:color="auto"/>
            <w:left w:val="none" w:sz="0" w:space="0" w:color="auto"/>
            <w:bottom w:val="none" w:sz="0" w:space="0" w:color="auto"/>
            <w:right w:val="none" w:sz="0" w:space="0" w:color="auto"/>
          </w:divBdr>
        </w:div>
      </w:divsChild>
    </w:div>
    <w:div w:id="2074157187">
      <w:marLeft w:val="0"/>
      <w:marRight w:val="0"/>
      <w:marTop w:val="0"/>
      <w:marBottom w:val="0"/>
      <w:divBdr>
        <w:top w:val="none" w:sz="0" w:space="0" w:color="auto"/>
        <w:left w:val="none" w:sz="0" w:space="0" w:color="auto"/>
        <w:bottom w:val="none" w:sz="0" w:space="0" w:color="auto"/>
        <w:right w:val="none" w:sz="0" w:space="0" w:color="auto"/>
      </w:divBdr>
      <w:divsChild>
        <w:div w:id="1356422073">
          <w:marLeft w:val="0"/>
          <w:marRight w:val="0"/>
          <w:marTop w:val="0"/>
          <w:marBottom w:val="0"/>
          <w:divBdr>
            <w:top w:val="none" w:sz="0" w:space="0" w:color="auto"/>
            <w:left w:val="none" w:sz="0" w:space="0" w:color="auto"/>
            <w:bottom w:val="none" w:sz="0" w:space="0" w:color="auto"/>
            <w:right w:val="none" w:sz="0" w:space="0" w:color="auto"/>
          </w:divBdr>
        </w:div>
        <w:div w:id="1733962828">
          <w:marLeft w:val="0"/>
          <w:marRight w:val="0"/>
          <w:marTop w:val="0"/>
          <w:marBottom w:val="0"/>
          <w:divBdr>
            <w:top w:val="none" w:sz="0" w:space="0" w:color="auto"/>
            <w:left w:val="none" w:sz="0" w:space="0" w:color="auto"/>
            <w:bottom w:val="none" w:sz="0" w:space="0" w:color="auto"/>
            <w:right w:val="none" w:sz="0" w:space="0" w:color="auto"/>
          </w:divBdr>
        </w:div>
      </w:divsChild>
    </w:div>
    <w:div w:id="2077774597">
      <w:marLeft w:val="0"/>
      <w:marRight w:val="0"/>
      <w:marTop w:val="100"/>
      <w:marBottom w:val="0"/>
      <w:divBdr>
        <w:top w:val="none" w:sz="0" w:space="0" w:color="auto"/>
        <w:left w:val="none" w:sz="0" w:space="0" w:color="auto"/>
        <w:bottom w:val="none" w:sz="0" w:space="0" w:color="auto"/>
        <w:right w:val="none" w:sz="0" w:space="0" w:color="auto"/>
      </w:divBdr>
    </w:div>
    <w:div w:id="2078741339">
      <w:marLeft w:val="0"/>
      <w:marRight w:val="0"/>
      <w:marTop w:val="0"/>
      <w:marBottom w:val="0"/>
      <w:divBdr>
        <w:top w:val="none" w:sz="0" w:space="0" w:color="auto"/>
        <w:left w:val="none" w:sz="0" w:space="0" w:color="auto"/>
        <w:bottom w:val="none" w:sz="0" w:space="0" w:color="auto"/>
        <w:right w:val="none" w:sz="0" w:space="0" w:color="auto"/>
      </w:divBdr>
      <w:divsChild>
        <w:div w:id="242842516">
          <w:marLeft w:val="0"/>
          <w:marRight w:val="0"/>
          <w:marTop w:val="0"/>
          <w:marBottom w:val="0"/>
          <w:divBdr>
            <w:top w:val="none" w:sz="0" w:space="0" w:color="auto"/>
            <w:left w:val="none" w:sz="0" w:space="0" w:color="auto"/>
            <w:bottom w:val="none" w:sz="0" w:space="0" w:color="auto"/>
            <w:right w:val="none" w:sz="0" w:space="0" w:color="auto"/>
          </w:divBdr>
        </w:div>
        <w:div w:id="469906012">
          <w:marLeft w:val="0"/>
          <w:marRight w:val="0"/>
          <w:marTop w:val="0"/>
          <w:marBottom w:val="0"/>
          <w:divBdr>
            <w:top w:val="none" w:sz="0" w:space="0" w:color="auto"/>
            <w:left w:val="none" w:sz="0" w:space="0" w:color="auto"/>
            <w:bottom w:val="none" w:sz="0" w:space="0" w:color="auto"/>
            <w:right w:val="none" w:sz="0" w:space="0" w:color="auto"/>
          </w:divBdr>
        </w:div>
      </w:divsChild>
    </w:div>
    <w:div w:id="2081518295">
      <w:marLeft w:val="0"/>
      <w:marRight w:val="0"/>
      <w:marTop w:val="100"/>
      <w:marBottom w:val="0"/>
      <w:divBdr>
        <w:top w:val="none" w:sz="0" w:space="0" w:color="auto"/>
        <w:left w:val="none" w:sz="0" w:space="0" w:color="auto"/>
        <w:bottom w:val="none" w:sz="0" w:space="0" w:color="auto"/>
        <w:right w:val="none" w:sz="0" w:space="0" w:color="auto"/>
      </w:divBdr>
    </w:div>
    <w:div w:id="2081782470">
      <w:marLeft w:val="0"/>
      <w:marRight w:val="0"/>
      <w:marTop w:val="0"/>
      <w:marBottom w:val="0"/>
      <w:divBdr>
        <w:top w:val="none" w:sz="0" w:space="0" w:color="auto"/>
        <w:left w:val="none" w:sz="0" w:space="0" w:color="auto"/>
        <w:bottom w:val="none" w:sz="0" w:space="0" w:color="auto"/>
        <w:right w:val="none" w:sz="0" w:space="0" w:color="auto"/>
      </w:divBdr>
      <w:divsChild>
        <w:div w:id="727921931">
          <w:marLeft w:val="0"/>
          <w:marRight w:val="0"/>
          <w:marTop w:val="0"/>
          <w:marBottom w:val="0"/>
          <w:divBdr>
            <w:top w:val="none" w:sz="0" w:space="0" w:color="auto"/>
            <w:left w:val="none" w:sz="0" w:space="0" w:color="auto"/>
            <w:bottom w:val="none" w:sz="0" w:space="0" w:color="auto"/>
            <w:right w:val="none" w:sz="0" w:space="0" w:color="auto"/>
          </w:divBdr>
        </w:div>
        <w:div w:id="26412582">
          <w:marLeft w:val="0"/>
          <w:marRight w:val="0"/>
          <w:marTop w:val="0"/>
          <w:marBottom w:val="0"/>
          <w:divBdr>
            <w:top w:val="none" w:sz="0" w:space="0" w:color="auto"/>
            <w:left w:val="none" w:sz="0" w:space="0" w:color="auto"/>
            <w:bottom w:val="none" w:sz="0" w:space="0" w:color="auto"/>
            <w:right w:val="none" w:sz="0" w:space="0" w:color="auto"/>
          </w:divBdr>
        </w:div>
      </w:divsChild>
    </w:div>
    <w:div w:id="2082406962">
      <w:marLeft w:val="0"/>
      <w:marRight w:val="0"/>
      <w:marTop w:val="100"/>
      <w:marBottom w:val="0"/>
      <w:divBdr>
        <w:top w:val="none" w:sz="0" w:space="0" w:color="auto"/>
        <w:left w:val="none" w:sz="0" w:space="0" w:color="auto"/>
        <w:bottom w:val="none" w:sz="0" w:space="0" w:color="auto"/>
        <w:right w:val="none" w:sz="0" w:space="0" w:color="auto"/>
      </w:divBdr>
    </w:div>
    <w:div w:id="2083093777">
      <w:marLeft w:val="0"/>
      <w:marRight w:val="0"/>
      <w:marTop w:val="0"/>
      <w:marBottom w:val="0"/>
      <w:divBdr>
        <w:top w:val="none" w:sz="0" w:space="0" w:color="auto"/>
        <w:left w:val="none" w:sz="0" w:space="0" w:color="auto"/>
        <w:bottom w:val="none" w:sz="0" w:space="0" w:color="auto"/>
        <w:right w:val="none" w:sz="0" w:space="0" w:color="auto"/>
      </w:divBdr>
      <w:divsChild>
        <w:div w:id="1586722951">
          <w:marLeft w:val="0"/>
          <w:marRight w:val="0"/>
          <w:marTop w:val="0"/>
          <w:marBottom w:val="0"/>
          <w:divBdr>
            <w:top w:val="none" w:sz="0" w:space="0" w:color="auto"/>
            <w:left w:val="none" w:sz="0" w:space="0" w:color="auto"/>
            <w:bottom w:val="none" w:sz="0" w:space="0" w:color="auto"/>
            <w:right w:val="none" w:sz="0" w:space="0" w:color="auto"/>
          </w:divBdr>
        </w:div>
      </w:divsChild>
    </w:div>
    <w:div w:id="2084714897">
      <w:marLeft w:val="0"/>
      <w:marRight w:val="0"/>
      <w:marTop w:val="0"/>
      <w:marBottom w:val="0"/>
      <w:divBdr>
        <w:top w:val="none" w:sz="0" w:space="0" w:color="auto"/>
        <w:left w:val="none" w:sz="0" w:space="0" w:color="auto"/>
        <w:bottom w:val="none" w:sz="0" w:space="0" w:color="auto"/>
        <w:right w:val="none" w:sz="0" w:space="0" w:color="auto"/>
      </w:divBdr>
      <w:divsChild>
        <w:div w:id="1285771756">
          <w:marLeft w:val="0"/>
          <w:marRight w:val="0"/>
          <w:marTop w:val="0"/>
          <w:marBottom w:val="0"/>
          <w:divBdr>
            <w:top w:val="none" w:sz="0" w:space="0" w:color="auto"/>
            <w:left w:val="none" w:sz="0" w:space="0" w:color="auto"/>
            <w:bottom w:val="none" w:sz="0" w:space="0" w:color="auto"/>
            <w:right w:val="none" w:sz="0" w:space="0" w:color="auto"/>
          </w:divBdr>
        </w:div>
      </w:divsChild>
    </w:div>
    <w:div w:id="2087530651">
      <w:marLeft w:val="0"/>
      <w:marRight w:val="0"/>
      <w:marTop w:val="0"/>
      <w:marBottom w:val="0"/>
      <w:divBdr>
        <w:top w:val="none" w:sz="0" w:space="0" w:color="auto"/>
        <w:left w:val="none" w:sz="0" w:space="0" w:color="auto"/>
        <w:bottom w:val="none" w:sz="0" w:space="0" w:color="auto"/>
        <w:right w:val="none" w:sz="0" w:space="0" w:color="auto"/>
      </w:divBdr>
      <w:divsChild>
        <w:div w:id="417873230">
          <w:marLeft w:val="0"/>
          <w:marRight w:val="0"/>
          <w:marTop w:val="0"/>
          <w:marBottom w:val="0"/>
          <w:divBdr>
            <w:top w:val="none" w:sz="0" w:space="0" w:color="auto"/>
            <w:left w:val="none" w:sz="0" w:space="0" w:color="auto"/>
            <w:bottom w:val="none" w:sz="0" w:space="0" w:color="auto"/>
            <w:right w:val="none" w:sz="0" w:space="0" w:color="auto"/>
          </w:divBdr>
        </w:div>
        <w:div w:id="1725714137">
          <w:marLeft w:val="0"/>
          <w:marRight w:val="0"/>
          <w:marTop w:val="0"/>
          <w:marBottom w:val="0"/>
          <w:divBdr>
            <w:top w:val="none" w:sz="0" w:space="0" w:color="auto"/>
            <w:left w:val="none" w:sz="0" w:space="0" w:color="auto"/>
            <w:bottom w:val="none" w:sz="0" w:space="0" w:color="auto"/>
            <w:right w:val="none" w:sz="0" w:space="0" w:color="auto"/>
          </w:divBdr>
        </w:div>
      </w:divsChild>
    </w:div>
    <w:div w:id="2089424178">
      <w:marLeft w:val="0"/>
      <w:marRight w:val="0"/>
      <w:marTop w:val="0"/>
      <w:marBottom w:val="0"/>
      <w:divBdr>
        <w:top w:val="none" w:sz="0" w:space="0" w:color="auto"/>
        <w:left w:val="none" w:sz="0" w:space="0" w:color="auto"/>
        <w:bottom w:val="none" w:sz="0" w:space="0" w:color="auto"/>
        <w:right w:val="none" w:sz="0" w:space="0" w:color="auto"/>
      </w:divBdr>
      <w:divsChild>
        <w:div w:id="1864855989">
          <w:marLeft w:val="0"/>
          <w:marRight w:val="0"/>
          <w:marTop w:val="0"/>
          <w:marBottom w:val="0"/>
          <w:divBdr>
            <w:top w:val="none" w:sz="0" w:space="0" w:color="auto"/>
            <w:left w:val="none" w:sz="0" w:space="0" w:color="auto"/>
            <w:bottom w:val="none" w:sz="0" w:space="0" w:color="auto"/>
            <w:right w:val="none" w:sz="0" w:space="0" w:color="auto"/>
          </w:divBdr>
        </w:div>
        <w:div w:id="1755275824">
          <w:marLeft w:val="0"/>
          <w:marRight w:val="0"/>
          <w:marTop w:val="0"/>
          <w:marBottom w:val="0"/>
          <w:divBdr>
            <w:top w:val="none" w:sz="0" w:space="0" w:color="auto"/>
            <w:left w:val="none" w:sz="0" w:space="0" w:color="auto"/>
            <w:bottom w:val="none" w:sz="0" w:space="0" w:color="auto"/>
            <w:right w:val="none" w:sz="0" w:space="0" w:color="auto"/>
          </w:divBdr>
        </w:div>
      </w:divsChild>
    </w:div>
    <w:div w:id="2091154071">
      <w:marLeft w:val="0"/>
      <w:marRight w:val="0"/>
      <w:marTop w:val="60"/>
      <w:marBottom w:val="0"/>
      <w:divBdr>
        <w:top w:val="none" w:sz="0" w:space="0" w:color="auto"/>
        <w:left w:val="none" w:sz="0" w:space="0" w:color="auto"/>
        <w:bottom w:val="none" w:sz="0" w:space="0" w:color="auto"/>
        <w:right w:val="none" w:sz="0" w:space="0" w:color="auto"/>
      </w:divBdr>
    </w:div>
    <w:div w:id="2092389170">
      <w:marLeft w:val="0"/>
      <w:marRight w:val="0"/>
      <w:marTop w:val="60"/>
      <w:marBottom w:val="0"/>
      <w:divBdr>
        <w:top w:val="none" w:sz="0" w:space="0" w:color="auto"/>
        <w:left w:val="none" w:sz="0" w:space="0" w:color="auto"/>
        <w:bottom w:val="none" w:sz="0" w:space="0" w:color="auto"/>
        <w:right w:val="none" w:sz="0" w:space="0" w:color="auto"/>
      </w:divBdr>
      <w:divsChild>
        <w:div w:id="1045518383">
          <w:marLeft w:val="0"/>
          <w:marRight w:val="0"/>
          <w:marTop w:val="0"/>
          <w:marBottom w:val="0"/>
          <w:divBdr>
            <w:top w:val="none" w:sz="0" w:space="0" w:color="auto"/>
            <w:left w:val="none" w:sz="0" w:space="0" w:color="auto"/>
            <w:bottom w:val="none" w:sz="0" w:space="0" w:color="auto"/>
            <w:right w:val="none" w:sz="0" w:space="0" w:color="auto"/>
          </w:divBdr>
        </w:div>
        <w:div w:id="492374227">
          <w:marLeft w:val="0"/>
          <w:marRight w:val="0"/>
          <w:marTop w:val="0"/>
          <w:marBottom w:val="0"/>
          <w:divBdr>
            <w:top w:val="none" w:sz="0" w:space="0" w:color="auto"/>
            <w:left w:val="none" w:sz="0" w:space="0" w:color="auto"/>
            <w:bottom w:val="none" w:sz="0" w:space="0" w:color="auto"/>
            <w:right w:val="none" w:sz="0" w:space="0" w:color="auto"/>
          </w:divBdr>
        </w:div>
        <w:div w:id="524368900">
          <w:marLeft w:val="0"/>
          <w:marRight w:val="0"/>
          <w:marTop w:val="0"/>
          <w:marBottom w:val="0"/>
          <w:divBdr>
            <w:top w:val="none" w:sz="0" w:space="0" w:color="auto"/>
            <w:left w:val="none" w:sz="0" w:space="0" w:color="auto"/>
            <w:bottom w:val="none" w:sz="0" w:space="0" w:color="auto"/>
            <w:right w:val="none" w:sz="0" w:space="0" w:color="auto"/>
          </w:divBdr>
        </w:div>
        <w:div w:id="1902596099">
          <w:marLeft w:val="0"/>
          <w:marRight w:val="0"/>
          <w:marTop w:val="0"/>
          <w:marBottom w:val="0"/>
          <w:divBdr>
            <w:top w:val="none" w:sz="0" w:space="0" w:color="auto"/>
            <w:left w:val="none" w:sz="0" w:space="0" w:color="auto"/>
            <w:bottom w:val="none" w:sz="0" w:space="0" w:color="auto"/>
            <w:right w:val="none" w:sz="0" w:space="0" w:color="auto"/>
          </w:divBdr>
        </w:div>
        <w:div w:id="355621671">
          <w:marLeft w:val="0"/>
          <w:marRight w:val="0"/>
          <w:marTop w:val="0"/>
          <w:marBottom w:val="0"/>
          <w:divBdr>
            <w:top w:val="none" w:sz="0" w:space="0" w:color="auto"/>
            <w:left w:val="none" w:sz="0" w:space="0" w:color="auto"/>
            <w:bottom w:val="none" w:sz="0" w:space="0" w:color="auto"/>
            <w:right w:val="none" w:sz="0" w:space="0" w:color="auto"/>
          </w:divBdr>
        </w:div>
        <w:div w:id="140317739">
          <w:marLeft w:val="0"/>
          <w:marRight w:val="0"/>
          <w:marTop w:val="0"/>
          <w:marBottom w:val="0"/>
          <w:divBdr>
            <w:top w:val="none" w:sz="0" w:space="0" w:color="auto"/>
            <w:left w:val="none" w:sz="0" w:space="0" w:color="auto"/>
            <w:bottom w:val="none" w:sz="0" w:space="0" w:color="auto"/>
            <w:right w:val="none" w:sz="0" w:space="0" w:color="auto"/>
          </w:divBdr>
        </w:div>
        <w:div w:id="949700196">
          <w:marLeft w:val="0"/>
          <w:marRight w:val="0"/>
          <w:marTop w:val="0"/>
          <w:marBottom w:val="0"/>
          <w:divBdr>
            <w:top w:val="none" w:sz="0" w:space="0" w:color="auto"/>
            <w:left w:val="none" w:sz="0" w:space="0" w:color="auto"/>
            <w:bottom w:val="none" w:sz="0" w:space="0" w:color="auto"/>
            <w:right w:val="none" w:sz="0" w:space="0" w:color="auto"/>
          </w:divBdr>
        </w:div>
        <w:div w:id="311521695">
          <w:marLeft w:val="0"/>
          <w:marRight w:val="0"/>
          <w:marTop w:val="0"/>
          <w:marBottom w:val="0"/>
          <w:divBdr>
            <w:top w:val="none" w:sz="0" w:space="0" w:color="auto"/>
            <w:left w:val="none" w:sz="0" w:space="0" w:color="auto"/>
            <w:bottom w:val="none" w:sz="0" w:space="0" w:color="auto"/>
            <w:right w:val="none" w:sz="0" w:space="0" w:color="auto"/>
          </w:divBdr>
        </w:div>
      </w:divsChild>
    </w:div>
    <w:div w:id="2092392163">
      <w:marLeft w:val="0"/>
      <w:marRight w:val="0"/>
      <w:marTop w:val="100"/>
      <w:marBottom w:val="0"/>
      <w:divBdr>
        <w:top w:val="none" w:sz="0" w:space="0" w:color="auto"/>
        <w:left w:val="none" w:sz="0" w:space="0" w:color="auto"/>
        <w:bottom w:val="none" w:sz="0" w:space="0" w:color="auto"/>
        <w:right w:val="none" w:sz="0" w:space="0" w:color="auto"/>
      </w:divBdr>
    </w:div>
    <w:div w:id="2092924535">
      <w:marLeft w:val="0"/>
      <w:marRight w:val="0"/>
      <w:marTop w:val="100"/>
      <w:marBottom w:val="0"/>
      <w:divBdr>
        <w:top w:val="none" w:sz="0" w:space="0" w:color="auto"/>
        <w:left w:val="none" w:sz="0" w:space="0" w:color="auto"/>
        <w:bottom w:val="none" w:sz="0" w:space="0" w:color="auto"/>
        <w:right w:val="none" w:sz="0" w:space="0" w:color="auto"/>
      </w:divBdr>
    </w:div>
    <w:div w:id="2093163729">
      <w:marLeft w:val="0"/>
      <w:marRight w:val="0"/>
      <w:marTop w:val="60"/>
      <w:marBottom w:val="0"/>
      <w:divBdr>
        <w:top w:val="none" w:sz="0" w:space="0" w:color="auto"/>
        <w:left w:val="none" w:sz="0" w:space="0" w:color="auto"/>
        <w:bottom w:val="none" w:sz="0" w:space="0" w:color="auto"/>
        <w:right w:val="none" w:sz="0" w:space="0" w:color="auto"/>
      </w:divBdr>
    </w:div>
    <w:div w:id="2096122800">
      <w:marLeft w:val="0"/>
      <w:marRight w:val="0"/>
      <w:marTop w:val="100"/>
      <w:marBottom w:val="0"/>
      <w:divBdr>
        <w:top w:val="none" w:sz="0" w:space="0" w:color="auto"/>
        <w:left w:val="none" w:sz="0" w:space="0" w:color="auto"/>
        <w:bottom w:val="none" w:sz="0" w:space="0" w:color="auto"/>
        <w:right w:val="none" w:sz="0" w:space="0" w:color="auto"/>
      </w:divBdr>
    </w:div>
    <w:div w:id="2096125840">
      <w:marLeft w:val="0"/>
      <w:marRight w:val="0"/>
      <w:marTop w:val="240"/>
      <w:marBottom w:val="0"/>
      <w:divBdr>
        <w:top w:val="none" w:sz="0" w:space="0" w:color="auto"/>
        <w:left w:val="none" w:sz="0" w:space="0" w:color="auto"/>
        <w:bottom w:val="none" w:sz="0" w:space="0" w:color="auto"/>
        <w:right w:val="none" w:sz="0" w:space="0" w:color="auto"/>
      </w:divBdr>
    </w:div>
    <w:div w:id="2099402479">
      <w:marLeft w:val="0"/>
      <w:marRight w:val="0"/>
      <w:marTop w:val="100"/>
      <w:marBottom w:val="0"/>
      <w:divBdr>
        <w:top w:val="none" w:sz="0" w:space="0" w:color="auto"/>
        <w:left w:val="none" w:sz="0" w:space="0" w:color="auto"/>
        <w:bottom w:val="none" w:sz="0" w:space="0" w:color="auto"/>
        <w:right w:val="none" w:sz="0" w:space="0" w:color="auto"/>
      </w:divBdr>
    </w:div>
    <w:div w:id="2099868834">
      <w:marLeft w:val="0"/>
      <w:marRight w:val="0"/>
      <w:marTop w:val="0"/>
      <w:marBottom w:val="0"/>
      <w:divBdr>
        <w:top w:val="none" w:sz="0" w:space="0" w:color="auto"/>
        <w:left w:val="none" w:sz="0" w:space="0" w:color="auto"/>
        <w:bottom w:val="none" w:sz="0" w:space="0" w:color="auto"/>
        <w:right w:val="none" w:sz="0" w:space="0" w:color="auto"/>
      </w:divBdr>
    </w:div>
    <w:div w:id="2103334417">
      <w:marLeft w:val="0"/>
      <w:marRight w:val="0"/>
      <w:marTop w:val="0"/>
      <w:marBottom w:val="0"/>
      <w:divBdr>
        <w:top w:val="none" w:sz="0" w:space="0" w:color="auto"/>
        <w:left w:val="none" w:sz="0" w:space="0" w:color="auto"/>
        <w:bottom w:val="none" w:sz="0" w:space="0" w:color="auto"/>
        <w:right w:val="none" w:sz="0" w:space="0" w:color="auto"/>
      </w:divBdr>
      <w:divsChild>
        <w:div w:id="1966084647">
          <w:marLeft w:val="0"/>
          <w:marRight w:val="0"/>
          <w:marTop w:val="0"/>
          <w:marBottom w:val="0"/>
          <w:divBdr>
            <w:top w:val="none" w:sz="0" w:space="0" w:color="auto"/>
            <w:left w:val="none" w:sz="0" w:space="0" w:color="auto"/>
            <w:bottom w:val="none" w:sz="0" w:space="0" w:color="auto"/>
            <w:right w:val="none" w:sz="0" w:space="0" w:color="auto"/>
          </w:divBdr>
        </w:div>
      </w:divsChild>
    </w:div>
    <w:div w:id="2104572120">
      <w:marLeft w:val="0"/>
      <w:marRight w:val="0"/>
      <w:marTop w:val="180"/>
      <w:marBottom w:val="0"/>
      <w:divBdr>
        <w:top w:val="none" w:sz="0" w:space="0" w:color="auto"/>
        <w:left w:val="none" w:sz="0" w:space="0" w:color="auto"/>
        <w:bottom w:val="none" w:sz="0" w:space="0" w:color="auto"/>
        <w:right w:val="none" w:sz="0" w:space="0" w:color="auto"/>
      </w:divBdr>
    </w:div>
    <w:div w:id="2104690888">
      <w:marLeft w:val="0"/>
      <w:marRight w:val="0"/>
      <w:marTop w:val="100"/>
      <w:marBottom w:val="0"/>
      <w:divBdr>
        <w:top w:val="none" w:sz="0" w:space="0" w:color="auto"/>
        <w:left w:val="none" w:sz="0" w:space="0" w:color="auto"/>
        <w:bottom w:val="none" w:sz="0" w:space="0" w:color="auto"/>
        <w:right w:val="none" w:sz="0" w:space="0" w:color="auto"/>
      </w:divBdr>
    </w:div>
    <w:div w:id="2106336457">
      <w:marLeft w:val="0"/>
      <w:marRight w:val="0"/>
      <w:marTop w:val="100"/>
      <w:marBottom w:val="0"/>
      <w:divBdr>
        <w:top w:val="none" w:sz="0" w:space="0" w:color="auto"/>
        <w:left w:val="none" w:sz="0" w:space="0" w:color="auto"/>
        <w:bottom w:val="none" w:sz="0" w:space="0" w:color="auto"/>
        <w:right w:val="none" w:sz="0" w:space="0" w:color="auto"/>
      </w:divBdr>
    </w:div>
    <w:div w:id="2107070172">
      <w:marLeft w:val="0"/>
      <w:marRight w:val="0"/>
      <w:marTop w:val="100"/>
      <w:marBottom w:val="0"/>
      <w:divBdr>
        <w:top w:val="none" w:sz="0" w:space="0" w:color="auto"/>
        <w:left w:val="none" w:sz="0" w:space="0" w:color="auto"/>
        <w:bottom w:val="none" w:sz="0" w:space="0" w:color="auto"/>
        <w:right w:val="none" w:sz="0" w:space="0" w:color="auto"/>
      </w:divBdr>
    </w:div>
    <w:div w:id="2107727661">
      <w:marLeft w:val="0"/>
      <w:marRight w:val="0"/>
      <w:marTop w:val="0"/>
      <w:marBottom w:val="0"/>
      <w:divBdr>
        <w:top w:val="none" w:sz="0" w:space="0" w:color="auto"/>
        <w:left w:val="none" w:sz="0" w:space="0" w:color="auto"/>
        <w:bottom w:val="none" w:sz="0" w:space="0" w:color="auto"/>
        <w:right w:val="none" w:sz="0" w:space="0" w:color="auto"/>
      </w:divBdr>
      <w:divsChild>
        <w:div w:id="912079983">
          <w:marLeft w:val="0"/>
          <w:marRight w:val="0"/>
          <w:marTop w:val="0"/>
          <w:marBottom w:val="0"/>
          <w:divBdr>
            <w:top w:val="none" w:sz="0" w:space="0" w:color="auto"/>
            <w:left w:val="none" w:sz="0" w:space="0" w:color="auto"/>
            <w:bottom w:val="none" w:sz="0" w:space="0" w:color="auto"/>
            <w:right w:val="none" w:sz="0" w:space="0" w:color="auto"/>
          </w:divBdr>
        </w:div>
        <w:div w:id="312415670">
          <w:marLeft w:val="0"/>
          <w:marRight w:val="0"/>
          <w:marTop w:val="0"/>
          <w:marBottom w:val="0"/>
          <w:divBdr>
            <w:top w:val="none" w:sz="0" w:space="0" w:color="auto"/>
            <w:left w:val="none" w:sz="0" w:space="0" w:color="auto"/>
            <w:bottom w:val="none" w:sz="0" w:space="0" w:color="auto"/>
            <w:right w:val="none" w:sz="0" w:space="0" w:color="auto"/>
          </w:divBdr>
        </w:div>
      </w:divsChild>
    </w:div>
    <w:div w:id="2111004106">
      <w:marLeft w:val="0"/>
      <w:marRight w:val="0"/>
      <w:marTop w:val="100"/>
      <w:marBottom w:val="0"/>
      <w:divBdr>
        <w:top w:val="none" w:sz="0" w:space="0" w:color="auto"/>
        <w:left w:val="none" w:sz="0" w:space="0" w:color="auto"/>
        <w:bottom w:val="none" w:sz="0" w:space="0" w:color="auto"/>
        <w:right w:val="none" w:sz="0" w:space="0" w:color="auto"/>
      </w:divBdr>
    </w:div>
    <w:div w:id="2111194983">
      <w:marLeft w:val="0"/>
      <w:marRight w:val="0"/>
      <w:marTop w:val="240"/>
      <w:marBottom w:val="0"/>
      <w:divBdr>
        <w:top w:val="none" w:sz="0" w:space="0" w:color="auto"/>
        <w:left w:val="none" w:sz="0" w:space="0" w:color="auto"/>
        <w:bottom w:val="none" w:sz="0" w:space="0" w:color="auto"/>
        <w:right w:val="none" w:sz="0" w:space="0" w:color="auto"/>
      </w:divBdr>
    </w:div>
    <w:div w:id="2111274393">
      <w:marLeft w:val="0"/>
      <w:marRight w:val="0"/>
      <w:marTop w:val="100"/>
      <w:marBottom w:val="0"/>
      <w:divBdr>
        <w:top w:val="none" w:sz="0" w:space="0" w:color="auto"/>
        <w:left w:val="none" w:sz="0" w:space="0" w:color="auto"/>
        <w:bottom w:val="none" w:sz="0" w:space="0" w:color="auto"/>
        <w:right w:val="none" w:sz="0" w:space="0" w:color="auto"/>
      </w:divBdr>
    </w:div>
    <w:div w:id="2111385975">
      <w:marLeft w:val="0"/>
      <w:marRight w:val="0"/>
      <w:marTop w:val="100"/>
      <w:marBottom w:val="0"/>
      <w:divBdr>
        <w:top w:val="none" w:sz="0" w:space="0" w:color="auto"/>
        <w:left w:val="none" w:sz="0" w:space="0" w:color="auto"/>
        <w:bottom w:val="none" w:sz="0" w:space="0" w:color="auto"/>
        <w:right w:val="none" w:sz="0" w:space="0" w:color="auto"/>
      </w:divBdr>
    </w:div>
    <w:div w:id="2112582209">
      <w:marLeft w:val="0"/>
      <w:marRight w:val="0"/>
      <w:marTop w:val="0"/>
      <w:marBottom w:val="0"/>
      <w:divBdr>
        <w:top w:val="none" w:sz="0" w:space="0" w:color="auto"/>
        <w:left w:val="none" w:sz="0" w:space="0" w:color="auto"/>
        <w:bottom w:val="none" w:sz="0" w:space="0" w:color="auto"/>
        <w:right w:val="none" w:sz="0" w:space="0" w:color="auto"/>
      </w:divBdr>
      <w:divsChild>
        <w:div w:id="1246694824">
          <w:marLeft w:val="0"/>
          <w:marRight w:val="0"/>
          <w:marTop w:val="0"/>
          <w:marBottom w:val="0"/>
          <w:divBdr>
            <w:top w:val="none" w:sz="0" w:space="0" w:color="auto"/>
            <w:left w:val="none" w:sz="0" w:space="0" w:color="auto"/>
            <w:bottom w:val="none" w:sz="0" w:space="0" w:color="auto"/>
            <w:right w:val="none" w:sz="0" w:space="0" w:color="auto"/>
          </w:divBdr>
        </w:div>
        <w:div w:id="1957759253">
          <w:marLeft w:val="0"/>
          <w:marRight w:val="0"/>
          <w:marTop w:val="0"/>
          <w:marBottom w:val="0"/>
          <w:divBdr>
            <w:top w:val="none" w:sz="0" w:space="0" w:color="auto"/>
            <w:left w:val="none" w:sz="0" w:space="0" w:color="auto"/>
            <w:bottom w:val="none" w:sz="0" w:space="0" w:color="auto"/>
            <w:right w:val="none" w:sz="0" w:space="0" w:color="auto"/>
          </w:divBdr>
        </w:div>
      </w:divsChild>
    </w:div>
    <w:div w:id="2113477227">
      <w:marLeft w:val="0"/>
      <w:marRight w:val="0"/>
      <w:marTop w:val="0"/>
      <w:marBottom w:val="0"/>
      <w:divBdr>
        <w:top w:val="none" w:sz="0" w:space="0" w:color="auto"/>
        <w:left w:val="none" w:sz="0" w:space="0" w:color="auto"/>
        <w:bottom w:val="none" w:sz="0" w:space="0" w:color="auto"/>
        <w:right w:val="none" w:sz="0" w:space="0" w:color="auto"/>
      </w:divBdr>
    </w:div>
    <w:div w:id="2113934475">
      <w:marLeft w:val="0"/>
      <w:marRight w:val="0"/>
      <w:marTop w:val="100"/>
      <w:marBottom w:val="0"/>
      <w:divBdr>
        <w:top w:val="none" w:sz="0" w:space="0" w:color="auto"/>
        <w:left w:val="none" w:sz="0" w:space="0" w:color="auto"/>
        <w:bottom w:val="none" w:sz="0" w:space="0" w:color="auto"/>
        <w:right w:val="none" w:sz="0" w:space="0" w:color="auto"/>
      </w:divBdr>
    </w:div>
    <w:div w:id="2121298615">
      <w:marLeft w:val="0"/>
      <w:marRight w:val="0"/>
      <w:marTop w:val="280"/>
      <w:marBottom w:val="0"/>
      <w:divBdr>
        <w:top w:val="none" w:sz="0" w:space="0" w:color="auto"/>
        <w:left w:val="none" w:sz="0" w:space="0" w:color="auto"/>
        <w:bottom w:val="none" w:sz="0" w:space="0" w:color="auto"/>
        <w:right w:val="none" w:sz="0" w:space="0" w:color="auto"/>
      </w:divBdr>
    </w:div>
    <w:div w:id="2124035649">
      <w:marLeft w:val="0"/>
      <w:marRight w:val="0"/>
      <w:marTop w:val="0"/>
      <w:marBottom w:val="0"/>
      <w:divBdr>
        <w:top w:val="none" w:sz="0" w:space="0" w:color="auto"/>
        <w:left w:val="none" w:sz="0" w:space="0" w:color="auto"/>
        <w:bottom w:val="none" w:sz="0" w:space="0" w:color="auto"/>
        <w:right w:val="none" w:sz="0" w:space="0" w:color="auto"/>
      </w:divBdr>
    </w:div>
    <w:div w:id="2126457449">
      <w:marLeft w:val="0"/>
      <w:marRight w:val="0"/>
      <w:marTop w:val="100"/>
      <w:marBottom w:val="0"/>
      <w:divBdr>
        <w:top w:val="none" w:sz="0" w:space="0" w:color="auto"/>
        <w:left w:val="none" w:sz="0" w:space="0" w:color="auto"/>
        <w:bottom w:val="none" w:sz="0" w:space="0" w:color="auto"/>
        <w:right w:val="none" w:sz="0" w:space="0" w:color="auto"/>
      </w:divBdr>
    </w:div>
    <w:div w:id="2127381145">
      <w:marLeft w:val="0"/>
      <w:marRight w:val="0"/>
      <w:marTop w:val="180"/>
      <w:marBottom w:val="180"/>
      <w:divBdr>
        <w:top w:val="none" w:sz="0" w:space="0" w:color="auto"/>
        <w:left w:val="none" w:sz="0" w:space="0" w:color="auto"/>
        <w:bottom w:val="none" w:sz="0" w:space="0" w:color="auto"/>
        <w:right w:val="none" w:sz="0" w:space="0" w:color="auto"/>
      </w:divBdr>
    </w:div>
    <w:div w:id="2129817710">
      <w:marLeft w:val="0"/>
      <w:marRight w:val="0"/>
      <w:marTop w:val="60"/>
      <w:marBottom w:val="0"/>
      <w:divBdr>
        <w:top w:val="none" w:sz="0" w:space="0" w:color="auto"/>
        <w:left w:val="none" w:sz="0" w:space="0" w:color="auto"/>
        <w:bottom w:val="none" w:sz="0" w:space="0" w:color="auto"/>
        <w:right w:val="none" w:sz="0" w:space="0" w:color="auto"/>
      </w:divBdr>
    </w:div>
    <w:div w:id="2130052655">
      <w:marLeft w:val="0"/>
      <w:marRight w:val="0"/>
      <w:marTop w:val="100"/>
      <w:marBottom w:val="0"/>
      <w:divBdr>
        <w:top w:val="none" w:sz="0" w:space="0" w:color="auto"/>
        <w:left w:val="none" w:sz="0" w:space="0" w:color="auto"/>
        <w:bottom w:val="none" w:sz="0" w:space="0" w:color="auto"/>
        <w:right w:val="none" w:sz="0" w:space="0" w:color="auto"/>
      </w:divBdr>
    </w:div>
    <w:div w:id="2130278071">
      <w:marLeft w:val="0"/>
      <w:marRight w:val="0"/>
      <w:marTop w:val="100"/>
      <w:marBottom w:val="0"/>
      <w:divBdr>
        <w:top w:val="none" w:sz="0" w:space="0" w:color="auto"/>
        <w:left w:val="none" w:sz="0" w:space="0" w:color="auto"/>
        <w:bottom w:val="none" w:sz="0" w:space="0" w:color="auto"/>
        <w:right w:val="none" w:sz="0" w:space="0" w:color="auto"/>
      </w:divBdr>
    </w:div>
    <w:div w:id="2131125945">
      <w:marLeft w:val="0"/>
      <w:marRight w:val="0"/>
      <w:marTop w:val="100"/>
      <w:marBottom w:val="0"/>
      <w:divBdr>
        <w:top w:val="none" w:sz="0" w:space="0" w:color="auto"/>
        <w:left w:val="none" w:sz="0" w:space="0" w:color="auto"/>
        <w:bottom w:val="none" w:sz="0" w:space="0" w:color="auto"/>
        <w:right w:val="none" w:sz="0" w:space="0" w:color="auto"/>
      </w:divBdr>
    </w:div>
    <w:div w:id="2131630147">
      <w:marLeft w:val="0"/>
      <w:marRight w:val="0"/>
      <w:marTop w:val="100"/>
      <w:marBottom w:val="0"/>
      <w:divBdr>
        <w:top w:val="none" w:sz="0" w:space="0" w:color="auto"/>
        <w:left w:val="none" w:sz="0" w:space="0" w:color="auto"/>
        <w:bottom w:val="none" w:sz="0" w:space="0" w:color="auto"/>
        <w:right w:val="none" w:sz="0" w:space="0" w:color="auto"/>
      </w:divBdr>
    </w:div>
    <w:div w:id="2131823282">
      <w:marLeft w:val="0"/>
      <w:marRight w:val="0"/>
      <w:marTop w:val="100"/>
      <w:marBottom w:val="0"/>
      <w:divBdr>
        <w:top w:val="none" w:sz="0" w:space="0" w:color="auto"/>
        <w:left w:val="none" w:sz="0" w:space="0" w:color="auto"/>
        <w:bottom w:val="none" w:sz="0" w:space="0" w:color="auto"/>
        <w:right w:val="none" w:sz="0" w:space="0" w:color="auto"/>
      </w:divBdr>
    </w:div>
    <w:div w:id="2133210529">
      <w:marLeft w:val="0"/>
      <w:marRight w:val="0"/>
      <w:marTop w:val="100"/>
      <w:marBottom w:val="0"/>
      <w:divBdr>
        <w:top w:val="none" w:sz="0" w:space="0" w:color="auto"/>
        <w:left w:val="none" w:sz="0" w:space="0" w:color="auto"/>
        <w:bottom w:val="none" w:sz="0" w:space="0" w:color="auto"/>
        <w:right w:val="none" w:sz="0" w:space="0" w:color="auto"/>
      </w:divBdr>
    </w:div>
    <w:div w:id="2133747092">
      <w:marLeft w:val="0"/>
      <w:marRight w:val="0"/>
      <w:marTop w:val="60"/>
      <w:marBottom w:val="0"/>
      <w:divBdr>
        <w:top w:val="none" w:sz="0" w:space="0" w:color="auto"/>
        <w:left w:val="none" w:sz="0" w:space="0" w:color="auto"/>
        <w:bottom w:val="none" w:sz="0" w:space="0" w:color="auto"/>
        <w:right w:val="none" w:sz="0" w:space="0" w:color="auto"/>
      </w:divBdr>
    </w:div>
    <w:div w:id="2135319890">
      <w:marLeft w:val="0"/>
      <w:marRight w:val="0"/>
      <w:marTop w:val="40"/>
      <w:marBottom w:val="0"/>
      <w:divBdr>
        <w:top w:val="none" w:sz="0" w:space="0" w:color="auto"/>
        <w:left w:val="none" w:sz="0" w:space="0" w:color="auto"/>
        <w:bottom w:val="none" w:sz="0" w:space="0" w:color="auto"/>
        <w:right w:val="none" w:sz="0" w:space="0" w:color="auto"/>
      </w:divBdr>
    </w:div>
    <w:div w:id="2135980036">
      <w:marLeft w:val="0"/>
      <w:marRight w:val="0"/>
      <w:marTop w:val="60"/>
      <w:marBottom w:val="0"/>
      <w:divBdr>
        <w:top w:val="none" w:sz="0" w:space="0" w:color="auto"/>
        <w:left w:val="none" w:sz="0" w:space="0" w:color="auto"/>
        <w:bottom w:val="none" w:sz="0" w:space="0" w:color="auto"/>
        <w:right w:val="none" w:sz="0" w:space="0" w:color="auto"/>
      </w:divBdr>
    </w:div>
    <w:div w:id="2137140078">
      <w:marLeft w:val="0"/>
      <w:marRight w:val="0"/>
      <w:marTop w:val="100"/>
      <w:marBottom w:val="0"/>
      <w:divBdr>
        <w:top w:val="none" w:sz="0" w:space="0" w:color="auto"/>
        <w:left w:val="none" w:sz="0" w:space="0" w:color="auto"/>
        <w:bottom w:val="none" w:sz="0" w:space="0" w:color="auto"/>
        <w:right w:val="none" w:sz="0" w:space="0" w:color="auto"/>
      </w:divBdr>
    </w:div>
    <w:div w:id="2138791245">
      <w:marLeft w:val="0"/>
      <w:marRight w:val="0"/>
      <w:marTop w:val="100"/>
      <w:marBottom w:val="0"/>
      <w:divBdr>
        <w:top w:val="none" w:sz="0" w:space="0" w:color="auto"/>
        <w:left w:val="none" w:sz="0" w:space="0" w:color="auto"/>
        <w:bottom w:val="none" w:sz="0" w:space="0" w:color="auto"/>
        <w:right w:val="none" w:sz="0" w:space="0" w:color="auto"/>
      </w:divBdr>
    </w:div>
    <w:div w:id="2140877133">
      <w:marLeft w:val="0"/>
      <w:marRight w:val="0"/>
      <w:marTop w:val="100"/>
      <w:marBottom w:val="0"/>
      <w:divBdr>
        <w:top w:val="none" w:sz="0" w:space="0" w:color="auto"/>
        <w:left w:val="none" w:sz="0" w:space="0" w:color="auto"/>
        <w:bottom w:val="none" w:sz="0" w:space="0" w:color="auto"/>
        <w:right w:val="none" w:sz="0" w:space="0" w:color="auto"/>
      </w:divBdr>
    </w:div>
    <w:div w:id="2142112896">
      <w:marLeft w:val="0"/>
      <w:marRight w:val="0"/>
      <w:marTop w:val="100"/>
      <w:marBottom w:val="0"/>
      <w:divBdr>
        <w:top w:val="none" w:sz="0" w:space="0" w:color="auto"/>
        <w:left w:val="none" w:sz="0" w:space="0" w:color="auto"/>
        <w:bottom w:val="none" w:sz="0" w:space="0" w:color="auto"/>
        <w:right w:val="none" w:sz="0" w:space="0" w:color="auto"/>
      </w:divBdr>
    </w:div>
    <w:div w:id="2142720849">
      <w:marLeft w:val="0"/>
      <w:marRight w:val="0"/>
      <w:marTop w:val="100"/>
      <w:marBottom w:val="0"/>
      <w:divBdr>
        <w:top w:val="none" w:sz="0" w:space="0" w:color="auto"/>
        <w:left w:val="none" w:sz="0" w:space="0" w:color="auto"/>
        <w:bottom w:val="none" w:sz="0" w:space="0" w:color="auto"/>
        <w:right w:val="none" w:sz="0" w:space="0" w:color="auto"/>
      </w:divBdr>
    </w:div>
    <w:div w:id="2146198139">
      <w:marLeft w:val="0"/>
      <w:marRight w:val="0"/>
      <w:marTop w:val="100"/>
      <w:marBottom w:val="0"/>
      <w:divBdr>
        <w:top w:val="none" w:sz="0" w:space="0" w:color="auto"/>
        <w:left w:val="none" w:sz="0" w:space="0" w:color="auto"/>
        <w:bottom w:val="none" w:sz="0" w:space="0" w:color="auto"/>
        <w:right w:val="none" w:sz="0" w:space="0" w:color="auto"/>
      </w:divBdr>
    </w:div>
    <w:div w:id="2146846182">
      <w:marLeft w:val="0"/>
      <w:marRight w:val="0"/>
      <w:marTop w:val="10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1158172/000115817222000025/exhibit101-firstamendmentt.htm" TargetMode="External"/><Relationship Id="rId21" Type="http://schemas.openxmlformats.org/officeDocument/2006/relationships/hyperlink" Target="exhibit410-descriptionofse.htm" TargetMode="External"/><Relationship Id="rId42" Type="http://schemas.openxmlformats.org/officeDocument/2006/relationships/hyperlink" Target="https://www.sec.gov/Archives/edgar/data/1158172/000115817222000083/exhibit101-firstamendmentt.htm" TargetMode="External"/><Relationship Id="rId47" Type="http://schemas.openxmlformats.org/officeDocument/2006/relationships/hyperlink" Target="http://www.sec.gov/Archives/edgar/data/1158172/000115817220000021/exhibit1033-formofstoc.htm" TargetMode="External"/><Relationship Id="rId63" Type="http://schemas.openxmlformats.org/officeDocument/2006/relationships/hyperlink" Target="https://www.sec.gov/Archives/edgar/data/1158172/000115817222000059/exhibit102-firstamendmentt.htm" TargetMode="External"/><Relationship Id="rId68" Type="http://schemas.openxmlformats.org/officeDocument/2006/relationships/hyperlink" Target="https://www.sec.gov/Archives/edgar/data/1158172/000115817222000083/exhibit108-carpenterprsugr.htm" TargetMode="External"/><Relationship Id="rId84" Type="http://schemas.openxmlformats.org/officeDocument/2006/relationships/fontTable" Target="fontTable.xml"/><Relationship Id="rId16" Type="http://schemas.openxmlformats.org/officeDocument/2006/relationships/hyperlink" Target="http://www.sec.gov/Archives/edgar/data/1158172/000115817219000135/exhibit45.htm" TargetMode="External"/><Relationship Id="rId11" Type="http://schemas.openxmlformats.org/officeDocument/2006/relationships/hyperlink" Target="http://www.sec.gov/Archives/edgar/data/1158172/000115817218000160/exhibit32-amendedandrestat.htm" TargetMode="External"/><Relationship Id="rId32" Type="http://schemas.openxmlformats.org/officeDocument/2006/relationships/hyperlink" Target="http://www.sec.gov/Archives/edgar/data/1158172/000119312511348048/d272307dex102.htm" TargetMode="External"/><Relationship Id="rId37" Type="http://schemas.openxmlformats.org/officeDocument/2006/relationships/hyperlink" Target="http://www.sec.gov/Archives/edgar/data/1158172/000115817221000158/exhibit101-agreementandpla.htm" TargetMode="External"/><Relationship Id="rId53" Type="http://schemas.openxmlformats.org/officeDocument/2006/relationships/hyperlink" Target="http://www.sec.gov/Archives/edgar/data/1158172/000115817221000068/exhibit108-formofrestricte.htm" TargetMode="External"/><Relationship Id="rId58" Type="http://schemas.openxmlformats.org/officeDocument/2006/relationships/hyperlink" Target="http://www.sec.gov/Archives/edgar/data/1158172/000115817221000165/exhibit992-amendmentno1tos.htm" TargetMode="External"/><Relationship Id="rId74" Type="http://schemas.openxmlformats.org/officeDocument/2006/relationships/hyperlink" Target="https://www.sec.gov/Archives/edgar/data/1158172/000115817222000113/exhibit1012-formofperforma.htm" TargetMode="External"/><Relationship Id="rId79" Type="http://schemas.openxmlformats.org/officeDocument/2006/relationships/hyperlink" Target="exhibit311-certificationof.htm" TargetMode="External"/><Relationship Id="rId5" Type="http://schemas.openxmlformats.org/officeDocument/2006/relationships/hyperlink" Target="http://www.sec.gov/Archives/edgar/data/1158172/000095013307002643/x30988a3exv3w3.htm" TargetMode="External"/><Relationship Id="rId19" Type="http://schemas.openxmlformats.org/officeDocument/2006/relationships/hyperlink" Target="http://www.sec.gov/Archives/edgar/data/806968/000119312515054545/d869324dex99d4.htm" TargetMode="External"/><Relationship Id="rId14" Type="http://schemas.openxmlformats.org/officeDocument/2006/relationships/hyperlink" Target="http://www.sec.gov/Archives/edgar/data/1158172/000095013307002643/x30988a3exv4w1.htm" TargetMode="External"/><Relationship Id="rId22" Type="http://schemas.openxmlformats.org/officeDocument/2006/relationships/hyperlink" Target="http://www.sec.gov/Archives/edgar/data/1158172/000119312521004725/d108009dex101.htm" TargetMode="External"/><Relationship Id="rId27" Type="http://schemas.openxmlformats.org/officeDocument/2006/relationships/hyperlink" Target="https://www.sec.gov/Archives/edgar/data/1158172/000115817222000103/exhibit101secondamendmentt.htm" TargetMode="External"/><Relationship Id="rId30" Type="http://schemas.openxmlformats.org/officeDocument/2006/relationships/hyperlink" Target="https://www.sec.gov/Archives/edgar/data/1158172/000115817223000010/exhibit101-creditagreement.htm" TargetMode="External"/><Relationship Id="rId35" Type="http://schemas.openxmlformats.org/officeDocument/2006/relationships/hyperlink" Target="http://www.sec.gov/Archives/edgar/data/1158172/000115817215000036/projectcognac-stockpurchas.htm" TargetMode="External"/><Relationship Id="rId43" Type="http://schemas.openxmlformats.org/officeDocument/2006/relationships/hyperlink" Target="http://www.sec.gov/Archives/edgar/data/1158172/000115817218000096/grantnoticedirectorrsu.htm" TargetMode="External"/><Relationship Id="rId48" Type="http://schemas.openxmlformats.org/officeDocument/2006/relationships/hyperlink" Target="http://www.sec.gov/Archives/edgar/data/1158172/000115817220000021/exhibit1034-formofdefe.htm" TargetMode="External"/><Relationship Id="rId56" Type="http://schemas.openxmlformats.org/officeDocument/2006/relationships/hyperlink" Target="http://www.sec.gov/Archives/edgar/data/1158172/000115817221000165/exhibit995-restrictedstock.htm" TargetMode="External"/><Relationship Id="rId64" Type="http://schemas.openxmlformats.org/officeDocument/2006/relationships/hyperlink" Target="https://www.sec.gov/Archives/edgar/data/1158172/000115817222000059/exhibit103-firstamendmentt.htm" TargetMode="External"/><Relationship Id="rId69" Type="http://schemas.openxmlformats.org/officeDocument/2006/relationships/hyperlink" Target="https://www.sec.gov/Archives/edgar/data/1158172/000115817222000083/exhibit109-curryprsugranta.htm" TargetMode="External"/><Relationship Id="rId77" Type="http://schemas.openxmlformats.org/officeDocument/2006/relationships/hyperlink" Target="exhibit211-listofsubsidiar.htm" TargetMode="External"/><Relationship Id="rId8" Type="http://schemas.openxmlformats.org/officeDocument/2006/relationships/hyperlink" Target="http://www.sec.gov/Archives/edgar/data/1158172/000119312517303026/d458683dex31.htm" TargetMode="External"/><Relationship Id="rId51" Type="http://schemas.openxmlformats.org/officeDocument/2006/relationships/hyperlink" Target="http://www.sec.gov/Archives/edgar/data/1158172/000115817221000068/exhibit105-formofindemnifi.htm" TargetMode="External"/><Relationship Id="rId72" Type="http://schemas.openxmlformats.org/officeDocument/2006/relationships/hyperlink" Target="https://www.sec.gov/Archives/edgar/data/1158172/000115817222000088/exhibit103-severanceagreem.htm" TargetMode="External"/><Relationship Id="rId80" Type="http://schemas.openxmlformats.org/officeDocument/2006/relationships/hyperlink" Target="exhibit312-certificationof.htm" TargetMode="Externa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sec.gov/Archives/edgar/data/1158172/000119312521081567/d120882dex104.htm" TargetMode="External"/><Relationship Id="rId17" Type="http://schemas.openxmlformats.org/officeDocument/2006/relationships/hyperlink" Target="http://www.sec.gov/Archives/edgar/data/1158172/000119312511348048/d272307dex103.htm" TargetMode="External"/><Relationship Id="rId25" Type="http://schemas.openxmlformats.org/officeDocument/2006/relationships/hyperlink" Target="http://www.sec.gov/Archives/edgar/data/1158172/000119312521081567/d120882dex106.htm" TargetMode="External"/><Relationship Id="rId33" Type="http://schemas.openxmlformats.org/officeDocument/2006/relationships/hyperlink" Target="http://www.sec.gov/Archives/edgar/data/806968/000119312515054545/d869324dex99d1.htm" TargetMode="External"/><Relationship Id="rId38" Type="http://schemas.openxmlformats.org/officeDocument/2006/relationships/hyperlink" Target="http://www.sec.gov/Archives/edgar/data/1158172/000095013308000370/w47950bexv10w1.htm" TargetMode="External"/><Relationship Id="rId46" Type="http://schemas.openxmlformats.org/officeDocument/2006/relationships/hyperlink" Target="http://www.sec.gov/Archives/edgar/data/1158172/000115817220000021/exhibit1032-livekchang.htm" TargetMode="External"/><Relationship Id="rId59" Type="http://schemas.openxmlformats.org/officeDocument/2006/relationships/hyperlink" Target="http://www.sec.gov/Archives/edgar/data/1158172/000115817221000165/exhibit993-amendmentno2tos.htm" TargetMode="External"/><Relationship Id="rId67" Type="http://schemas.openxmlformats.org/officeDocument/2006/relationships/hyperlink" Target="https://www.sec.gov/Archives/edgar/data/1158172/000115817222000059/exhibit106-curryseverancea.htm" TargetMode="External"/><Relationship Id="rId20" Type="http://schemas.openxmlformats.org/officeDocument/2006/relationships/hyperlink" Target="http://www.sec.gov/Archives/edgar/data/1158172/000119312518011422/d414488dex104.htm" TargetMode="External"/><Relationship Id="rId41" Type="http://schemas.openxmlformats.org/officeDocument/2006/relationships/hyperlink" Target="http://www.sec.gov/Archives/edgar/data/1158172/000119312520193346/d19455dex101.htm" TargetMode="External"/><Relationship Id="rId54" Type="http://schemas.openxmlformats.org/officeDocument/2006/relationships/hyperlink" Target="http://www.sec.gov/Archives/edgar/data/0001158172/000115817221000138/exhibit101-severanceagreem.htm" TargetMode="External"/><Relationship Id="rId62" Type="http://schemas.openxmlformats.org/officeDocument/2006/relationships/hyperlink" Target="https://www.sec.gov/Archives/edgar/data/1158172/000115817222000059/exhibit101-carpenterceoagr.htm" TargetMode="External"/><Relationship Id="rId70" Type="http://schemas.openxmlformats.org/officeDocument/2006/relationships/hyperlink" Target="https://www.sec.gov/Archives/edgar/data/1158172/000115817222000088/exhibit101-letteragreement.htm" TargetMode="External"/><Relationship Id="rId75" Type="http://schemas.openxmlformats.org/officeDocument/2006/relationships/hyperlink" Target="https://www.sec.gov/Archives/edgar/data/1158172/000115817222000113/exhibit1013-changeofcontro.htm" TargetMode="External"/><Relationship Id="rId83" Type="http://schemas.openxmlformats.org/officeDocument/2006/relationships/image" Target="file:///E:\projects\LLMs\new_data_collection\data_new\htm\COMSCORE,%20INC\scor-20221231_g2.jpg" TargetMode="External"/><Relationship Id="rId1" Type="http://schemas.openxmlformats.org/officeDocument/2006/relationships/styles" Target="styles.xml"/><Relationship Id="rId6" Type="http://schemas.openxmlformats.org/officeDocument/2006/relationships/hyperlink" Target="http://www.sec.gov/Archives/edgar/data/1158172/000115817218000091/certificateofamendmentauth.htm" TargetMode="External"/><Relationship Id="rId15" Type="http://schemas.openxmlformats.org/officeDocument/2006/relationships/hyperlink" Target="http://www.sec.gov/Archives/edgar/data/1158172/000115817219000135/exhibit41.htm" TargetMode="External"/><Relationship Id="rId23" Type="http://schemas.openxmlformats.org/officeDocument/2006/relationships/hyperlink" Target="http://www.sec.gov/Archives/edgar/data/1158172/000119312521004725/d108009dex102.htm" TargetMode="External"/><Relationship Id="rId28" Type="http://schemas.openxmlformats.org/officeDocument/2006/relationships/hyperlink" Target="http://www.sec.gov/Archives/edgar/data/1158172/000115817221000109/exhibit101-creditagreement.htm" TargetMode="External"/><Relationship Id="rId36" Type="http://schemas.openxmlformats.org/officeDocument/2006/relationships/hyperlink" Target="http://www.sec.gov/Archives/edgar/data/1158172/000119312519179298/d742851dex101.htm" TargetMode="External"/><Relationship Id="rId49" Type="http://schemas.openxmlformats.org/officeDocument/2006/relationships/hyperlink" Target="http://www.sec.gov/Archives/edgar/data/1158172/000115817220000021/exhibit1035-formofperf.htm" TargetMode="External"/><Relationship Id="rId57" Type="http://schemas.openxmlformats.org/officeDocument/2006/relationships/hyperlink" Target="http://www.sec.gov/Archives/edgar/data/1158172/000115817221000165/exhibit991-shareablee2013s.htm" TargetMode="External"/><Relationship Id="rId10" Type="http://schemas.openxmlformats.org/officeDocument/2006/relationships/hyperlink" Target="http://www.sec.gov/Archives/edgar/data/1158172/000119312521081567/d120882dex32.htm" TargetMode="External"/><Relationship Id="rId31" Type="http://schemas.openxmlformats.org/officeDocument/2006/relationships/hyperlink" Target="http://www.sec.gov/Archives/edgar/data/1158172/000119312511348048/d272307dex101.htm" TargetMode="External"/><Relationship Id="rId44" Type="http://schemas.openxmlformats.org/officeDocument/2006/relationships/hyperlink" Target="http://www.sec.gov/Archives/edgar/data/1158172/000115817218000198/exhibit105-formofrestricte.htm" TargetMode="External"/><Relationship Id="rId52" Type="http://schemas.openxmlformats.org/officeDocument/2006/relationships/hyperlink" Target="http://www.sec.gov/Archives/edgar/data/1158172/000115817221000068/exhibit107-formofrestricte.htm" TargetMode="External"/><Relationship Id="rId60" Type="http://schemas.openxmlformats.org/officeDocument/2006/relationships/hyperlink" Target="http://www.sec.gov/Archives/edgar/data/1158172/000115817221000165/exhibit994-amendmentno3tos.htm" TargetMode="External"/><Relationship Id="rId65" Type="http://schemas.openxmlformats.org/officeDocument/2006/relationships/hyperlink" Target="https://www.sec.gov/Archives/edgar/data/1158172/000115817222000059/exhibit104-currycfoagreeme.htm" TargetMode="External"/><Relationship Id="rId73" Type="http://schemas.openxmlformats.org/officeDocument/2006/relationships/hyperlink" Target="https://www.sec.gov/Archives/edgar/data/1158172/000115817222000088/exhibit104-severanceagreem.htm" TargetMode="External"/><Relationship Id="rId78" Type="http://schemas.openxmlformats.org/officeDocument/2006/relationships/hyperlink" Target="exhibit231-consentofindepe.htm" TargetMode="External"/><Relationship Id="rId81" Type="http://schemas.openxmlformats.org/officeDocument/2006/relationships/hyperlink" Target="exhibit321-certificationof.htm" TargetMode="External"/><Relationship Id="rId4" Type="http://schemas.openxmlformats.org/officeDocument/2006/relationships/image" Target="file:///E:\projects\LLMs\new_data_collection\data_new\htm\COMSCORE,%20INC\scor-20221231_g1.jpg" TargetMode="External"/><Relationship Id="rId9" Type="http://schemas.openxmlformats.org/officeDocument/2006/relationships/hyperlink" Target="http://www.sec.gov/Archives/edgar/data/0001158172/000119312521081567/d120882dex31.htm" TargetMode="External"/><Relationship Id="rId13" Type="http://schemas.openxmlformats.org/officeDocument/2006/relationships/hyperlink" Target="http://www.sec.gov/Archives/edgar/data/1158172/000119312521081567/d120882dex105.htm" TargetMode="External"/><Relationship Id="rId18" Type="http://schemas.openxmlformats.org/officeDocument/2006/relationships/hyperlink" Target="http://www.sec.gov/Archives/edgar/data/806968/000119312515054545/d869324dex99d3.htm" TargetMode="External"/><Relationship Id="rId39" Type="http://schemas.openxmlformats.org/officeDocument/2006/relationships/hyperlink" Target="http://www.sec.gov/Archives/edgar/data/1158172/000115817218000096/a6thamendment-lease.htm" TargetMode="External"/><Relationship Id="rId34" Type="http://schemas.openxmlformats.org/officeDocument/2006/relationships/hyperlink" Target="http://www.sec.gov/Archives/edgar/data/806968/000119312515054545/d869324dex99d5.htm" TargetMode="External"/><Relationship Id="rId50" Type="http://schemas.openxmlformats.org/officeDocument/2006/relationships/hyperlink" Target="http://www.sec.gov/Archives/edgar/data/1158172/000115817220000021/exhibit1036-formofrest.htm" TargetMode="External"/><Relationship Id="rId55" Type="http://schemas.openxmlformats.org/officeDocument/2006/relationships/hyperlink" Target="http://www.sec.gov/Archives/edgar/data/0001158172/000115817221000138/exhibit102-changeofcontrol.htm" TargetMode="External"/><Relationship Id="rId76" Type="http://schemas.openxmlformats.org/officeDocument/2006/relationships/hyperlink" Target="https://www.sec.gov/Archives/edgar/data/1158172/000115817222000113/exhibit1014-severanceagree.htm" TargetMode="External"/><Relationship Id="rId7" Type="http://schemas.openxmlformats.org/officeDocument/2006/relationships/hyperlink" Target="http://www.sec.gov/Archives/edgar/data/1158172/000119312517035566/d341700dex31.htm" TargetMode="External"/><Relationship Id="rId71" Type="http://schemas.openxmlformats.org/officeDocument/2006/relationships/hyperlink" Target="https://www.sec.gov/Archives/edgar/data/1158172/000115817222000088/exhibit102-changeofcontrol.htm" TargetMode="External"/><Relationship Id="rId2" Type="http://schemas.openxmlformats.org/officeDocument/2006/relationships/settings" Target="settings.xml"/><Relationship Id="rId29" Type="http://schemas.openxmlformats.org/officeDocument/2006/relationships/hyperlink" Target="https://www.sec.gov/Archives/edgar/data/1158172/000115817222000006/exhibit101-firstamendmentt.htm" TargetMode="External"/><Relationship Id="rId24" Type="http://schemas.openxmlformats.org/officeDocument/2006/relationships/hyperlink" Target="http://www.sec.gov/Archives/edgar/data/1158172/000119312521004725/d108009dex103.htm" TargetMode="External"/><Relationship Id="rId40" Type="http://schemas.openxmlformats.org/officeDocument/2006/relationships/hyperlink" Target="http://www.sec.gov/Archives/edgar/data/1158172/000115817221000109/exhibit102-amendmentno7tod.htm" TargetMode="External"/><Relationship Id="rId45" Type="http://schemas.openxmlformats.org/officeDocument/2006/relationships/hyperlink" Target="http://www.sec.gov/Archives/edgar/data/1158172/000115817218000168/exhibit103formofchangeofco.htm" TargetMode="External"/><Relationship Id="rId66" Type="http://schemas.openxmlformats.org/officeDocument/2006/relationships/hyperlink" Target="https://www.sec.gov/Archives/edgar/data/1158172/000115817222000059/exhibit105-currychangeofco.htm" TargetMode="External"/><Relationship Id="rId61" Type="http://schemas.openxmlformats.org/officeDocument/2006/relationships/hyperlink" Target="https://www.sec.gov/Archives/edgar/data/1158172/000115817222000006/exhibit102-transitionandse.htm" TargetMode="External"/><Relationship Id="rId82" Type="http://schemas.openxmlformats.org/officeDocument/2006/relationships/hyperlink" Target="exhibit322-certificationof.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74459</Words>
  <Characters>424417</Characters>
  <Application>Microsoft Office Word</Application>
  <DocSecurity>0</DocSecurity>
  <Lines>3536</Lines>
  <Paragraphs>995</Paragraphs>
  <ScaleCrop>false</ScaleCrop>
  <Company/>
  <LinksUpToDate>false</LinksUpToDate>
  <CharactersWithSpaces>497881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scor-20221231</dc:title>
  <dc:subject/>
  <dc:creator>Chongjian.Yue</dc:creator>
  <cp:keywords/>
  <dc:description/>
  <cp:lastModifiedBy>Yue Chongjian</cp:lastModifiedBy>
  <cp:revision>1</cp:revision>
  <dcterms:created xsi:type="dcterms:W3CDTF">2024-01-04T15:38:00Z</dcterms:created>
  <dcterms:modified xsi:type="dcterms:W3CDTF">2024-01-04T15:38:00Z</dcterms:modified>
</cp:coreProperties>
</file>