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9700C">
      <w:pPr>
        <w:pStyle w:val="a3"/>
        <w:spacing w:before="0" w:beforeAutospacing="0" w:after="0" w:afterAutospacing="0"/>
        <w:jc w:val="center"/>
        <w:rPr>
          <w:sz w:val="20"/>
          <w:szCs w:val="20"/>
        </w:rPr>
      </w:pPr>
      <w:r>
        <w:rPr>
          <w:sz w:val="20"/>
          <w:szCs w:val="20"/>
        </w:rPr>
        <w:t> </w:t>
      </w:r>
    </w:p>
    <w:p w:rsidR="00000000" w:rsidRDefault="00C9700C">
      <w:pPr>
        <w:divId w:val="175508966"/>
        <w:rPr>
          <w:rFonts w:eastAsia="Times New Roman"/>
          <w:sz w:val="2"/>
          <w:szCs w:val="2"/>
        </w:rPr>
      </w:pPr>
      <w:r>
        <w:rPr>
          <w:rFonts w:eastAsia="Times New Roman"/>
          <w:sz w:val="2"/>
          <w:szCs w:val="2"/>
        </w:rPr>
        <w:t> </w:t>
      </w:r>
    </w:p>
    <w:p w:rsidR="00000000" w:rsidRDefault="00C9700C">
      <w:pPr>
        <w:pStyle w:val="a3"/>
        <w:spacing w:before="0" w:beforeAutospacing="0" w:after="0" w:afterAutospacing="0"/>
        <w:jc w:val="center"/>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36"/>
          <w:szCs w:val="36"/>
        </w:rPr>
        <w:t>UNITED STATES</w:t>
      </w:r>
    </w:p>
    <w:p w:rsidR="00000000" w:rsidRDefault="00C9700C">
      <w:pPr>
        <w:pStyle w:val="a3"/>
        <w:spacing w:before="0" w:beforeAutospacing="0" w:after="0" w:afterAutospacing="0"/>
        <w:jc w:val="center"/>
        <w:rPr>
          <w:sz w:val="20"/>
          <w:szCs w:val="20"/>
        </w:rPr>
      </w:pPr>
      <w:r>
        <w:rPr>
          <w:b/>
          <w:bCs/>
          <w:sz w:val="36"/>
          <w:szCs w:val="36"/>
        </w:rPr>
        <w:t>SECURITIES AND EXCHANGE COMMISSION</w:t>
      </w:r>
    </w:p>
    <w:p w:rsidR="00000000" w:rsidRDefault="00C9700C">
      <w:pPr>
        <w:pStyle w:val="a3"/>
        <w:spacing w:before="0" w:beforeAutospacing="0" w:after="0" w:afterAutospacing="0"/>
        <w:jc w:val="center"/>
        <w:rPr>
          <w:sz w:val="20"/>
          <w:szCs w:val="20"/>
        </w:rPr>
      </w:pPr>
      <w:r>
        <w:rPr>
          <w:b/>
          <w:bCs/>
        </w:rPr>
        <w:t>Washington, D.C. 20549</w:t>
      </w:r>
    </w:p>
    <w:p w:rsidR="00000000" w:rsidRDefault="00C9700C">
      <w:pPr>
        <w:pStyle w:val="a3"/>
        <w:spacing w:before="0" w:beforeAutospacing="0" w:after="0" w:afterAutospacing="0"/>
        <w:jc w:val="center"/>
        <w:rPr>
          <w:sz w:val="20"/>
          <w:szCs w:val="20"/>
        </w:rPr>
      </w:pPr>
      <w:r>
        <w:rPr>
          <w:b/>
          <w:bCs/>
          <w:sz w:val="20"/>
          <w:szCs w:val="20"/>
        </w:rPr>
        <w:t> </w:t>
      </w:r>
    </w:p>
    <w:p w:rsidR="00000000" w:rsidRDefault="00C9700C">
      <w:pPr>
        <w:pStyle w:val="a3"/>
        <w:spacing w:before="0" w:beforeAutospacing="0" w:after="0" w:afterAutospacing="0"/>
        <w:jc w:val="center"/>
        <w:rPr>
          <w:sz w:val="20"/>
          <w:szCs w:val="20"/>
        </w:rPr>
      </w:pPr>
      <w:r>
        <w:rPr>
          <w:b/>
          <w:bCs/>
          <w:sz w:val="36"/>
          <w:szCs w:val="36"/>
        </w:rPr>
        <w:t>Form 10-Q</w:t>
      </w:r>
    </w:p>
    <w:p w:rsidR="00000000" w:rsidRDefault="00C9700C">
      <w:pPr>
        <w:pStyle w:val="a3"/>
        <w:spacing w:before="0" w:beforeAutospacing="0" w:after="0" w:afterAutospacing="0"/>
        <w:rPr>
          <w:sz w:val="20"/>
          <w:szCs w:val="20"/>
        </w:rPr>
      </w:pPr>
      <w:r>
        <w:rPr>
          <w:b/>
          <w:bCs/>
          <w:sz w:val="20"/>
          <w:szCs w:val="20"/>
        </w:rPr>
        <w:t>(Mark one)</w:t>
      </w:r>
    </w:p>
    <w:p w:rsidR="00000000" w:rsidRDefault="00C9700C">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b/>
                <w:bCs/>
                <w:sz w:val="20"/>
                <w:szCs w:val="20"/>
              </w:rPr>
              <w:t>[X]</w:t>
            </w:r>
          </w:p>
        </w:tc>
        <w:tc>
          <w:tcPr>
            <w:tcW w:w="0" w:type="auto"/>
            <w:hideMark/>
          </w:tcPr>
          <w:p w:rsidR="00000000" w:rsidRDefault="00C9700C">
            <w:pPr>
              <w:jc w:val="both"/>
              <w:rPr>
                <w:rFonts w:eastAsia="Times New Roman"/>
                <w:sz w:val="20"/>
                <w:szCs w:val="20"/>
              </w:rPr>
            </w:pPr>
            <w:r>
              <w:rPr>
                <w:rFonts w:eastAsia="Times New Roman"/>
                <w:b/>
                <w:bCs/>
                <w:sz w:val="20"/>
                <w:szCs w:val="20"/>
              </w:rPr>
              <w:t xml:space="preserve">QUARTERLY </w:t>
            </w:r>
            <w:r>
              <w:rPr>
                <w:rFonts w:eastAsia="Times New Roman"/>
                <w:b/>
                <w:bCs/>
                <w:sz w:val="20"/>
                <w:szCs w:val="20"/>
              </w:rPr>
              <w:t>REPORT PURSUANT TO SECTION 13 OR 15(d) OF THE SECURITIES EXCHANGE ACT OF 1934</w:t>
            </w:r>
          </w:p>
        </w:tc>
      </w:tr>
    </w:tbl>
    <w:p w:rsidR="00000000" w:rsidRDefault="00C9700C">
      <w:pPr>
        <w:pStyle w:val="a3"/>
        <w:spacing w:before="0" w:beforeAutospacing="0" w:after="0" w:afterAutospacing="0"/>
        <w:ind w:left="635" w:hanging="360"/>
        <w:rPr>
          <w:sz w:val="20"/>
          <w:szCs w:val="20"/>
        </w:rPr>
      </w:pPr>
      <w:r>
        <w:rPr>
          <w:b/>
          <w:bCs/>
          <w:sz w:val="20"/>
          <w:szCs w:val="20"/>
        </w:rPr>
        <w:t> </w:t>
      </w:r>
    </w:p>
    <w:p w:rsidR="00000000" w:rsidRDefault="00C9700C">
      <w:pPr>
        <w:pStyle w:val="a3"/>
        <w:spacing w:before="0" w:beforeAutospacing="0" w:after="0" w:afterAutospacing="0"/>
        <w:ind w:left="635"/>
        <w:jc w:val="center"/>
        <w:rPr>
          <w:sz w:val="20"/>
          <w:szCs w:val="20"/>
        </w:rPr>
      </w:pPr>
      <w:r>
        <w:rPr>
          <w:b/>
          <w:bCs/>
          <w:sz w:val="20"/>
          <w:szCs w:val="20"/>
        </w:rPr>
        <w:t>For the quarterly period ended March 31, 2019</w:t>
      </w:r>
    </w:p>
    <w:p w:rsidR="00000000" w:rsidRDefault="00C9700C">
      <w:pPr>
        <w:pStyle w:val="a3"/>
        <w:spacing w:before="0" w:beforeAutospacing="0" w:after="0" w:afterAutospacing="0"/>
        <w:ind w:left="635"/>
        <w:jc w:val="center"/>
        <w:rPr>
          <w:sz w:val="20"/>
          <w:szCs w:val="20"/>
        </w:rPr>
      </w:pPr>
      <w:r>
        <w:rPr>
          <w:b/>
          <w:bCs/>
          <w:sz w:val="20"/>
          <w:szCs w:val="20"/>
        </w:rPr>
        <w:t> </w:t>
      </w:r>
    </w:p>
    <w:p w:rsidR="00000000" w:rsidRDefault="00C9700C">
      <w:pPr>
        <w:pStyle w:val="a3"/>
        <w:spacing w:before="0" w:beforeAutospacing="0" w:after="0" w:afterAutospacing="0"/>
        <w:ind w:left="635"/>
        <w:jc w:val="center"/>
        <w:rPr>
          <w:sz w:val="20"/>
          <w:szCs w:val="20"/>
        </w:rPr>
      </w:pPr>
      <w:r>
        <w:rPr>
          <w:b/>
          <w:bCs/>
          <w:sz w:val="20"/>
          <w:szCs w:val="20"/>
        </w:rPr>
        <w:t>or</w:t>
      </w:r>
    </w:p>
    <w:p w:rsidR="00000000" w:rsidRDefault="00C9700C">
      <w:pPr>
        <w:pStyle w:val="a3"/>
        <w:spacing w:before="0" w:beforeAutospacing="0" w:after="0" w:afterAutospacing="0"/>
        <w:ind w:firstLine="275"/>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rsidR="00000000" w:rsidRDefault="00C9700C">
      <w:pPr>
        <w:pStyle w:val="a3"/>
        <w:spacing w:before="0" w:beforeAutospacing="0" w:after="0" w:afterAutospacing="0"/>
        <w:jc w:val="center"/>
        <w:rPr>
          <w:sz w:val="20"/>
          <w:szCs w:val="20"/>
        </w:rPr>
      </w:pPr>
      <w:r>
        <w:rPr>
          <w:b/>
          <w:bCs/>
          <w:sz w:val="20"/>
          <w:szCs w:val="20"/>
        </w:rPr>
        <w:t> </w:t>
      </w:r>
    </w:p>
    <w:p w:rsidR="00000000" w:rsidRDefault="00C9700C">
      <w:pPr>
        <w:pStyle w:val="a3"/>
        <w:spacing w:before="0" w:beforeAutospacing="0" w:after="0" w:afterAutospacing="0"/>
        <w:jc w:val="center"/>
        <w:rPr>
          <w:sz w:val="20"/>
          <w:szCs w:val="20"/>
        </w:rPr>
      </w:pPr>
      <w:r>
        <w:rPr>
          <w:b/>
          <w:bCs/>
          <w:sz w:val="20"/>
          <w:szCs w:val="20"/>
        </w:rPr>
        <w:t>For the transition period from                 to</w:t>
      </w:r>
      <w:r>
        <w:rPr>
          <w:sz w:val="20"/>
          <w:szCs w:val="20"/>
        </w:rPr>
        <w:t xml:space="preserve">                </w:t>
      </w:r>
    </w:p>
    <w:p w:rsidR="00000000" w:rsidRDefault="00C9700C">
      <w:pPr>
        <w:pStyle w:val="a3"/>
        <w:spacing w:before="0" w:beforeAutospacing="0" w:after="0" w:afterAutospacing="0"/>
        <w:ind w:firstLine="275"/>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20"/>
          <w:szCs w:val="20"/>
        </w:rPr>
        <w:t>Commission File Number 001-36529</w:t>
      </w:r>
    </w:p>
    <w:p w:rsidR="00000000" w:rsidRDefault="00C9700C">
      <w:pPr>
        <w:pStyle w:val="a3"/>
        <w:spacing w:before="0" w:beforeAutospacing="0" w:after="0" w:afterAutospacing="0"/>
        <w:jc w:val="center"/>
        <w:rPr>
          <w:sz w:val="20"/>
          <w:szCs w:val="20"/>
        </w:rPr>
      </w:pPr>
      <w:r>
        <w:rPr>
          <w:b/>
          <w:bCs/>
          <w:sz w:val="20"/>
          <w:szCs w:val="20"/>
        </w:rPr>
        <w:t> </w:t>
      </w:r>
    </w:p>
    <w:p w:rsidR="00000000" w:rsidRDefault="00C9700C">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C9700C">
      <w:pPr>
        <w:pStyle w:val="a3"/>
        <w:spacing w:before="0" w:beforeAutospacing="0" w:after="0" w:afterAutospacing="0"/>
        <w:jc w:val="center"/>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36"/>
          <w:szCs w:val="36"/>
        </w:rPr>
        <w:t>MTBC, Inc.</w:t>
      </w:r>
    </w:p>
    <w:p w:rsidR="00000000" w:rsidRDefault="00C9700C">
      <w:pPr>
        <w:pStyle w:val="a3"/>
        <w:spacing w:before="0" w:beforeAutospacing="0" w:after="0" w:afterAutospacing="0"/>
        <w:jc w:val="center"/>
        <w:rPr>
          <w:sz w:val="20"/>
          <w:szCs w:val="20"/>
        </w:rPr>
      </w:pPr>
      <w:r>
        <w:rPr>
          <w:i/>
          <w:iCs/>
          <w:sz w:val="20"/>
          <w:szCs w:val="20"/>
        </w:rPr>
        <w:t>(Exact name of registrant as specified in its charter)</w:t>
      </w:r>
    </w:p>
    <w:p w:rsidR="00000000" w:rsidRDefault="00C9700C">
      <w:pPr>
        <w:pStyle w:val="a3"/>
        <w:spacing w:before="0" w:beforeAutospacing="0" w:after="0" w:afterAutospacing="0"/>
        <w:jc w:val="center"/>
        <w:rPr>
          <w:sz w:val="20"/>
          <w:szCs w:val="20"/>
        </w:rPr>
      </w:pPr>
      <w:r>
        <w:rPr>
          <w:sz w:val="20"/>
          <w:szCs w:val="20"/>
        </w:rPr>
        <w:t>(formerly Medical Transcription Billing, Corp.)</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C9700C">
            <w:pPr>
              <w:jc w:val="center"/>
              <w:rPr>
                <w:rFonts w:eastAsia="Times New Roman"/>
                <w:sz w:val="20"/>
                <w:szCs w:val="20"/>
              </w:rPr>
            </w:pPr>
            <w:r>
              <w:rPr>
                <w:rFonts w:eastAsia="Times New Roman"/>
                <w:b/>
                <w:bCs/>
                <w:sz w:val="20"/>
                <w:szCs w:val="20"/>
              </w:rPr>
              <w:t>Delaware</w:t>
            </w:r>
          </w:p>
        </w:tc>
        <w:tc>
          <w:tcPr>
            <w:tcW w:w="100" w:type="pct"/>
            <w:hideMark/>
          </w:tcPr>
          <w:p w:rsidR="00000000" w:rsidRDefault="00C9700C">
            <w:pPr>
              <w:jc w:val="center"/>
              <w:rPr>
                <w:rFonts w:eastAsia="Times New Roman"/>
                <w:sz w:val="20"/>
                <w:szCs w:val="20"/>
              </w:rPr>
            </w:pPr>
            <w:r>
              <w:rPr>
                <w:rFonts w:eastAsia="Times New Roman"/>
                <w:sz w:val="20"/>
                <w:szCs w:val="20"/>
              </w:rPr>
              <w:t> </w:t>
            </w:r>
          </w:p>
        </w:tc>
        <w:tc>
          <w:tcPr>
            <w:tcW w:w="2450" w:type="pct"/>
            <w:hideMark/>
          </w:tcPr>
          <w:p w:rsidR="00000000" w:rsidRDefault="00C9700C">
            <w:pPr>
              <w:jc w:val="center"/>
              <w:rPr>
                <w:rFonts w:eastAsia="Times New Roman"/>
                <w:sz w:val="20"/>
                <w:szCs w:val="20"/>
              </w:rPr>
            </w:pPr>
            <w:r>
              <w:rPr>
                <w:rFonts w:eastAsia="Times New Roman"/>
                <w:b/>
                <w:bCs/>
                <w:sz w:val="20"/>
                <w:szCs w:val="20"/>
              </w:rPr>
              <w:t>22-3832302</w:t>
            </w:r>
          </w:p>
        </w:tc>
      </w:tr>
      <w:tr w:rsidR="00000000">
        <w:tc>
          <w:tcPr>
            <w:tcW w:w="0" w:type="auto"/>
            <w:hideMark/>
          </w:tcPr>
          <w:p w:rsidR="00000000" w:rsidRDefault="00C9700C">
            <w:pPr>
              <w:pStyle w:val="a3"/>
              <w:spacing w:before="0" w:beforeAutospacing="0" w:after="0" w:afterAutospacing="0"/>
              <w:jc w:val="center"/>
              <w:rPr>
                <w:sz w:val="20"/>
                <w:szCs w:val="20"/>
              </w:rPr>
            </w:pPr>
            <w:r>
              <w:rPr>
                <w:i/>
                <w:iCs/>
                <w:sz w:val="20"/>
                <w:szCs w:val="20"/>
              </w:rPr>
              <w:t>(State or other jurisdiction of</w:t>
            </w:r>
          </w:p>
          <w:p w:rsidR="00000000" w:rsidRDefault="00C9700C">
            <w:pPr>
              <w:pStyle w:val="a3"/>
              <w:spacing w:before="0" w:beforeAutospacing="0" w:after="0" w:afterAutospacing="0"/>
              <w:jc w:val="center"/>
              <w:rPr>
                <w:sz w:val="20"/>
                <w:szCs w:val="20"/>
              </w:rPr>
            </w:pPr>
            <w:r>
              <w:rPr>
                <w:i/>
                <w:iCs/>
                <w:sz w:val="20"/>
                <w:szCs w:val="20"/>
              </w:rPr>
              <w:t>incorporation or organization)</w:t>
            </w:r>
          </w:p>
        </w:tc>
        <w:tc>
          <w:tcPr>
            <w:tcW w:w="0" w:type="auto"/>
            <w:hideMark/>
          </w:tcPr>
          <w:p w:rsidR="00000000" w:rsidRDefault="00C9700C">
            <w:pPr>
              <w:jc w:val="center"/>
              <w:rPr>
                <w:rFonts w:eastAsia="Times New Roman"/>
                <w:sz w:val="20"/>
                <w:szCs w:val="20"/>
              </w:rPr>
            </w:pPr>
            <w:r>
              <w:rPr>
                <w:rFonts w:eastAsia="Times New Roman"/>
                <w:sz w:val="20"/>
                <w:szCs w:val="20"/>
              </w:rPr>
              <w:t> </w:t>
            </w:r>
          </w:p>
        </w:tc>
        <w:tc>
          <w:tcPr>
            <w:tcW w:w="0" w:type="auto"/>
            <w:hideMark/>
          </w:tcPr>
          <w:p w:rsidR="00000000" w:rsidRDefault="00C9700C">
            <w:pPr>
              <w:pStyle w:val="a3"/>
              <w:spacing w:before="0" w:beforeAutospacing="0" w:after="0" w:afterAutospacing="0"/>
              <w:jc w:val="center"/>
              <w:rPr>
                <w:sz w:val="20"/>
                <w:szCs w:val="20"/>
              </w:rPr>
            </w:pPr>
            <w:r>
              <w:rPr>
                <w:i/>
                <w:iCs/>
                <w:sz w:val="20"/>
                <w:szCs w:val="20"/>
              </w:rPr>
              <w:t>(I.R.S. Employer</w:t>
            </w:r>
          </w:p>
          <w:p w:rsidR="00000000" w:rsidRDefault="00C9700C">
            <w:pPr>
              <w:pStyle w:val="a3"/>
              <w:spacing w:before="0" w:beforeAutospacing="0" w:after="0" w:afterAutospacing="0"/>
              <w:jc w:val="center"/>
              <w:rPr>
                <w:sz w:val="20"/>
                <w:szCs w:val="20"/>
              </w:rPr>
            </w:pPr>
            <w:r>
              <w:rPr>
                <w:i/>
                <w:iCs/>
                <w:sz w:val="20"/>
                <w:szCs w:val="20"/>
              </w:rPr>
              <w:t>Identification Number)</w:t>
            </w:r>
          </w:p>
        </w:tc>
      </w:tr>
    </w:tbl>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hideMark/>
          </w:tcPr>
          <w:p w:rsidR="00000000" w:rsidRDefault="00C9700C">
            <w:pPr>
              <w:pStyle w:val="a3"/>
              <w:spacing w:before="0" w:beforeAutospacing="0" w:after="0" w:afterAutospacing="0"/>
              <w:jc w:val="center"/>
              <w:rPr>
                <w:sz w:val="20"/>
                <w:szCs w:val="20"/>
              </w:rPr>
            </w:pPr>
            <w:r>
              <w:rPr>
                <w:b/>
                <w:bCs/>
                <w:sz w:val="20"/>
                <w:szCs w:val="20"/>
              </w:rPr>
              <w:t xml:space="preserve">7 </w:t>
            </w:r>
            <w:r>
              <w:rPr>
                <w:b/>
                <w:bCs/>
                <w:sz w:val="20"/>
                <w:szCs w:val="20"/>
              </w:rPr>
              <w:t>Clyde Road</w:t>
            </w:r>
          </w:p>
          <w:p w:rsidR="00000000" w:rsidRDefault="00C9700C">
            <w:pPr>
              <w:pStyle w:val="a3"/>
              <w:spacing w:before="0" w:beforeAutospacing="0" w:after="0" w:afterAutospacing="0"/>
              <w:jc w:val="center"/>
              <w:rPr>
                <w:sz w:val="20"/>
                <w:szCs w:val="20"/>
              </w:rPr>
            </w:pPr>
            <w:r>
              <w:rPr>
                <w:b/>
                <w:bCs/>
                <w:sz w:val="20"/>
                <w:szCs w:val="20"/>
              </w:rPr>
              <w:t>Somerset, New Jersey</w:t>
            </w:r>
          </w:p>
        </w:tc>
        <w:tc>
          <w:tcPr>
            <w:tcW w:w="100" w:type="pct"/>
            <w:hideMark/>
          </w:tcPr>
          <w:p w:rsidR="00000000" w:rsidRDefault="00C9700C">
            <w:pPr>
              <w:jc w:val="center"/>
              <w:rPr>
                <w:rFonts w:eastAsia="Times New Roman"/>
                <w:sz w:val="20"/>
                <w:szCs w:val="20"/>
              </w:rPr>
            </w:pPr>
            <w:r>
              <w:rPr>
                <w:rFonts w:eastAsia="Times New Roman"/>
                <w:sz w:val="20"/>
                <w:szCs w:val="20"/>
              </w:rPr>
              <w:t> </w:t>
            </w:r>
          </w:p>
        </w:tc>
        <w:tc>
          <w:tcPr>
            <w:tcW w:w="2450" w:type="pct"/>
            <w:hideMark/>
          </w:tcPr>
          <w:p w:rsidR="00000000" w:rsidRDefault="00C9700C">
            <w:pPr>
              <w:pStyle w:val="a3"/>
              <w:spacing w:before="0" w:beforeAutospacing="0" w:after="0" w:afterAutospacing="0"/>
              <w:jc w:val="center"/>
              <w:rPr>
                <w:sz w:val="20"/>
                <w:szCs w:val="20"/>
              </w:rPr>
            </w:pPr>
            <w:r>
              <w:rPr>
                <w:b/>
                <w:bCs/>
                <w:sz w:val="20"/>
                <w:szCs w:val="20"/>
              </w:rPr>
              <w:t> </w:t>
            </w:r>
          </w:p>
          <w:p w:rsidR="00000000" w:rsidRDefault="00C9700C">
            <w:pPr>
              <w:pStyle w:val="a3"/>
              <w:spacing w:before="0" w:beforeAutospacing="0" w:after="0" w:afterAutospacing="0"/>
              <w:jc w:val="center"/>
              <w:rPr>
                <w:sz w:val="20"/>
                <w:szCs w:val="20"/>
              </w:rPr>
            </w:pPr>
            <w:r>
              <w:rPr>
                <w:b/>
                <w:bCs/>
                <w:sz w:val="20"/>
                <w:szCs w:val="20"/>
              </w:rPr>
              <w:t>08873</w:t>
            </w:r>
          </w:p>
        </w:tc>
      </w:tr>
      <w:tr w:rsidR="00000000">
        <w:tc>
          <w:tcPr>
            <w:tcW w:w="0" w:type="auto"/>
            <w:hideMark/>
          </w:tcPr>
          <w:p w:rsidR="00000000" w:rsidRDefault="00C9700C">
            <w:pPr>
              <w:jc w:val="center"/>
              <w:rPr>
                <w:rFonts w:eastAsia="Times New Roman"/>
                <w:sz w:val="20"/>
                <w:szCs w:val="20"/>
              </w:rPr>
            </w:pPr>
            <w:r>
              <w:rPr>
                <w:rFonts w:eastAsia="Times New Roman"/>
                <w:i/>
                <w:iCs/>
                <w:sz w:val="20"/>
                <w:szCs w:val="20"/>
              </w:rPr>
              <w:t>(Address of principal executive offices)</w:t>
            </w:r>
          </w:p>
        </w:tc>
        <w:tc>
          <w:tcPr>
            <w:tcW w:w="0" w:type="auto"/>
            <w:hideMark/>
          </w:tcPr>
          <w:p w:rsidR="00000000" w:rsidRDefault="00C9700C">
            <w:pPr>
              <w:jc w:val="cente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i/>
                <w:iCs/>
                <w:sz w:val="20"/>
                <w:szCs w:val="20"/>
              </w:rPr>
              <w:t>(Zip Code)</w:t>
            </w:r>
          </w:p>
        </w:tc>
      </w:tr>
    </w:tbl>
    <w:p w:rsidR="00000000" w:rsidRDefault="00C9700C">
      <w:pPr>
        <w:pStyle w:val="a3"/>
        <w:spacing w:before="0" w:beforeAutospacing="0" w:after="0" w:afterAutospacing="0"/>
        <w:jc w:val="center"/>
        <w:rPr>
          <w:sz w:val="20"/>
          <w:szCs w:val="20"/>
        </w:rPr>
      </w:pPr>
      <w:r>
        <w:rPr>
          <w:b/>
          <w:bCs/>
          <w:sz w:val="20"/>
          <w:szCs w:val="20"/>
        </w:rPr>
        <w:t> </w:t>
      </w:r>
    </w:p>
    <w:p w:rsidR="00000000" w:rsidRDefault="00C9700C">
      <w:pPr>
        <w:pStyle w:val="a3"/>
        <w:spacing w:before="0" w:beforeAutospacing="0" w:after="0" w:afterAutospacing="0"/>
        <w:jc w:val="center"/>
        <w:rPr>
          <w:sz w:val="20"/>
          <w:szCs w:val="20"/>
        </w:rPr>
      </w:pPr>
      <w:r>
        <w:rPr>
          <w:b/>
          <w:bCs/>
          <w:sz w:val="20"/>
          <w:szCs w:val="20"/>
        </w:rPr>
        <w:t>(732) 873-5133</w:t>
      </w:r>
    </w:p>
    <w:p w:rsidR="00000000" w:rsidRDefault="00C9700C">
      <w:pPr>
        <w:pStyle w:val="a3"/>
        <w:spacing w:before="0" w:beforeAutospacing="0" w:after="0" w:afterAutospacing="0"/>
        <w:jc w:val="center"/>
        <w:rPr>
          <w:sz w:val="20"/>
          <w:szCs w:val="20"/>
        </w:rPr>
      </w:pPr>
      <w:r>
        <w:rPr>
          <w:i/>
          <w:iCs/>
          <w:sz w:val="20"/>
          <w:szCs w:val="20"/>
        </w:rPr>
        <w:t>(Registrant’s telephone number, including area code)</w:t>
      </w:r>
    </w:p>
    <w:p w:rsidR="00000000" w:rsidRDefault="00C9700C">
      <w:pPr>
        <w:pStyle w:val="a3"/>
        <w:spacing w:before="0" w:beforeAutospacing="0" w:after="0" w:afterAutospacing="0"/>
        <w:jc w:val="center"/>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Indicate </w:t>
      </w:r>
      <w:r>
        <w:rPr>
          <w:sz w:val="20"/>
          <w:szCs w:val="20"/>
        </w:rPr>
        <w:t>by check mark whether the registrant (1) has filed all reports required to be filed by Section 13 or 15(d) of the Securities Exchange Act of 1934 during the preceding 12 months (or for such shorter period that the registrant was required to file such repor</w:t>
      </w:r>
      <w:r>
        <w:rPr>
          <w:sz w:val="20"/>
          <w:szCs w:val="20"/>
        </w:rPr>
        <w:t>ts), and (2) has been subject to such filing requirements for the past 90 days. Yes [X] No [  ]</w:t>
      </w:r>
    </w:p>
    <w:p w:rsidR="00000000" w:rsidRDefault="00C9700C">
      <w:pPr>
        <w:pStyle w:val="a3"/>
        <w:spacing w:before="0" w:beforeAutospacing="0" w:after="0" w:afterAutospacing="0"/>
        <w:ind w:firstLine="275"/>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w:t>
      </w:r>
      <w:r>
        <w:rPr>
          <w:sz w:val="20"/>
          <w:szCs w:val="20"/>
        </w:rPr>
        <w:t>tion S-T (§232.405 of this chapter) during the preceding 12 months (or for such shorter period that the registrant was required to submit such files). Yes [X] No [  ]</w:t>
      </w:r>
    </w:p>
    <w:p w:rsidR="00000000" w:rsidRDefault="00C9700C">
      <w:pPr>
        <w:pStyle w:val="a3"/>
        <w:spacing w:before="0" w:beforeAutospacing="0" w:after="0" w:afterAutospacing="0"/>
        <w:ind w:firstLine="275"/>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Indicate by check mark whether the registrant is a large accelerated filer, an accelera</w:t>
      </w:r>
      <w:r>
        <w:rPr>
          <w:sz w:val="20"/>
          <w:szCs w:val="20"/>
        </w:rPr>
        <w:t xml:space="preserve">ted filer, a non-accelerated filer, a smaller reporting company, or an emerging growth company. See the definitions of “large accelerated filer,” “accelerated filer,” “smaller reporting company,” and “emerging growth company” in Rule 12b-2 of the Exchange </w:t>
      </w:r>
      <w:r>
        <w:rPr>
          <w:sz w:val="20"/>
          <w:szCs w:val="20"/>
        </w:rPr>
        <w:t>Act. (Check one):</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99"/>
        <w:gridCol w:w="2907"/>
      </w:tblGrid>
      <w:tr w:rsidR="00000000">
        <w:tc>
          <w:tcPr>
            <w:tcW w:w="3250" w:type="pct"/>
            <w:hideMark/>
          </w:tcPr>
          <w:p w:rsidR="00000000" w:rsidRDefault="00C9700C">
            <w:pPr>
              <w:rPr>
                <w:rFonts w:eastAsia="Times New Roman"/>
                <w:sz w:val="20"/>
                <w:szCs w:val="20"/>
              </w:rPr>
            </w:pPr>
            <w:r>
              <w:rPr>
                <w:rFonts w:eastAsia="Times New Roman"/>
                <w:sz w:val="20"/>
                <w:szCs w:val="20"/>
              </w:rPr>
              <w:lastRenderedPageBreak/>
              <w:t xml:space="preserve">Large accelerated filer </w:t>
            </w:r>
            <w:r>
              <w:rPr>
                <w:rFonts w:eastAsia="Times New Roman"/>
                <w:b/>
                <w:bCs/>
                <w:sz w:val="20"/>
                <w:szCs w:val="20"/>
              </w:rPr>
              <w:t>[  ]</w:t>
            </w:r>
          </w:p>
        </w:tc>
        <w:tc>
          <w:tcPr>
            <w:tcW w:w="1750" w:type="pct"/>
            <w:hideMark/>
          </w:tcPr>
          <w:p w:rsidR="00000000" w:rsidRDefault="00C9700C">
            <w:pPr>
              <w:rPr>
                <w:rFonts w:eastAsia="Times New Roman"/>
                <w:sz w:val="20"/>
                <w:szCs w:val="20"/>
              </w:rPr>
            </w:pPr>
            <w:r>
              <w:rPr>
                <w:rFonts w:eastAsia="Times New Roman"/>
                <w:sz w:val="20"/>
                <w:szCs w:val="20"/>
              </w:rPr>
              <w:t xml:space="preserve">Accelerated filer </w:t>
            </w:r>
            <w:r>
              <w:rPr>
                <w:rFonts w:eastAsia="Times New Roman"/>
                <w:b/>
                <w:bCs/>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xml:space="preserve">Non-Accelerated filer </w:t>
            </w:r>
            <w:r>
              <w:rPr>
                <w:rFonts w:eastAsia="Times New Roman"/>
                <w:b/>
                <w:bCs/>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Smaller reporting company [X]</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Emerging growth company [X]</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jc w:val="center"/>
        <w:divId w:val="313026401"/>
        <w:rPr>
          <w:rFonts w:eastAsia="Times New Roman"/>
          <w:sz w:val="2"/>
          <w:szCs w:val="2"/>
        </w:rPr>
      </w:pPr>
      <w:r>
        <w:rPr>
          <w:rFonts w:eastAsia="Times New Roman"/>
          <w:sz w:val="2"/>
          <w:szCs w:val="2"/>
        </w:rPr>
        <w:t> </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[X]</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w:t>
      </w:r>
      <w:r>
        <w:rPr>
          <w:sz w:val="20"/>
          <w:szCs w:val="20"/>
        </w:rPr>
        <w:t>dicate by check mark whether the registrant is a shell company (as defined in Rule 12b-2 of the Exchange Act). Yes [  ] No [X]</w:t>
      </w:r>
    </w:p>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Securities registered pursuant to Section 12(b) of the Act:</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83"/>
        <w:gridCol w:w="1661"/>
        <w:gridCol w:w="83"/>
        <w:gridCol w:w="3322"/>
      </w:tblGrid>
      <w:tr w:rsidR="00000000">
        <w:tc>
          <w:tcPr>
            <w:tcW w:w="1900" w:type="pct"/>
            <w:tcBorders>
              <w:bottom w:val="single" w:sz="12" w:space="0" w:color="000000"/>
            </w:tcBorders>
            <w:hideMark/>
          </w:tcPr>
          <w:p w:rsidR="00000000" w:rsidRDefault="00C9700C">
            <w:pPr>
              <w:jc w:val="center"/>
              <w:rPr>
                <w:rFonts w:eastAsia="Times New Roman"/>
                <w:sz w:val="20"/>
                <w:szCs w:val="20"/>
              </w:rPr>
            </w:pPr>
            <w:r>
              <w:rPr>
                <w:rFonts w:eastAsia="Times New Roman"/>
                <w:sz w:val="20"/>
                <w:szCs w:val="20"/>
              </w:rPr>
              <w:t>Title of each class</w:t>
            </w:r>
          </w:p>
        </w:tc>
        <w:tc>
          <w:tcPr>
            <w:tcW w:w="50" w:type="pct"/>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 </w:t>
            </w:r>
          </w:p>
        </w:tc>
        <w:tc>
          <w:tcPr>
            <w:tcW w:w="1000" w:type="pct"/>
            <w:tcBorders>
              <w:bottom w:val="single" w:sz="12" w:space="0" w:color="000000"/>
            </w:tcBorders>
            <w:hideMark/>
          </w:tcPr>
          <w:p w:rsidR="00000000" w:rsidRDefault="00C9700C">
            <w:pPr>
              <w:jc w:val="center"/>
              <w:rPr>
                <w:rFonts w:eastAsia="Times New Roman"/>
                <w:sz w:val="20"/>
                <w:szCs w:val="20"/>
              </w:rPr>
            </w:pPr>
            <w:r>
              <w:rPr>
                <w:rFonts w:eastAsia="Times New Roman"/>
                <w:sz w:val="20"/>
                <w:szCs w:val="20"/>
              </w:rPr>
              <w:t>Trading Symbol(s)</w:t>
            </w:r>
          </w:p>
        </w:tc>
        <w:tc>
          <w:tcPr>
            <w:tcW w:w="50" w:type="pct"/>
            <w:tcMar>
              <w:top w:w="0" w:type="dxa"/>
              <w:left w:w="0" w:type="dxa"/>
              <w:bottom w:w="30" w:type="dxa"/>
              <w:right w:w="0" w:type="dxa"/>
            </w:tcMar>
            <w:hideMark/>
          </w:tcPr>
          <w:p w:rsidR="00000000" w:rsidRDefault="00C9700C">
            <w:pPr>
              <w:jc w:val="center"/>
              <w:rPr>
                <w:rFonts w:eastAsia="Times New Roman"/>
                <w:sz w:val="20"/>
                <w:szCs w:val="20"/>
              </w:rPr>
            </w:pPr>
            <w:r>
              <w:rPr>
                <w:rFonts w:eastAsia="Times New Roman"/>
                <w:sz w:val="20"/>
                <w:szCs w:val="20"/>
              </w:rPr>
              <w:t> </w:t>
            </w:r>
          </w:p>
        </w:tc>
        <w:tc>
          <w:tcPr>
            <w:tcW w:w="2000" w:type="pct"/>
            <w:tcBorders>
              <w:bottom w:val="single" w:sz="12" w:space="0" w:color="000000"/>
            </w:tcBorders>
            <w:hideMark/>
          </w:tcPr>
          <w:p w:rsidR="00000000" w:rsidRDefault="00C9700C">
            <w:pPr>
              <w:jc w:val="center"/>
              <w:rPr>
                <w:rFonts w:eastAsia="Times New Roman"/>
                <w:sz w:val="20"/>
                <w:szCs w:val="20"/>
              </w:rPr>
            </w:pPr>
            <w:r>
              <w:rPr>
                <w:rFonts w:eastAsia="Times New Roman"/>
                <w:sz w:val="20"/>
                <w:szCs w:val="20"/>
              </w:rPr>
              <w:t xml:space="preserve">Name </w:t>
            </w:r>
            <w:r>
              <w:rPr>
                <w:rFonts w:eastAsia="Times New Roman"/>
                <w:sz w:val="20"/>
                <w:szCs w:val="20"/>
              </w:rPr>
              <w:t>of each exchange on which registered</w:t>
            </w:r>
          </w:p>
        </w:tc>
      </w:tr>
      <w:tr w:rsidR="00000000">
        <w:tc>
          <w:tcPr>
            <w:tcW w:w="0" w:type="auto"/>
            <w:hideMark/>
          </w:tcPr>
          <w:p w:rsidR="00000000" w:rsidRDefault="00C9700C">
            <w:pPr>
              <w:jc w:val="center"/>
              <w:rPr>
                <w:rFonts w:eastAsia="Times New Roman"/>
                <w:sz w:val="20"/>
                <w:szCs w:val="20"/>
              </w:rPr>
            </w:pPr>
            <w:r>
              <w:rPr>
                <w:rFonts w:eastAsia="Times New Roman"/>
                <w:sz w:val="20"/>
                <w:szCs w:val="20"/>
              </w:rPr>
              <w:t>Common Stock, par value $0.001 per share</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MTBC</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Nasdaq Global Market</w:t>
            </w:r>
          </w:p>
        </w:tc>
      </w:tr>
      <w:tr w:rsidR="00000000">
        <w:tc>
          <w:tcPr>
            <w:tcW w:w="0" w:type="auto"/>
            <w:hideMark/>
          </w:tcPr>
          <w:p w:rsidR="00000000" w:rsidRDefault="00C9700C">
            <w:pPr>
              <w:jc w:val="center"/>
              <w:rPr>
                <w:rFonts w:eastAsia="Times New Roman"/>
                <w:sz w:val="20"/>
                <w:szCs w:val="20"/>
              </w:rPr>
            </w:pPr>
            <w:r>
              <w:rPr>
                <w:rFonts w:eastAsia="Times New Roman"/>
                <w:sz w:val="20"/>
                <w:szCs w:val="20"/>
              </w:rPr>
              <w:t>Series A Preferred Stock, par value $0.001 per share</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MTBCP</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Nasdaq Global Market</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rPr>
          <w:sz w:val="20"/>
          <w:szCs w:val="20"/>
        </w:rPr>
      </w:pPr>
      <w:r>
        <w:rPr>
          <w:sz w:val="20"/>
          <w:szCs w:val="20"/>
        </w:rPr>
        <w:t>At May 6, 2019, the registrant had 12,028,242 shares of com</w:t>
      </w:r>
      <w:r>
        <w:rPr>
          <w:sz w:val="20"/>
          <w:szCs w:val="20"/>
        </w:rPr>
        <w:t>mon stock, par value $0.001 per share, outstanding.</w:t>
      </w:r>
    </w:p>
    <w:p w:rsidR="00000000" w:rsidRDefault="00C9700C">
      <w:pPr>
        <w:pStyle w:val="a3"/>
        <w:spacing w:before="0" w:beforeAutospacing="0" w:after="0" w:afterAutospacing="0"/>
        <w:rPr>
          <w:sz w:val="20"/>
          <w:szCs w:val="20"/>
        </w:rPr>
      </w:pPr>
      <w:r>
        <w:rPr>
          <w:sz w:val="20"/>
          <w:szCs w:val="20"/>
        </w:rPr>
        <w:t> </w:t>
      </w:r>
    </w:p>
    <w:p w:rsidR="00000000" w:rsidRDefault="00C9700C">
      <w:pPr>
        <w:divId w:val="1825581965"/>
        <w:rPr>
          <w:rFonts w:eastAsia="Times New Roman"/>
          <w:sz w:val="2"/>
          <w:szCs w:val="2"/>
        </w:rPr>
      </w:pPr>
      <w:r>
        <w:rPr>
          <w:rFonts w:eastAsia="Times New Roman"/>
          <w:sz w:val="2"/>
          <w:szCs w:val="2"/>
        </w:rPr>
        <w:t> </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76931403"/>
        </w:trPr>
        <w:tc>
          <w:tcPr>
            <w:tcW w:w="5000" w:type="pct"/>
            <w:hideMark/>
          </w:tcPr>
          <w:p w:rsidR="00000000" w:rsidRDefault="00C9700C">
            <w:pP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20"/>
          <w:szCs w:val="20"/>
        </w:rPr>
        <w:t>INDEX</w:t>
      </w:r>
    </w:p>
    <w:p w:rsidR="00000000" w:rsidRDefault="00C9700C">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64"/>
        <w:gridCol w:w="6722"/>
        <w:gridCol w:w="720"/>
      </w:tblGrid>
      <w:tr w:rsidR="00000000">
        <w:tc>
          <w:tcPr>
            <w:tcW w:w="864" w:type="dxa"/>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 </w:t>
            </w:r>
          </w:p>
        </w:tc>
        <w:tc>
          <w:tcPr>
            <w:tcW w:w="720" w:type="dxa"/>
            <w:tcBorders>
              <w:bottom w:val="single" w:sz="12" w:space="0" w:color="000000"/>
            </w:tcBorders>
            <w:hideMark/>
          </w:tcPr>
          <w:p w:rsidR="00000000" w:rsidRDefault="00C9700C">
            <w:pPr>
              <w:jc w:val="center"/>
              <w:rPr>
                <w:rFonts w:eastAsia="Times New Roman"/>
                <w:sz w:val="20"/>
                <w:szCs w:val="20"/>
              </w:rPr>
            </w:pPr>
            <w:r>
              <w:rPr>
                <w:rFonts w:eastAsia="Times New Roman"/>
                <w:sz w:val="20"/>
                <w:szCs w:val="20"/>
              </w:rPr>
              <w:t>Page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C9700C">
            <w:pPr>
              <w:rPr>
                <w:rFonts w:eastAsia="Times New Roman"/>
                <w:sz w:val="20"/>
                <w:szCs w:val="20"/>
              </w:rPr>
            </w:pPr>
            <w:hyperlink w:anchor="t_001" w:history="1">
              <w:r>
                <w:rPr>
                  <w:rStyle w:val="a4"/>
                  <w:rFonts w:eastAsia="Times New Roman"/>
                  <w:sz w:val="20"/>
                  <w:szCs w:val="20"/>
                </w:rPr>
                <w:t>Forward-Looking Statements</w:t>
              </w:r>
            </w:hyperlink>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2</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9700C">
            <w:pPr>
              <w:jc w:val="center"/>
              <w:rPr>
                <w:rFonts w:eastAsia="Times New Roman"/>
                <w:sz w:val="20"/>
                <w:szCs w:val="20"/>
              </w:rPr>
            </w:pPr>
            <w:hyperlink w:anchor="t_002" w:history="1">
              <w:r>
                <w:rPr>
                  <w:rStyle w:val="a4"/>
                  <w:rFonts w:eastAsia="Times New Roman"/>
                  <w:b/>
                  <w:bCs/>
                  <w:sz w:val="20"/>
                  <w:szCs w:val="20"/>
                </w:rPr>
                <w:t>PART I. FINANCIAL INFORMATION</w:t>
              </w:r>
            </w:hyperlink>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C9700C">
            <w:pPr>
              <w:rPr>
                <w:rFonts w:eastAsia="Times New Roman"/>
                <w:sz w:val="20"/>
                <w:szCs w:val="20"/>
              </w:rPr>
            </w:pPr>
            <w:hyperlink w:anchor="t_003" w:history="1">
              <w:r>
                <w:rPr>
                  <w:rStyle w:val="a4"/>
                  <w:rFonts w:eastAsia="Times New Roman"/>
                  <w:sz w:val="20"/>
                  <w:szCs w:val="20"/>
                </w:rPr>
                <w:t>Condensed Consolidated Financial Statements (Unaudited)</w:t>
              </w:r>
            </w:hyperlink>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3</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200" w:type="dxa"/>
              <w:bottom w:w="0" w:type="dxa"/>
              <w:right w:w="0" w:type="dxa"/>
            </w:tcMar>
            <w:hideMark/>
          </w:tcPr>
          <w:p w:rsidR="00000000" w:rsidRDefault="00C9700C">
            <w:pPr>
              <w:rPr>
                <w:rFonts w:eastAsia="Times New Roman"/>
                <w:sz w:val="20"/>
                <w:szCs w:val="20"/>
              </w:rPr>
            </w:pPr>
            <w:hyperlink w:anchor="t_004" w:history="1">
              <w:r>
                <w:rPr>
                  <w:rStyle w:val="a4"/>
                  <w:rFonts w:eastAsia="Times New Roman"/>
                  <w:sz w:val="20"/>
                  <w:szCs w:val="20"/>
                </w:rPr>
                <w:t>Condensed Consolidated Balance Sheets at March 31, 2019 and December 31, 2018</w:t>
              </w:r>
            </w:hyperlink>
          </w:p>
        </w:tc>
        <w:tc>
          <w:tcPr>
            <w:tcW w:w="0" w:type="auto"/>
            <w:shd w:val="clear" w:color="auto" w:fill="FFFFFF"/>
            <w:vAlign w:val="bottom"/>
            <w:hideMark/>
          </w:tcPr>
          <w:p w:rsidR="00000000" w:rsidRDefault="00C9700C">
            <w:pPr>
              <w:jc w:val="center"/>
              <w:rPr>
                <w:rFonts w:eastAsia="Times New Roman"/>
                <w:sz w:val="20"/>
                <w:szCs w:val="20"/>
              </w:rPr>
            </w:pPr>
            <w:r>
              <w:rPr>
                <w:rFonts w:eastAsia="Times New Roman"/>
                <w:sz w:val="20"/>
                <w:szCs w:val="20"/>
              </w:rPr>
              <w:t>3</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rsidR="00000000" w:rsidRDefault="00C9700C">
            <w:pPr>
              <w:rPr>
                <w:rFonts w:eastAsia="Times New Roman"/>
                <w:sz w:val="20"/>
                <w:szCs w:val="20"/>
              </w:rPr>
            </w:pPr>
            <w:hyperlink w:anchor="t_005" w:history="1">
              <w:r>
                <w:rPr>
                  <w:rStyle w:val="a4"/>
                  <w:rFonts w:eastAsia="Times New Roman"/>
                  <w:sz w:val="20"/>
                  <w:szCs w:val="20"/>
                </w:rPr>
                <w:t xml:space="preserve">Condensed </w:t>
              </w:r>
              <w:r>
                <w:rPr>
                  <w:rStyle w:val="a4"/>
                  <w:rFonts w:eastAsia="Times New Roman"/>
                  <w:sz w:val="20"/>
                  <w:szCs w:val="20"/>
                </w:rPr>
                <w:t>Consolidated Statements of Operations for the three months ended March 31, 2019 and 2018</w:t>
              </w:r>
            </w:hyperlink>
          </w:p>
        </w:tc>
        <w:tc>
          <w:tcPr>
            <w:tcW w:w="0" w:type="auto"/>
            <w:shd w:val="clear" w:color="auto" w:fill="CCEEFF"/>
            <w:vAlign w:val="bottom"/>
            <w:hideMark/>
          </w:tcPr>
          <w:p w:rsidR="00000000" w:rsidRDefault="00C9700C">
            <w:pPr>
              <w:jc w:val="center"/>
              <w:rPr>
                <w:rFonts w:eastAsia="Times New Roman"/>
                <w:sz w:val="20"/>
                <w:szCs w:val="20"/>
              </w:rPr>
            </w:pPr>
            <w:r>
              <w:rPr>
                <w:rFonts w:eastAsia="Times New Roman"/>
                <w:sz w:val="20"/>
                <w:szCs w:val="20"/>
              </w:rPr>
              <w:t>4</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200" w:type="dxa"/>
              <w:bottom w:w="0" w:type="dxa"/>
              <w:right w:w="0" w:type="dxa"/>
            </w:tcMar>
            <w:hideMark/>
          </w:tcPr>
          <w:p w:rsidR="00000000" w:rsidRDefault="00C9700C">
            <w:pPr>
              <w:rPr>
                <w:rFonts w:eastAsia="Times New Roman"/>
                <w:sz w:val="20"/>
                <w:szCs w:val="20"/>
              </w:rPr>
            </w:pPr>
            <w:hyperlink w:anchor="t_006" w:history="1">
              <w:r>
                <w:rPr>
                  <w:rStyle w:val="a4"/>
                  <w:rFonts w:eastAsia="Times New Roman"/>
                  <w:sz w:val="20"/>
                  <w:szCs w:val="20"/>
                </w:rPr>
                <w:t>Condensed Consolidated Statements of Comprehensive Loss for the three months ended March 31, 2019 and 2018</w:t>
              </w:r>
            </w:hyperlink>
          </w:p>
        </w:tc>
        <w:tc>
          <w:tcPr>
            <w:tcW w:w="0" w:type="auto"/>
            <w:shd w:val="clear" w:color="auto" w:fill="FFFFFF"/>
            <w:vAlign w:val="bottom"/>
            <w:hideMark/>
          </w:tcPr>
          <w:p w:rsidR="00000000" w:rsidRDefault="00C9700C">
            <w:pPr>
              <w:jc w:val="center"/>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rsidR="00000000" w:rsidRDefault="00C9700C">
            <w:pPr>
              <w:rPr>
                <w:rFonts w:eastAsia="Times New Roman"/>
                <w:sz w:val="20"/>
                <w:szCs w:val="20"/>
              </w:rPr>
            </w:pPr>
            <w:hyperlink w:anchor="t_007" w:history="1">
              <w:r>
                <w:rPr>
                  <w:rStyle w:val="a4"/>
                  <w:rFonts w:eastAsia="Times New Roman"/>
                  <w:sz w:val="20"/>
                  <w:szCs w:val="20"/>
                </w:rPr>
                <w:t>Condensed Consolidated Statements of Shareholders’ Equity for the three months ended March 31, 2019 and March 31, 2018</w:t>
              </w:r>
            </w:hyperlink>
          </w:p>
        </w:tc>
        <w:tc>
          <w:tcPr>
            <w:tcW w:w="0" w:type="auto"/>
            <w:shd w:val="clear" w:color="auto" w:fill="CCEEFF"/>
            <w:vAlign w:val="bottom"/>
            <w:hideMark/>
          </w:tcPr>
          <w:p w:rsidR="00000000" w:rsidRDefault="00C9700C">
            <w:pPr>
              <w:jc w:val="center"/>
              <w:rPr>
                <w:rFonts w:eastAsia="Times New Roman"/>
                <w:sz w:val="20"/>
                <w:szCs w:val="20"/>
              </w:rPr>
            </w:pPr>
            <w:r>
              <w:rPr>
                <w:rFonts w:eastAsia="Times New Roman"/>
                <w:sz w:val="20"/>
                <w:szCs w:val="20"/>
              </w:rPr>
              <w:t>6</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200" w:type="dxa"/>
              <w:bottom w:w="0" w:type="dxa"/>
              <w:right w:w="0" w:type="dxa"/>
            </w:tcMar>
            <w:hideMark/>
          </w:tcPr>
          <w:p w:rsidR="00000000" w:rsidRDefault="00C9700C">
            <w:pPr>
              <w:rPr>
                <w:rFonts w:eastAsia="Times New Roman"/>
                <w:sz w:val="20"/>
                <w:szCs w:val="20"/>
              </w:rPr>
            </w:pPr>
            <w:hyperlink w:anchor="t_008" w:history="1">
              <w:r>
                <w:rPr>
                  <w:rStyle w:val="a4"/>
                  <w:rFonts w:eastAsia="Times New Roman"/>
                  <w:sz w:val="20"/>
                  <w:szCs w:val="20"/>
                </w:rPr>
                <w:t>Condensed Consolidated Statements of Cash Flows for the three months ended March 31, 2019 and 2018</w:t>
              </w:r>
            </w:hyperlink>
          </w:p>
        </w:tc>
        <w:tc>
          <w:tcPr>
            <w:tcW w:w="0" w:type="auto"/>
            <w:shd w:val="clear" w:color="auto" w:fill="FFFFFF"/>
            <w:vAlign w:val="bottom"/>
            <w:hideMark/>
          </w:tcPr>
          <w:p w:rsidR="00000000" w:rsidRDefault="00C9700C">
            <w:pPr>
              <w:jc w:val="center"/>
              <w:rPr>
                <w:rFonts w:eastAsia="Times New Roman"/>
                <w:sz w:val="20"/>
                <w:szCs w:val="20"/>
              </w:rPr>
            </w:pPr>
            <w:r>
              <w:rPr>
                <w:rFonts w:eastAsia="Times New Roman"/>
                <w:sz w:val="20"/>
                <w:szCs w:val="20"/>
              </w:rPr>
              <w:t>7</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rsidR="00000000" w:rsidRDefault="00C9700C">
            <w:pPr>
              <w:rPr>
                <w:rFonts w:eastAsia="Times New Roman"/>
                <w:sz w:val="20"/>
                <w:szCs w:val="20"/>
              </w:rPr>
            </w:pPr>
            <w:hyperlink w:anchor="t_009" w:history="1">
              <w:r>
                <w:rPr>
                  <w:rStyle w:val="a4"/>
                  <w:rFonts w:eastAsia="Times New Roman"/>
                  <w:sz w:val="20"/>
                  <w:szCs w:val="20"/>
                </w:rPr>
                <w:t>Notes to Condensed Consolidated Financial Statements</w:t>
              </w:r>
            </w:hyperlink>
          </w:p>
        </w:tc>
        <w:tc>
          <w:tcPr>
            <w:tcW w:w="0" w:type="auto"/>
            <w:shd w:val="clear" w:color="auto" w:fill="CCEEFF"/>
            <w:vAlign w:val="bottom"/>
            <w:hideMark/>
          </w:tcPr>
          <w:p w:rsidR="00000000" w:rsidRDefault="00C9700C">
            <w:pPr>
              <w:jc w:val="center"/>
              <w:rPr>
                <w:rFonts w:eastAsia="Times New Roman"/>
                <w:sz w:val="20"/>
                <w:szCs w:val="20"/>
              </w:rPr>
            </w:pPr>
            <w:r>
              <w:rPr>
                <w:rFonts w:eastAsia="Times New Roman"/>
                <w:sz w:val="20"/>
                <w:szCs w:val="20"/>
              </w:rPr>
              <w:t>8</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C9700C">
            <w:pPr>
              <w:rPr>
                <w:rFonts w:eastAsia="Times New Roman"/>
                <w:sz w:val="20"/>
                <w:szCs w:val="20"/>
              </w:rPr>
            </w:pPr>
            <w:hyperlink w:anchor="t_010" w:history="1">
              <w:r>
                <w:rPr>
                  <w:rStyle w:val="a4"/>
                  <w:rFonts w:eastAsia="Times New Roman"/>
                  <w:sz w:val="20"/>
                  <w:szCs w:val="20"/>
                </w:rPr>
                <w:t>Management’s Discussion and Analysis of Financial Condition and Results of Operations</w:t>
              </w:r>
            </w:hyperlink>
          </w:p>
        </w:tc>
        <w:tc>
          <w:tcPr>
            <w:tcW w:w="0" w:type="auto"/>
            <w:shd w:val="clear" w:color="auto" w:fill="FFFFFF"/>
            <w:vAlign w:val="bottom"/>
            <w:hideMark/>
          </w:tcPr>
          <w:p w:rsidR="00000000" w:rsidRDefault="00C9700C">
            <w:pPr>
              <w:jc w:val="center"/>
              <w:rPr>
                <w:rFonts w:eastAsia="Times New Roman"/>
                <w:sz w:val="20"/>
                <w:szCs w:val="20"/>
              </w:rPr>
            </w:pPr>
            <w:r>
              <w:rPr>
                <w:rFonts w:eastAsia="Times New Roman"/>
                <w:sz w:val="20"/>
                <w:szCs w:val="20"/>
              </w:rPr>
              <w:t>22</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C9700C">
            <w:pPr>
              <w:rPr>
                <w:rFonts w:eastAsia="Times New Roman"/>
                <w:sz w:val="20"/>
                <w:szCs w:val="20"/>
              </w:rPr>
            </w:pPr>
            <w:hyperlink w:anchor="t_011" w:history="1">
              <w:r>
                <w:rPr>
                  <w:rStyle w:val="a4"/>
                  <w:rFonts w:eastAsia="Times New Roman"/>
                  <w:sz w:val="20"/>
                  <w:szCs w:val="20"/>
                </w:rPr>
                <w:t>Quan</w:t>
              </w:r>
              <w:r>
                <w:rPr>
                  <w:rStyle w:val="a4"/>
                  <w:rFonts w:eastAsia="Times New Roman"/>
                  <w:sz w:val="20"/>
                  <w:szCs w:val="20"/>
                </w:rPr>
                <w:t>titative and Qualitative Disclosures About Market Risk</w:t>
              </w:r>
            </w:hyperlink>
          </w:p>
        </w:tc>
        <w:tc>
          <w:tcPr>
            <w:tcW w:w="0" w:type="auto"/>
            <w:shd w:val="clear" w:color="auto" w:fill="CCEEFF"/>
            <w:vAlign w:val="bottom"/>
            <w:hideMark/>
          </w:tcPr>
          <w:p w:rsidR="00000000" w:rsidRDefault="00C9700C">
            <w:pPr>
              <w:jc w:val="center"/>
              <w:rPr>
                <w:rFonts w:eastAsia="Times New Roman"/>
                <w:sz w:val="20"/>
                <w:szCs w:val="20"/>
              </w:rPr>
            </w:pPr>
            <w:r>
              <w:rPr>
                <w:rFonts w:eastAsia="Times New Roman"/>
                <w:sz w:val="20"/>
                <w:szCs w:val="20"/>
              </w:rPr>
              <w:t>33</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C9700C">
            <w:pPr>
              <w:rPr>
                <w:rFonts w:eastAsia="Times New Roman"/>
                <w:sz w:val="20"/>
                <w:szCs w:val="20"/>
              </w:rPr>
            </w:pPr>
            <w:hyperlink w:anchor="t_012"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C9700C">
            <w:pPr>
              <w:jc w:val="center"/>
              <w:rPr>
                <w:rFonts w:eastAsia="Times New Roman"/>
                <w:sz w:val="20"/>
                <w:szCs w:val="20"/>
              </w:rPr>
            </w:pPr>
            <w:r>
              <w:rPr>
                <w:rFonts w:eastAsia="Times New Roman"/>
                <w:sz w:val="20"/>
                <w:szCs w:val="20"/>
              </w:rPr>
              <w:t>33</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center"/>
              <w:rPr>
                <w:rFonts w:eastAsia="Times New Roman"/>
                <w:sz w:val="20"/>
                <w:szCs w:val="20"/>
              </w:rPr>
            </w:pPr>
            <w:r>
              <w:rPr>
                <w:rFonts w:eastAsia="Times New Roman"/>
                <w:sz w:val="20"/>
                <w:szCs w:val="20"/>
              </w:rPr>
              <w:t> </w:t>
            </w:r>
          </w:p>
        </w:tc>
      </w:tr>
      <w:tr w:rsidR="00000000">
        <w:tc>
          <w:tcPr>
            <w:tcW w:w="864" w:type="dxa"/>
            <w:shd w:val="clear" w:color="auto" w:fill="FFFF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C9700C">
            <w:pPr>
              <w:jc w:val="center"/>
              <w:rPr>
                <w:rFonts w:eastAsia="Times New Roman"/>
                <w:sz w:val="20"/>
                <w:szCs w:val="20"/>
              </w:rPr>
            </w:pPr>
            <w:hyperlink w:anchor="t_013" w:history="1">
              <w:r>
                <w:rPr>
                  <w:rStyle w:val="a4"/>
                  <w:rFonts w:eastAsia="Times New Roman"/>
                  <w:b/>
                  <w:bCs/>
                  <w:sz w:val="20"/>
                  <w:szCs w:val="20"/>
                </w:rPr>
                <w:t>PART II. OTHER INFORMATION</w:t>
              </w:r>
            </w:hyperlink>
          </w:p>
        </w:tc>
        <w:tc>
          <w:tcPr>
            <w:tcW w:w="720" w:type="dxa"/>
            <w:shd w:val="clear" w:color="auto" w:fill="FFFFFF"/>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C9700C">
            <w:pPr>
              <w:rPr>
                <w:rFonts w:eastAsia="Times New Roman"/>
                <w:sz w:val="20"/>
                <w:szCs w:val="20"/>
              </w:rPr>
            </w:pPr>
            <w:hyperlink w:anchor="t_014" w:history="1">
              <w:r>
                <w:rPr>
                  <w:rStyle w:val="a4"/>
                  <w:rFonts w:eastAsia="Times New Roman"/>
                  <w:sz w:val="20"/>
                  <w:szCs w:val="20"/>
                </w:rPr>
                <w:t xml:space="preserve">Legal </w:t>
              </w:r>
              <w:r>
                <w:rPr>
                  <w:rStyle w:val="a4"/>
                  <w:rFonts w:eastAsia="Times New Roman"/>
                  <w:sz w:val="20"/>
                  <w:szCs w:val="20"/>
                </w:rPr>
                <w:t>Proceedings</w:t>
              </w:r>
            </w:hyperlink>
          </w:p>
        </w:tc>
        <w:tc>
          <w:tcPr>
            <w:tcW w:w="0" w:type="auto"/>
            <w:shd w:val="clear" w:color="auto" w:fill="FFFFFF"/>
            <w:hideMark/>
          </w:tcPr>
          <w:p w:rsidR="00000000" w:rsidRDefault="00C9700C">
            <w:pPr>
              <w:jc w:val="center"/>
              <w:rPr>
                <w:rFonts w:eastAsia="Times New Roman"/>
                <w:sz w:val="20"/>
                <w:szCs w:val="20"/>
              </w:rPr>
            </w:pPr>
            <w:r>
              <w:rPr>
                <w:rFonts w:eastAsia="Times New Roman"/>
                <w:sz w:val="20"/>
                <w:szCs w:val="20"/>
              </w:rPr>
              <w:t>34</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C9700C">
            <w:pPr>
              <w:rPr>
                <w:rFonts w:eastAsia="Times New Roman"/>
                <w:sz w:val="20"/>
                <w:szCs w:val="20"/>
              </w:rPr>
            </w:pPr>
            <w:hyperlink w:anchor="t_015" w:history="1">
              <w:r>
                <w:rPr>
                  <w:rStyle w:val="a4"/>
                  <w:rFonts w:eastAsia="Times New Roman"/>
                  <w:sz w:val="20"/>
                  <w:szCs w:val="20"/>
                </w:rPr>
                <w:t>Risk Factors</w:t>
              </w:r>
            </w:hyperlink>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34</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Item 2.</w:t>
            </w:r>
          </w:p>
        </w:tc>
        <w:tc>
          <w:tcPr>
            <w:tcW w:w="0" w:type="auto"/>
            <w:shd w:val="clear" w:color="auto" w:fill="FFFFFF"/>
            <w:hideMark/>
          </w:tcPr>
          <w:p w:rsidR="00000000" w:rsidRDefault="00C9700C">
            <w:pPr>
              <w:rPr>
                <w:rFonts w:eastAsia="Times New Roman"/>
                <w:sz w:val="20"/>
                <w:szCs w:val="20"/>
              </w:rPr>
            </w:pPr>
            <w:hyperlink w:anchor="t_016" w:history="1">
              <w:r>
                <w:rPr>
                  <w:rStyle w:val="a4"/>
                  <w:rFonts w:eastAsia="Times New Roman"/>
                  <w:sz w:val="20"/>
                  <w:szCs w:val="20"/>
                </w:rPr>
                <w:t>Unregistered Sales of Equity Securities and Use of Proceeds</w:t>
              </w:r>
            </w:hyperlink>
          </w:p>
        </w:tc>
        <w:tc>
          <w:tcPr>
            <w:tcW w:w="0" w:type="auto"/>
            <w:shd w:val="clear" w:color="auto" w:fill="FFFFFF"/>
            <w:hideMark/>
          </w:tcPr>
          <w:p w:rsidR="00000000" w:rsidRDefault="00C9700C">
            <w:pPr>
              <w:jc w:val="center"/>
              <w:rPr>
                <w:rFonts w:eastAsia="Times New Roman"/>
                <w:sz w:val="20"/>
                <w:szCs w:val="20"/>
              </w:rPr>
            </w:pPr>
            <w:r>
              <w:rPr>
                <w:rFonts w:eastAsia="Times New Roman"/>
                <w:sz w:val="20"/>
                <w:szCs w:val="20"/>
              </w:rPr>
              <w:t>34</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lastRenderedPageBreak/>
              <w:t>Item 3.</w:t>
            </w:r>
          </w:p>
        </w:tc>
        <w:tc>
          <w:tcPr>
            <w:tcW w:w="0" w:type="auto"/>
            <w:shd w:val="clear" w:color="auto" w:fill="CCEEFF"/>
            <w:hideMark/>
          </w:tcPr>
          <w:p w:rsidR="00000000" w:rsidRDefault="00C9700C">
            <w:pPr>
              <w:rPr>
                <w:rFonts w:eastAsia="Times New Roman"/>
                <w:sz w:val="20"/>
                <w:szCs w:val="20"/>
              </w:rPr>
            </w:pPr>
            <w:hyperlink w:anchor="t_017" w:history="1">
              <w:r>
                <w:rPr>
                  <w:rStyle w:val="a4"/>
                  <w:rFonts w:eastAsia="Times New Roman"/>
                  <w:sz w:val="20"/>
                  <w:szCs w:val="20"/>
                </w:rPr>
                <w:t xml:space="preserve">Defaults </w:t>
              </w:r>
              <w:r>
                <w:rPr>
                  <w:rStyle w:val="a4"/>
                  <w:rFonts w:eastAsia="Times New Roman"/>
                  <w:sz w:val="20"/>
                  <w:szCs w:val="20"/>
                </w:rPr>
                <w:t>Upon Senior Securities</w:t>
              </w:r>
            </w:hyperlink>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34</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Item 4.</w:t>
            </w:r>
          </w:p>
        </w:tc>
        <w:tc>
          <w:tcPr>
            <w:tcW w:w="0" w:type="auto"/>
            <w:shd w:val="clear" w:color="auto" w:fill="FFFFFF"/>
            <w:hideMark/>
          </w:tcPr>
          <w:p w:rsidR="00000000" w:rsidRDefault="00C9700C">
            <w:pPr>
              <w:rPr>
                <w:rFonts w:eastAsia="Times New Roman"/>
                <w:sz w:val="20"/>
                <w:szCs w:val="20"/>
              </w:rPr>
            </w:pPr>
            <w:hyperlink w:anchor="t_018" w:history="1">
              <w:r>
                <w:rPr>
                  <w:rStyle w:val="a4"/>
                  <w:rFonts w:eastAsia="Times New Roman"/>
                  <w:sz w:val="20"/>
                  <w:szCs w:val="20"/>
                </w:rPr>
                <w:t>Mine Safety Disclosures</w:t>
              </w:r>
            </w:hyperlink>
          </w:p>
        </w:tc>
        <w:tc>
          <w:tcPr>
            <w:tcW w:w="0" w:type="auto"/>
            <w:shd w:val="clear" w:color="auto" w:fill="FFFFFF"/>
            <w:hideMark/>
          </w:tcPr>
          <w:p w:rsidR="00000000" w:rsidRDefault="00C9700C">
            <w:pPr>
              <w:jc w:val="center"/>
              <w:rPr>
                <w:rFonts w:eastAsia="Times New Roman"/>
                <w:sz w:val="20"/>
                <w:szCs w:val="20"/>
              </w:rPr>
            </w:pPr>
            <w:r>
              <w:rPr>
                <w:rFonts w:eastAsia="Times New Roman"/>
                <w:sz w:val="20"/>
                <w:szCs w:val="20"/>
              </w:rPr>
              <w:t>34</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C9700C">
            <w:pPr>
              <w:rPr>
                <w:rFonts w:eastAsia="Times New Roman"/>
                <w:sz w:val="20"/>
                <w:szCs w:val="20"/>
              </w:rPr>
            </w:pPr>
            <w:hyperlink w:anchor="t_019" w:history="1">
              <w:r>
                <w:rPr>
                  <w:rStyle w:val="a4"/>
                  <w:rFonts w:eastAsia="Times New Roman"/>
                  <w:sz w:val="20"/>
                  <w:szCs w:val="20"/>
                </w:rPr>
                <w:t>Other Information</w:t>
              </w:r>
            </w:hyperlink>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34</w:t>
            </w:r>
          </w:p>
        </w:tc>
      </w:tr>
      <w:tr w:rsidR="00000000">
        <w:tc>
          <w:tcPr>
            <w:tcW w:w="0" w:type="auto"/>
            <w:shd w:val="clear" w:color="auto" w:fill="FFFFFF"/>
            <w:hideMark/>
          </w:tcPr>
          <w:p w:rsidR="00000000" w:rsidRDefault="00C9700C">
            <w:pPr>
              <w:rPr>
                <w:rFonts w:eastAsia="Times New Roman"/>
                <w:sz w:val="20"/>
                <w:szCs w:val="20"/>
              </w:rPr>
            </w:pPr>
            <w:r>
              <w:rPr>
                <w:rFonts w:eastAsia="Times New Roman"/>
                <w:sz w:val="20"/>
                <w:szCs w:val="20"/>
              </w:rPr>
              <w:t>Item 6.</w:t>
            </w:r>
          </w:p>
        </w:tc>
        <w:tc>
          <w:tcPr>
            <w:tcW w:w="0" w:type="auto"/>
            <w:shd w:val="clear" w:color="auto" w:fill="FFFFFF"/>
            <w:hideMark/>
          </w:tcPr>
          <w:p w:rsidR="00000000" w:rsidRDefault="00C9700C">
            <w:pPr>
              <w:rPr>
                <w:rFonts w:eastAsia="Times New Roman"/>
                <w:sz w:val="20"/>
                <w:szCs w:val="20"/>
              </w:rPr>
            </w:pPr>
            <w:hyperlink w:anchor="t_020" w:history="1">
              <w:r>
                <w:rPr>
                  <w:rStyle w:val="a4"/>
                  <w:rFonts w:eastAsia="Times New Roman"/>
                  <w:sz w:val="20"/>
                  <w:szCs w:val="20"/>
                </w:rPr>
                <w:t>Exhibits</w:t>
              </w:r>
            </w:hyperlink>
          </w:p>
        </w:tc>
        <w:tc>
          <w:tcPr>
            <w:tcW w:w="0" w:type="auto"/>
            <w:shd w:val="clear" w:color="auto" w:fill="FFFFFF"/>
            <w:hideMark/>
          </w:tcPr>
          <w:p w:rsidR="00000000" w:rsidRDefault="00C9700C">
            <w:pPr>
              <w:pStyle w:val="a3"/>
              <w:spacing w:before="0" w:beforeAutospacing="0" w:after="0" w:afterAutospacing="0"/>
              <w:jc w:val="center"/>
              <w:rPr>
                <w:sz w:val="20"/>
                <w:szCs w:val="20"/>
              </w:rPr>
            </w:pPr>
            <w:r>
              <w:rPr>
                <w:sz w:val="20"/>
                <w:szCs w:val="20"/>
              </w:rPr>
              <w:t>35</w:t>
            </w:r>
          </w:p>
        </w:tc>
      </w:tr>
      <w:tr w:rsidR="00000000">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C9700C">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C9700C">
            <w:pPr>
              <w:rPr>
                <w:rFonts w:eastAsia="Times New Roman"/>
                <w:sz w:val="20"/>
                <w:szCs w:val="20"/>
              </w:rPr>
            </w:pPr>
            <w:hyperlink w:anchor="t_021" w:history="1">
              <w:r>
                <w:rPr>
                  <w:rStyle w:val="a4"/>
                  <w:rFonts w:eastAsia="Times New Roman"/>
                  <w:sz w:val="20"/>
                  <w:szCs w:val="20"/>
                </w:rPr>
                <w:t>Signatures</w:t>
              </w:r>
            </w:hyperlink>
          </w:p>
        </w:tc>
        <w:tc>
          <w:tcPr>
            <w:tcW w:w="0" w:type="auto"/>
            <w:shd w:val="clear" w:color="auto" w:fill="FFFFFF"/>
            <w:hideMark/>
          </w:tcPr>
          <w:p w:rsidR="00000000" w:rsidRDefault="00C9700C">
            <w:pPr>
              <w:jc w:val="center"/>
              <w:rPr>
                <w:rFonts w:eastAsia="Times New Roman"/>
                <w:sz w:val="20"/>
                <w:szCs w:val="20"/>
              </w:rPr>
            </w:pPr>
            <w:r>
              <w:rPr>
                <w:rFonts w:eastAsia="Times New Roman"/>
                <w:sz w:val="20"/>
                <w:szCs w:val="20"/>
              </w:rPr>
              <w:t>36</w:t>
            </w:r>
          </w:p>
        </w:tc>
      </w:tr>
    </w:tbl>
    <w:p w:rsidR="00000000" w:rsidRDefault="00C9700C">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73175075"/>
        </w:trPr>
        <w:tc>
          <w:tcPr>
            <w:tcW w:w="5000" w:type="pct"/>
            <w:hideMark/>
          </w:tcPr>
          <w:p w:rsidR="00000000" w:rsidRDefault="00C9700C">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b/>
          <w:bCs/>
          <w:sz w:val="20"/>
          <w:szCs w:val="20"/>
        </w:rPr>
        <w:t> </w:t>
      </w:r>
    </w:p>
    <w:p w:rsidR="00000000" w:rsidRDefault="00C9700C">
      <w:pPr>
        <w:pStyle w:val="a3"/>
        <w:spacing w:before="0" w:beforeAutospacing="0" w:after="0" w:afterAutospacing="0"/>
        <w:rPr>
          <w:b/>
          <w:bCs/>
          <w:sz w:val="20"/>
          <w:szCs w:val="20"/>
        </w:rPr>
      </w:pPr>
      <w:bookmarkStart w:id="0" w:name="t_001"/>
      <w:bookmarkEnd w:id="0"/>
      <w:r>
        <w:rPr>
          <w:b/>
          <w:bCs/>
          <w:sz w:val="20"/>
          <w:szCs w:val="20"/>
        </w:rPr>
        <w:t>Forward-Looking Statements</w:t>
      </w:r>
    </w:p>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Certain </w:t>
      </w:r>
      <w:r>
        <w:rPr>
          <w:i/>
          <w:iCs/>
          <w:sz w:val="20"/>
          <w:szCs w:val="20"/>
        </w:rPr>
        <w:t>statements that we make from time to time, including statements contained in this Quarterly Report on Form 10-Q, constitute “forward-looking statements” within the meaning of Section 27A of the Securities Act of 1933, as amended, or the Securities Act, and</w:t>
      </w:r>
      <w:r>
        <w:rPr>
          <w:i/>
          <w:iCs/>
          <w:sz w:val="20"/>
          <w:szCs w:val="20"/>
        </w:rPr>
        <w:t xml:space="preserve"> Section 21E of the Securities Exchange Act of 1934, as amended, or the Exchange Act. All statements other than statements of historical fact contained in this Quarterly Report on Form 10-Q are forward-looking statements. These statements relate to anticip</w:t>
      </w:r>
      <w:r>
        <w:rPr>
          <w:i/>
          <w:iCs/>
          <w:sz w:val="20"/>
          <w:szCs w:val="20"/>
        </w:rPr>
        <w:t>ated future events, future results of operations or future financial performance. In some cases, you can identify forward-looking statements by terminology such as “may,” “might,” “will,” “should,” “intends,” “expects,” “plans,” “goals,” “projects,” “antic</w:t>
      </w:r>
      <w:r>
        <w:rPr>
          <w:i/>
          <w:iCs/>
          <w:sz w:val="20"/>
          <w:szCs w:val="20"/>
        </w:rPr>
        <w:t>ipates,” “believes,” “estimates,” “predicts,” “potential,” or “continue” or the negative of these terms or other comparable terminology. Our operations involve risks and uncertainties, many of which are outside of our control, and any one of which, or a co</w:t>
      </w:r>
      <w:r>
        <w:rPr>
          <w:i/>
          <w:iCs/>
          <w:sz w:val="20"/>
          <w:szCs w:val="20"/>
        </w:rPr>
        <w:t>mbination of which, could materially affect our results of operations and whether the forward-looking statements ultimately prove to be correct. Forward-looking statements in this Quarterly Report on Form 10-Q include, without limitation, statements reflec</w:t>
      </w:r>
      <w:r>
        <w:rPr>
          <w:i/>
          <w:iCs/>
          <w:sz w:val="20"/>
          <w:szCs w:val="20"/>
        </w:rPr>
        <w:t>ting management’s expectations for future financial performance and operating expenditures (including our ability to continue as a going concern, to raise additional capital and to succeed in our future operations), expected growth, profitability and busin</w:t>
      </w:r>
      <w:r>
        <w:rPr>
          <w:i/>
          <w:iCs/>
          <w:sz w:val="20"/>
          <w:szCs w:val="20"/>
        </w:rPr>
        <w:t>ess outlook, increased sales and marketing expenses, and the expected results from the integration of our acquisitions.</w:t>
      </w:r>
    </w:p>
    <w:p w:rsidR="00000000" w:rsidRDefault="00C9700C">
      <w:pPr>
        <w:pStyle w:val="a3"/>
        <w:spacing w:before="0" w:beforeAutospacing="0" w:after="0" w:afterAutospacing="0"/>
        <w:ind w:firstLine="48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risks, uncertainties, and oth</w:t>
      </w:r>
      <w:r>
        <w:rPr>
          <w:i/>
          <w:iCs/>
          <w:sz w:val="20"/>
          <w:szCs w:val="20"/>
        </w:rPr>
        <w:t>er factors which may cause our (or our industry’s) actual results, levels of activity or performance to be materially different from any future results, levels of activity or performance expressed or implied by these forward-looking statements. These facto</w:t>
      </w:r>
      <w:r>
        <w:rPr>
          <w:i/>
          <w:iCs/>
          <w:sz w:val="20"/>
          <w:szCs w:val="20"/>
        </w:rPr>
        <w:t>rs include, among other things, the unknown risks and uncertainties that we believe could cause actual results to differ from these forward-looking statements as set forth under the heading “Risk Factors” in our Annual Report on Form 10-K filed with the SE</w:t>
      </w:r>
      <w:r>
        <w:rPr>
          <w:i/>
          <w:iCs/>
          <w:sz w:val="20"/>
          <w:szCs w:val="20"/>
        </w:rPr>
        <w:t>C on March 20, 2019. New risks and uncertainties emerge from time to time, and it is not possible for us to predict all of the risks and uncertainties that could have an impact on the forward-looking statements, including without limitation, risks and unce</w:t>
      </w:r>
      <w:r>
        <w:rPr>
          <w:i/>
          <w:iCs/>
          <w:sz w:val="20"/>
          <w:szCs w:val="20"/>
        </w:rPr>
        <w:t>rtainties relating to:</w:t>
      </w:r>
    </w:p>
    <w:p w:rsidR="00000000" w:rsidRDefault="00C9700C">
      <w:pPr>
        <w:pStyle w:val="a3"/>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manage our growth, including acquiring, partnering with, and effectively integrating recent acquisitions and other acquired businesses into our infrastructure and avoiding legal exposure and liabilities associate</w:t>
            </w:r>
            <w:r>
              <w:rPr>
                <w:rFonts w:eastAsia="Times New Roman"/>
                <w:sz w:val="20"/>
                <w:szCs w:val="20"/>
              </w:rPr>
              <w:t>d with acquired companies and assets;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maintain operations in Pakistan and Sri Lanka in a manne</w:t>
            </w:r>
            <w:r>
              <w:rPr>
                <w:rFonts w:eastAsia="Times New Roman"/>
                <w:sz w:val="20"/>
                <w:szCs w:val="20"/>
              </w:rPr>
              <w:t>r that continues to enable us to offer competitively priced products and services;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keep pace with a rapidly changing healthcare industry;</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our </w:t>
            </w:r>
            <w:r>
              <w:rPr>
                <w:rFonts w:eastAsia="Times New Roman"/>
                <w:sz w:val="20"/>
                <w:szCs w:val="20"/>
              </w:rPr>
              <w:t>ability to consistently achieve and maintain compliance with a myriad of federal, state, foreign, local, payor and industry requirements, regulations, rules, laws and contracts;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maintain and protect the privacy of confidential an</w:t>
            </w:r>
            <w:r>
              <w:rPr>
                <w:rFonts w:eastAsia="Times New Roman"/>
                <w:sz w:val="20"/>
                <w:szCs w:val="20"/>
              </w:rPr>
              <w:t>d protected Company, client and patient information;</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protect and enforce intellectual property rights;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lastRenderedPageBreak/>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our </w:t>
            </w:r>
            <w:r>
              <w:rPr>
                <w:rFonts w:eastAsia="Times New Roman"/>
                <w:sz w:val="20"/>
                <w:szCs w:val="20"/>
              </w:rPr>
              <w:t>ability to attract and retain key officers and employees, and the continued involvement of Mahmud Haq as executive chairman, all of which are critical to our ongoing operations, growing our business and integrating of our newly acquired businesses;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comply with covenants contained in our credit agreement with our senior secured lender, Silicon Valley Bank and other future debt facilities;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our ability to pay our monthly preferred dividends to the holders of our Series A </w:t>
            </w:r>
            <w:r>
              <w:rPr>
                <w:rFonts w:eastAsia="Times New Roman"/>
                <w:sz w:val="20"/>
                <w:szCs w:val="20"/>
              </w:rPr>
              <w:t>Preferred Stock;</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our </w:t>
            </w:r>
            <w:r>
              <w:rPr>
                <w:rFonts w:eastAsia="Times New Roman"/>
                <w:sz w:val="20"/>
                <w:szCs w:val="20"/>
              </w:rPr>
              <w:t>ability to compete with other companies developing products and selling services competitive with ours, and who may have greater resources and name recognition than we have; and</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our ability to keep and increase market acceptance of our products</w:t>
            </w:r>
            <w:r>
              <w:rPr>
                <w:rFonts w:eastAsia="Times New Roman"/>
                <w:sz w:val="20"/>
                <w:szCs w:val="20"/>
              </w:rPr>
              <w:t xml:space="preserve"> and services.</w:t>
            </w:r>
          </w:p>
        </w:tc>
      </w:tr>
    </w:tbl>
    <w:p w:rsidR="00000000" w:rsidRDefault="00C9700C">
      <w:pPr>
        <w:pStyle w:val="a3"/>
        <w:spacing w:before="0" w:beforeAutospacing="0" w:after="0" w:afterAutospacing="0"/>
        <w:ind w:firstLine="48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We cannot guarantee future results, levels of activity or performance. Except as required by law, we are under no duty to update or revise any of such forward-looking statements, whether as a result of new information, future events, or o</w:t>
      </w:r>
      <w:r>
        <w:rPr>
          <w:i/>
          <w:iCs/>
          <w:sz w:val="20"/>
          <w:szCs w:val="20"/>
        </w:rPr>
        <w:t>therwise, after the date of this Quarterly Report on Form 10-Q.</w:t>
      </w:r>
    </w:p>
    <w:p w:rsidR="00000000" w:rsidRDefault="00C9700C">
      <w:pPr>
        <w:pStyle w:val="a3"/>
        <w:spacing w:before="0" w:beforeAutospacing="0" w:after="0" w:afterAutospacing="0"/>
        <w:ind w:firstLine="48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You should read this Quarterly Report on Form 10-Q with the understanding that our actual future results, levels of activity, performance and events and circumstances may be materially diffe</w:t>
      </w:r>
      <w:r>
        <w:rPr>
          <w:i/>
          <w:iCs/>
          <w:sz w:val="20"/>
          <w:szCs w:val="20"/>
        </w:rPr>
        <w:t>rent from what we expect.</w:t>
      </w:r>
    </w:p>
    <w:p w:rsidR="00000000" w:rsidRDefault="00C9700C">
      <w:pPr>
        <w:pStyle w:val="a3"/>
        <w:spacing w:before="0" w:beforeAutospacing="0" w:after="0" w:afterAutospacing="0"/>
        <w:ind w:firstLine="480"/>
        <w:jc w:val="both"/>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09569035"/>
        </w:trPr>
        <w:tc>
          <w:tcPr>
            <w:tcW w:w="5000" w:type="pct"/>
            <w:hideMark/>
          </w:tcPr>
          <w:p w:rsidR="00000000" w:rsidRDefault="00C9700C">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center"/>
        <w:rPr>
          <w:sz w:val="20"/>
          <w:szCs w:val="20"/>
        </w:rPr>
      </w:pPr>
      <w:r>
        <w:rPr>
          <w:sz w:val="20"/>
          <w:szCs w:val="20"/>
        </w:rPr>
        <w:t> </w:t>
      </w:r>
    </w:p>
    <w:p w:rsidR="00000000" w:rsidRDefault="00C9700C">
      <w:pPr>
        <w:pStyle w:val="a3"/>
        <w:spacing w:before="0" w:beforeAutospacing="0" w:after="0" w:afterAutospacing="0"/>
        <w:jc w:val="center"/>
        <w:rPr>
          <w:sz w:val="20"/>
          <w:szCs w:val="20"/>
        </w:rPr>
      </w:pPr>
      <w:bookmarkStart w:id="1" w:name="t_002"/>
      <w:bookmarkEnd w:id="1"/>
      <w:r>
        <w:rPr>
          <w:b/>
          <w:bCs/>
          <w:sz w:val="20"/>
          <w:szCs w:val="20"/>
        </w:rPr>
        <w:t>PART I. FINANCIAL INFORMATION</w:t>
      </w:r>
    </w:p>
    <w:p w:rsidR="00000000" w:rsidRDefault="00C9700C">
      <w:pPr>
        <w:pStyle w:val="a3"/>
        <w:spacing w:before="0" w:beforeAutospacing="0" w:after="0" w:afterAutospacing="0"/>
        <w:jc w:val="center"/>
        <w:rPr>
          <w:sz w:val="20"/>
          <w:szCs w:val="20"/>
        </w:rPr>
      </w:pPr>
      <w:bookmarkStart w:id="2" w:name="t_003"/>
      <w:bookmarkEnd w:id="2"/>
      <w:r>
        <w:rPr>
          <w:b/>
          <w:bCs/>
          <w:sz w:val="20"/>
          <w:szCs w:val="20"/>
        </w:rPr>
        <w:t>Item 1. Condensed Consolidated Financial Statements (Unaudited)</w:t>
      </w:r>
    </w:p>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20"/>
          <w:szCs w:val="20"/>
        </w:rPr>
        <w:t>MTBC, INC.</w:t>
      </w:r>
    </w:p>
    <w:p w:rsidR="00000000" w:rsidRDefault="00C9700C">
      <w:pPr>
        <w:pStyle w:val="a3"/>
        <w:spacing w:before="0" w:beforeAutospacing="0" w:after="0" w:afterAutospacing="0"/>
        <w:jc w:val="center"/>
        <w:rPr>
          <w:sz w:val="20"/>
          <w:szCs w:val="20"/>
        </w:rPr>
      </w:pPr>
      <w:bookmarkStart w:id="3" w:name="t_004"/>
      <w:bookmarkEnd w:id="3"/>
      <w:r>
        <w:rPr>
          <w:b/>
          <w:bCs/>
          <w:sz w:val="20"/>
          <w:szCs w:val="20"/>
        </w:rPr>
        <w:t>CONDENSED CONSOLIDATED BALANCE SHEETS</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C9700C">
            <w:pPr>
              <w:jc w:val="center"/>
              <w:rPr>
                <w:rFonts w:eastAsia="Times New Roman"/>
                <w:b/>
                <w:bCs/>
                <w:sz w:val="20"/>
                <w:szCs w:val="20"/>
              </w:rPr>
            </w:pPr>
            <w:r>
              <w:rPr>
                <w:rFonts w:eastAsia="Times New Roman"/>
                <w:b/>
                <w:bCs/>
                <w:sz w:val="20"/>
                <w:szCs w:val="20"/>
              </w:rPr>
              <w:t>(Unaudited)</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000" w:type="pct"/>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Cash</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12,526,647</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14,472,483</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Accounts receivable </w:t>
            </w:r>
            <w:r>
              <w:rPr>
                <w:rFonts w:eastAsia="Times New Roman"/>
                <w:sz w:val="20"/>
                <w:szCs w:val="20"/>
              </w:rPr>
              <w:t>- net of allowance for doubtful accounts of $184,000 and $189,000 at March 31, 2019 and December 31, 2018, respectively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7,807,867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7,331,474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2,356,314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364,219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444,437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25,203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907,120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1,191,445</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23,975,367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26,073,673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2,148,604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1,832,187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4,031,254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6,083,516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6,634,003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Goodwill</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12,593,795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12,593,795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469,072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489,703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49,301,608</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47,623,361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2,066,091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2,438,267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1,651,735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1,731,063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2,063,614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1,589,009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Deferred rent (current portion)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90,657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1,681,064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lastRenderedPageBreak/>
              <w:t>Deferred revenue (current portion)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21,354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10,663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10,663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185,944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277,776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Contingent consideration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307,385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526,432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Dividend payable</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1,486,709</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1,468,724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9,474,559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8,157,946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Notes payable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201,574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222,400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Deferred rent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189,366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Operating lease liability</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2,482,853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19,215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18,949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Deferred tax liability</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108,814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164,346</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12,287,015</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8,753,007</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COMMITMENTS AND CONTINGENCIES (Note 8)</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SHAREHOLDERS’ EQUITY: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Preferred stock, $0.001 par value  </w:t>
            </w:r>
            <w:r>
              <w:rPr>
                <w:rFonts w:eastAsia="Times New Roman"/>
                <w:sz w:val="20"/>
                <w:szCs w:val="20"/>
              </w:rPr>
              <w:t>- authorized 4,000,000 shares; issued and outstanding 2,162,449 and 2,136,289 shares at March 31, 2019 and December 31, 2018, respectively</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2,162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2,136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Common stock, $0.001 </w:t>
            </w:r>
            <w:r>
              <w:rPr>
                <w:rFonts w:eastAsia="Times New Roman"/>
                <w:sz w:val="20"/>
                <w:szCs w:val="20"/>
              </w:rPr>
              <w:t>par value - authorized 19,000,000 shares; issued 12,750,541 and 12,570,557 shares at March 31, 2019 and December 31, 2018, respectively; outstanding, 12,009,742 and 11,829,758 shares at March 31, 2019 and December 31, 2018,  respectively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12,751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w:t>
            </w:r>
            <w:r>
              <w:rPr>
                <w:rFonts w:eastAsia="Times New Roman"/>
                <w:sz w:val="20"/>
                <w:szCs w:val="20"/>
              </w:rPr>
              <w:t>2,571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63,372,839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65,142,460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(24,499,436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(24,203,745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Accumulated other comprehensive loss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(1,211,723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(1,421,068</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xml:space="preserve">Less: </w:t>
            </w:r>
            <w:r>
              <w:rPr>
                <w:rFonts w:eastAsia="Times New Roman"/>
                <w:sz w:val="20"/>
                <w:szCs w:val="20"/>
              </w:rPr>
              <w:t>740,799 common shares held in treasury, at cost at March 31, 2019 and December 31, 2018</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Total shareholders’ equity</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37,014,593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38,870,354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LIABILITIES AND SHAREHOLDERS’ EQUITY</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49,301,608</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47,623,361</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center"/>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sz w:val="20"/>
          <w:szCs w:val="20"/>
        </w:rPr>
        <w:t>See notes to condensed consolidated financial statements.</w:t>
      </w:r>
    </w:p>
    <w:p w:rsidR="00000000" w:rsidRDefault="00C9700C">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3215108"/>
        </w:trPr>
        <w:tc>
          <w:tcPr>
            <w:tcW w:w="5000" w:type="pct"/>
            <w:hideMark/>
          </w:tcPr>
          <w:p w:rsidR="00000000" w:rsidRDefault="00C9700C">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b/>
          <w:bCs/>
          <w:i/>
          <w:iCs/>
          <w:sz w:val="20"/>
          <w:szCs w:val="20"/>
        </w:rPr>
        <w:t> </w:t>
      </w:r>
    </w:p>
    <w:p w:rsidR="00000000" w:rsidRDefault="00C9700C">
      <w:pPr>
        <w:pStyle w:val="a3"/>
        <w:spacing w:before="0" w:beforeAutospacing="0" w:after="0" w:afterAutospacing="0"/>
        <w:jc w:val="center"/>
        <w:rPr>
          <w:sz w:val="20"/>
          <w:szCs w:val="20"/>
        </w:rPr>
      </w:pPr>
      <w:r>
        <w:rPr>
          <w:b/>
          <w:bCs/>
          <w:sz w:val="20"/>
          <w:szCs w:val="20"/>
        </w:rPr>
        <w:t>MTBC, INC.</w:t>
      </w:r>
    </w:p>
    <w:p w:rsidR="00000000" w:rsidRDefault="00C9700C">
      <w:pPr>
        <w:pStyle w:val="a3"/>
        <w:spacing w:before="0" w:beforeAutospacing="0" w:after="0" w:afterAutospacing="0"/>
        <w:jc w:val="center"/>
        <w:rPr>
          <w:sz w:val="20"/>
          <w:szCs w:val="20"/>
        </w:rPr>
      </w:pPr>
      <w:bookmarkStart w:id="4" w:name="t_005"/>
      <w:bookmarkEnd w:id="4"/>
      <w:r>
        <w:rPr>
          <w:b/>
          <w:bCs/>
          <w:sz w:val="20"/>
          <w:szCs w:val="20"/>
        </w:rPr>
        <w:t>CONDENSED CONSOLIDATED STATEMENTS OF OPERATIONS (UNAUDITED)</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1"/>
        <w:gridCol w:w="161"/>
        <w:gridCol w:w="100"/>
        <w:gridCol w:w="1158"/>
        <w:gridCol w:w="78"/>
        <w:gridCol w:w="161"/>
        <w:gridCol w:w="100"/>
        <w:gridCol w:w="1158"/>
        <w:gridCol w:w="79"/>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200" w:type="pct"/>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15,080,211</w:t>
            </w:r>
          </w:p>
        </w:tc>
        <w:tc>
          <w:tcPr>
            <w:tcW w:w="50" w:type="pct"/>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8,307,325</w:t>
            </w:r>
          </w:p>
        </w:tc>
        <w:tc>
          <w:tcPr>
            <w:tcW w:w="50" w:type="pct"/>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9,847,540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4,484,055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361,399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305,014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4,162,076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2,600,734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255,880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31,749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756,740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590,771</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15,318,208</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8,268,203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OPERATING (LOSS) INCOME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(237,997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39,122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OTHER:</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Interest income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78,200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5,285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(95,396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(74,081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(81,030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151,374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(LOSS) INCOME BEFORE INCOME TAXES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(336,223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121,700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Income tax (benefit) provision</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(40,532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46,664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lastRenderedPageBreak/>
              <w:t>NET (LOSS) INCOME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(295,691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75,036</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1,492,700</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775,332</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(1,788,391</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(700,296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Net loss per common share: basic and diluted</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(0.15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Weighted-average </w:t>
            </w:r>
            <w:r>
              <w:rPr>
                <w:rFonts w:eastAsia="Times New Roman"/>
                <w:sz w:val="20"/>
                <w:szCs w:val="20"/>
              </w:rPr>
              <w:t>common shares used to compute basic and diluted loss per share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11,946,003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11,616,938</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See notes to condensed consolidated financial statements.</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43551801"/>
        </w:trPr>
        <w:tc>
          <w:tcPr>
            <w:tcW w:w="5000" w:type="pct"/>
            <w:hideMark/>
          </w:tcPr>
          <w:p w:rsidR="00000000" w:rsidRDefault="00C9700C">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20"/>
          <w:szCs w:val="20"/>
        </w:rPr>
        <w:t>MTBC, INC.</w:t>
      </w:r>
    </w:p>
    <w:p w:rsidR="00000000" w:rsidRDefault="00C9700C">
      <w:pPr>
        <w:pStyle w:val="a3"/>
        <w:spacing w:before="0" w:beforeAutospacing="0" w:after="0" w:afterAutospacing="0"/>
        <w:jc w:val="center"/>
        <w:rPr>
          <w:sz w:val="20"/>
          <w:szCs w:val="20"/>
        </w:rPr>
      </w:pPr>
      <w:bookmarkStart w:id="5" w:name="t_006"/>
      <w:bookmarkEnd w:id="5"/>
      <w:r>
        <w:rPr>
          <w:b/>
          <w:bCs/>
          <w:sz w:val="20"/>
          <w:szCs w:val="20"/>
        </w:rPr>
        <w:t xml:space="preserve">CONDENSED </w:t>
      </w:r>
      <w:r>
        <w:rPr>
          <w:b/>
          <w:bCs/>
          <w:sz w:val="20"/>
          <w:szCs w:val="20"/>
        </w:rPr>
        <w:t>CONSOLIDATED STATEMENTS OF COMPREHENSIVE LOSS (UNAUDITED)</w:t>
      </w:r>
    </w:p>
    <w:p w:rsidR="00000000" w:rsidRDefault="00C9700C">
      <w:pPr>
        <w:pStyle w:val="a3"/>
        <w:spacing w:before="0" w:beforeAutospacing="0" w:after="0" w:afterAutospacing="0"/>
        <w:jc w:val="center"/>
        <w:rPr>
          <w:sz w:val="20"/>
          <w:szCs w:val="20"/>
        </w:rPr>
      </w:pPr>
      <w:r>
        <w:rPr>
          <w:b/>
          <w:bCs/>
          <w:sz w:val="20"/>
          <w:szCs w:val="20"/>
        </w:rPr>
        <w:t>FOR THE THREE MONTHS ENDED MARCH 31, 2019 AND 2018</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400" w:type="pct"/>
            <w:shd w:val="clear" w:color="auto" w:fill="CCEEFF"/>
            <w:vAlign w:val="bottom"/>
            <w:hideMark/>
          </w:tcPr>
          <w:p w:rsidR="00000000" w:rsidRDefault="00C9700C">
            <w:pPr>
              <w:rPr>
                <w:rFonts w:eastAsia="Times New Roman"/>
                <w:sz w:val="20"/>
                <w:szCs w:val="20"/>
              </w:rPr>
            </w:pPr>
            <w:r>
              <w:rPr>
                <w:rFonts w:eastAsia="Times New Roman"/>
                <w:sz w:val="20"/>
                <w:szCs w:val="20"/>
              </w:rPr>
              <w:t>NET (LOSS) INCOME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(295,691</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75,036</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Foreign currency translation adjustment (a)</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209,345</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(203,146</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(86,346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(128,110</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See </w:t>
      </w:r>
      <w:r>
        <w:rPr>
          <w:sz w:val="20"/>
          <w:szCs w:val="20"/>
        </w:rPr>
        <w:t>notes to condensed consolidated financial statements.</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79592407"/>
        </w:trPr>
        <w:tc>
          <w:tcPr>
            <w:tcW w:w="5000" w:type="pct"/>
            <w:hideMark/>
          </w:tcPr>
          <w:p w:rsidR="00000000" w:rsidRDefault="00C9700C">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20"/>
          <w:szCs w:val="20"/>
        </w:rPr>
        <w:t>MTBC, INC.</w:t>
      </w:r>
    </w:p>
    <w:p w:rsidR="00000000" w:rsidRDefault="00C9700C">
      <w:pPr>
        <w:pStyle w:val="a3"/>
        <w:spacing w:before="0" w:beforeAutospacing="0" w:after="0" w:afterAutospacing="0"/>
        <w:jc w:val="center"/>
        <w:rPr>
          <w:sz w:val="20"/>
          <w:szCs w:val="20"/>
        </w:rPr>
      </w:pPr>
      <w:bookmarkStart w:id="6" w:name="t_007"/>
      <w:bookmarkEnd w:id="6"/>
      <w:r>
        <w:rPr>
          <w:b/>
          <w:bCs/>
          <w:sz w:val="20"/>
          <w:szCs w:val="20"/>
        </w:rPr>
        <w:t>CONDENSED CONSOLIDATED STATEMENTS OF SHAREHOLDERS’ EQUITY (UNAUDITED)</w:t>
      </w:r>
    </w:p>
    <w:p w:rsidR="00000000" w:rsidRDefault="00C9700C">
      <w:pPr>
        <w:pStyle w:val="a3"/>
        <w:spacing w:before="0" w:beforeAutospacing="0" w:after="0" w:afterAutospacing="0"/>
        <w:jc w:val="center"/>
        <w:rPr>
          <w:sz w:val="20"/>
          <w:szCs w:val="20"/>
        </w:rPr>
      </w:pPr>
      <w:r>
        <w:rPr>
          <w:b/>
          <w:bCs/>
          <w:sz w:val="20"/>
          <w:szCs w:val="20"/>
        </w:rPr>
        <w:t>FOR THE THREE MONTHS ENDED MARCH 31, 2019 AND MARCH 31, 2018</w:t>
      </w:r>
    </w:p>
    <w:p w:rsidR="00000000" w:rsidRDefault="00C9700C">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245"/>
        <w:gridCol w:w="45"/>
        <w:gridCol w:w="45"/>
        <w:gridCol w:w="720"/>
        <w:gridCol w:w="45"/>
        <w:gridCol w:w="45"/>
        <w:gridCol w:w="106"/>
        <w:gridCol w:w="525"/>
        <w:gridCol w:w="45"/>
        <w:gridCol w:w="45"/>
        <w:gridCol w:w="45"/>
        <w:gridCol w:w="810"/>
        <w:gridCol w:w="45"/>
        <w:gridCol w:w="45"/>
        <w:gridCol w:w="106"/>
        <w:gridCol w:w="525"/>
        <w:gridCol w:w="45"/>
        <w:gridCol w:w="45"/>
        <w:gridCol w:w="90"/>
        <w:gridCol w:w="810"/>
        <w:gridCol w:w="60"/>
        <w:gridCol w:w="45"/>
        <w:gridCol w:w="170"/>
        <w:gridCol w:w="870"/>
        <w:gridCol w:w="60"/>
        <w:gridCol w:w="45"/>
        <w:gridCol w:w="200"/>
        <w:gridCol w:w="1000"/>
        <w:gridCol w:w="60"/>
        <w:gridCol w:w="45"/>
        <w:gridCol w:w="139"/>
        <w:gridCol w:w="691"/>
        <w:gridCol w:w="60"/>
        <w:gridCol w:w="45"/>
        <w:gridCol w:w="180"/>
        <w:gridCol w:w="900"/>
        <w:gridCol w:w="60"/>
      </w:tblGrid>
      <w:tr w:rsidR="00000000">
        <w:tc>
          <w:tcPr>
            <w:tcW w:w="0" w:type="auto"/>
            <w:vAlign w:val="bottom"/>
            <w:hideMark/>
          </w:tcPr>
          <w:p w:rsidR="00000000" w:rsidRDefault="00C9700C">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Preferred Stock</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Common Stock</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Additional Paid-in</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Accumulated</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Accumulated Other Comprehensive (Loss)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Treasury (Common)</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Total</w:t>
            </w:r>
            <w:r>
              <w:rPr>
                <w:rFonts w:eastAsia="Times New Roman"/>
                <w:b/>
                <w:bCs/>
                <w:sz w:val="18"/>
                <w:szCs w:val="18"/>
              </w:rPr>
              <w:br/>
              <w:t>Shareholders’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r>
      <w:tr w:rsidR="00000000">
        <w:tc>
          <w:tcPr>
            <w:tcW w:w="0" w:type="auto"/>
            <w:tcMar>
              <w:top w:w="0" w:type="dxa"/>
              <w:left w:w="0" w:type="dxa"/>
              <w:bottom w:w="30" w:type="dxa"/>
              <w:right w:w="0" w:type="dxa"/>
            </w:tcMar>
            <w:vAlign w:val="bottom"/>
            <w:hideMark/>
          </w:tcPr>
          <w:p w:rsidR="00000000" w:rsidRDefault="00C9700C">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Shares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Amount</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Shares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Amount</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Capital</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Deficit</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Income</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Stock</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Equity</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r>
      <w:tr w:rsidR="00C9700C">
        <w:tc>
          <w:tcPr>
            <w:tcW w:w="1400" w:type="pct"/>
            <w:shd w:val="clear" w:color="auto" w:fill="CCEEFF"/>
            <w:vAlign w:val="bottom"/>
            <w:hideMark/>
          </w:tcPr>
          <w:p w:rsidR="00000000" w:rsidRDefault="00C9700C">
            <w:pPr>
              <w:rPr>
                <w:rFonts w:eastAsia="Times New Roman"/>
                <w:sz w:val="18"/>
                <w:szCs w:val="18"/>
              </w:rPr>
            </w:pPr>
            <w:r>
              <w:rPr>
                <w:rFonts w:eastAsia="Times New Roman"/>
                <w:sz w:val="18"/>
                <w:szCs w:val="18"/>
              </w:rPr>
              <w:t>Balance- December 31, 2018</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2,136,289</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2,136</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12,570,557</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12,571</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65,142,460</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(24,203,745</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(1,421,068</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(662,000</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38,870,354</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Net loss</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(295,691</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(295,691</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r>
      <w:tr w:rsidR="00C9700C">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Foreign currency translation adjustment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209,345</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209,345</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 xml:space="preserve">Issuance </w:t>
            </w:r>
            <w:r>
              <w:rPr>
                <w:rFonts w:eastAsia="Times New Roman"/>
                <w:sz w:val="18"/>
                <w:szCs w:val="18"/>
              </w:rPr>
              <w:t>of stock under the Amended and Restated Equity Incentive Plan</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26,160</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26</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179,984</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180</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(206</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Stock-based compensation, net of cash settlements</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523,556</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523,556</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Tax withholding obligations on stock issued to employees</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(800,271</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(800,271</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r>
      <w:tr w:rsidR="00C9700C">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Preferred stock dividends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(1,492,700</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(1,492,700</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w:t>
            </w:r>
          </w:p>
        </w:tc>
      </w:tr>
      <w:tr w:rsidR="00C9700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Balance - March 31, 2019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2,162,449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2,162</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12,750,541</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12,751</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63,372,839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(24,499,436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(1,211,723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(662,000</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37,014,593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r>
    </w:tbl>
    <w:p w:rsidR="00000000" w:rsidRDefault="00C9700C">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245"/>
        <w:gridCol w:w="45"/>
        <w:gridCol w:w="45"/>
        <w:gridCol w:w="720"/>
        <w:gridCol w:w="45"/>
        <w:gridCol w:w="45"/>
        <w:gridCol w:w="106"/>
        <w:gridCol w:w="525"/>
        <w:gridCol w:w="45"/>
        <w:gridCol w:w="45"/>
        <w:gridCol w:w="45"/>
        <w:gridCol w:w="810"/>
        <w:gridCol w:w="45"/>
        <w:gridCol w:w="45"/>
        <w:gridCol w:w="106"/>
        <w:gridCol w:w="525"/>
        <w:gridCol w:w="45"/>
        <w:gridCol w:w="45"/>
        <w:gridCol w:w="90"/>
        <w:gridCol w:w="810"/>
        <w:gridCol w:w="60"/>
        <w:gridCol w:w="45"/>
        <w:gridCol w:w="170"/>
        <w:gridCol w:w="870"/>
        <w:gridCol w:w="60"/>
        <w:gridCol w:w="45"/>
        <w:gridCol w:w="200"/>
        <w:gridCol w:w="1000"/>
        <w:gridCol w:w="60"/>
        <w:gridCol w:w="45"/>
        <w:gridCol w:w="139"/>
        <w:gridCol w:w="691"/>
        <w:gridCol w:w="60"/>
        <w:gridCol w:w="45"/>
        <w:gridCol w:w="180"/>
        <w:gridCol w:w="900"/>
        <w:gridCol w:w="60"/>
      </w:tblGrid>
      <w:tr w:rsidR="00000000">
        <w:tc>
          <w:tcPr>
            <w:tcW w:w="0" w:type="auto"/>
            <w:vAlign w:val="bottom"/>
            <w:hideMark/>
          </w:tcPr>
          <w:p w:rsidR="00000000" w:rsidRDefault="00C9700C">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P</w:t>
            </w:r>
            <w:r>
              <w:rPr>
                <w:rFonts w:eastAsia="Times New Roman"/>
                <w:b/>
                <w:bCs/>
                <w:sz w:val="18"/>
                <w:szCs w:val="18"/>
              </w:rPr>
              <w:t>referred Stock</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Common Stock</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Additional Paid-in</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Accumulated</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Accumulated Other Comprehensive</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Treasury (Common)</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Total</w:t>
            </w:r>
            <w:r>
              <w:rPr>
                <w:rFonts w:eastAsia="Times New Roman"/>
                <w:b/>
                <w:bCs/>
                <w:sz w:val="18"/>
                <w:szCs w:val="18"/>
              </w:rPr>
              <w:br/>
              <w:t>Shareholders’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r>
      <w:tr w:rsidR="00000000">
        <w:tc>
          <w:tcPr>
            <w:tcW w:w="0" w:type="auto"/>
            <w:tcMar>
              <w:top w:w="0" w:type="dxa"/>
              <w:left w:w="0" w:type="dxa"/>
              <w:bottom w:w="30" w:type="dxa"/>
              <w:right w:w="0" w:type="dxa"/>
            </w:tcMar>
            <w:vAlign w:val="bottom"/>
            <w:hideMark/>
          </w:tcPr>
          <w:p w:rsidR="00000000" w:rsidRDefault="00C9700C">
            <w:pPr>
              <w:jc w:val="center"/>
              <w:rPr>
                <w:rFonts w:eastAsia="Times New Roman"/>
                <w:sz w:val="18"/>
                <w:szCs w:val="18"/>
              </w:rPr>
            </w:pPr>
            <w:r>
              <w:rPr>
                <w:rFonts w:eastAsia="Times New Roman"/>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Shares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Amount</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Shares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Amount</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Capital</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Deficit</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Loss</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Stock</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18"/>
                <w:szCs w:val="18"/>
              </w:rPr>
            </w:pPr>
            <w:r>
              <w:rPr>
                <w:rFonts w:eastAsia="Times New Roman"/>
                <w:b/>
                <w:bCs/>
                <w:sz w:val="18"/>
                <w:szCs w:val="18"/>
              </w:rPr>
              <w:t>Equity</w:t>
            </w:r>
          </w:p>
        </w:tc>
        <w:tc>
          <w:tcPr>
            <w:tcW w:w="0" w:type="auto"/>
            <w:tcMar>
              <w:top w:w="0" w:type="dxa"/>
              <w:left w:w="0" w:type="dxa"/>
              <w:bottom w:w="30" w:type="dxa"/>
              <w:right w:w="0" w:type="dxa"/>
            </w:tcMar>
            <w:vAlign w:val="bottom"/>
            <w:hideMark/>
          </w:tcPr>
          <w:p w:rsidR="00000000" w:rsidRDefault="00C9700C">
            <w:pPr>
              <w:jc w:val="center"/>
              <w:rPr>
                <w:rFonts w:eastAsia="Times New Roman"/>
                <w:b/>
                <w:bCs/>
                <w:sz w:val="18"/>
                <w:szCs w:val="18"/>
              </w:rPr>
            </w:pPr>
            <w:r>
              <w:rPr>
                <w:rFonts w:eastAsia="Times New Roman"/>
                <w:b/>
                <w:bCs/>
                <w:sz w:val="18"/>
                <w:szCs w:val="18"/>
              </w:rPr>
              <w:t> </w:t>
            </w:r>
          </w:p>
        </w:tc>
      </w:tr>
      <w:tr w:rsidR="00C9700C">
        <w:tc>
          <w:tcPr>
            <w:tcW w:w="1400" w:type="pct"/>
            <w:shd w:val="clear" w:color="auto" w:fill="CCEEFF"/>
            <w:vAlign w:val="bottom"/>
            <w:hideMark/>
          </w:tcPr>
          <w:p w:rsidR="00000000" w:rsidRDefault="00C9700C">
            <w:pPr>
              <w:rPr>
                <w:rFonts w:eastAsia="Times New Roman"/>
                <w:sz w:val="18"/>
                <w:szCs w:val="18"/>
              </w:rPr>
            </w:pPr>
            <w:r>
              <w:rPr>
                <w:rFonts w:eastAsia="Times New Roman"/>
                <w:sz w:val="18"/>
                <w:szCs w:val="18"/>
              </w:rPr>
              <w:t>Balance- December 31, 2017 before adoption</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1,086,739</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1,087</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12,271,390</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12,272</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45,129,517</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(23,509,386</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(721,070</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(662,000</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250" w:type="pct"/>
            <w:shd w:val="clear" w:color="auto" w:fill="CCEEFF"/>
            <w:vAlign w:val="bottom"/>
            <w:hideMark/>
          </w:tcPr>
          <w:p w:rsidR="00000000" w:rsidRDefault="00C9700C">
            <w:pPr>
              <w:jc w:val="right"/>
              <w:rPr>
                <w:rFonts w:eastAsia="Times New Roman"/>
                <w:sz w:val="18"/>
                <w:szCs w:val="18"/>
              </w:rPr>
            </w:pPr>
            <w:r>
              <w:rPr>
                <w:rFonts w:eastAsia="Times New Roman"/>
                <w:sz w:val="18"/>
                <w:szCs w:val="18"/>
              </w:rPr>
              <w:t>20,250,420</w:t>
            </w:r>
          </w:p>
        </w:tc>
        <w:tc>
          <w:tcPr>
            <w:tcW w:w="50" w:type="pct"/>
            <w:shd w:val="clear" w:color="auto" w:fill="CCEE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xml:space="preserve">Cumulative </w:t>
            </w:r>
            <w:r>
              <w:rPr>
                <w:rFonts w:eastAsia="Times New Roman"/>
                <w:sz w:val="18"/>
                <w:szCs w:val="18"/>
              </w:rPr>
              <w:t>effect of adopting ASC 606</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1,444,121</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1,444,121</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Balance- January 1, 2018 after adoption</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1,086,739</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1,087</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12,271,390</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12,272</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45,129,517</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(22,065,265</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(721,070</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(662,000</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21,694,541</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Net income</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75,036</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75,036</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Foreign currency translation adjustment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(203,146</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(203,146</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w:t>
            </w:r>
          </w:p>
        </w:tc>
      </w:tr>
      <w:tr w:rsidR="00C9700C">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Issuance of stock under the Amended and Restated Equity Incentive Plan</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29,550</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29</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134,583</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134</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(163</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 xml:space="preserve">Stock-based </w:t>
            </w:r>
            <w:r>
              <w:rPr>
                <w:rFonts w:eastAsia="Times New Roman"/>
                <w:sz w:val="18"/>
                <w:szCs w:val="18"/>
              </w:rPr>
              <w:t>compensation, net of cash settlements</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112,090</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vAlign w:val="bottom"/>
            <w:hideMark/>
          </w:tcPr>
          <w:p w:rsidR="00000000" w:rsidRDefault="00C9700C">
            <w:pPr>
              <w:jc w:val="right"/>
              <w:rPr>
                <w:rFonts w:eastAsia="Times New Roman"/>
                <w:sz w:val="18"/>
                <w:szCs w:val="18"/>
              </w:rPr>
            </w:pPr>
            <w:r>
              <w:rPr>
                <w:rFonts w:eastAsia="Times New Roman"/>
                <w:sz w:val="18"/>
                <w:szCs w:val="18"/>
              </w:rPr>
              <w:t>112,090</w:t>
            </w:r>
          </w:p>
        </w:tc>
        <w:tc>
          <w:tcPr>
            <w:tcW w:w="0" w:type="auto"/>
            <w:shd w:val="clear" w:color="auto" w:fill="CCEEFF"/>
            <w:vAlign w:val="bottom"/>
            <w:hideMark/>
          </w:tcPr>
          <w:p w:rsidR="00000000" w:rsidRDefault="00C9700C">
            <w:pPr>
              <w:rPr>
                <w:rFonts w:eastAsia="Times New Roman"/>
                <w:sz w:val="18"/>
                <w:szCs w:val="18"/>
              </w:rPr>
            </w:pPr>
            <w:r>
              <w:rPr>
                <w:rFonts w:eastAsia="Times New Roman"/>
                <w:sz w:val="18"/>
                <w:szCs w:val="18"/>
              </w:rPr>
              <w:t> </w:t>
            </w:r>
          </w:p>
        </w:tc>
      </w:tr>
      <w:tr w:rsidR="00C9700C">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18"/>
                <w:szCs w:val="18"/>
              </w:rPr>
            </w:pPr>
            <w:r>
              <w:rPr>
                <w:rFonts w:eastAsia="Times New Roman"/>
                <w:sz w:val="18"/>
                <w:szCs w:val="18"/>
              </w:rPr>
              <w:t>Tax withholding obligations on stock issued to employees</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(226,250</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vAlign w:val="bottom"/>
            <w:hideMark/>
          </w:tcPr>
          <w:p w:rsidR="00000000" w:rsidRDefault="00C9700C">
            <w:pPr>
              <w:jc w:val="right"/>
              <w:rPr>
                <w:rFonts w:eastAsia="Times New Roman"/>
                <w:sz w:val="18"/>
                <w:szCs w:val="18"/>
              </w:rPr>
            </w:pPr>
            <w:r>
              <w:rPr>
                <w:rFonts w:eastAsia="Times New Roman"/>
                <w:sz w:val="18"/>
                <w:szCs w:val="18"/>
              </w:rPr>
              <w:t>(226,250</w:t>
            </w:r>
          </w:p>
        </w:tc>
        <w:tc>
          <w:tcPr>
            <w:tcW w:w="0" w:type="auto"/>
            <w:shd w:val="clear" w:color="auto" w:fill="FFFFFF"/>
            <w:vAlign w:val="bottom"/>
            <w:hideMark/>
          </w:tcPr>
          <w:p w:rsidR="00000000" w:rsidRDefault="00C9700C">
            <w:pPr>
              <w:rPr>
                <w:rFonts w:eastAsia="Times New Roman"/>
                <w:sz w:val="18"/>
                <w:szCs w:val="18"/>
              </w:rPr>
            </w:pPr>
            <w:r>
              <w:rPr>
                <w:rFonts w:eastAsia="Times New Roman"/>
                <w:sz w:val="18"/>
                <w:szCs w:val="18"/>
              </w:rPr>
              <w:t>)</w:t>
            </w:r>
          </w:p>
        </w:tc>
      </w:tr>
      <w:tr w:rsidR="00C9700C">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Preferred stock dividends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(775,332</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18"/>
                <w:szCs w:val="18"/>
              </w:rPr>
            </w:pPr>
            <w:r>
              <w:rPr>
                <w:rFonts w:eastAsia="Times New Roman"/>
                <w:sz w:val="18"/>
                <w:szCs w:val="18"/>
              </w:rPr>
              <w:t>(775,332</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18"/>
                <w:szCs w:val="18"/>
              </w:rPr>
            </w:pPr>
            <w:r>
              <w:rPr>
                <w:rFonts w:eastAsia="Times New Roman"/>
                <w:sz w:val="18"/>
                <w:szCs w:val="18"/>
              </w:rPr>
              <w:t>)</w:t>
            </w:r>
          </w:p>
        </w:tc>
      </w:tr>
      <w:tr w:rsidR="00C9700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Balance - March 31, 2018</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1,116,289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1,116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12,405,973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12,406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44,239,862</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(21,990,229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(924,216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(662,000</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18"/>
                <w:szCs w:val="18"/>
              </w:rPr>
            </w:pPr>
            <w:r>
              <w:rPr>
                <w:rFonts w:eastAsia="Times New Roman"/>
                <w:sz w:val="18"/>
                <w:szCs w:val="18"/>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18"/>
                <w:szCs w:val="18"/>
              </w:rPr>
            </w:pPr>
            <w:r>
              <w:rPr>
                <w:rFonts w:eastAsia="Times New Roman"/>
                <w:sz w:val="18"/>
                <w:szCs w:val="18"/>
              </w:rPr>
              <w:t>20,676,939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18"/>
                <w:szCs w:val="18"/>
              </w:rPr>
            </w:pPr>
            <w:r>
              <w:rPr>
                <w:rFonts w:eastAsia="Times New Roman"/>
                <w:sz w:val="18"/>
                <w:szCs w:val="18"/>
              </w:rPr>
              <w:t> </w:t>
            </w:r>
          </w:p>
        </w:tc>
      </w:tr>
    </w:tbl>
    <w:p w:rsidR="00000000" w:rsidRDefault="00C9700C">
      <w:pPr>
        <w:pStyle w:val="a3"/>
        <w:spacing w:before="0" w:beforeAutospacing="0" w:after="0" w:afterAutospacing="0"/>
        <w:jc w:val="center"/>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See n</w:t>
      </w:r>
      <w:r>
        <w:rPr>
          <w:sz w:val="20"/>
          <w:szCs w:val="20"/>
        </w:rPr>
        <w:t>otes to condensed consolidated financial statements.</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21967295"/>
        </w:trPr>
        <w:tc>
          <w:tcPr>
            <w:tcW w:w="5000" w:type="pct"/>
            <w:hideMark/>
          </w:tcPr>
          <w:p w:rsidR="00000000" w:rsidRDefault="00C9700C">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center"/>
        <w:rPr>
          <w:sz w:val="20"/>
          <w:szCs w:val="20"/>
        </w:rPr>
      </w:pPr>
      <w:r>
        <w:rPr>
          <w:b/>
          <w:bCs/>
          <w:sz w:val="20"/>
          <w:szCs w:val="20"/>
        </w:rPr>
        <w:t>MTBC, INC.</w:t>
      </w:r>
    </w:p>
    <w:p w:rsidR="00000000" w:rsidRDefault="00C9700C">
      <w:pPr>
        <w:pStyle w:val="a3"/>
        <w:spacing w:before="0" w:beforeAutospacing="0" w:after="0" w:afterAutospacing="0"/>
        <w:jc w:val="center"/>
        <w:rPr>
          <w:sz w:val="20"/>
          <w:szCs w:val="20"/>
        </w:rPr>
      </w:pPr>
      <w:bookmarkStart w:id="7" w:name="t_008"/>
      <w:bookmarkEnd w:id="7"/>
      <w:r>
        <w:rPr>
          <w:b/>
          <w:bCs/>
          <w:sz w:val="20"/>
          <w:szCs w:val="20"/>
        </w:rPr>
        <w:t>CONDENSED CONSOLIDATED STATEMENTS OF CASH FLOWS (UNAUDITED)</w:t>
      </w:r>
    </w:p>
    <w:p w:rsidR="00000000" w:rsidRDefault="00C9700C">
      <w:pPr>
        <w:pStyle w:val="a3"/>
        <w:spacing w:before="0" w:beforeAutospacing="0" w:after="0" w:afterAutospacing="0"/>
        <w:jc w:val="center"/>
        <w:rPr>
          <w:sz w:val="20"/>
          <w:szCs w:val="20"/>
        </w:rPr>
      </w:pPr>
      <w:r>
        <w:rPr>
          <w:b/>
          <w:bCs/>
          <w:sz w:val="20"/>
          <w:szCs w:val="20"/>
        </w:rPr>
        <w:t>FOR THE THREE MONTHS ENDED MARCH 31, 2019 AND 2018</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OPERATING ACTIVITIES: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400" w:type="pct"/>
            <w:shd w:val="clear" w:color="auto" w:fill="FFFFFF"/>
            <w:vAlign w:val="bottom"/>
            <w:hideMark/>
          </w:tcPr>
          <w:p w:rsidR="00000000" w:rsidRDefault="00C9700C">
            <w:pPr>
              <w:rPr>
                <w:rFonts w:eastAsia="Times New Roman"/>
                <w:sz w:val="20"/>
                <w:szCs w:val="20"/>
              </w:rPr>
            </w:pPr>
            <w:r>
              <w:rPr>
                <w:rFonts w:eastAsia="Times New Roman"/>
                <w:sz w:val="20"/>
                <w:szCs w:val="20"/>
              </w:rPr>
              <w:t>Net (loss) income</w:t>
            </w:r>
          </w:p>
        </w:tc>
        <w:tc>
          <w:tcPr>
            <w:tcW w:w="10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C9700C">
            <w:pPr>
              <w:jc w:val="right"/>
              <w:rPr>
                <w:rFonts w:eastAsia="Times New Roman"/>
                <w:sz w:val="20"/>
                <w:szCs w:val="20"/>
              </w:rPr>
            </w:pPr>
            <w:r>
              <w:rPr>
                <w:rFonts w:eastAsia="Times New Roman"/>
                <w:sz w:val="20"/>
                <w:szCs w:val="20"/>
              </w:rPr>
              <w:t>(295,691</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C9700C">
            <w:pPr>
              <w:jc w:val="right"/>
              <w:rPr>
                <w:rFonts w:eastAsia="Times New Roman"/>
                <w:sz w:val="20"/>
                <w:szCs w:val="20"/>
              </w:rPr>
            </w:pPr>
            <w:r>
              <w:rPr>
                <w:rFonts w:eastAsia="Times New Roman"/>
                <w:sz w:val="20"/>
                <w:szCs w:val="20"/>
              </w:rPr>
              <w:t>75,036</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Adjustments to reconcile net (loss) income to net cash provided by operating activities: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773,933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602,836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Deferred rent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(16,736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Lease amortization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393,210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(3,735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(21,889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Provision for doubtful accounts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4,599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78,556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(Benefit) provision for deferred income taxes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(55,532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38,000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Foreign exchange </w:t>
            </w:r>
            <w:r>
              <w:rPr>
                <w:rFonts w:eastAsia="Times New Roman"/>
                <w:sz w:val="20"/>
                <w:szCs w:val="20"/>
              </w:rPr>
              <w:t>loss (gain)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243,133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(146,939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Interest accretion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120,051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48,712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Gain on sale of assets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(26,213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757,525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127,691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(64,203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31,749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Changes in operating assets and liabilities, net of businesses acquired:</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(480,992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23,948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252,317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(47,071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80,218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Other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3,634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91,754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Accounts payable and other liabilities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(764,745</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(212,266</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Net cash provided by operating activities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937,509</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673,381</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INVESTING ACTIVITIES: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Capital expenditures, net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(510,938</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(174,242</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6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xml:space="preserve">Net </w:t>
            </w:r>
            <w:r>
              <w:rPr>
                <w:rFonts w:eastAsia="Times New Roman"/>
                <w:sz w:val="20"/>
                <w:szCs w:val="20"/>
              </w:rPr>
              <w:t>cash used in investing activities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(510,938</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(174,242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FINANCING ACTIVITIES: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Preferred stock dividends paid</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(1,474,715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(755,016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Settlement of tax </w:t>
            </w:r>
            <w:r>
              <w:rPr>
                <w:rFonts w:eastAsia="Times New Roman"/>
                <w:sz w:val="20"/>
                <w:szCs w:val="20"/>
              </w:rPr>
              <w:t>withholding obligations on stock issued to employees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(872,083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(213,675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Repayments of notes payable, net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(84,629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(92,561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Contingent consideration payments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(154,844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(47,111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Other financing activities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(5,674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Net cash used in financing activities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(2,586,271</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(1,114,037</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213,864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(206,264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NET DECREASE IN CASH</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(1,945,836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(821,162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CASH - beginning of the period</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14,472,483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4,362,232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CASH - end of the period</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12,526,647</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3,541,070</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SUPPLEMENTAL NONCASH INVESTING AND FINANCING ACTIVITIES: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Vehicle financing obtained</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Dividends declared, not paid</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1,486,709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767,463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SUPPLEMENTAL INFORMATION - Cash paid during the period for:</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Income taxes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34,689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20,153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Interest</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17,049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9,741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See </w:t>
      </w:r>
      <w:r>
        <w:rPr>
          <w:sz w:val="20"/>
          <w:szCs w:val="20"/>
        </w:rPr>
        <w:t>notes to condensed consolidated financial statements.</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00698442"/>
        </w:trPr>
        <w:tc>
          <w:tcPr>
            <w:tcW w:w="5000" w:type="pct"/>
            <w:hideMark/>
          </w:tcPr>
          <w:p w:rsidR="00000000" w:rsidRDefault="00C9700C">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b/>
          <w:bCs/>
          <w:sz w:val="20"/>
          <w:szCs w:val="20"/>
        </w:rPr>
        <w:t> </w:t>
      </w:r>
    </w:p>
    <w:p w:rsidR="00000000" w:rsidRDefault="00C9700C">
      <w:pPr>
        <w:pStyle w:val="a3"/>
        <w:spacing w:before="0" w:beforeAutospacing="0" w:after="0" w:afterAutospacing="0"/>
        <w:ind w:left="475"/>
        <w:jc w:val="center"/>
        <w:rPr>
          <w:sz w:val="20"/>
          <w:szCs w:val="20"/>
        </w:rPr>
      </w:pPr>
      <w:r>
        <w:rPr>
          <w:b/>
          <w:bCs/>
          <w:sz w:val="20"/>
          <w:szCs w:val="20"/>
        </w:rPr>
        <w:t>MTBC, INC.</w:t>
      </w:r>
    </w:p>
    <w:p w:rsidR="00000000" w:rsidRDefault="00C9700C">
      <w:pPr>
        <w:pStyle w:val="a3"/>
        <w:spacing w:before="0" w:beforeAutospacing="0" w:after="0" w:afterAutospacing="0"/>
        <w:ind w:left="475"/>
        <w:jc w:val="center"/>
        <w:rPr>
          <w:sz w:val="20"/>
          <w:szCs w:val="20"/>
        </w:rPr>
      </w:pPr>
      <w:bookmarkStart w:id="8" w:name="t_009"/>
      <w:bookmarkEnd w:id="8"/>
      <w:r>
        <w:rPr>
          <w:b/>
          <w:bCs/>
          <w:sz w:val="20"/>
          <w:szCs w:val="20"/>
        </w:rPr>
        <w:t>NOTES TO CONDENSED CONSOLIDATED FINANCIAL STATEMENTS</w:t>
      </w:r>
    </w:p>
    <w:p w:rsidR="00000000" w:rsidRDefault="00C9700C">
      <w:pPr>
        <w:pStyle w:val="a3"/>
        <w:spacing w:before="0" w:beforeAutospacing="0" w:after="0" w:afterAutospacing="0"/>
        <w:ind w:left="475"/>
        <w:jc w:val="center"/>
        <w:rPr>
          <w:sz w:val="20"/>
          <w:szCs w:val="20"/>
        </w:rPr>
      </w:pPr>
      <w:r>
        <w:rPr>
          <w:b/>
          <w:bCs/>
          <w:sz w:val="20"/>
          <w:szCs w:val="20"/>
        </w:rPr>
        <w:t>AS OF AND FOR THE THREE MONTHS ENDED MARCH 31, 2019 AND 2018</w:t>
      </w:r>
      <w:r>
        <w:rPr>
          <w:sz w:val="20"/>
          <w:szCs w:val="20"/>
        </w:rPr>
        <w:br/>
      </w:r>
      <w:r>
        <w:rPr>
          <w:b/>
          <w:bCs/>
          <w:sz w:val="20"/>
          <w:szCs w:val="20"/>
        </w:rPr>
        <w:t>(UNAUDITED)</w:t>
      </w:r>
    </w:p>
    <w:p w:rsidR="00000000" w:rsidRDefault="00C9700C">
      <w:pPr>
        <w:pStyle w:val="a3"/>
        <w:spacing w:before="0" w:beforeAutospacing="0" w:after="0" w:afterAutospacing="0"/>
        <w:ind w:left="475"/>
        <w:jc w:val="center"/>
        <w:rPr>
          <w:sz w:val="20"/>
          <w:szCs w:val="20"/>
        </w:rPr>
      </w:pPr>
      <w:r>
        <w:rPr>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 xml:space="preserve">1. </w:t>
      </w:r>
      <w:r>
        <w:rPr>
          <w:b/>
          <w:bCs/>
          <w:caps/>
          <w:sz w:val="20"/>
          <w:szCs w:val="20"/>
        </w:rPr>
        <w:t>Organization and Business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MTBC, Inc., formerly known as Medical Transcription Billing, Corp. (and together with its subsidiaries “MTBC” or the “Company”) is a healthcare information technology company that offers an integrated suite of proprietary cloud-</w:t>
      </w:r>
      <w:r>
        <w:rPr>
          <w:sz w:val="20"/>
          <w:szCs w:val="20"/>
        </w:rPr>
        <w:t>based electronic health records and practice management solutions, together with related business services, to healthcare providers. The Company’s integrated services are designed to help customers increase revenues, streamline workflows and make better bu</w:t>
      </w:r>
      <w:r>
        <w:rPr>
          <w:sz w:val="20"/>
          <w:szCs w:val="20"/>
        </w:rPr>
        <w:t>siness and clinical decisions, while reducing administrative burdens and operating costs. The Company’s services include full-scale revenue cycle management, electronic health records, and other technology-driven practice management services for private an</w:t>
      </w:r>
      <w:r>
        <w:rPr>
          <w:sz w:val="20"/>
          <w:szCs w:val="20"/>
        </w:rPr>
        <w:t>d hospital-employed healthcare providers. MTBC has its corporate offices in Somerset, New Jersey and maintains client support teams throughout the U.S, in Pakistan and in Sri Lanka.</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MTBC was founded in 1999 and incorporated under the laws of the State of</w:t>
      </w:r>
      <w:r>
        <w:rPr>
          <w:sz w:val="20"/>
          <w:szCs w:val="20"/>
        </w:rPr>
        <w:t xml:space="preserve"> Delaware in 2001. In 2004, MTBC formed MTBC Private Limited (or “MTBC Pvt. Ltd.”), a 99.9% majority-owned subsidiary of MTBC based in Pakistan. The remaining 0.01% of the shares of MTBC Pvt. Ltd. is owned by the founder and Executive Chairman of MTBC. In </w:t>
      </w:r>
      <w:r>
        <w:rPr>
          <w:sz w:val="20"/>
          <w:szCs w:val="20"/>
        </w:rPr>
        <w:t>2016, MTBC formed MTBC Acquisition Corp. (“MAC”), a Delaware corporation, in connection with its acquisition of substantially all of the assets of MediGain, LLC and its subsidiary, Millennium Practice Management Associates, LLC (together “MediGain). MAC ha</w:t>
      </w:r>
      <w:r>
        <w:rPr>
          <w:sz w:val="20"/>
          <w:szCs w:val="20"/>
        </w:rPr>
        <w:t>s a wholly owned subsidiary in Sri Lanka, RCM MediGain Colombo, Pvt. Ltd. In May 2018, MTBC formed MTBC Health, Inc. (“MHI”) and MTBC Practice Management, Corp. (“MPM”), each a Delaware corporation in connection with MTBC’s acquisition of substantially all</w:t>
      </w:r>
      <w:r>
        <w:rPr>
          <w:sz w:val="20"/>
          <w:szCs w:val="20"/>
        </w:rPr>
        <w:t xml:space="preserve"> of the revenue cycle management, practice management and group purchasing organization assets of Orion Healthcorp, Inc. and 13 of its affiliates (together, “Orion”). MHI is a direct, wholly owned subsidiary of MTBC, and was formed to own and operate the r</w:t>
      </w:r>
      <w:r>
        <w:rPr>
          <w:sz w:val="20"/>
          <w:szCs w:val="20"/>
        </w:rPr>
        <w:t>evenue cycle management and group purchasing organization businesses acquired from Orion. MPM is a wholly owned subsidiary of MHI and was formed to own and operate the practice management business acquired from Orion.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 March 2019, MTBC formed MTBC–Med,</w:t>
      </w:r>
      <w:r>
        <w:rPr>
          <w:sz w:val="20"/>
          <w:szCs w:val="20"/>
        </w:rPr>
        <w:t xml:space="preserve"> Inc. (“MED”), a Delaware corporation, in connection with its subsequent acquisition of substantially all of the assets of Etransmedia Technology, Inc. and its subsidiaries. (see Note 15).</w:t>
      </w:r>
    </w:p>
    <w:p w:rsidR="00000000" w:rsidRDefault="00C9700C">
      <w:pPr>
        <w:pStyle w:val="a3"/>
        <w:spacing w:before="0" w:beforeAutospacing="0" w:after="0" w:afterAutospacing="0"/>
        <w:ind w:left="475" w:hanging="475"/>
        <w:rPr>
          <w:b/>
          <w:bCs/>
          <w:caps/>
          <w:sz w:val="20"/>
          <w:szCs w:val="20"/>
        </w:rPr>
      </w:pPr>
      <w:r>
        <w:rPr>
          <w:b/>
          <w:bCs/>
          <w:caps/>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2. BASIS OF PRESENTATION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accompanying unaudited condensed consolidated financial statements have been prepared in accordance with accounting principles generally accepted in the United States of America (“GAAP”) for interim financial reporting and as required by Regulation S-X, Ru</w:t>
      </w:r>
      <w:r>
        <w:rPr>
          <w:sz w:val="20"/>
          <w:szCs w:val="20"/>
        </w:rPr>
        <w:t>le 8-03. Accordingly, they do not include all of the information and notes required by GAAP for complete financial statements. In the opinion of the Company’s management, the accompanying unaudited condensed consolidated financial statements contain all ad</w:t>
      </w:r>
      <w:r>
        <w:rPr>
          <w:sz w:val="20"/>
          <w:szCs w:val="20"/>
        </w:rPr>
        <w:t>justments (consisting of items of a normal and recurring nature) necessary to present fairly the Company’s financial position as of March 31, 2019, the results of operations for the three months ended March 31, 2019 and 2018 and cash flows for the three mo</w:t>
      </w:r>
      <w:r>
        <w:rPr>
          <w:sz w:val="20"/>
          <w:szCs w:val="20"/>
        </w:rPr>
        <w:t xml:space="preserve">nths ended March 31, 2019 and 2018. When preparing financial statements in conformity with GAAP, the Company must make estimates and assumptions that affect the reported amounts of assets and liabilities, disclosure of contingent assets and liabilities at </w:t>
      </w:r>
      <w:r>
        <w:rPr>
          <w:sz w:val="20"/>
          <w:szCs w:val="20"/>
        </w:rPr>
        <w:t>the date of the financial statements and the reported amounts of revenues and expenses during the reporting period. Actual results could differ significantly from those estimates.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condensed consolidated balance sheet as of December 31, 2018 was deriv</w:t>
      </w:r>
      <w:r>
        <w:rPr>
          <w:sz w:val="20"/>
          <w:szCs w:val="20"/>
        </w:rPr>
        <w:t>ed from our audited consolidated financial statements. The accompanying unaudited condensed consolidated financial statements and notes thereto should be read in conjunction with the audited consolidated financial statements for the year ended December 31,</w:t>
      </w:r>
      <w:r>
        <w:rPr>
          <w:sz w:val="20"/>
          <w:szCs w:val="20"/>
        </w:rPr>
        <w:t xml:space="preserve"> 2018, which are included in the Company’s Annual Report on Form 10-K, filed with the SEC on March 20, 2019.</w:t>
      </w:r>
    </w:p>
    <w:p w:rsidR="00000000" w:rsidRDefault="00C9700C">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73013774"/>
        </w:trPr>
        <w:tc>
          <w:tcPr>
            <w:tcW w:w="5000" w:type="pct"/>
            <w:hideMark/>
          </w:tcPr>
          <w:p w:rsidR="00000000" w:rsidRDefault="00C9700C">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In February 2016, the FASB issued ASU No. 2016-02, </w:t>
      </w:r>
      <w:r>
        <w:rPr>
          <w:i/>
          <w:iCs/>
          <w:sz w:val="20"/>
          <w:szCs w:val="20"/>
        </w:rPr>
        <w:t>Leases (Topic 842).</w:t>
      </w:r>
      <w:r>
        <w:rPr>
          <w:sz w:val="20"/>
          <w:szCs w:val="20"/>
        </w:rPr>
        <w:t xml:space="preserve"> The new standard requires orga</w:t>
      </w:r>
      <w:r>
        <w:rPr>
          <w:sz w:val="20"/>
          <w:szCs w:val="20"/>
        </w:rPr>
        <w:t>nizations that have leased assets, referred to as “lessees,” to recognize on the balance sheet the assets and liabilities that represent the rights and obligations created by those leases, respectively. Under the new guidance, a lessee is required to recog</w:t>
      </w:r>
      <w:r>
        <w:rPr>
          <w:sz w:val="20"/>
          <w:szCs w:val="20"/>
        </w:rPr>
        <w:t>nize assets and liabilities for leases with lease terms of more than 12 months. Consistent with current GAAP, the recognition, measurement and presentation of expenses and cash flows arising from a lease by a lessee primarily will depend on its classificat</w:t>
      </w:r>
      <w:r>
        <w:rPr>
          <w:sz w:val="20"/>
          <w:szCs w:val="20"/>
        </w:rPr>
        <w:t>ion as a finance or operating lease. However, unlike current GAAP which requires only capital leases to be recognized on the balance sheet, the new ASU requires both types of leases to be recognized on the balance sheet. The FASB has subsequently issued fu</w:t>
      </w:r>
      <w:r>
        <w:rPr>
          <w:sz w:val="20"/>
          <w:szCs w:val="20"/>
        </w:rPr>
        <w:t>rther ASU’s related to the standard providing additional practical expedients and an optional transition method allowing entities to not recast comparative periods. The amendments in ASU No. 2016-02 are now effective.</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adopted the standard on January 1</w:t>
      </w:r>
      <w:r>
        <w:rPr>
          <w:sz w:val="20"/>
          <w:szCs w:val="20"/>
        </w:rPr>
        <w:t>, 2019 using the optional transition adjustment method. As part of the adoption of ASC 842, we performed an assessment of the impact of the new lease recognition standard has on the condensed consolidated financial statements. All of our leases, which cons</w:t>
      </w:r>
      <w:r>
        <w:rPr>
          <w:sz w:val="20"/>
          <w:szCs w:val="20"/>
        </w:rPr>
        <w:t>ist of facility and equipment leases, have been classified as operating leases. The Company does not have any financing leases. We adopted the requirements of the new standard without restating the prior periods. There was no impact to the accumulated defi</w:t>
      </w:r>
      <w:r>
        <w:rPr>
          <w:sz w:val="20"/>
          <w:szCs w:val="20"/>
        </w:rPr>
        <w:t>cit as of the date of adoption. For leases in place at the transition date, we adopted the package of practical expedients that allows us to not reassess: (1) whether any expired or existing contracts are or contain leases, (2) lease classification for any</w:t>
      </w:r>
      <w:r>
        <w:rPr>
          <w:sz w:val="20"/>
          <w:szCs w:val="20"/>
        </w:rPr>
        <w:t xml:space="preserve"> expired or existing leases and (3) initial direct costs for any expired or existing leases.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have also adopted the practical expedients that allow us to treat the lease and non-lease components of our leases as a single component for our facility leas</w:t>
      </w:r>
      <w:r>
        <w:rPr>
          <w:sz w:val="20"/>
          <w:szCs w:val="20"/>
        </w:rPr>
        <w:t>es. We elected the short-term lease recognition exemption for all leases that qualify. As such, for those leases that qualify, we did not recognize ROU asset or lease liabilities as part of the transition adjustment. As of January 1, 2019, the impact on th</w:t>
      </w:r>
      <w:r>
        <w:rPr>
          <w:sz w:val="20"/>
          <w:szCs w:val="20"/>
        </w:rPr>
        <w:t>e consolidated assets was approximately $4.2 million and the impact on the consolidated liabilities of approximately $4.4 million. The adoption of ASC 842 did not have a material effect on the Company’s results of operations, stockholders’ equity, or state</w:t>
      </w:r>
      <w:r>
        <w:rPr>
          <w:sz w:val="20"/>
          <w:szCs w:val="20"/>
        </w:rPr>
        <w:t>ment of cash flows.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We </w:t>
      </w:r>
      <w:r>
        <w:rPr>
          <w:sz w:val="20"/>
          <w:szCs w:val="20"/>
        </w:rPr>
        <w:t>have also evaluated, documented and implemented required changes in internal control as part of our adoption of the new lease recognition standard. These changes include implementing updated accounting policies affected by ASC 842 and implementing a new in</w:t>
      </w:r>
      <w:r>
        <w:rPr>
          <w:sz w:val="20"/>
          <w:szCs w:val="20"/>
        </w:rPr>
        <w:t>formation technology application to calculate our right-of-use assets, lease liabilities and required disclosures.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In June 2016, the FASB issued ASU 2016-13, </w:t>
      </w:r>
      <w:r>
        <w:rPr>
          <w:i/>
          <w:iCs/>
          <w:sz w:val="20"/>
          <w:szCs w:val="20"/>
        </w:rPr>
        <w:t>Financial Instruments – Credit Losses: Measurement of Credit Losses on Financial Instruments</w:t>
      </w:r>
      <w:r>
        <w:rPr>
          <w:sz w:val="20"/>
          <w:szCs w:val="20"/>
        </w:rPr>
        <w:t xml:space="preserve"> (“A</w:t>
      </w:r>
      <w:r>
        <w:rPr>
          <w:sz w:val="20"/>
          <w:szCs w:val="20"/>
        </w:rPr>
        <w:t>SU 2016-13”). The guidance in ASU 2016-13 replaces the incurred loss impairment methodology under current GAAP. The new impairment model requires immediate recognition of estimated credit losses expected to occur for most financial assets and certain other</w:t>
      </w:r>
      <w:r>
        <w:rPr>
          <w:sz w:val="20"/>
          <w:szCs w:val="20"/>
        </w:rPr>
        <w:t xml:space="preserve"> instruments. It will apply to all entities. For trade receivables, loans and held-to-maturity debt securities, entities will be required to estimate lifetime expected credit losses. This may result in the earlier recognition of credit losses. ASU 2016-13 </w:t>
      </w:r>
      <w:r>
        <w:rPr>
          <w:sz w:val="20"/>
          <w:szCs w:val="20"/>
        </w:rPr>
        <w:t>is effective for annual periods beginning after December 15, 2019, and interim periods within those annual periods. Early adoption is permitted for fiscal years beginning after December 15, 2018. We are currently in the process of evaluating this new guida</w:t>
      </w:r>
      <w:r>
        <w:rPr>
          <w:sz w:val="20"/>
          <w:szCs w:val="20"/>
        </w:rPr>
        <w:t>nce, which we expect will not have a material impact on our consolidated financial statements and results of operations.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On February 14, 2018, the FASB issued ASU 2018-02, </w:t>
      </w:r>
      <w:r>
        <w:rPr>
          <w:i/>
          <w:iCs/>
          <w:sz w:val="20"/>
          <w:szCs w:val="20"/>
        </w:rPr>
        <w:t>Income Statement – Reporting Comprehensive Income (Topic 220): Reclassification of</w:t>
      </w:r>
      <w:r>
        <w:rPr>
          <w:i/>
          <w:iCs/>
          <w:sz w:val="20"/>
          <w:szCs w:val="20"/>
        </w:rPr>
        <w:t xml:space="preserve"> Certain Tax Effects from Accumulated Other Comprehensive Income. </w:t>
      </w:r>
      <w:r>
        <w:rPr>
          <w:sz w:val="20"/>
          <w:szCs w:val="20"/>
        </w:rPr>
        <w:t xml:space="preserve">These amendments provide financial statement preparers with an option to reclassify standard tax effects within accumulated other comprehensive income to retained earnings in each period in </w:t>
      </w:r>
      <w:r>
        <w:rPr>
          <w:sz w:val="20"/>
          <w:szCs w:val="20"/>
        </w:rPr>
        <w:t>which the effect of the change in the U.S. federal corporate income tax rate in the Tax Cuts and Jobs Act is recorded. This guidance is effective for fiscal years beginning after December 15, 2018, and interim periods therein. The Company does not anticipa</w:t>
      </w:r>
      <w:r>
        <w:rPr>
          <w:sz w:val="20"/>
          <w:szCs w:val="20"/>
        </w:rPr>
        <w:t>te any material impact on the consolidated financial statements as a result of this standard.</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84506179"/>
        </w:trPr>
        <w:tc>
          <w:tcPr>
            <w:tcW w:w="5000" w:type="pct"/>
            <w:hideMark/>
          </w:tcPr>
          <w:p w:rsidR="00000000" w:rsidRDefault="00C9700C">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3. ACQUISITION</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b/>
          <w:bCs/>
          <w:sz w:val="20"/>
          <w:szCs w:val="20"/>
          <w:u w:val="single"/>
        </w:rPr>
        <w:t>2018 Acquisition</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 xml:space="preserve">On </w:t>
      </w:r>
      <w:r>
        <w:rPr>
          <w:sz w:val="20"/>
          <w:szCs w:val="20"/>
        </w:rPr>
        <w:t>May 7, 2018, the Company executed an asset purchase agreement (“APA”) to acquire substantially all of the revenue cycle, practice management, and group purchasing organization assets of Orion. The purchase price was $12.6 million, excluding acquisition-rel</w:t>
      </w:r>
      <w:r>
        <w:rPr>
          <w:sz w:val="20"/>
          <w:szCs w:val="20"/>
        </w:rPr>
        <w:t>ated costs of approximately $245,000. Per the APA, the acquisition had an effective date of July 1, 2018. The acquisition has been accounted for as a business combination.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Orion acquisition added a significant number of clients to the Company’s customer base and, similar to previous acquisitions, broadened the Company’s presence in the healthcare information technology industry through geographic expansion of its customer ba</w:t>
      </w:r>
      <w:r>
        <w:rPr>
          <w:sz w:val="20"/>
          <w:szCs w:val="20"/>
        </w:rPr>
        <w:t>se and by increasing available customer relationship resources and specialized trained staff. The acquisition also included Orion’s practice management and group purchasing services. The practice management services provide three pediatric medical practice</w:t>
      </w:r>
      <w:r>
        <w:rPr>
          <w:sz w:val="20"/>
          <w:szCs w:val="20"/>
        </w:rPr>
        <w:t>s with the nurses, administrative support, facilities, supplies, equipment, marketing, RCM, accounting and other non-clinical services needed to efficiently operate the practices. The group purchasing services enable medical providers to purchase various v</w:t>
      </w:r>
      <w:r>
        <w:rPr>
          <w:sz w:val="20"/>
          <w:szCs w:val="20"/>
        </w:rPr>
        <w:t>accines directly from selected pharmaceutical companies at a discounted price.</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Company engaged a third party valuation specialist to assist the Company in valuing the assets acquired from Orion. The following table summarizes the purchase price alloc</w:t>
      </w:r>
      <w:r>
        <w:rPr>
          <w:sz w:val="20"/>
          <w:szCs w:val="20"/>
        </w:rPr>
        <w:t>ation.</w:t>
      </w:r>
    </w:p>
    <w:p w:rsidR="00000000" w:rsidRDefault="00C9700C">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67"/>
        <w:gridCol w:w="50"/>
        <w:gridCol w:w="100"/>
        <w:gridCol w:w="900"/>
        <w:gridCol w:w="67"/>
      </w:tblGrid>
      <w:tr w:rsidR="00000000">
        <w:tc>
          <w:tcPr>
            <w:tcW w:w="4000" w:type="pct"/>
            <w:shd w:val="clear" w:color="auto" w:fill="CCEEFF"/>
            <w:vAlign w:val="bottom"/>
            <w:hideMark/>
          </w:tcPr>
          <w:p w:rsidR="00000000" w:rsidRDefault="00C9700C">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6,250,000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5,654,919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861,341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Inventory</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307,278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319,352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Goodwill</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329,852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(677,872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(444,870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12,600,000</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acquired accounts receivable are recorded at fair value which represents amounts that have subsequently been paid or are expected to be paid by clients. The inventory acquired represents vaccines h</w:t>
      </w:r>
      <w:r>
        <w:rPr>
          <w:sz w:val="20"/>
          <w:szCs w:val="20"/>
        </w:rPr>
        <w:t xml:space="preserve">eld at the managed practices. The fair value of customer relationships was based on the estimated discounted cash flows generated by these intangibles. The goodwill from this acquisition is deductible ratably for income tax purposes over fifteen years and </w:t>
      </w:r>
      <w:r>
        <w:rPr>
          <w:sz w:val="20"/>
          <w:szCs w:val="20"/>
        </w:rPr>
        <w:t>represents the Company’s ability to have an expanded local presence in additional markets, operational synergies that we expect to achieve that would not be available to other market participants and the ability to offer group purchasing and practice manag</w:t>
      </w:r>
      <w:r>
        <w:rPr>
          <w:sz w:val="20"/>
          <w:szCs w:val="20"/>
        </w:rPr>
        <w:t>ement services.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weighted-average amortization period of the acquired intangibles is eight years.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Revenue earned from the clients obtained from the Orion acquisition was approximately $7.7 million during the three months ended March 31, 2019.</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b/>
          <w:bCs/>
          <w:sz w:val="20"/>
          <w:szCs w:val="20"/>
          <w:u w:val="single"/>
        </w:rPr>
        <w:t xml:space="preserve">Pro </w:t>
      </w:r>
      <w:r>
        <w:rPr>
          <w:b/>
          <w:bCs/>
          <w:sz w:val="20"/>
          <w:szCs w:val="20"/>
          <w:u w:val="single"/>
        </w:rPr>
        <w:t>forma financial information (Unaudited)</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 xml:space="preserve">unaudited pro forma information below represents condensed consolidated results of operations as if the Orion acquisition occurred on January 1, 2018. The pro forma information has been included for comparative purposes and is not indicative of results of </w:t>
      </w:r>
      <w:r>
        <w:rPr>
          <w:sz w:val="20"/>
          <w:szCs w:val="20"/>
        </w:rPr>
        <w:t>operations that the Company would have had if the acquisition occurred on the above date, nor is it necessarily indicative of future results. The unaudited pro forma information reflects material, non-recurring pro forma adjustments directly attributable t</w:t>
      </w:r>
      <w:r>
        <w:rPr>
          <w:sz w:val="20"/>
          <w:szCs w:val="20"/>
        </w:rPr>
        <w:t>o the business combination. The difference between the actual revenue and the pro forma revenue is approximately $10 million of additional revenue recorded by Orion in the three months ended March 31, 2018.</w:t>
      </w:r>
    </w:p>
    <w:p w:rsidR="00000000" w:rsidRDefault="00C9700C">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905"/>
        <w:gridCol w:w="121"/>
        <w:gridCol w:w="102"/>
        <w:gridCol w:w="1450"/>
        <w:gridCol w:w="67"/>
      </w:tblGrid>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 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jc w:val="center"/>
              <w:rPr>
                <w:rFonts w:eastAsia="Times New Roman"/>
                <w:sz w:val="20"/>
                <w:szCs w:val="20"/>
              </w:rPr>
            </w:pPr>
            <w:r>
              <w:rPr>
                <w:rFonts w:eastAsia="Times New Roman"/>
                <w:sz w:val="20"/>
                <w:szCs w:val="20"/>
              </w:rPr>
              <w:t>(</w:t>
            </w:r>
            <w:r>
              <w:rPr>
                <w:rFonts w:eastAsia="Times New Roman"/>
                <w:sz w:val="20"/>
                <w:szCs w:val="20"/>
              </w:rPr>
              <w:t>$ in thousands, except per share data)</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70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18,310</w:t>
            </w:r>
          </w:p>
        </w:tc>
        <w:tc>
          <w:tcPr>
            <w:tcW w:w="5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(678</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(1,453</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loss income per common share</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19907109"/>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 xml:space="preserve">4. </w:t>
      </w:r>
      <w:r>
        <w:rPr>
          <w:b/>
          <w:bCs/>
          <w:caps/>
          <w:sz w:val="20"/>
          <w:szCs w:val="20"/>
        </w:rPr>
        <w:t>GOODWILL AND INTANGIBLE ASSETS-NET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Goodwill consists of the excess of the purchase price over the fair value of identifiable net assets of businesses acquired. The following is the summary of the changes to the carrying amount of goodwill for the three m</w:t>
      </w:r>
      <w:r>
        <w:rPr>
          <w:sz w:val="20"/>
          <w:szCs w:val="20"/>
        </w:rPr>
        <w:t>onths ended March 31, 2019 and the year ended December 31, 2018:</w:t>
      </w:r>
    </w:p>
    <w:p w:rsidR="00000000" w:rsidRDefault="00C9700C">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010"/>
        <w:gridCol w:w="103"/>
        <w:gridCol w:w="100"/>
        <w:gridCol w:w="1150"/>
        <w:gridCol w:w="50"/>
        <w:gridCol w:w="100"/>
        <w:gridCol w:w="100"/>
        <w:gridCol w:w="1151"/>
        <w:gridCol w:w="50"/>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C9700C">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12,263,943</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Acquisition</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329,852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12,593,795</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12,593,795</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Of </w:t>
      </w:r>
      <w:r>
        <w:rPr>
          <w:sz w:val="20"/>
          <w:szCs w:val="20"/>
        </w:rPr>
        <w:t>the total goodwill, approximately $90,000 is allocated to the Practice Management segment and the balance is allocated to the Healthcare IT segment.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Intangible assets include customer contracts and relationships and covenants not-to-compete acquired in c</w:t>
      </w:r>
      <w:r>
        <w:rPr>
          <w:sz w:val="20"/>
          <w:szCs w:val="20"/>
        </w:rPr>
        <w:t>onnection with acquisitions, as well as trademarks acquired and software costs. Intangible assets - net as of March 31, 2019 and December 31, 2018 consist of the following:</w:t>
      </w:r>
    </w:p>
    <w:p w:rsidR="00000000" w:rsidRDefault="00C9700C">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002"/>
        <w:gridCol w:w="96"/>
        <w:gridCol w:w="100"/>
        <w:gridCol w:w="1143"/>
        <w:gridCol w:w="67"/>
        <w:gridCol w:w="96"/>
        <w:gridCol w:w="100"/>
        <w:gridCol w:w="1143"/>
        <w:gridCol w:w="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C9700C">
            <w:pPr>
              <w:rPr>
                <w:rFonts w:eastAsia="Times New Roman"/>
                <w:sz w:val="20"/>
                <w:szCs w:val="20"/>
              </w:rPr>
            </w:pPr>
            <w:r>
              <w:rPr>
                <w:rFonts w:eastAsia="Times New Roman"/>
                <w:sz w:val="20"/>
                <w:szCs w:val="20"/>
              </w:rPr>
              <w:t>Contracts and relationships acquired</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22,741,300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22,741,300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Non-compete agreements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1,236,377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1,236,377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Other intangible assets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1,472,306</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1,477,059</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Total intangible assets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25,449,983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25,454,736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Less: Accumulated amortization</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(19,366,467</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(18,820,733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Intangible assets - net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6,083,516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6,634,003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Amortization </w:t>
      </w:r>
      <w:r>
        <w:rPr>
          <w:sz w:val="20"/>
          <w:szCs w:val="20"/>
        </w:rPr>
        <w:t>expense was approximately $549,000 and $440,000 for the three months ended March 31, 2019 and 2018, respectively. The weighted-average amortization period is eight years.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As of March 31, 2019, future amortization scheduled to be expensed is as follows:</w:t>
      </w:r>
    </w:p>
    <w:p w:rsidR="00000000" w:rsidRDefault="00C9700C">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60"/>
        <w:gridCol w:w="74"/>
        <w:gridCol w:w="100"/>
        <w:gridCol w:w="800"/>
        <w:gridCol w:w="50"/>
      </w:tblGrid>
      <w:tr w:rsidR="00000000">
        <w:tc>
          <w:tcPr>
            <w:tcW w:w="0" w:type="auto"/>
            <w:tcBorders>
              <w:bottom w:val="single" w:sz="12" w:space="0" w:color="000000"/>
            </w:tcBorders>
            <w:vAlign w:val="bottom"/>
            <w:hideMark/>
          </w:tcPr>
          <w:p w:rsidR="00000000" w:rsidRDefault="00C9700C">
            <w:pPr>
              <w:rPr>
                <w:rFonts w:eastAsia="Times New Roman"/>
                <w:b/>
                <w:bCs/>
                <w:sz w:val="20"/>
                <w:szCs w:val="20"/>
              </w:rPr>
            </w:pPr>
            <w:r>
              <w:rPr>
                <w:rFonts w:eastAsia="Times New Roman"/>
                <w:b/>
                <w:bCs/>
                <w:sz w:val="20"/>
                <w:szCs w:val="20"/>
              </w:rPr>
              <w:t>Years ending December 31</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4000" w:type="pct"/>
            <w:shd w:val="clear" w:color="auto" w:fill="CCEEFF"/>
            <w:vAlign w:val="bottom"/>
            <w:hideMark/>
          </w:tcPr>
          <w:p w:rsidR="00000000" w:rsidRDefault="00C9700C">
            <w:pPr>
              <w:rPr>
                <w:rFonts w:eastAsia="Times New Roman"/>
                <w:sz w:val="20"/>
                <w:szCs w:val="20"/>
              </w:rPr>
            </w:pPr>
            <w:r>
              <w:rPr>
                <w:rFonts w:eastAsia="Times New Roman"/>
                <w:sz w:val="20"/>
                <w:szCs w:val="20"/>
              </w:rPr>
              <w:t>2019 (nine months)</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1,275,112</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1,009,741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937,302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611,361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2023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1,950,000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6,083,516</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7819202"/>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b/>
          <w:bCs/>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 xml:space="preserve">5. </w:t>
      </w:r>
      <w:r>
        <w:rPr>
          <w:b/>
          <w:bCs/>
          <w:caps/>
          <w:sz w:val="20"/>
          <w:szCs w:val="20"/>
        </w:rPr>
        <w:t>NET LOss per COMMON share</w:t>
      </w:r>
    </w:p>
    <w:p w:rsidR="00000000" w:rsidRDefault="00C9700C">
      <w:pPr>
        <w:pStyle w:val="a3"/>
        <w:spacing w:before="0" w:beforeAutospacing="0" w:after="0" w:afterAutospacing="0"/>
        <w:ind w:left="45"/>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following table reconciles the weighted-average shares outstanding for basic and diluted net loss per share for the three months ended March 31, 2019 and 2018:</w:t>
      </w:r>
    </w:p>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400" w:type="pct"/>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(1,788,391</w:t>
            </w:r>
          </w:p>
        </w:tc>
        <w:tc>
          <w:tcPr>
            <w:tcW w:w="50" w:type="pct"/>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(700,296</w:t>
            </w:r>
          </w:p>
        </w:tc>
        <w:tc>
          <w:tcPr>
            <w:tcW w:w="50" w:type="pct"/>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11,946,003</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11,616,938</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(0.15</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(0.06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All unvested restricted stock units (“RSUs”), the 200,000 warrants granted to Opus Bank (“Opus”), the 153,489 </w:t>
      </w:r>
      <w:r>
        <w:rPr>
          <w:sz w:val="20"/>
          <w:szCs w:val="20"/>
        </w:rPr>
        <w:t xml:space="preserve">warrants granted to Silicon Valley Bank (“SVB”) and, for the three months ended March 31, 2018, the 2 million warrants issued during the second quarter of 2017 as part of the sale of common stock have been excluded from the above calculations as they were </w:t>
      </w:r>
      <w:r>
        <w:rPr>
          <w:sz w:val="20"/>
          <w:szCs w:val="20"/>
        </w:rPr>
        <w:t>anti-dilutive. Vested RSUs and vested restricted shares have been included in the above calculations.</w:t>
      </w:r>
    </w:p>
    <w:p w:rsidR="00000000" w:rsidRDefault="00C9700C">
      <w:pPr>
        <w:pStyle w:val="a3"/>
        <w:spacing w:before="0" w:beforeAutospacing="0" w:after="0" w:afterAutospacing="0"/>
        <w:ind w:left="475" w:hanging="475"/>
        <w:rPr>
          <w:b/>
          <w:bCs/>
          <w:caps/>
          <w:sz w:val="20"/>
          <w:szCs w:val="20"/>
        </w:rPr>
      </w:pPr>
      <w:r>
        <w:rPr>
          <w:b/>
          <w:bCs/>
          <w:caps/>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6. Debt</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SVB </w:t>
      </w:r>
      <w:r>
        <w:rPr>
          <w:sz w:val="20"/>
          <w:szCs w:val="20"/>
        </w:rPr>
        <w:t>— During October 2017, the Company opened a revolving line of credit from SVB under a three-year agreement. The SVB credit facility is a s</w:t>
      </w:r>
      <w:r>
        <w:rPr>
          <w:sz w:val="20"/>
          <w:szCs w:val="20"/>
        </w:rPr>
        <w:t>ecured revolving line of credit where borrowings are based on a formula of 200% of repeatable revenue adjusted by an annualized attrition rate as defined in the credit agreement. During the third quarter of 2018, the credit line was increased from $5 milli</w:t>
      </w:r>
      <w:r>
        <w:rPr>
          <w:sz w:val="20"/>
          <w:szCs w:val="20"/>
        </w:rPr>
        <w:t>on to $10 million and the term was extended for an additional year. The full $10 million facility is currently available to the Company. Interest on the SVB revolving line of credit is charged at the prime rate plus 1.50%. There is also a fee of one-half o</w:t>
      </w:r>
      <w:r>
        <w:rPr>
          <w:sz w:val="20"/>
          <w:szCs w:val="20"/>
        </w:rPr>
        <w:t>f 1% annually for the unused portion of the credit line. The debt is secured by all of the Company’s domestic assets and 65% of the shares in its offshore facilities. Future acquisitions are subject to approval by SVB. As of March 31, 2019, the Company was</w:t>
      </w:r>
      <w:r>
        <w:rPr>
          <w:sz w:val="20"/>
          <w:szCs w:val="20"/>
        </w:rPr>
        <w:t xml:space="preserve"> in compliance with all covenants.</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 three to six year terms and were issued at current market rates.</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Insurance Financing</w:t>
      </w:r>
      <w:r>
        <w:rPr>
          <w:sz w:val="20"/>
          <w:szCs w:val="20"/>
        </w:rPr>
        <w:t xml:space="preserve"> — The Company finances certain insurance purchases over the term of the policy life. The interest rate charged is 5.87%.</w:t>
      </w:r>
    </w:p>
    <w:p w:rsidR="00000000" w:rsidRDefault="00C9700C">
      <w:pPr>
        <w:pStyle w:val="a3"/>
        <w:spacing w:before="0" w:beforeAutospacing="0" w:after="0" w:afterAutospacing="0"/>
        <w:ind w:left="475" w:hanging="475"/>
        <w:rPr>
          <w:b/>
          <w:bCs/>
          <w:caps/>
          <w:sz w:val="20"/>
          <w:szCs w:val="20"/>
        </w:rPr>
      </w:pPr>
      <w:r>
        <w:rPr>
          <w:b/>
          <w:bCs/>
          <w:caps/>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7. leases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determine if an arrangement is a lease at inception. Operating leases are included in operating le</w:t>
      </w:r>
      <w:r>
        <w:rPr>
          <w:sz w:val="20"/>
          <w:szCs w:val="20"/>
        </w:rPr>
        <w:t>ase right-of-use (“ROU”) assets, current operating lease liability and noncurrent operating lease liability in our condensed consolidated balance sheet as of March 31, 2019. The Company does not have any finance leases.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ROU </w:t>
      </w:r>
      <w:r>
        <w:rPr>
          <w:sz w:val="20"/>
          <w:szCs w:val="20"/>
        </w:rPr>
        <w:t>assets represent our right to use an underlying asset for the lease term and lease liabilities represent our obligation to make lease payments arising from the lease. ROU assets and liabilities are recognized at the lease commencement date based on the est</w:t>
      </w:r>
      <w:r>
        <w:rPr>
          <w:sz w:val="20"/>
          <w:szCs w:val="20"/>
        </w:rPr>
        <w:t>imated present value of lease payments over the lease term.</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 of lease payments. For leases in e</w:t>
      </w:r>
      <w:r>
        <w:rPr>
          <w:sz w:val="20"/>
          <w:szCs w:val="20"/>
        </w:rPr>
        <w:t>xistence at the adoption of ASC 842, we used the incremental borrowing rate as of January 1, 2019. We give consideration to our bank financing arrangements, geographical location and collateralization of assets when calculating our incremental borrowing ra</w:t>
      </w:r>
      <w:r>
        <w:rPr>
          <w:sz w:val="20"/>
          <w:szCs w:val="20"/>
        </w:rPr>
        <w:t>tes.</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2919084"/>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Our lease terms include options to extend the lease when it is reasonably certain that we will exercise that option. Leases with a term of less than 12 months are not recorded in the condensed consolidated balance sheet. Our lease agreemen</w:t>
      </w:r>
      <w:r>
        <w:rPr>
          <w:sz w:val="20"/>
          <w:szCs w:val="20"/>
        </w:rPr>
        <w:t>ts do not contain any residual value guarantees. For real estate leases, we account for the lease and non-lease components as a single lease component. Some leases include escalation clauses and termination options that are factored in the determination of</w:t>
      </w:r>
      <w:r>
        <w:rPr>
          <w:sz w:val="20"/>
          <w:szCs w:val="20"/>
        </w:rPr>
        <w:t xml:space="preserve"> the lease payments when appropriate.</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lease all of our facilities and some equipment. Lease expense is included in direct operating costs and general and administrative expenses in the condensed consolidated statements of operations based on the natur</w:t>
      </w:r>
      <w:r>
        <w:rPr>
          <w:sz w:val="20"/>
          <w:szCs w:val="20"/>
        </w:rPr>
        <w:t>e of the expense. As of March 31, 2019, we had 26 leased properties, five in practice management and 21 in Healthcare IT, with remaining terms ranging from less than 1 year to 5 years. Our lease terms are determined taking into account lease renewal option</w:t>
      </w:r>
      <w:r>
        <w:rPr>
          <w:sz w:val="20"/>
          <w:szCs w:val="20"/>
        </w:rPr>
        <w:t>s, the Company’s anticipated operating plans and leases that are on a month-to-month basis. We also have some related party leases – see Note 9.</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components of lease expense were as follows:</w:t>
      </w:r>
    </w:p>
    <w:p w:rsidR="00000000" w:rsidRDefault="00C9700C">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908"/>
        <w:gridCol w:w="125"/>
        <w:gridCol w:w="100"/>
        <w:gridCol w:w="1454"/>
        <w:gridCol w:w="58"/>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700" w:type="pct"/>
            <w:shd w:val="clear" w:color="auto" w:fill="CCEEFF"/>
            <w:vAlign w:val="bottom"/>
            <w:hideMark/>
          </w:tcPr>
          <w:p w:rsidR="00000000" w:rsidRDefault="00C9700C">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465,228</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105,551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6,583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577,362</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Short-term </w:t>
      </w:r>
      <w:r>
        <w:rPr>
          <w:sz w:val="20"/>
          <w:szCs w:val="20"/>
        </w:rPr>
        <w:t>lease cost represents leases that were not capitalized as the lease term as of January 1, 2019 was less than 12 months. Variable lease costs include utilities, real estate taxes and common area maintenance costs.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Supplemental balance sheet information re</w:t>
      </w:r>
      <w:r>
        <w:rPr>
          <w:sz w:val="20"/>
          <w:szCs w:val="20"/>
        </w:rPr>
        <w:t>lated to leases was as follows:</w:t>
      </w:r>
    </w:p>
    <w:p w:rsidR="00000000" w:rsidRDefault="00C9700C">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5005"/>
        <w:gridCol w:w="88"/>
        <w:gridCol w:w="100"/>
        <w:gridCol w:w="1285"/>
        <w:gridCol w:w="1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800" w:type="pct"/>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Operating lease ROU asset</w:t>
            </w:r>
          </w:p>
        </w:tc>
        <w:tc>
          <w:tcPr>
            <w:tcW w:w="10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C9700C">
            <w:pPr>
              <w:jc w:val="right"/>
              <w:rPr>
                <w:rFonts w:eastAsia="Times New Roman"/>
                <w:sz w:val="20"/>
                <w:szCs w:val="20"/>
              </w:rPr>
            </w:pPr>
            <w:r>
              <w:rPr>
                <w:rFonts w:eastAsia="Times New Roman"/>
                <w:sz w:val="20"/>
                <w:szCs w:val="20"/>
              </w:rPr>
              <w:t>4,031,254</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1,681,064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xml:space="preserve">Non-current </w:t>
            </w:r>
            <w:r>
              <w:rPr>
                <w:rFonts w:eastAsia="Times New Roman"/>
                <w:sz w:val="20"/>
                <w:szCs w:val="20"/>
              </w:rPr>
              <w:t>operating lease liabilities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2,482,853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4,163,917</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ROU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4,424,464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Asset lease expense</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(393,210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ROU assets, net</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4,031,254</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Weighted average remaining lease term (in years):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2.89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Weighted average discount rate: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7.05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1854258"/>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rsidR="00000000" w:rsidRDefault="00C9700C">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5041"/>
        <w:gridCol w:w="125"/>
        <w:gridCol w:w="100"/>
        <w:gridCol w:w="1321"/>
        <w:gridCol w:w="58"/>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800" w:type="pct"/>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Operating </w:t>
            </w:r>
            <w:r>
              <w:rPr>
                <w:rFonts w:eastAsia="Times New Roman"/>
                <w:sz w:val="20"/>
                <w:szCs w:val="20"/>
              </w:rPr>
              <w:t>cash flows from operating leases</w:t>
            </w:r>
          </w:p>
        </w:tc>
        <w:tc>
          <w:tcPr>
            <w:tcW w:w="10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FFFFFF"/>
            <w:vAlign w:val="bottom"/>
            <w:hideMark/>
          </w:tcPr>
          <w:p w:rsidR="00000000" w:rsidRDefault="00C9700C">
            <w:pPr>
              <w:jc w:val="right"/>
              <w:rPr>
                <w:rFonts w:eastAsia="Times New Roman"/>
                <w:sz w:val="20"/>
                <w:szCs w:val="20"/>
              </w:rPr>
            </w:pPr>
            <w:r>
              <w:rPr>
                <w:rFonts w:eastAsia="Times New Roman"/>
                <w:sz w:val="20"/>
                <w:szCs w:val="20"/>
              </w:rPr>
              <w:t>478,060</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180,290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Maturities of lease liabilities are as follows:</w:t>
      </w:r>
    </w:p>
    <w:p w:rsidR="00000000" w:rsidRDefault="00C9700C">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2026"/>
        <w:gridCol w:w="50"/>
        <w:gridCol w:w="100"/>
        <w:gridCol w:w="1079"/>
        <w:gridCol w:w="67"/>
      </w:tblGrid>
      <w:tr w:rsidR="00000000">
        <w:tc>
          <w:tcPr>
            <w:tcW w:w="0" w:type="auto"/>
            <w:tcBorders>
              <w:bottom w:val="single" w:sz="12" w:space="0" w:color="000000"/>
            </w:tcBorders>
            <w:vAlign w:val="bottom"/>
            <w:hideMark/>
          </w:tcPr>
          <w:p w:rsidR="00000000" w:rsidRDefault="00C9700C">
            <w:pPr>
              <w:rPr>
                <w:rFonts w:eastAsia="Times New Roman"/>
                <w:b/>
                <w:bCs/>
                <w:sz w:val="20"/>
                <w:szCs w:val="20"/>
              </w:rPr>
            </w:pPr>
            <w:r>
              <w:rPr>
                <w:rFonts w:eastAsia="Times New Roman"/>
                <w:b/>
                <w:bCs/>
                <w:sz w:val="20"/>
                <w:szCs w:val="20"/>
              </w:rPr>
              <w:t>Operating leases</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 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100" w:type="pct"/>
            <w:shd w:val="clear" w:color="auto" w:fill="CCEEFF"/>
            <w:vAlign w:val="bottom"/>
            <w:hideMark/>
          </w:tcPr>
          <w:p w:rsidR="00000000" w:rsidRDefault="00C9700C">
            <w:pPr>
              <w:rPr>
                <w:rFonts w:eastAsia="Times New Roman"/>
                <w:sz w:val="20"/>
                <w:szCs w:val="20"/>
              </w:rPr>
            </w:pPr>
            <w:r>
              <w:rPr>
                <w:rFonts w:eastAsia="Times New Roman"/>
                <w:sz w:val="20"/>
                <w:szCs w:val="20"/>
              </w:rPr>
              <w:t>2019 (nine months)</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1,505,423</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1,508,078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949,409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483,659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2023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149,217</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lease payments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4,595,786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Less: imputed interest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(431,869</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 lease obligations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4,163,917</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Less: current obligations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(1,681,064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Long-term lease obligations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2,482,853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As </w:t>
      </w:r>
      <w:r>
        <w:rPr>
          <w:sz w:val="20"/>
          <w:szCs w:val="20"/>
        </w:rPr>
        <w:t>of March 31, 2019, we have additional operating lease commitments that have not yet commenced of approximately $283,000.</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u w:val="single"/>
        </w:rPr>
        <w:t>Disclosures related to periods prior to adoption of ASC 842</w:t>
      </w:r>
      <w:r>
        <w:rPr>
          <w:sz w:val="20"/>
          <w:szCs w:val="20"/>
        </w:rPr>
        <w: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Operating lease rent expense was approximately $216,000 for the quarte</w:t>
      </w:r>
      <w:r>
        <w:rPr>
          <w:sz w:val="20"/>
          <w:szCs w:val="20"/>
        </w:rPr>
        <w:t>r ended March 31, 2018. Month to month leases and cancellable leases were not included in the table below. Certain leases are maintained on a month to month basis. This includes leases for US corporate facility and other locations with the Executive Chairm</w:t>
      </w:r>
      <w:r>
        <w:rPr>
          <w:sz w:val="20"/>
          <w:szCs w:val="20"/>
        </w:rPr>
        <w:t>an (see Note 9). As of December 31, 2018, future lease payment obligations under non-cancellable operating leases were as follows:</w:t>
      </w:r>
    </w:p>
    <w:p w:rsidR="00000000" w:rsidRDefault="00C9700C">
      <w:pPr>
        <w:pStyle w:val="a3"/>
        <w:spacing w:before="0" w:beforeAutospacing="0" w:after="0" w:afterAutospacing="0"/>
        <w:jc w:val="both"/>
        <w:rPr>
          <w:sz w:val="20"/>
          <w:szCs w:val="20"/>
        </w:rPr>
      </w:pPr>
      <w:r>
        <w:rPr>
          <w:sz w:val="20"/>
          <w:szCs w:val="20"/>
        </w:rPr>
        <w:t> </w:t>
      </w:r>
    </w:p>
    <w:tbl>
      <w:tblPr>
        <w:tblW w:w="2000" w:type="pct"/>
        <w:tblCellMar>
          <w:left w:w="0" w:type="dxa"/>
          <w:right w:w="0" w:type="dxa"/>
        </w:tblCellMar>
        <w:tblLook w:val="04A0" w:firstRow="1" w:lastRow="0" w:firstColumn="1" w:lastColumn="0" w:noHBand="0" w:noVBand="1"/>
      </w:tblPr>
      <w:tblGrid>
        <w:gridCol w:w="1832"/>
        <w:gridCol w:w="50"/>
        <w:gridCol w:w="100"/>
        <w:gridCol w:w="1290"/>
        <w:gridCol w:w="50"/>
      </w:tblGrid>
      <w:tr w:rsidR="00000000">
        <w:tc>
          <w:tcPr>
            <w:tcW w:w="0" w:type="auto"/>
            <w:tcBorders>
              <w:bottom w:val="single" w:sz="12" w:space="0" w:color="000000"/>
            </w:tcBorders>
            <w:vAlign w:val="bottom"/>
            <w:hideMark/>
          </w:tcPr>
          <w:p w:rsidR="00000000" w:rsidRDefault="00C9700C">
            <w:pPr>
              <w:rPr>
                <w:rFonts w:eastAsia="Times New Roman"/>
                <w:b/>
                <w:bCs/>
                <w:sz w:val="20"/>
                <w:szCs w:val="20"/>
              </w:rPr>
            </w:pPr>
            <w:r>
              <w:rPr>
                <w:rFonts w:eastAsia="Times New Roman"/>
                <w:b/>
                <w:bCs/>
                <w:sz w:val="20"/>
                <w:szCs w:val="20"/>
              </w:rPr>
              <w:t>Operating leases</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2800" w:type="pct"/>
            <w:shd w:val="clear" w:color="auto" w:fill="CCEEFF"/>
            <w:vAlign w:val="bottom"/>
            <w:hideMark/>
          </w:tcPr>
          <w:p w:rsidR="00000000" w:rsidRDefault="00C9700C">
            <w:pPr>
              <w:rPr>
                <w:rFonts w:eastAsia="Times New Roman"/>
                <w:sz w:val="20"/>
                <w:szCs w:val="20"/>
              </w:rPr>
            </w:pPr>
            <w:r>
              <w:rPr>
                <w:rFonts w:eastAsia="Times New Roman"/>
                <w:sz w:val="20"/>
                <w:szCs w:val="20"/>
              </w:rPr>
              <w:t>2019</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2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932,068</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715,059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510,927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2022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412,585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2023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91,797</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2,662,436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03471387"/>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8. Commitments and Contingencies</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b/>
          <w:bCs/>
          <w:sz w:val="20"/>
          <w:szCs w:val="20"/>
        </w:rPr>
        <w:t>Legal Proceedings</w:t>
      </w:r>
      <w:r>
        <w:rPr>
          <w:sz w:val="20"/>
          <w:szCs w:val="20"/>
        </w:rPr>
        <w:t xml:space="preserve"> — </w:t>
      </w:r>
      <w:r>
        <w:rPr>
          <w:sz w:val="20"/>
          <w:szCs w:val="20"/>
        </w:rPr>
        <w:t>On May 30, 2018, the Superior Court of New Jersey, Chancery Division, Somerset County (the “Chancery Court”) denied the Company’s and MTBC Acquisition Corp.’s (“MAC”) request to enjoin an arbitration proceeding demanded by Randolph Pain Relief and Wellness</w:t>
      </w:r>
      <w:r>
        <w:rPr>
          <w:sz w:val="20"/>
          <w:szCs w:val="20"/>
        </w:rPr>
        <w:t xml:space="preserve"> Center (“RPRWC”) related to RCM services provided by parties unaffiliated with the Company and MAC. On June 15, 2018, the Company and MAC filed an appeal of the Chancery Court’s decision with the New Jersey Superior Court, Appellate Division. On July 19, </w:t>
      </w:r>
      <w:r>
        <w:rPr>
          <w:sz w:val="20"/>
          <w:szCs w:val="20"/>
        </w:rPr>
        <w:t>2018, the Chancery Court ordered that the arbitration be stayed pending the Company’s and MAC’s appeal. On appeal, the Company and MAC contended they were never party to the billing services agreement giving rise to the arbitration claim, did not assume th</w:t>
      </w:r>
      <w:r>
        <w:rPr>
          <w:sz w:val="20"/>
          <w:szCs w:val="20"/>
        </w:rPr>
        <w:t>e obligations of Millennium Practice Management Associates, Inc. (“MPMA”) under such agreement, and any agreement to arbitrate disputes arising under such agreement does not apply to the Company or MAC. On January 30, 2019, the parties conducted oral argum</w:t>
      </w:r>
      <w:r>
        <w:rPr>
          <w:sz w:val="20"/>
          <w:szCs w:val="20"/>
        </w:rPr>
        <w:t>ents before the Appellate Court. On April 23, 2019, the Appellate Division reversed the trial court’s order, in part, ruling that the Company is not required to participate in the arbitration, but upheld the portion of the trial court’s order requiring MAC</w:t>
      </w:r>
      <w:r>
        <w:rPr>
          <w:sz w:val="20"/>
          <w:szCs w:val="20"/>
        </w:rPr>
        <w:t xml:space="preserve"> to participate in the arbitration based on the trial court’s finding, that MAC had assumed MPMA’s contractual responsibilities. The Appellate Division remanded RPRWC’s demand for the Company to arbitrate back to the trial court for further proceedings. RP</w:t>
      </w:r>
      <w:r>
        <w:rPr>
          <w:sz w:val="20"/>
          <w:szCs w:val="20"/>
        </w:rPr>
        <w:t>RWC’s arbitration demand alleges MPMA, a subsidiary of MediGain, LLC, breached a billing services agreement and seeks compensatory damages of six million, six hundred thousand dollars and costs. While the allegations of breach of contract made by RPRWC hav</w:t>
      </w:r>
      <w:r>
        <w:rPr>
          <w:sz w:val="20"/>
          <w:szCs w:val="20"/>
        </w:rPr>
        <w:t>e not been the subject of the ongoing legal proceedings, MAC believes RPRWC’s allegations lack merit on numerous grounds. RPRWC has provided neither the Company or MAC with sufficient information that supports their claims nor information which is sufficie</w:t>
      </w:r>
      <w:r>
        <w:rPr>
          <w:sz w:val="20"/>
          <w:szCs w:val="20"/>
        </w:rPr>
        <w:t>nt to enable the Company and MAC to estimate a range of possible losses that may arise from this matter. The Company and MAC plan to vigorously defend against RPRWC’s claim and in the event of a loss, if any, they anticipate the loss to be substantially le</w:t>
      </w:r>
      <w:r>
        <w:rPr>
          <w:sz w:val="20"/>
          <w:szCs w:val="20"/>
        </w:rPr>
        <w:t>ss than the amount claimed.</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b/>
          <w:bCs/>
          <w:sz w:val="20"/>
          <w:szCs w:val="20"/>
        </w:rPr>
        <w:t xml:space="preserve">Acquisitions — </w:t>
      </w:r>
      <w:r>
        <w:rPr>
          <w:sz w:val="20"/>
          <w:szCs w:val="20"/>
        </w:rPr>
        <w:t>In connection with some of the Company’s acquisitions, contingent consideration as of March 31, 2019 is payable in cash through June 2019, which represents the date through which contingent payments are required</w:t>
      </w:r>
      <w:r>
        <w:rPr>
          <w:sz w:val="20"/>
          <w:szCs w:val="20"/>
        </w:rPr>
        <w:t>. Depending on the terms of the agreement, if the performance measures are not achieved, the Company may pay less than the recorded amount, and if the performance measures are exceeded, the Company may pay more than the recorded amount.</w:t>
      </w:r>
    </w:p>
    <w:p w:rsidR="00000000" w:rsidRDefault="00C9700C">
      <w:pPr>
        <w:pStyle w:val="a3"/>
        <w:spacing w:before="0" w:beforeAutospacing="0" w:after="0" w:afterAutospacing="0"/>
        <w:ind w:left="475" w:hanging="475"/>
        <w:rPr>
          <w:b/>
          <w:bCs/>
          <w:caps/>
          <w:sz w:val="20"/>
          <w:szCs w:val="20"/>
        </w:rPr>
      </w:pPr>
      <w:r>
        <w:rPr>
          <w:b/>
          <w:bCs/>
          <w:caps/>
          <w:sz w:val="20"/>
          <w:szCs w:val="20"/>
        </w:rPr>
        <w:t> </w:t>
      </w:r>
    </w:p>
    <w:p w:rsidR="00000000" w:rsidRDefault="00C9700C">
      <w:pPr>
        <w:pStyle w:val="a3"/>
        <w:spacing w:before="0" w:beforeAutospacing="0" w:after="0" w:afterAutospacing="0"/>
        <w:ind w:left="475" w:hanging="475"/>
        <w:rPr>
          <w:b/>
          <w:bCs/>
          <w:caps/>
          <w:sz w:val="20"/>
          <w:szCs w:val="20"/>
        </w:rPr>
      </w:pPr>
      <w:r>
        <w:rPr>
          <w:b/>
          <w:bCs/>
          <w:caps/>
          <w:sz w:val="20"/>
          <w:szCs w:val="20"/>
        </w:rPr>
        <w:t>9. Related PARTIE</w:t>
      </w:r>
      <w:r>
        <w:rPr>
          <w:b/>
          <w:bCs/>
          <w:caps/>
          <w:sz w:val="20"/>
          <w:szCs w:val="20"/>
        </w:rPr>
        <w: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Company had sales to a related party, a physician who is the wife of the Executive Chairman. Revenues from this customer were approximately $4,000 for both the three months ended March 31, 2019 and 2018. As of March 31, 2019 and December 31, 2018, </w:t>
      </w:r>
      <w:r>
        <w:rPr>
          <w:sz w:val="20"/>
          <w:szCs w:val="20"/>
        </w:rPr>
        <w:t>the receivable balance due from this customer was approximately $1,300 and $1,600, respectively.</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Company is a party to a nonexclusive aircraft dry lease agreement with Kashmir Air, Inc. (“KAI”), which is owned by the Executive Chairman. The Company r</w:t>
      </w:r>
      <w:r>
        <w:rPr>
          <w:sz w:val="20"/>
          <w:szCs w:val="20"/>
        </w:rPr>
        <w:t>ecorded an expense of approximately $32,000 for each of the three month periods ended March 31, 2019 and 2018. As of both March 31, 2019 and December 31, 2018, the Company had a liability outstanding to KAI of approximately $11,000, which is included in ac</w:t>
      </w:r>
      <w:r>
        <w:rPr>
          <w:sz w:val="20"/>
          <w:szCs w:val="20"/>
        </w:rPr>
        <w:t>crued liability to related party in the condensed consolidated balance sheets. This lease expired on March 31, 2019 and was not included in the ROU asset at January 1, 2019 or March 31, 2019. A lease for a different aircraft at the same lease rate was ente</w:t>
      </w:r>
      <w:r>
        <w:rPr>
          <w:sz w:val="20"/>
          <w:szCs w:val="20"/>
        </w:rPr>
        <w:t>red into as of April 1, 2019.</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Company leases its corporate offices in New Jersey, its temporary housing for its foreign visitors, a storage facility and its backup operations center in Bagh, Pakistan, from the Executive Chairman. The related party re</w:t>
      </w:r>
      <w:r>
        <w:rPr>
          <w:sz w:val="20"/>
          <w:szCs w:val="20"/>
        </w:rPr>
        <w:t>nt expense for the three months ended March 31, 2019 and 2018 was approximately $49,000 and $48,000, respectively, and is included in direct operating costs and general and administrative expense in the consolidated statements of operations. Current assets</w:t>
      </w:r>
      <w:r>
        <w:rPr>
          <w:sz w:val="20"/>
          <w:szCs w:val="20"/>
        </w:rPr>
        <w:t xml:space="preserve">-related party in the condensed consolidated balance sheets includes security deposits and prepaid rent related to the leases of the Company’s corporate offices in the amount of approximately $13,000 and $25,000 as of March 31, 2019 and December 31, 2018, </w:t>
      </w:r>
      <w:r>
        <w:rPr>
          <w:sz w:val="20"/>
          <w:szCs w:val="20"/>
        </w:rPr>
        <w:t>respectively.</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Included in the ROU asset is approximately $437,000 applicable to the related party leases. Included in the current and non-current lease liability is approximately $162,000 and $266,000, respectively applicable to the related party leases.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ind w:left="475" w:hanging="475"/>
        <w:jc w:val="both"/>
        <w:rPr>
          <w:sz w:val="20"/>
          <w:szCs w:val="20"/>
        </w:rPr>
      </w:pPr>
      <w:r>
        <w:rPr>
          <w:b/>
          <w:bCs/>
          <w:sz w:val="20"/>
          <w:szCs w:val="20"/>
        </w:rPr>
        <w:t>10. REVENUE</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Introduction</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which was adopted January 1, 2018 using the modified retrospective method. All revenue is recognized as our performance obli</w:t>
      </w:r>
      <w:r>
        <w:rPr>
          <w:sz w:val="20"/>
          <w:szCs w:val="20"/>
        </w:rPr>
        <w:t>gations are satisfied. A performance obligation is a promise in a contract to transfer a distinct good or service to a customer, and is the unit of account under ASC 606. Under ASC 606, the Company recognizes revenue when the revenue cycle management servi</w:t>
      </w:r>
      <w:r>
        <w:rPr>
          <w:sz w:val="20"/>
          <w:szCs w:val="20"/>
        </w:rPr>
        <w:t>ces begin on the medical billing claims, which is generally upon receipt of the claim from the provider. For revenue cycle management services, the Company estimates the value of the consideration it will earn over the remaining contractual period as our s</w:t>
      </w:r>
      <w:r>
        <w:rPr>
          <w:sz w:val="20"/>
          <w:szCs w:val="20"/>
        </w:rPr>
        <w:t>ervices are provided and recognizes the fees over the term; this estimation involves predicting the amounts our clients will ultimately collect associated with the services they provided. The selling price of the Company’s services equals the contractual p</w:t>
      </w:r>
      <w:r>
        <w:rPr>
          <w:sz w:val="20"/>
          <w:szCs w:val="20"/>
        </w:rPr>
        <w:t>rice. Certain significant estimates, such as payment-to-charge ratios, effective billing rates and the estimated contractual payment periods are required to measure revenue cycle management revenue under ASC 606.</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9738618"/>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Most </w:t>
      </w:r>
      <w:r>
        <w:rPr>
          <w:sz w:val="20"/>
          <w:szCs w:val="20"/>
        </w:rPr>
        <w:t xml:space="preserve">of our current contracts with customers contain a single performance obligation. For contracts where we provide multiple services, such as where we perform multiple ancillary services, each service represents its own performance obligation. Selling prices </w:t>
      </w:r>
      <w:r>
        <w:rPr>
          <w:sz w:val="20"/>
          <w:szCs w:val="20"/>
        </w:rPr>
        <w:t>are based on the contractual price for the service, which approximates the stand alone selling price.</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i/>
          <w:iCs/>
          <w:sz w:val="20"/>
          <w:szCs w:val="20"/>
        </w:rPr>
      </w:pPr>
      <w:r>
        <w:rPr>
          <w:sz w:val="20"/>
          <w:szCs w:val="20"/>
        </w:rPr>
        <w:t>We apply the portfolio approach as permitted by ASC 606 as a practical expedient to contracts with similar characteristics and we use estimates and assu</w:t>
      </w:r>
      <w:r>
        <w:rPr>
          <w:sz w:val="20"/>
          <w:szCs w:val="20"/>
        </w:rPr>
        <w:t>mptions when accounting for those portfolios. Our contracts generally include standard commercial payment terms. We have no significant obligations for refunds, warranties or similar obligations and our revenue does not include taxes collected from our cus</w:t>
      </w:r>
      <w:r>
        <w:rPr>
          <w:sz w:val="20"/>
          <w:szCs w:val="20"/>
        </w:rPr>
        <w:t>tomers.</w:t>
      </w:r>
    </w:p>
    <w:p w:rsidR="00000000" w:rsidRDefault="00C9700C">
      <w:pPr>
        <w:pStyle w:val="a3"/>
        <w:spacing w:before="0" w:beforeAutospacing="0" w:after="0" w:afterAutospacing="0"/>
        <w:rPr>
          <w:i/>
          <w:iCs/>
          <w:sz w:val="20"/>
          <w:szCs w:val="20"/>
        </w:rPr>
      </w:pPr>
      <w:r>
        <w:rPr>
          <w:i/>
          <w:iCs/>
          <w:sz w:val="20"/>
          <w:szCs w:val="20"/>
        </w:rPr>
        <w:t> </w:t>
      </w:r>
    </w:p>
    <w:p w:rsidR="00000000" w:rsidRDefault="00C9700C">
      <w:pPr>
        <w:pStyle w:val="a3"/>
        <w:spacing w:before="0" w:beforeAutospacing="0" w:after="0" w:afterAutospacing="0"/>
        <w:rPr>
          <w:i/>
          <w:iCs/>
          <w:sz w:val="20"/>
          <w:szCs w:val="20"/>
        </w:rPr>
      </w:pPr>
      <w:r>
        <w:rPr>
          <w:i/>
          <w:iCs/>
          <w:sz w:val="20"/>
          <w:szCs w:val="20"/>
        </w:rPr>
        <w:t>Disaggregation of Revenue from Contracts with Customers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We derive revenue from seven primary sources: revenue cycle management services, practice management services, professional services, ancillary services, group purchasing services, printin</w:t>
      </w:r>
      <w:r>
        <w:rPr>
          <w:sz w:val="20"/>
          <w:szCs w:val="20"/>
        </w:rPr>
        <w:t>g and mailing services, and clearinghouse and EDI (electronic data interchange) services.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three months ended March 31:</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765"/>
        <w:gridCol w:w="74"/>
        <w:gridCol w:w="100"/>
        <w:gridCol w:w="900"/>
        <w:gridCol w:w="50"/>
        <w:gridCol w:w="74"/>
        <w:gridCol w:w="100"/>
        <w:gridCol w:w="871"/>
        <w:gridCol w:w="50"/>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r>
              <w:rPr>
                <w:rFonts w:eastAsia="Times New Roman"/>
                <w:b/>
                <w:bCs/>
                <w:sz w:val="20"/>
                <w:szCs w:val="20"/>
              </w:rPr>
              <w:br/>
              <w:t>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9700C">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C9700C">
            <w:pPr>
              <w:jc w:val="right"/>
              <w:rPr>
                <w:rFonts w:eastAsia="Times New Roman"/>
                <w:sz w:val="20"/>
                <w:szCs w:val="20"/>
              </w:rPr>
            </w:pPr>
            <w:r>
              <w:rPr>
                <w:rFonts w:eastAsia="Times New Roman"/>
                <w:sz w:val="20"/>
                <w:szCs w:val="20"/>
              </w:rPr>
              <w:t>10,557,442</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C9700C">
            <w:pPr>
              <w:jc w:val="right"/>
              <w:rPr>
                <w:rFonts w:eastAsia="Times New Roman"/>
                <w:sz w:val="20"/>
                <w:szCs w:val="20"/>
              </w:rPr>
            </w:pPr>
            <w:r>
              <w:rPr>
                <w:rFonts w:eastAsia="Times New Roman"/>
                <w:sz w:val="20"/>
                <w:szCs w:val="20"/>
              </w:rPr>
              <w:t>7,392,390</w:t>
            </w:r>
          </w:p>
        </w:tc>
        <w:tc>
          <w:tcPr>
            <w:tcW w:w="50" w:type="pct"/>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335,435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124,616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Ancillary services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499,096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248,637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200,047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391,660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348,243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Clearinghouse and EDI services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136,064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193,439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b/>
                <w:bCs/>
                <w:sz w:val="20"/>
                <w:szCs w:val="20"/>
              </w:rPr>
            </w:pPr>
            <w:r>
              <w:rPr>
                <w:rFonts w:eastAsia="Times New Roman"/>
                <w:b/>
                <w:bCs/>
                <w:sz w:val="20"/>
                <w:szCs w:val="20"/>
              </w:rPr>
              <w:t>Practice Management: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Practice management services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2,960,467</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15,080,211</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8,307,325</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Revenue cycle management services: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Revenue cycle management services are the recurring process of submitting and following up on claims with health insurance companies in order for the healthcare providers to receive payment for the services they rendere</w:t>
      </w:r>
      <w:r>
        <w:rPr>
          <w:sz w:val="20"/>
          <w:szCs w:val="20"/>
        </w:rPr>
        <w:t>d. MTBC typically invoices customers on a monthly basis based on the actual collections received by its customers and the agreed-upon rate in the sales contract. The services include use of practice management software and related tools (on a software-as-a</w:t>
      </w:r>
      <w:r>
        <w:rPr>
          <w:sz w:val="20"/>
          <w:szCs w:val="20"/>
        </w:rPr>
        <w:t>-service (“SaaS”) basis), electronic health records (on a SaaS basis), medical billing services and use of mobile health solutions. We consider the services to be one performance obligation since the promises are not distinct in the context of the contract</w:t>
      </w:r>
      <w:r>
        <w:rPr>
          <w:sz w:val="20"/>
          <w:szCs w:val="20"/>
        </w:rPr>
        <w:t>. The performance obligation consists of a series of distinct services that are substantially the same and have the same periodic pattern of transfer to our customers.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many cases, our clients may terminate their agreements with 90 days’ notice without cause, thereby limiting the term in which we have enforceable rights and obligations, although this time period can vary between clients. Our payment terms are normally net</w:t>
      </w:r>
      <w:r>
        <w:rPr>
          <w:sz w:val="20"/>
          <w:szCs w:val="20"/>
        </w:rPr>
        <w:t xml:space="preserve"> 30 days. Although our contracts typically have stated terms of one or more years, under ASC 606 our contracts are considered month-to-month and accordingly, there is no financing component.</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74746719"/>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For the majority of our revenue cycle management cont</w:t>
      </w:r>
      <w:r>
        <w:rPr>
          <w:sz w:val="20"/>
          <w:szCs w:val="20"/>
        </w:rPr>
        <w:t>racts, the total transaction price is variable because our obligation is to process an unknown quantity of claims, as and when requested by our customers over the contract period. When a contract includes variable consideration, we evaluate the estimate of</w:t>
      </w:r>
      <w:r>
        <w:rPr>
          <w:sz w:val="20"/>
          <w:szCs w:val="20"/>
        </w:rPr>
        <w:t xml:space="preserve"> the variable consideration to determine whether the estimate needs to be constrained; therefore, we include variable consideration in the transaction price only to the extent that it is probable that a significant reversal of the amount of cumulative reve</w:t>
      </w:r>
      <w:r>
        <w:rPr>
          <w:sz w:val="20"/>
          <w:szCs w:val="20"/>
        </w:rPr>
        <w:t>nue recognized will not occur when the uncertainty associated with variable consideration is subsequently resolved. Estimates to determine variable consideration such as payment to charge ratios, effective billing rates, and the estimated contractual payme</w:t>
      </w:r>
      <w:r>
        <w:rPr>
          <w:sz w:val="20"/>
          <w:szCs w:val="20"/>
        </w:rPr>
        <w:t>nt periods are updated at each reporting date. Revenue is recognized over the performance period using the input method.</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Other revenue streams: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MTBC also provides implementation and professional services to clearinghouse and other customers and records</w:t>
      </w:r>
      <w:r>
        <w:rPr>
          <w:sz w:val="20"/>
          <w:szCs w:val="20"/>
        </w:rPr>
        <w:t xml:space="preserve"> revenue monthly on a time and materials or a fixed rate basis. This is a separate performance obligation from the clearinghouse and recurring EDI services provided, for which the Company receives and records monthly fees. The performance obligation is sat</w:t>
      </w:r>
      <w:r>
        <w:rPr>
          <w:sz w:val="20"/>
          <w:szCs w:val="20"/>
        </w:rPr>
        <w:t>isfied over time as the implementation or professional services are rendered.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Ancillary services represent services such as coding and transcription that are rendered in connection with the delivery of revenue cycle management and related medical service</w:t>
      </w:r>
      <w:r>
        <w:rPr>
          <w:sz w:val="20"/>
          <w:szCs w:val="20"/>
        </w:rPr>
        <w:t>s. The Company invoices customers monthly, based on the actual amount of services performed at the agreed upon rate in the contract. These services are only offered to revenue cycle management customers. These services do not represent a material right bec</w:t>
      </w:r>
      <w:r>
        <w:rPr>
          <w:sz w:val="20"/>
          <w:szCs w:val="20"/>
        </w:rPr>
        <w:t>ause the services are optional to the customer and customers electing these services are charged the same price for those services as if they were on a standalone basis. Each individual coding or transcription transaction processed represents a performance</w:t>
      </w:r>
      <w:r>
        <w:rPr>
          <w:sz w:val="20"/>
          <w:szCs w:val="20"/>
        </w:rPr>
        <w:t xml:space="preserve"> obligation, which is satisfied over time as that individual service is rendered.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The Company now provides group purchasing services which enable medical providers to purchase various vaccines directly from selected pharmaceutical companies at a discount</w:t>
      </w:r>
      <w:r>
        <w:rPr>
          <w:sz w:val="20"/>
          <w:szCs w:val="20"/>
        </w:rPr>
        <w:t>ed price. Currently, there are approximately 4,000 medical providers who are members of the program. Revenue is recognized as the vaccine shipments are made to the medical providers. Fees from the pharmaceutical companies are paid either quarterly or annua</w:t>
      </w:r>
      <w:r>
        <w:rPr>
          <w:sz w:val="20"/>
          <w:szCs w:val="20"/>
        </w:rPr>
        <w:t>lly and the Company adjusts its revenue accrual at the time of payment. The Company makes significant judgments regarding the variable consideration which we expect to be entitled to for the group purchasing services which includes the anticipated shipment</w:t>
      </w:r>
      <w:r>
        <w:rPr>
          <w:sz w:val="20"/>
          <w:szCs w:val="20"/>
        </w:rPr>
        <w:t>s to the members enrolled in the program, anticipated volumes of purchases made by the members, and the changes in the number of members. The amounts recorded are constrained by estimates of decreases in shipments and loss of members to avoid a significant</w:t>
      </w:r>
      <w:r>
        <w:rPr>
          <w:sz w:val="20"/>
          <w:szCs w:val="20"/>
        </w:rPr>
        <w:t xml:space="preserve"> revenue reversal in the subsequent period. The only performance obligation is to provide the pharmaceutical companies with the medical providers who want to become members in order to purchase vaccines. The performance obligation is satisfied once the med</w:t>
      </w:r>
      <w:r>
        <w:rPr>
          <w:sz w:val="20"/>
          <w:szCs w:val="20"/>
        </w:rPr>
        <w:t>ical provider agrees to purchase a specific quantity of vaccines and the medical provider’s information is forwarded to the vaccine suppliers. The Company records a contract asset for revenue earned and not paid as the ultimate payment is conditioned on ac</w:t>
      </w:r>
      <w:r>
        <w:rPr>
          <w:sz w:val="20"/>
          <w:szCs w:val="20"/>
        </w:rPr>
        <w:t>hieving certain volume thresholds.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The Company provides printing and mailing services for both revenue cycle management customers and a non- revenue cycle management customer, and invoices on a monthly basis based on the number of prints, the agreed-upon</w:t>
      </w:r>
      <w:r>
        <w:rPr>
          <w:sz w:val="20"/>
          <w:szCs w:val="20"/>
        </w:rPr>
        <w:t xml:space="preserve"> rate per print and the postage incurred. The performance obligation is satisfied once the printing and mailing is completed.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medical billing clearinghouse service takes claim information from customers, checks the claims for errors and sends this information electronically to insurance companies. MTBC invoices customers on a monthly basis based on the number of claims submitted </w:t>
      </w:r>
      <w:r>
        <w:rPr>
          <w:sz w:val="20"/>
          <w:szCs w:val="20"/>
        </w:rPr>
        <w:t>and the agreed-upon rate in the agreement. This service is provided to medical practices and providers to medical practices who are not revenue cycle management customers. The performance obligation is satisfied once the relevant submissions are completed.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closely matches the point in time that the customer simultaneously receives and consumes the benefits</w:t>
      </w:r>
      <w:r>
        <w:rPr>
          <w:sz w:val="20"/>
          <w:szCs w:val="20"/>
        </w:rPr>
        <w:t xml:space="preserve"> provided by the Company. For the group purchasing services, revenue is recognized at a point in time. Each service is substantially the same and has the same periodic pattern of transfer to the customer. Each of the services provided above is considered a</w:t>
      </w:r>
      <w:r>
        <w:rPr>
          <w:sz w:val="20"/>
          <w:szCs w:val="20"/>
        </w:rPr>
        <w:t xml:space="preserve"> separate performance obligation.</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50869414"/>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The Company also provides practice management services under long-term management service agreements to three </w:t>
      </w:r>
      <w:r>
        <w:rPr>
          <w:color w:val="000000"/>
          <w:sz w:val="20"/>
          <w:szCs w:val="20"/>
        </w:rPr>
        <w:t>medical practices. We provide the medical practices with the nurses,</w:t>
      </w:r>
      <w:r>
        <w:rPr>
          <w:color w:val="000000"/>
          <w:sz w:val="20"/>
          <w:szCs w:val="20"/>
        </w:rPr>
        <w:t xml:space="preserve"> administrative support, facilities, supplies, equipment, marketing, RCM, accounting, and other non-clinical services needed to efficiently operate their practices. Revenue is recognized as the services are provided to the medical practices. Revenue record</w:t>
      </w:r>
      <w:r>
        <w:rPr>
          <w:color w:val="000000"/>
          <w:sz w:val="20"/>
          <w:szCs w:val="20"/>
        </w:rPr>
        <w:t>ed in the consolidated statements of operations represents the reimbursement of costs paid by the Company for the practices and the management fee earned each month for managing the practice. The management fee is based on either a fixed fee or a percentag</w:t>
      </w:r>
      <w:r>
        <w:rPr>
          <w:color w:val="000000"/>
          <w:sz w:val="20"/>
          <w:szCs w:val="20"/>
        </w:rPr>
        <w:t>e of the net operating income.</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color w:val="000000"/>
          <w:sz w:val="20"/>
          <w:szCs w:val="20"/>
        </w:rPr>
        <w:t>The Company assumes all financial risk for the performance of the managed medical practices. Revenue is impacted by amount of the costs incurred by the practices and their operating income. The gross billing of the practice</w:t>
      </w:r>
      <w:r>
        <w:rPr>
          <w:color w:val="000000"/>
          <w:sz w:val="20"/>
          <w:szCs w:val="20"/>
        </w:rPr>
        <w:t xml:space="preserve">s is impacted by billing rates, changes in current procedural terminology code reimbursement and collection trends which in turn impacts the management fee that the Company is entitled to. Billing rates are reviewed at least annually and adjusted based on </w:t>
      </w:r>
      <w:r>
        <w:rPr>
          <w:color w:val="000000"/>
          <w:sz w:val="20"/>
          <w:szCs w:val="20"/>
        </w:rPr>
        <w:t xml:space="preserve">current insurer reimbursement practices. The </w:t>
      </w:r>
      <w:r>
        <w:rPr>
          <w:sz w:val="20"/>
          <w:szCs w:val="20"/>
        </w:rPr>
        <w:t>performance obligation is satisfied as the management services are provided.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Our contracts for practice management services have approximately an additional 20 years remaining and are only cancellable under ve</w:t>
      </w:r>
      <w:r>
        <w:rPr>
          <w:sz w:val="20"/>
          <w:szCs w:val="20"/>
        </w:rPr>
        <w:t>ry limited circumstances. The Company receives a management fee each month for managing the day-to-day business operations of each medical group as a fixed fee or a percentage payment of the net operating income which is included in revenue in the consolid</w:t>
      </w:r>
      <w:r>
        <w:rPr>
          <w:sz w:val="20"/>
          <w:szCs w:val="20"/>
        </w:rPr>
        <w:t>ated statements of operations.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Our </w:t>
      </w:r>
      <w:r>
        <w:rPr>
          <w:sz w:val="20"/>
          <w:szCs w:val="20"/>
        </w:rPr>
        <w:t>practice management services obligations consist of a series of distinct services that are substantially the same and have the same periodic pattern of transfer to our customers. Revenue is recognized over time, however, for reporting and convenience purpo</w:t>
      </w:r>
      <w:r>
        <w:rPr>
          <w:sz w:val="20"/>
          <w:szCs w:val="20"/>
        </w:rPr>
        <w:t>ses management fee is computed at each month end.</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Information about contract balances: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contract asset in the condensed consolidated balance sheets represents the revenue associated with the amounts we estimate our revenue cycle management clients w</w:t>
      </w:r>
      <w:r>
        <w:rPr>
          <w:sz w:val="20"/>
          <w:szCs w:val="20"/>
        </w:rPr>
        <w:t>ill ultimately collect associated with the services they have provided and the relative fee we charge associated with those collections, together with amounts related to the group purchasing services. As of March 31, 2019, the estimated revenue expected to</w:t>
      </w:r>
      <w:r>
        <w:rPr>
          <w:sz w:val="20"/>
          <w:szCs w:val="20"/>
        </w:rPr>
        <w:t xml:space="preserve"> be recognized in the future related to the remaining revenue cycle management performance obligations outstanding was approximately $1.8 million. We expect to recognize substantially all of the revenue for the remaining performance obligations over the ne</w:t>
      </w:r>
      <w:r>
        <w:rPr>
          <w:sz w:val="20"/>
          <w:szCs w:val="20"/>
        </w:rPr>
        <w:t>xt three months. Approximately $0.6 million of the contract asset represents revenue earned, not paid, from the group purchasing services.</w:t>
      </w:r>
    </w:p>
    <w:p w:rsidR="00000000" w:rsidRDefault="00C9700C">
      <w:pPr>
        <w:pStyle w:val="a3"/>
        <w:spacing w:before="0" w:beforeAutospacing="0" w:after="0" w:afterAutospacing="0"/>
        <w:jc w:val="both"/>
        <w:rPr>
          <w:i/>
          <w:iCs/>
          <w:sz w:val="20"/>
          <w:szCs w:val="20"/>
        </w:rPr>
      </w:pPr>
      <w:r>
        <w:rPr>
          <w:i/>
          <w:iCs/>
          <w:sz w:val="20"/>
          <w:szCs w:val="20"/>
        </w:rPr>
        <w:t> </w:t>
      </w:r>
    </w:p>
    <w:p w:rsidR="00000000" w:rsidRDefault="00C9700C">
      <w:pPr>
        <w:pStyle w:val="a3"/>
        <w:spacing w:before="0" w:beforeAutospacing="0" w:after="0" w:afterAutospacing="0"/>
        <w:jc w:val="both"/>
        <w:rPr>
          <w:sz w:val="20"/>
          <w:szCs w:val="20"/>
        </w:rPr>
      </w:pPr>
      <w:r>
        <w:rPr>
          <w:sz w:val="20"/>
          <w:szCs w:val="20"/>
        </w:rPr>
        <w:t>Accounts receivable are shown separately at their net realizable value in our condensed consolidated balance sheets</w:t>
      </w:r>
      <w:r>
        <w:rPr>
          <w:sz w:val="20"/>
          <w:szCs w:val="20"/>
        </w:rPr>
        <w:t xml:space="preserve">. Amounts that we are entitled to collect under the applicable contract are recorded as accounts receivable. Invoicing is performed at the end of each month when the services have been provided. The contract asset results from our revenue cycle management </w:t>
      </w:r>
      <w:r>
        <w:rPr>
          <w:sz w:val="20"/>
          <w:szCs w:val="20"/>
        </w:rPr>
        <w:t>services and is due to the timing of revenue recognition, submission of claims from our customers and payments from the insurance providers. The contract asset includes our right to payment for services already transferred to a customer when the right to p</w:t>
      </w:r>
      <w:r>
        <w:rPr>
          <w:sz w:val="20"/>
          <w:szCs w:val="20"/>
        </w:rPr>
        <w:t>ayment is conditional on something other than the passage of time. For example, contracts for revenue cycle management services where we recognize revenue over time but do not have a contractual right to payment until the customer receives payment of their</w:t>
      </w:r>
      <w:r>
        <w:rPr>
          <w:sz w:val="20"/>
          <w:szCs w:val="20"/>
        </w:rPr>
        <w:t xml:space="preserve"> claim from the insurance provider. The contract asset also includes the revenue accrued, not received, for the group purchasing services.</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120377"/>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contract asset was approximately $2.4 million and $1.4 million as of March 31, 2019 and March 31, 201</w:t>
      </w:r>
      <w:r>
        <w:rPr>
          <w:sz w:val="20"/>
          <w:szCs w:val="20"/>
        </w:rPr>
        <w:t>8, respectively. Changes in the contract asset are recorded as adjustments to net revenue. The changes primarily result from providing services to revenue cycle management customers that result in additional consideration and are offset by our right to pay</w:t>
      </w:r>
      <w:r>
        <w:rPr>
          <w:sz w:val="20"/>
          <w:szCs w:val="20"/>
        </w:rPr>
        <w:t xml:space="preserve">ment for services becoming unconditional and changes in the revenue accrued for the group purchasing services. The contract asset for our group purchasing services is reduced when we receive payments from vaccine manufacturers and is increased for revenue </w:t>
      </w:r>
      <w:r>
        <w:rPr>
          <w:sz w:val="20"/>
          <w:szCs w:val="20"/>
        </w:rPr>
        <w:t>earned, not received. Deferred revenue represents sign-up fees received from customers that are amortized over three years. The opening and closing balances of the Company’s accounts receivable, contract asset and deferred revenue are as follows for the th</w:t>
      </w:r>
      <w:r>
        <w:rPr>
          <w:sz w:val="20"/>
          <w:szCs w:val="20"/>
        </w:rPr>
        <w:t>ree months ended March 31, 2019 and 2018:</w:t>
      </w:r>
    </w:p>
    <w:p w:rsidR="00000000" w:rsidRDefault="00C9700C">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682"/>
        <w:gridCol w:w="141"/>
        <w:gridCol w:w="101"/>
        <w:gridCol w:w="897"/>
        <w:gridCol w:w="66"/>
        <w:gridCol w:w="141"/>
        <w:gridCol w:w="100"/>
        <w:gridCol w:w="888"/>
        <w:gridCol w:w="67"/>
        <w:gridCol w:w="140"/>
        <w:gridCol w:w="101"/>
        <w:gridCol w:w="888"/>
        <w:gridCol w:w="67"/>
        <w:gridCol w:w="140"/>
        <w:gridCol w:w="100"/>
        <w:gridCol w:w="889"/>
        <w:gridCol w:w="67"/>
      </w:tblGrid>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Accounts Receivable, Net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Contract Asset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Deferred Revenue (current)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pStyle w:val="a3"/>
              <w:spacing w:before="0" w:beforeAutospacing="0" w:after="0" w:afterAutospacing="0"/>
              <w:jc w:val="center"/>
              <w:rPr>
                <w:b/>
                <w:bCs/>
                <w:sz w:val="20"/>
                <w:szCs w:val="20"/>
              </w:rPr>
            </w:pPr>
            <w:r>
              <w:rPr>
                <w:b/>
                <w:bCs/>
                <w:sz w:val="20"/>
                <w:szCs w:val="20"/>
              </w:rPr>
              <w:t>Deferred Revenue</w:t>
            </w:r>
          </w:p>
          <w:p w:rsidR="00000000" w:rsidRDefault="00C9700C">
            <w:pPr>
              <w:pStyle w:val="a3"/>
              <w:spacing w:before="0" w:beforeAutospacing="0" w:after="0" w:afterAutospacing="0"/>
              <w:jc w:val="center"/>
              <w:rPr>
                <w:b/>
                <w:bCs/>
                <w:sz w:val="20"/>
                <w:szCs w:val="20"/>
              </w:rPr>
            </w:pPr>
            <w:r>
              <w:rPr>
                <w:b/>
                <w:bCs/>
                <w:sz w:val="20"/>
                <w:szCs w:val="20"/>
              </w:rPr>
              <w:t>(long term)</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C9700C">
            <w:pPr>
              <w:rPr>
                <w:rFonts w:eastAsia="Times New Roman"/>
                <w:sz w:val="20"/>
                <w:szCs w:val="20"/>
              </w:rPr>
            </w:pPr>
            <w:r>
              <w:rPr>
                <w:rFonts w:eastAsia="Times New Roman"/>
                <w:sz w:val="20"/>
                <w:szCs w:val="20"/>
              </w:rPr>
              <w:t>Beginning balance as of January 1, 2019</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7,331,474</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2,608,631</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25,355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18,949</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Increase (decrease), net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476,393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(252,317</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(4,001</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266</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Ending balance as of March 31, 2019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7,807,867</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2,356,314</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21,354</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19,215</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683"/>
        <w:gridCol w:w="142"/>
        <w:gridCol w:w="100"/>
        <w:gridCol w:w="889"/>
        <w:gridCol w:w="67"/>
        <w:gridCol w:w="142"/>
        <w:gridCol w:w="100"/>
        <w:gridCol w:w="889"/>
        <w:gridCol w:w="67"/>
        <w:gridCol w:w="142"/>
        <w:gridCol w:w="100"/>
        <w:gridCol w:w="889"/>
        <w:gridCol w:w="67"/>
        <w:gridCol w:w="142"/>
        <w:gridCol w:w="100"/>
        <w:gridCol w:w="889"/>
        <w:gridCol w:w="67"/>
      </w:tblGrid>
      <w:tr w:rsidR="00000000">
        <w:tc>
          <w:tcPr>
            <w:tcW w:w="1800" w:type="pct"/>
            <w:shd w:val="clear" w:color="auto" w:fill="CCEEFF"/>
            <w:vAlign w:val="bottom"/>
            <w:hideMark/>
          </w:tcPr>
          <w:p w:rsidR="00000000" w:rsidRDefault="00C9700C">
            <w:pPr>
              <w:rPr>
                <w:rFonts w:eastAsia="Times New Roman"/>
                <w:sz w:val="20"/>
                <w:szCs w:val="20"/>
              </w:rPr>
            </w:pPr>
            <w:r>
              <w:rPr>
                <w:rFonts w:eastAsia="Times New Roman"/>
                <w:sz w:val="20"/>
                <w:szCs w:val="20"/>
              </w:rPr>
              <w:t>Beginning balance as of January 1, 2018</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3,879,463</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1,342,692</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62,104</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28,615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(Decrease) increase, net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(102,504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47,071</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(20,913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(976</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Ending balance as of March 31, 2018</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3,776,959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1,389,763</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41,191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27,639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Deferred commissions:</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sz w:val="20"/>
          <w:szCs w:val="20"/>
        </w:rPr>
        <w:t xml:space="preserve">Our </w:t>
      </w:r>
      <w:r>
        <w:rPr>
          <w:sz w:val="20"/>
          <w:szCs w:val="20"/>
        </w:rPr>
        <w:t>sales incentive plans include commissions payable to employees and third parties at the time of initial contract execution that are capitalized as incremental costs to obtain a contract. The capitalized commissions are amortized over the period the related</w:t>
      </w:r>
      <w:r>
        <w:rPr>
          <w:sz w:val="20"/>
          <w:szCs w:val="20"/>
        </w:rPr>
        <w:t xml:space="preserve"> services are transferred. As we do not offer commissions on contract renewals, we have determined the amortization period to be the estimated client life, which is three years. Deferred commissions were approximately $77,000 and $105,000 at March 31, 2019</w:t>
      </w:r>
      <w:r>
        <w:rPr>
          <w:sz w:val="20"/>
          <w:szCs w:val="20"/>
        </w:rPr>
        <w:t xml:space="preserve"> and March 31, 2018, respectively, and are included in the other assets amounts in the condensed consolidated </w:t>
      </w:r>
      <w:r>
        <w:rPr>
          <w:color w:val="000000"/>
          <w:sz w:val="20"/>
          <w:szCs w:val="20"/>
        </w:rPr>
        <w:t>balance sheets.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rPr>
          <w:caps/>
          <w:sz w:val="20"/>
          <w:szCs w:val="20"/>
        </w:rPr>
      </w:pPr>
      <w:r>
        <w:rPr>
          <w:b/>
          <w:bCs/>
          <w:caps/>
          <w:sz w:val="20"/>
          <w:szCs w:val="20"/>
        </w:rPr>
        <w:t>11. STOCK-BASED COMPENSATION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In April 2014, the Company adopted its Equity Incentive Plan (the “Plan”), reserving 1,351,000 sh</w:t>
      </w:r>
      <w:r>
        <w:rPr>
          <w:sz w:val="20"/>
          <w:szCs w:val="20"/>
        </w:rPr>
        <w:t xml:space="preserve">ares of common stock for grants to employees, officers, directors and consultants. During April 2017, the Plan was amended and restated whereby an additional 1,500,000 shares of common stock and 100,000 shares of Series A Preferred Stock were added to the </w:t>
      </w:r>
      <w:r>
        <w:rPr>
          <w:sz w:val="20"/>
          <w:szCs w:val="20"/>
        </w:rPr>
        <w:t xml:space="preserve">plan for future issuance. During June 2018, the Company’s shareholders approved the addition of 200,000 preferred shares to the Plan for future grants. As of March 31, 2019, 557,910 shares of common stock and 138,400 shares of Series A Preferred Stock </w:t>
      </w:r>
      <w:r>
        <w:rPr>
          <w:color w:val="000000"/>
          <w:sz w:val="20"/>
          <w:szCs w:val="20"/>
        </w:rPr>
        <w:t xml:space="preserve">are </w:t>
      </w:r>
      <w:r>
        <w:rPr>
          <w:color w:val="000000"/>
          <w:sz w:val="20"/>
          <w:szCs w:val="20"/>
        </w:rPr>
        <w:t>available for grant under the Plan. Permissible awards include incentive stock options, non-statutory stock options, stock appreciation rights, restricted stock, RSUs, performance stock and cash-settled awards and other stock-based awards in the discretion</w:t>
      </w:r>
      <w:r>
        <w:rPr>
          <w:color w:val="000000"/>
          <w:sz w:val="20"/>
          <w:szCs w:val="20"/>
        </w:rPr>
        <w:t xml:space="preserve"> of the Compensation Committee of the Board of Directors including unrestricted stock grants.</w:t>
      </w:r>
    </w:p>
    <w:p w:rsidR="00000000" w:rsidRDefault="00C9700C">
      <w:pPr>
        <w:pStyle w:val="a3"/>
        <w:spacing w:before="0" w:beforeAutospacing="0" w:after="0" w:afterAutospacing="0"/>
        <w:jc w:val="both"/>
        <w:rPr>
          <w:sz w:val="20"/>
          <w:szCs w:val="20"/>
        </w:rPr>
      </w:pPr>
      <w:r>
        <w:rPr>
          <w:color w:val="000000"/>
          <w:sz w:val="20"/>
          <w:szCs w:val="20"/>
        </w:rPr>
        <w:t> </w:t>
      </w:r>
    </w:p>
    <w:p w:rsidR="00000000" w:rsidRDefault="00C9700C">
      <w:pPr>
        <w:pStyle w:val="a3"/>
        <w:spacing w:before="0" w:beforeAutospacing="0" w:after="0" w:afterAutospacing="0"/>
        <w:jc w:val="both"/>
        <w:rPr>
          <w:sz w:val="20"/>
          <w:szCs w:val="20"/>
        </w:rPr>
      </w:pPr>
      <w:r>
        <w:rPr>
          <w:sz w:val="20"/>
          <w:szCs w:val="20"/>
        </w:rPr>
        <w:t xml:space="preserve">The equity based RSUs contain a common provision in which the units shall immediately vest and become converted into common shares at the rate of one share per </w:t>
      </w:r>
      <w:r>
        <w:rPr>
          <w:sz w:val="20"/>
          <w:szCs w:val="20"/>
        </w:rPr>
        <w:t>RSU, immediately after a change in control, as defined in the award agreement.</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b/>
          <w:bCs/>
          <w:i/>
          <w:iCs/>
          <w:sz w:val="20"/>
          <w:szCs w:val="20"/>
          <w:u w:val="single"/>
        </w:rPr>
        <w:t>Common and preferred stock RSUs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In </w:t>
      </w:r>
      <w:r>
        <w:rPr>
          <w:sz w:val="20"/>
          <w:szCs w:val="20"/>
        </w:rPr>
        <w:t>February 2019, the Compensation Committee has again approved executive bonuses to be paid in shares of Series A Preferred Stock, with the number of shares and the amount based on specified criteria being achieved during the year 2019. The actual amount wil</w:t>
      </w:r>
      <w:r>
        <w:rPr>
          <w:sz w:val="20"/>
          <w:szCs w:val="20"/>
        </w:rPr>
        <w:t>l be settled in early 2020 based on the achievement of the specified criteria. Through March 31, 2019, approximately $286,000 was recorded for these bonuses based on the value of the shares at the grant date. The portion of the stock compensation expense t</w:t>
      </w:r>
      <w:r>
        <w:rPr>
          <w:sz w:val="20"/>
          <w:szCs w:val="20"/>
        </w:rPr>
        <w:t>o be used for the payment of withholding and payroll taxes is included in accrued compensation in the condensed consolidated balance sheets. The balance of the stock compensation expense has been recorded as additional paid-in capital.</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9129864"/>
        </w:trPr>
        <w:tc>
          <w:tcPr>
            <w:tcW w:w="5000" w:type="pct"/>
            <w:hideMark/>
          </w:tcPr>
          <w:p w:rsidR="00000000" w:rsidRDefault="00C9700C">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color w:val="000000"/>
          <w:sz w:val="20"/>
          <w:szCs w:val="20"/>
        </w:rPr>
        <w:t>The foll</w:t>
      </w:r>
      <w:r>
        <w:rPr>
          <w:color w:val="000000"/>
          <w:sz w:val="20"/>
          <w:szCs w:val="20"/>
        </w:rPr>
        <w:t xml:space="preserve">owing table summarizes the RSU transactions related to the common and preferred stock under the Equity Incentive Plan for the three months ended </w:t>
      </w:r>
      <w:r>
        <w:rPr>
          <w:sz w:val="20"/>
          <w:szCs w:val="20"/>
        </w:rPr>
        <w:t xml:space="preserve">March </w:t>
      </w:r>
      <w:r>
        <w:rPr>
          <w:color w:val="000000"/>
          <w:sz w:val="20"/>
          <w:szCs w:val="20"/>
        </w:rPr>
        <w:t>31, 2019:</w:t>
      </w:r>
    </w:p>
    <w:p w:rsidR="00000000" w:rsidRDefault="00C9700C">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3940"/>
        <w:gridCol w:w="86"/>
        <w:gridCol w:w="51"/>
        <w:gridCol w:w="986"/>
        <w:gridCol w:w="67"/>
        <w:gridCol w:w="87"/>
        <w:gridCol w:w="81"/>
        <w:gridCol w:w="1280"/>
        <w:gridCol w:w="67"/>
      </w:tblGrid>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C9700C">
            <w:pPr>
              <w:rPr>
                <w:rFonts w:eastAsia="Times New Roman"/>
                <w:sz w:val="20"/>
                <w:szCs w:val="20"/>
              </w:rPr>
            </w:pPr>
            <w:r>
              <w:rPr>
                <w:rFonts w:eastAsia="Times New Roman"/>
                <w:sz w:val="20"/>
                <w:szCs w:val="20"/>
              </w:rPr>
              <w:t>Outstanding and unvested shares at January 1, 2019</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929,347</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44,800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Granted</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44,000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Vested</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(262,656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(10,120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Outstanding and unvested shares at March 31, 2019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656,571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Of </w:t>
      </w:r>
      <w:r>
        <w:rPr>
          <w:sz w:val="20"/>
          <w:szCs w:val="20"/>
        </w:rPr>
        <w:t>the total outstanding and unvested common stock RSUs at March 31, 2019, 593,081 RSUs are classified as equity and 63,490 RSUs are classified as a liability</w:t>
      </w:r>
      <w:r>
        <w:rPr>
          <w:color w:val="000000"/>
          <w:sz w:val="20"/>
          <w:szCs w:val="20"/>
        </w:rPr>
        <w:t>. All of the preferred stock RSUs are classified as equity.</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b/>
          <w:bCs/>
          <w:i/>
          <w:iCs/>
          <w:sz w:val="20"/>
          <w:szCs w:val="20"/>
          <w:u w:val="single"/>
        </w:rPr>
        <w:t>Stock-based compensation expense</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Company recognizes compensation expense on a straight-line basis over the total requisite service period for the entire award. For stock awards classified as equity, the market price of our common stock or preferred stock on the date of grant is used in re</w:t>
      </w:r>
      <w:r>
        <w:rPr>
          <w:sz w:val="20"/>
          <w:szCs w:val="20"/>
        </w:rPr>
        <w:t>cording the fair value of the award and includes the related taxes. For stock awards classified as a liability, the earned amount is marked to market based on the end of period common stock price. The liability for the cash-settled awards was approximately</w:t>
      </w:r>
      <w:r>
        <w:rPr>
          <w:sz w:val="20"/>
          <w:szCs w:val="20"/>
        </w:rPr>
        <w:t xml:space="preserve"> $110,000 and $118,000 at March 31, 2019 and December 31, 2018, respectively, and is included in accrued compensation in the condensed consolidated balance sheets.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following table summarizes the components of share-based compensation expense for the </w:t>
      </w:r>
      <w:r>
        <w:rPr>
          <w:sz w:val="20"/>
          <w:szCs w:val="20"/>
        </w:rPr>
        <w:t>three months ended March 31, 2019 and 2018:</w:t>
      </w:r>
    </w:p>
    <w:p w:rsidR="00000000" w:rsidRDefault="00C9700C">
      <w:pPr>
        <w:pStyle w:val="a3"/>
        <w:spacing w:before="0" w:beforeAutospacing="0" w:after="0" w:afterAutospacing="0"/>
        <w:jc w:val="both"/>
        <w:rPr>
          <w:sz w:val="20"/>
          <w:szCs w:val="20"/>
        </w:rPr>
      </w:pPr>
      <w:r>
        <w:rPr>
          <w:sz w:val="20"/>
          <w:szCs w:val="20"/>
        </w:rPr>
        <w:t> </w:t>
      </w:r>
    </w:p>
    <w:tbl>
      <w:tblPr>
        <w:tblW w:w="4750" w:type="pct"/>
        <w:tblCellMar>
          <w:left w:w="0" w:type="dxa"/>
          <w:right w:w="0" w:type="dxa"/>
        </w:tblCellMar>
        <w:tblLook w:val="04A0" w:firstRow="1" w:lastRow="0" w:firstColumn="1" w:lastColumn="0" w:noHBand="0" w:noVBand="1"/>
      </w:tblPr>
      <w:tblGrid>
        <w:gridCol w:w="6412"/>
        <w:gridCol w:w="50"/>
        <w:gridCol w:w="100"/>
        <w:gridCol w:w="650"/>
        <w:gridCol w:w="50"/>
        <w:gridCol w:w="50"/>
        <w:gridCol w:w="100"/>
        <w:gridCol w:w="650"/>
        <w:gridCol w:w="50"/>
      </w:tblGrid>
      <w:tr w:rsidR="00000000">
        <w:tc>
          <w:tcPr>
            <w:tcW w:w="0" w:type="auto"/>
            <w:vAlign w:val="bottom"/>
            <w:hideMark/>
          </w:tcPr>
          <w:p w:rsidR="00000000" w:rsidRDefault="00C9700C">
            <w:pPr>
              <w:rPr>
                <w:rFonts w:eastAsia="Times New Roman"/>
                <w:b/>
                <w:bCs/>
                <w:sz w:val="20"/>
                <w:szCs w:val="20"/>
              </w:rPr>
            </w:pPr>
            <w:r>
              <w:rPr>
                <w:rFonts w:eastAsia="Times New Roman"/>
                <w:b/>
                <w:bCs/>
                <w:sz w:val="20"/>
                <w:szCs w:val="20"/>
              </w:rPr>
              <w:t>Stock-based compensation included in the Consolidated Statement of Operations:</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400" w:type="pct"/>
            <w:shd w:val="clear" w:color="auto" w:fill="CCEEFF"/>
            <w:vAlign w:val="bottom"/>
            <w:hideMark/>
          </w:tcPr>
          <w:p w:rsidR="00000000" w:rsidRDefault="00C9700C">
            <w:pPr>
              <w:rPr>
                <w:rFonts w:eastAsia="Times New Roman"/>
                <w:sz w:val="20"/>
                <w:szCs w:val="20"/>
              </w:rPr>
            </w:pPr>
            <w:r>
              <w:rPr>
                <w:rFonts w:eastAsia="Times New Roman"/>
                <w:sz w:val="20"/>
                <w:szCs w:val="20"/>
              </w:rPr>
              <w:t>Direct operating costs</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50,650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1,384</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696,422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125,926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5,481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381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4,972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757,525</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127,691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rPr>
          <w:caps/>
          <w:sz w:val="20"/>
          <w:szCs w:val="20"/>
        </w:rPr>
      </w:pPr>
      <w:r>
        <w:rPr>
          <w:b/>
          <w:bCs/>
          <w:caps/>
          <w:sz w:val="20"/>
          <w:szCs w:val="20"/>
        </w:rPr>
        <w:t>12. INCOME TAXES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net income tax benefit for the three months ended March 31, 2019 was approximately $41,000, comprised of a current tax expense of $15,000 and a deferred tax benefit of $56,000. The current and deferred income tax provisions for the three months ended March</w:t>
      </w:r>
      <w:r>
        <w:rPr>
          <w:sz w:val="20"/>
          <w:szCs w:val="20"/>
        </w:rPr>
        <w:t xml:space="preserve"> 31, 2018 were approximately $9,000 and $38,000, respectively.</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current income tax provision for the three months ended March 31, 2019 and 2018 primarily relates to state minimum taxes and foreign income taxes. As a result of the Company having a tax </w:t>
      </w:r>
      <w:r>
        <w:rPr>
          <w:sz w:val="20"/>
          <w:szCs w:val="20"/>
        </w:rPr>
        <w:t>loss for 2018 which has an indefinite life under the recent tax reform legislation, the Federal deferred tax liability resulting from the amortization of goodwill was offset against the 2018 Federal net operating loss, resulting in a net deferred Federal i</w:t>
      </w:r>
      <w:r>
        <w:rPr>
          <w:sz w:val="20"/>
          <w:szCs w:val="20"/>
        </w:rPr>
        <w:t>ncome tax benefit of approximately $56,000 for the three months ended March 31, 2019. For the three months ended March 31, 2018, there was a deferred federal and state tax provision due to the amortization of goodwill and no tax loss available for offset.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Although the Company is forecasting a return to profitability, it has incurred cumulative losses which make realization of deferred tax asset difficult to support in accordance with ASC 740. Accordingly, a valuation allowance has been recorded against th</w:t>
      </w:r>
      <w:r>
        <w:rPr>
          <w:sz w:val="20"/>
          <w:szCs w:val="20"/>
        </w:rPr>
        <w:t>e Federal and state deferred tax assets as of March 31, 2019 and December 31, 2018.</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26193107"/>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rPr>
          <w:caps/>
          <w:sz w:val="20"/>
          <w:szCs w:val="20"/>
        </w:rPr>
      </w:pPr>
      <w:r>
        <w:rPr>
          <w:b/>
          <w:bCs/>
          <w:caps/>
          <w:sz w:val="20"/>
          <w:szCs w:val="20"/>
        </w:rPr>
        <w:t>13. FAIR VALUE OF FINANCIAL INSTRUMENTS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As of March 31, 2019 and December 31, 2018, the carrying amounts of accounts receivable, accounts payable and accrued </w:t>
      </w:r>
      <w:r>
        <w:rPr>
          <w:sz w:val="20"/>
          <w:szCs w:val="20"/>
        </w:rPr>
        <w:t>expenses approximated their estimated fair values because of the short term nature of these financial instruments.</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Fair value measurements-Level 2</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Our notes payable are carried at cost and approximate fair value since the interest rates being charged a</w:t>
      </w:r>
      <w:r>
        <w:rPr>
          <w:sz w:val="20"/>
          <w:szCs w:val="20"/>
        </w:rPr>
        <w:t>pproximate market rates. As a result, the Company categorizes these borrowings as level 2 in the fair value hierarchy.</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Contingent Consideration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Company’s contingent consideration of approximately $307,000 and $526,000 as of March 31, 2019 and Decem</w:t>
      </w:r>
      <w:r>
        <w:rPr>
          <w:sz w:val="20"/>
          <w:szCs w:val="20"/>
        </w:rPr>
        <w:t>ber 31, 2018, respectively, are Level 3 liabilities. The fair value of the contingent consideration at March 31, 2019 and December 31, 2018 was primarily driven by changes in revenue estimates related to the acquisitions during 2015 and 2016, the passage o</w:t>
      </w:r>
      <w:r>
        <w:rPr>
          <w:sz w:val="20"/>
          <w:szCs w:val="20"/>
        </w:rPr>
        <w:t>f time and the associated discount rate. Due to the number of factors used to determine contingent consideration, it is not possible to determine a range of outcomes. Subsequent adjustments to the fair value of the contingent consideration liability will c</w:t>
      </w:r>
      <w:r>
        <w:rPr>
          <w:sz w:val="20"/>
          <w:szCs w:val="20"/>
        </w:rPr>
        <w:t>ontinue to be recorded in the Company’s results of operations until all contingencies are settled.</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following table provides a reconciliation of the beginning and ending balances for the contingent consideration measured at fair value using significant unobservable inputs (Level 3):</w:t>
      </w:r>
    </w:p>
    <w:p w:rsidR="00000000" w:rsidRDefault="00C9700C">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564"/>
        <w:gridCol w:w="73"/>
        <w:gridCol w:w="100"/>
        <w:gridCol w:w="970"/>
        <w:gridCol w:w="67"/>
        <w:gridCol w:w="73"/>
        <w:gridCol w:w="100"/>
        <w:gridCol w:w="970"/>
        <w:gridCol w:w="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9700C">
            <w:pPr>
              <w:jc w:val="center"/>
              <w:rPr>
                <w:rFonts w:eastAsia="Times New Roman"/>
                <w:b/>
                <w:bCs/>
                <w:sz w:val="20"/>
                <w:szCs w:val="20"/>
              </w:rPr>
            </w:pPr>
            <w:r>
              <w:rPr>
                <w:rFonts w:eastAsia="Times New Roman"/>
                <w:b/>
                <w:bCs/>
                <w:sz w:val="20"/>
                <w:szCs w:val="20"/>
              </w:rPr>
              <w:t>Fair Value Measurement at Reporting Date Using Significant Unobser</w:t>
            </w:r>
            <w:r>
              <w:rPr>
                <w:rFonts w:eastAsia="Times New Roman"/>
                <w:b/>
                <w:bCs/>
                <w:sz w:val="20"/>
                <w:szCs w:val="20"/>
              </w:rPr>
              <w:t>vable Inputs, Level 3</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2600" w:type="pct"/>
            <w:shd w:val="clear" w:color="auto" w:fill="CCEEFF"/>
            <w:vAlign w:val="bottom"/>
            <w:hideMark/>
          </w:tcPr>
          <w:p w:rsidR="00000000" w:rsidRDefault="00C9700C">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603,411</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Change in fair value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(64,203</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31,749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Payments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(154,844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(47,111</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Balance - March 31,</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307,385</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588,049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rPr>
          <w:sz w:val="20"/>
          <w:szCs w:val="20"/>
        </w:rPr>
      </w:pPr>
      <w:r>
        <w:rPr>
          <w:b/>
          <w:bCs/>
          <w:sz w:val="20"/>
          <w:szCs w:val="20"/>
        </w:rPr>
        <w:t>14. SEGMENT REPORTING</w:t>
      </w:r>
    </w:p>
    <w:p w:rsidR="00000000" w:rsidRDefault="00C9700C">
      <w:pPr>
        <w:pStyle w:val="a3"/>
        <w:spacing w:before="0" w:beforeAutospacing="0" w:after="0" w:afterAutospacing="0"/>
        <w:ind w:left="475"/>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 xml:space="preserve">Both </w:t>
      </w:r>
      <w:r>
        <w:rPr>
          <w:sz w:val="20"/>
          <w:szCs w:val="20"/>
        </w:rPr>
        <w:t>our Chief Executive Officer and Executive Chairman serve as the CODM, organize the Company, manage resource allocations and measure performance among two operating and reportable segments: (i) Healthcare IT and (ii) Practice Management.</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The Healthcare IT</w:t>
      </w:r>
      <w:r>
        <w:rPr>
          <w:sz w:val="20"/>
          <w:szCs w:val="20"/>
        </w:rPr>
        <w:t xml:space="preserve"> segment includes revenue cycle management and other services. The Practice management segment includes the management of three medical practices. Each segment is considered a reporting unit. The CODM evaluates financial performance of the business units o</w:t>
      </w:r>
      <w:r>
        <w:rPr>
          <w:sz w:val="20"/>
          <w:szCs w:val="20"/>
        </w:rPr>
        <w:t xml:space="preserve">n the basis of revenue and direct operating costs excluding unallocated amounts, which are mainly corporate overhead costs. Our CODM does not evaluate operating segments using asset or liability information. The accounting policies of the segments are the </w:t>
      </w:r>
      <w:r>
        <w:rPr>
          <w:sz w:val="20"/>
          <w:szCs w:val="20"/>
        </w:rPr>
        <w:t>same as those disclosed in the Company’s Annual Report on Form 10-K for the year ended December 31, 2018 filed with the SEC on March 20, 2019. There was only one operating segment during the three months ended March 31, 2018 as the Practice Management segm</w:t>
      </w:r>
      <w:r>
        <w:rPr>
          <w:sz w:val="20"/>
          <w:szCs w:val="20"/>
        </w:rPr>
        <w:t>ent was acquired in July 2018. The following table presents revenues, operating expenses and operating income by reportable segment:</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653"/>
        <w:gridCol w:w="112"/>
        <w:gridCol w:w="100"/>
        <w:gridCol w:w="900"/>
        <w:gridCol w:w="67"/>
        <w:gridCol w:w="87"/>
        <w:gridCol w:w="101"/>
        <w:gridCol w:w="1035"/>
        <w:gridCol w:w="50"/>
        <w:gridCol w:w="104"/>
        <w:gridCol w:w="101"/>
        <w:gridCol w:w="944"/>
        <w:gridCol w:w="67"/>
        <w:gridCol w:w="87"/>
        <w:gridCol w:w="100"/>
        <w:gridCol w:w="900"/>
        <w:gridCol w:w="67"/>
      </w:tblGrid>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 2019</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Unallocated Corporate Expenses</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C9700C">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12,119,744</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2,960,467</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15,080,211</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7,474,454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2,373,086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9,847,540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351,951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9,448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361,399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2,462,403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396,370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1,303,303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4,162,076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677,987</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78,753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756,740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11,157,248</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2,857,657</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1,303,303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15,318,208</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962,496</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102,810</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(1,303,303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(237,997</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rPr>
          <w:sz w:val="20"/>
          <w:szCs w:val="20"/>
        </w:rPr>
      </w:pPr>
      <w:r>
        <w:rPr>
          <w:b/>
          <w:bCs/>
          <w:sz w:val="20"/>
          <w:szCs w:val="20"/>
        </w:rPr>
        <w:t>15. SUBSEQUENT EVENT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On </w:t>
      </w:r>
      <w:r>
        <w:rPr>
          <w:sz w:val="20"/>
          <w:szCs w:val="20"/>
        </w:rPr>
        <w:t>April 3, 2019, the Company purchased substantially all of the assets of Etransmedia Technology, Inc. The purchase price was $1.6 million in cash plus the assumption of certain liabilities.</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46991484"/>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ind w:left="1440" w:hanging="1440"/>
        <w:jc w:val="both"/>
        <w:rPr>
          <w:b/>
          <w:bCs/>
          <w:sz w:val="20"/>
          <w:szCs w:val="20"/>
        </w:rPr>
      </w:pPr>
      <w:bookmarkStart w:id="9" w:name="t_010"/>
      <w:bookmarkEnd w:id="9"/>
      <w:r>
        <w:rPr>
          <w:b/>
          <w:bCs/>
          <w:i/>
          <w:iCs/>
          <w:sz w:val="20"/>
          <w:szCs w:val="20"/>
        </w:rPr>
        <w:t>Item 2. Management’s Discussion and Analysis of Financi</w:t>
      </w:r>
      <w:r>
        <w:rPr>
          <w:b/>
          <w:bCs/>
          <w:i/>
          <w:iCs/>
          <w:sz w:val="20"/>
          <w:szCs w:val="20"/>
        </w:rPr>
        <w:t>al Condition and Results of Operations</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The following is a discussion of our consolidated financial condition and results of operations for the three months ended March 31, 2019 and 2018, and other factors that are expected to affect our prospective finan</w:t>
      </w:r>
      <w:r>
        <w:rPr>
          <w:sz w:val="20"/>
          <w:szCs w:val="20"/>
        </w:rPr>
        <w:t>cial condition. The following discussion and analysis should be read together with our Condensed Consolidated Financial Statements and related notes beginning on page 4 of this Quarterly Report on Form 10-Q.</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Some of the statements set forth in this secti</w:t>
      </w:r>
      <w:r>
        <w:rPr>
          <w:sz w:val="20"/>
          <w:szCs w:val="20"/>
        </w:rPr>
        <w:t>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 this Quarterly Report on Form 10-Q.</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b/>
          <w:bCs/>
          <w:sz w:val="20"/>
          <w:szCs w:val="20"/>
        </w:rPr>
        <w:t>Overview</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MTBC, Inc., (formerly Medical Transcription Billing, Corp.), together with its consolidated subsidiaries (the “Company”), is a healthcare information technology company that provides a suite of proprietary web-based solutions and business servic</w:t>
      </w:r>
      <w:r>
        <w:rPr>
          <w:sz w:val="20"/>
          <w:szCs w:val="20"/>
        </w:rPr>
        <w:t>es to healthcare providers. Our integrated Software-as-a-Service (“SaaS”) platform and business services are designed to help our clients increase revenues, streamline workflows and make better business and clinical decisions, while reducing administrative</w:t>
      </w:r>
      <w:r>
        <w:rPr>
          <w:sz w:val="20"/>
          <w:szCs w:val="20"/>
        </w:rPr>
        <w:t xml:space="preserve"> burdens and operating costs. These solutions and services include:</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Healthcare IT:</w:t>
      </w:r>
    </w:p>
    <w:tbl>
      <w:tblPr>
        <w:tblW w:w="5000" w:type="pct"/>
        <w:tblCellMar>
          <w:left w:w="0" w:type="dxa"/>
          <w:right w:w="0" w:type="dxa"/>
        </w:tblCellMar>
        <w:tblLook w:val="04A0" w:firstRow="1" w:lastRow="0" w:firstColumn="1" w:lastColumn="0" w:noHBand="0" w:noVBand="1"/>
      </w:tblPr>
      <w:tblGrid>
        <w:gridCol w:w="360"/>
        <w:gridCol w:w="360"/>
        <w:gridCol w:w="720"/>
        <w:gridCol w:w="720"/>
        <w:gridCol w:w="6146"/>
      </w:tblGrid>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gridSpan w:val="3"/>
            <w:hideMark/>
          </w:tcPr>
          <w:p w:rsidR="00000000" w:rsidRDefault="00C9700C">
            <w:pPr>
              <w:rPr>
                <w:rFonts w:eastAsia="Times New Roman"/>
                <w:sz w:val="20"/>
                <w:szCs w:val="20"/>
              </w:rPr>
            </w:pPr>
            <w:r>
              <w:rPr>
                <w:rFonts w:eastAsia="Times New Roman"/>
                <w:sz w:val="20"/>
                <w:szCs w:val="20"/>
              </w:rPr>
              <w:t>Revenue cycle management (“RCM”) services;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o</w:t>
            </w:r>
          </w:p>
        </w:tc>
        <w:tc>
          <w:tcPr>
            <w:tcW w:w="0" w:type="auto"/>
            <w:gridSpan w:val="2"/>
            <w:hideMark/>
          </w:tcPr>
          <w:p w:rsidR="00000000" w:rsidRDefault="00C9700C">
            <w:pPr>
              <w:rPr>
                <w:rFonts w:eastAsia="Times New Roman"/>
                <w:sz w:val="20"/>
                <w:szCs w:val="20"/>
              </w:rPr>
            </w:pPr>
            <w:r>
              <w:rPr>
                <w:rFonts w:eastAsia="Times New Roman"/>
                <w:sz w:val="20"/>
                <w:szCs w:val="20"/>
              </w:rPr>
              <w:t>Proprietary, healthcare IT solutions, which are part of our RCM services, including:</w:t>
            </w:r>
          </w:p>
        </w:tc>
      </w:tr>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 </w:t>
            </w:r>
          </w:p>
        </w:tc>
        <w:tc>
          <w:tcPr>
            <w:tcW w:w="720" w:type="dxa"/>
            <w:hideMark/>
          </w:tcPr>
          <w:p w:rsidR="00000000" w:rsidRDefault="00C9700C">
            <w:pPr>
              <w:rPr>
                <w:rFonts w:eastAsia="Times New Roman"/>
                <w:sz w:val="20"/>
                <w:szCs w:val="20"/>
              </w:rPr>
            </w:pPr>
            <w:r>
              <w:rPr>
                <w:rFonts w:eastAsia="Times New Roman"/>
                <w:sz w:val="20"/>
                <w:szCs w:val="20"/>
              </w:rPr>
              <w:t> </w:t>
            </w:r>
          </w:p>
        </w:tc>
        <w:tc>
          <w:tcPr>
            <w:tcW w:w="720" w:type="dxa"/>
            <w:hideMark/>
          </w:tcPr>
          <w:p w:rsidR="00000000" w:rsidRDefault="00C9700C">
            <w:pPr>
              <w:jc w:val="center"/>
              <w:rPr>
                <w:rFonts w:eastAsia="Times New Roman"/>
                <w:sz w:val="20"/>
                <w:szCs w:val="20"/>
              </w:rPr>
            </w:pPr>
            <w:r>
              <w:rPr>
                <w:rFonts w:eastAsia="Times New Roman"/>
                <w:sz w:val="20"/>
                <w:szCs w:val="20"/>
              </w:rPr>
              <w:t>●</w:t>
            </w:r>
          </w:p>
        </w:tc>
        <w:tc>
          <w:tcPr>
            <w:tcW w:w="0" w:type="auto"/>
            <w:hideMark/>
          </w:tcPr>
          <w:p w:rsidR="00000000" w:rsidRDefault="00C9700C">
            <w:pPr>
              <w:rPr>
                <w:rFonts w:eastAsia="Times New Roman"/>
                <w:sz w:val="20"/>
                <w:szCs w:val="20"/>
              </w:rPr>
            </w:pPr>
            <w:r>
              <w:rPr>
                <w:rFonts w:eastAsia="Times New Roman"/>
                <w:sz w:val="20"/>
                <w:szCs w:val="20"/>
              </w:rPr>
              <w:t xml:space="preserve">Electronic </w:t>
            </w:r>
            <w:r>
              <w:rPr>
                <w:rFonts w:eastAsia="Times New Roman"/>
                <w:sz w:val="20"/>
                <w:szCs w:val="20"/>
              </w:rPr>
              <w:t>health records,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w:t>
            </w:r>
          </w:p>
        </w:tc>
        <w:tc>
          <w:tcPr>
            <w:tcW w:w="0" w:type="auto"/>
            <w:hideMark/>
          </w:tcPr>
          <w:p w:rsidR="00000000" w:rsidRDefault="00C9700C">
            <w:pPr>
              <w:rPr>
                <w:rFonts w:eastAsia="Times New Roman"/>
                <w:sz w:val="20"/>
                <w:szCs w:val="20"/>
              </w:rPr>
            </w:pPr>
            <w:r>
              <w:rPr>
                <w:rFonts w:eastAsia="Times New Roman"/>
                <w:sz w:val="20"/>
                <w:szCs w:val="20"/>
              </w:rPr>
              <w:t>Practice management software and related tools,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w:t>
            </w:r>
          </w:p>
        </w:tc>
        <w:tc>
          <w:tcPr>
            <w:tcW w:w="0" w:type="auto"/>
            <w:hideMark/>
          </w:tcPr>
          <w:p w:rsidR="00000000" w:rsidRDefault="00C9700C">
            <w:pPr>
              <w:rPr>
                <w:rFonts w:eastAsia="Times New Roman"/>
                <w:sz w:val="20"/>
                <w:szCs w:val="20"/>
              </w:rPr>
            </w:pPr>
            <w:r>
              <w:rPr>
                <w:rFonts w:eastAsia="Times New Roman"/>
                <w:sz w:val="20"/>
                <w:szCs w:val="20"/>
              </w:rPr>
              <w:t>Mobile Health (“mHealth”) solutions,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w:t>
            </w:r>
          </w:p>
        </w:tc>
        <w:tc>
          <w:tcPr>
            <w:tcW w:w="0" w:type="auto"/>
            <w:hideMark/>
          </w:tcPr>
          <w:p w:rsidR="00000000" w:rsidRDefault="00C9700C">
            <w:pPr>
              <w:rPr>
                <w:rFonts w:eastAsia="Times New Roman"/>
                <w:sz w:val="20"/>
                <w:szCs w:val="20"/>
              </w:rPr>
            </w:pPr>
            <w:r>
              <w:rPr>
                <w:rFonts w:eastAsia="Times New Roman"/>
                <w:sz w:val="20"/>
                <w:szCs w:val="20"/>
              </w:rPr>
              <w:t>Healthcare claims clearinghouse, and</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cente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Business </w:t>
            </w:r>
            <w:r>
              <w:rPr>
                <w:rFonts w:eastAsia="Times New Roman"/>
                <w:sz w:val="20"/>
                <w:szCs w:val="20"/>
              </w:rPr>
              <w:t>intelligence, customized applications, interfaces and a variety of other technology solutions that support our healthcare clients.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gridSpan w:val="3"/>
            <w:hideMark/>
          </w:tcPr>
          <w:p w:rsidR="00000000" w:rsidRDefault="00C9700C">
            <w:pPr>
              <w:rPr>
                <w:rFonts w:eastAsia="Times New Roman"/>
                <w:sz w:val="20"/>
                <w:szCs w:val="20"/>
              </w:rPr>
            </w:pPr>
            <w:r>
              <w:rPr>
                <w:rFonts w:eastAsia="Times New Roman"/>
                <w:sz w:val="20"/>
                <w:szCs w:val="20"/>
              </w:rPr>
              <w:t>Group purchasing services.</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Practice Management:</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rPr>
                <w:rFonts w:eastAsia="Times New Roman"/>
                <w:sz w:val="20"/>
                <w:szCs w:val="20"/>
              </w:rPr>
            </w:pPr>
            <w:r>
              <w:rPr>
                <w:rFonts w:eastAsia="Times New Roman"/>
                <w:sz w:val="20"/>
                <w:szCs w:val="20"/>
              </w:rPr>
              <w:t xml:space="preserve">Comprehensive </w:t>
            </w:r>
            <w:r>
              <w:rPr>
                <w:rFonts w:eastAsia="Times New Roman"/>
                <w:sz w:val="20"/>
                <w:szCs w:val="20"/>
              </w:rPr>
              <w:t>practice management services.</w:t>
            </w:r>
          </w:p>
        </w:tc>
      </w:tr>
    </w:tbl>
    <w:p w:rsidR="00000000" w:rsidRDefault="00C9700C">
      <w:pPr>
        <w:pStyle w:val="a3"/>
        <w:spacing w:before="0" w:beforeAutospacing="0" w:after="0" w:afterAutospacing="0"/>
        <w:ind w:left="72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a combination of our proprietary software, which automates our workflows and increases efficiency, together with our team </w:t>
      </w:r>
      <w:r>
        <w:rPr>
          <w:sz w:val="20"/>
          <w:szCs w:val="20"/>
        </w:rPr>
        <w:t>of experienced health industry experts throughout the United States, who are supported by our highly educated and specialized offshore workforce of approximately 2,000 team members at labor costs that we believe are approximately one-tenth the cost of comp</w:t>
      </w:r>
      <w:r>
        <w:rPr>
          <w:sz w:val="20"/>
          <w:szCs w:val="20"/>
        </w:rPr>
        <w:t xml:space="preserve">arable U.S. employees. Our unique business model has also allowed us to become a leading consolidator in our industry sector, in which we have gained a reputation for being able to acquire and transform distressed competitors into profitable operations of </w:t>
      </w:r>
      <w:r>
        <w:rPr>
          <w:sz w:val="20"/>
          <w:szCs w:val="20"/>
        </w:rPr>
        <w:t>MTBC.</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During July 2018, the Company acquired substantially all of the revenue cycle management, practice management and group purchasing assets of Orion Healthcorp, Inc. and 13 of its affiliates (together, “Orion”). The Company paid $12.6 million in cash</w:t>
      </w:r>
      <w:r>
        <w:rPr>
          <w:sz w:val="20"/>
          <w:szCs w:val="20"/>
        </w:rPr>
        <w:t xml:space="preserve"> for the acquisition. This acquisition expanded the scope of our offerings to include additional niche hospital solutions, a service that negotiates vaccine discounts with pharmaceutical manufacturers and then extends those vaccine discounts to physician m</w:t>
      </w:r>
      <w:r>
        <w:rPr>
          <w:sz w:val="20"/>
          <w:szCs w:val="20"/>
        </w:rPr>
        <w:t>embers, and a service that provides end-to-end practice management services to physician practices under multi-decade management service agreements.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Adoption of our RCM solutions requires little or no upfront expenditure by a practice. Additionally, for </w:t>
      </w:r>
      <w:r>
        <w:rPr>
          <w:sz w:val="20"/>
          <w:szCs w:val="20"/>
        </w:rPr>
        <w:t>most of our solutions and customers, our financial performance is linked directly to the financial performance of our clients because the vast majority of our revenues are based on a percentage of our clients’ collections. The standard fee for our complete</w:t>
      </w:r>
      <w:r>
        <w:rPr>
          <w:sz w:val="20"/>
          <w:szCs w:val="20"/>
        </w:rPr>
        <w:t>, integrated, end-to-end solution is among the lowest in the industry. We currently provide services to more than 11,000 providers, (which we define as physicians, nurses, nurse practitioners, physician assistants and other clinical staff that render bills</w:t>
      </w:r>
      <w:r>
        <w:rPr>
          <w:sz w:val="20"/>
          <w:szCs w:val="20"/>
        </w:rPr>
        <w:t xml:space="preserve"> for their services) practicing in approximately 1,800 independent medical practices and hospitals.</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4997784"/>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Our offshore operations in Pakistan and Sri Lanka accounted for approximately 18% and 32% of total </w:t>
      </w:r>
      <w:r>
        <w:rPr>
          <w:sz w:val="20"/>
          <w:szCs w:val="20"/>
        </w:rPr>
        <w:t>expenses for the three months ended March 31, 2019 and 2018, respectively. A significant portion of those foreign expenses were personnel-related costs (approximately 80% and 79% for the three months ended March 31, 2019 and 2018). Because personnel-relate</w:t>
      </w:r>
      <w:r>
        <w:rPr>
          <w:sz w:val="20"/>
          <w:szCs w:val="20"/>
        </w:rPr>
        <w:t>d costs are significantly lower in Pakistan and Sri Lanka than in the U.S. and many other offshore locations, we believe our offshore operations give us a competitive advantage over many industry participants. We are able to achieve significant cost reduct</w:t>
      </w:r>
      <w:r>
        <w:rPr>
          <w:sz w:val="20"/>
          <w:szCs w:val="20"/>
        </w:rPr>
        <w:t>ions as leverage technology to reduce manual work and strategically transition a portion of the remaining manual tasks to our highly-specialized, cost-efficient team in the U.S., Pakistan and Sri Lanka.</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Key Performance Measures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We consider numerous fac</w:t>
      </w:r>
      <w:r>
        <w:rPr>
          <w:sz w:val="20"/>
          <w:szCs w:val="20"/>
        </w:rPr>
        <w:t>tors in assessing our performance. Key performance measures used by management, including adjusted EBITDA, adjusted operating income, adjusted operating margin, adjusted net income and adjusted net income per share, are non-GAAP financial measures, which w</w:t>
      </w:r>
      <w:r>
        <w:rPr>
          <w:sz w:val="20"/>
          <w:szCs w:val="20"/>
        </w:rPr>
        <w:t>e believe better enable management and investors to analyze and compare the underlying business results from period to period.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 a substitute for or superior to, financial measu</w:t>
      </w:r>
      <w:r>
        <w:rPr>
          <w:sz w:val="20"/>
          <w:szCs w:val="20"/>
        </w:rPr>
        <w:t>res calculated in accordance with accounting principles generally accepted in the United States of America (“GAAP”). Moreover, these non-GAAP financial measures have limitations in that they do not reflect all the items associated with the operations of ou</w:t>
      </w:r>
      <w:r>
        <w:rPr>
          <w:sz w:val="20"/>
          <w:szCs w:val="20"/>
        </w:rPr>
        <w:t>r business as determined in accordance with GAAP. We compensate for these limitations by analyzing current and future results on a GAAP basis as well as a non-GAAP basis, and we provide reconciliations from the most directly comparable GAAP financial measu</w:t>
      </w:r>
      <w:r>
        <w:rPr>
          <w:sz w:val="20"/>
          <w:szCs w:val="20"/>
        </w:rPr>
        <w:t xml:space="preserve">res to the non-GAAP financial measures. Our non-GAAP financial measures may not be comparable to similarly titled measures of other companies. Other companies, including companies in our industry, may calculate similarly titled non-GAAP financial measures </w:t>
      </w:r>
      <w:r>
        <w:rPr>
          <w:sz w:val="20"/>
          <w:szCs w:val="20"/>
        </w:rPr>
        <w:t>differently than we do, limiting the usefulness of those measures for comparative purposes.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adjusted net income per share provide an alternative view of perfor</w:t>
      </w:r>
      <w:r>
        <w:rPr>
          <w:sz w:val="20"/>
          <w:szCs w:val="20"/>
        </w:rPr>
        <w:t>mance used by management and we believe that an investor’s understanding of our performance is enhanced by disclosing these adjusted performance measures.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Adjusted EBITDA excludes the following elements which are included in GAAP net income (loss):</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Income tax (benefit) expense or the cash requirements to pay our taxes;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Interest expense, or the cash requirements necessary to service interest on principal payments, on our debt;</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Foreign </w:t>
            </w:r>
            <w:r>
              <w:rPr>
                <w:rFonts w:eastAsia="Times New Roman"/>
                <w:sz w:val="20"/>
                <w:szCs w:val="20"/>
              </w:rPr>
              <w:t>currency gains and losses and other non-operating expenditures;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Depreciation and amortization charges;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Integration cost</w:t>
            </w:r>
            <w:r>
              <w:rPr>
                <w:rFonts w:eastAsia="Times New Roman"/>
                <w:sz w:val="20"/>
                <w:szCs w:val="20"/>
              </w:rPr>
              <w:t>s, such as severance amounts paid to employees from acquired businesses, transaction costs, such as brokerage fees, pre-acquisition accounting costs and legal fees, exit costs related to contractual agreements and restructuring charges arising from discont</w:t>
            </w:r>
            <w:r>
              <w:rPr>
                <w:rFonts w:eastAsia="Times New Roman"/>
                <w:sz w:val="20"/>
                <w:szCs w:val="20"/>
              </w:rPr>
              <w:t>inued facilities and operations; and</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Changes in contingent consideration.</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9740966"/>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EBITDA for the three months ended March 31, 2019 and 2018:</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68"/>
        <w:gridCol w:w="96"/>
        <w:gridCol w:w="100"/>
        <w:gridCol w:w="910"/>
        <w:gridCol w:w="67"/>
        <w:gridCol w:w="96"/>
        <w:gridCol w:w="100"/>
        <w:gridCol w:w="910"/>
        <w:gridCol w:w="67"/>
      </w:tblGrid>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jc w:val="center"/>
              <w:rPr>
                <w:rFonts w:eastAsia="Times New Roman"/>
                <w:sz w:val="20"/>
                <w:szCs w:val="20"/>
              </w:rPr>
            </w:pPr>
            <w:r>
              <w:rPr>
                <w:rFonts w:eastAsia="Times New Roman"/>
                <w:sz w:val="20"/>
                <w:szCs w:val="20"/>
              </w:rPr>
              <w:t> </w:t>
            </w:r>
          </w:p>
        </w:tc>
        <w:tc>
          <w:tcPr>
            <w:tcW w:w="0" w:type="auto"/>
            <w:vAlign w:val="bottom"/>
            <w:hideMark/>
          </w:tcPr>
          <w:p w:rsidR="00000000" w:rsidRDefault="00C9700C">
            <w:pPr>
              <w:jc w:val="center"/>
              <w:rPr>
                <w:rFonts w:eastAsia="Times New Roman"/>
                <w:sz w:val="20"/>
                <w:szCs w:val="20"/>
              </w:rPr>
            </w:pPr>
            <w:r>
              <w:rPr>
                <w:rFonts w:eastAsia="Times New Roman"/>
                <w:sz w:val="20"/>
                <w:szCs w:val="20"/>
              </w:rPr>
              <w:t> </w:t>
            </w:r>
          </w:p>
        </w:tc>
        <w:tc>
          <w:tcPr>
            <w:tcW w:w="0" w:type="auto"/>
            <w:gridSpan w:val="6"/>
            <w:vAlign w:val="bottom"/>
            <w:hideMark/>
          </w:tcPr>
          <w:p w:rsidR="00000000" w:rsidRDefault="00C9700C">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9700C">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C9700C">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15,080</w:t>
            </w:r>
          </w:p>
        </w:tc>
        <w:tc>
          <w:tcPr>
            <w:tcW w:w="5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8,307</w:t>
            </w:r>
          </w:p>
        </w:tc>
        <w:tc>
          <w:tcPr>
            <w:tcW w:w="5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GAAP net (loss) income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(Benefit) provision for income taxes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69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Foreign exchange / other expense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(147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758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757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591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179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32</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Adjusted EBITDA</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b/>
                <w:bCs/>
                <w:sz w:val="20"/>
                <w:szCs w:val="20"/>
              </w:rPr>
            </w:pPr>
            <w:r>
              <w:rPr>
                <w:rFonts w:eastAsia="Times New Roman"/>
                <w:b/>
                <w:bCs/>
                <w:sz w:val="20"/>
                <w:szCs w:val="20"/>
              </w:rPr>
              <w:t>1,580</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b/>
                <w:bCs/>
                <w:sz w:val="20"/>
                <w:szCs w:val="20"/>
              </w:rPr>
            </w:pPr>
            <w:r>
              <w:rPr>
                <w:rFonts w:eastAsia="Times New Roman"/>
                <w:b/>
                <w:bCs/>
                <w:sz w:val="20"/>
                <w:szCs w:val="20"/>
              </w:rPr>
              <w:t>974</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bl>
    <w:p w:rsidR="00000000" w:rsidRDefault="00C9700C">
      <w:pPr>
        <w:pStyle w:val="a3"/>
        <w:shd w:val="clear" w:color="auto" w:fill="FFFFFF"/>
        <w:spacing w:before="0" w:beforeAutospacing="0" w:after="0" w:afterAutospacing="0"/>
        <w:jc w:val="both"/>
        <w:rPr>
          <w:sz w:val="20"/>
          <w:szCs w:val="20"/>
        </w:rPr>
      </w:pPr>
      <w:r>
        <w:rPr>
          <w:b/>
          <w:bCs/>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Stock-based compensation expense includes cash-settled awards and the related taxes, based on changes in the stock price</w:t>
            </w:r>
            <w:r>
              <w:rPr>
                <w:rFonts w:eastAsia="Times New Roman"/>
                <w:sz w:val="20"/>
                <w:szCs w:val="20"/>
              </w:rPr>
              <w:t>;</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Integration costs, such as severance amounts paid to employees from acquired businesses, transaction costs, such as brokerage fees, pre-acquisition accounting costs and legal fees, exit costs related</w:t>
            </w:r>
            <w:r>
              <w:rPr>
                <w:rFonts w:eastAsia="Times New Roman"/>
                <w:sz w:val="20"/>
                <w:szCs w:val="20"/>
              </w:rPr>
              <w:t xml:space="preserve"> to contractual agreements, and restructuring charges arising from discontinued facilities and operations; and</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Changes in contingent consideration.</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15391634"/>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three months ended March 31, 2019 and 2018:</w:t>
      </w:r>
    </w:p>
    <w:p w:rsidR="00000000" w:rsidRDefault="00C9700C">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186"/>
        <w:gridCol w:w="66"/>
        <w:gridCol w:w="100"/>
        <w:gridCol w:w="863"/>
        <w:gridCol w:w="234"/>
        <w:gridCol w:w="66"/>
        <w:gridCol w:w="100"/>
        <w:gridCol w:w="863"/>
        <w:gridCol w:w="1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6"/>
            <w:vAlign w:val="bottom"/>
            <w:hideMark/>
          </w:tcPr>
          <w:p w:rsidR="00000000" w:rsidRDefault="00C9700C">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C9700C">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15,080</w:t>
            </w:r>
          </w:p>
        </w:tc>
        <w:tc>
          <w:tcPr>
            <w:tcW w:w="5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8,307</w:t>
            </w:r>
          </w:p>
        </w:tc>
        <w:tc>
          <w:tcPr>
            <w:tcW w:w="50" w:type="pct"/>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GAAP net (loss) income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(296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(Benefit) provision for income taxes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ind w:firstLine="200"/>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(152</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GAAP operating (loss) income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(238</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758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486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179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(64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32</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Non-GAAP adjusted operating income</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b/>
                <w:bCs/>
                <w:sz w:val="20"/>
                <w:szCs w:val="20"/>
              </w:rPr>
            </w:pPr>
            <w:r>
              <w:rPr>
                <w:rFonts w:eastAsia="Times New Roman"/>
                <w:b/>
                <w:bCs/>
                <w:sz w:val="20"/>
                <w:szCs w:val="20"/>
              </w:rPr>
              <w:t>1,147</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b/>
                <w:bCs/>
                <w:sz w:val="20"/>
                <w:szCs w:val="20"/>
              </w:rPr>
            </w:pPr>
            <w:r>
              <w:rPr>
                <w:rFonts w:eastAsia="Times New Roman"/>
                <w:b/>
                <w:bCs/>
                <w:sz w:val="20"/>
                <w:szCs w:val="20"/>
              </w:rPr>
              <w:t>739</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Non-GAAP adjusted operating margin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7.6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C9700C">
            <w:pPr>
              <w:rPr>
                <w:rFonts w:eastAsia="Times New Roman"/>
                <w:sz w:val="20"/>
                <w:szCs w:val="20"/>
              </w:rPr>
            </w:pPr>
            <w:r>
              <w:rPr>
                <w:rFonts w:eastAsia="Times New Roman"/>
                <w:sz w:val="20"/>
                <w:szCs w:val="20"/>
              </w:rPr>
              <w:t> </w:t>
            </w:r>
          </w:p>
        </w:tc>
        <w:tc>
          <w:tcPr>
            <w:tcW w:w="360" w:type="dxa"/>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Foreign currency gains and losses and other non-operating expenditures;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 xml:space="preserve">Stock-based </w:t>
            </w:r>
            <w:r>
              <w:rPr>
                <w:rFonts w:eastAsia="Times New Roman"/>
                <w:sz w:val="20"/>
                <w:szCs w:val="20"/>
              </w:rPr>
              <w:t>compensation expense includes cash-settled awards and the related taxes, based on changes in the stock price;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Amortization of purchased intangible assets;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Integration costs, such as severance amounts paid to employees from acquired businesses, tr</w:t>
            </w:r>
            <w:r>
              <w:rPr>
                <w:rFonts w:eastAsia="Times New Roman"/>
                <w:sz w:val="20"/>
                <w:szCs w:val="20"/>
              </w:rPr>
              <w:t>ansaction costs, such as brokerage fees, pre-acquisition accounting costs and legal fees, exit costs related to contractual agreements, and restructuring charges arising from discontinued facilities and operations;</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Changes in contingent consideration;</w:t>
            </w:r>
            <w:r>
              <w:rPr>
                <w:rFonts w:eastAsia="Times New Roman"/>
                <w:sz w:val="20"/>
                <w:szCs w:val="20"/>
              </w:rPr>
              <w:t xml:space="preserve"> and</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w:t>
            </w:r>
          </w:p>
        </w:tc>
        <w:tc>
          <w:tcPr>
            <w:tcW w:w="0" w:type="auto"/>
            <w:hideMark/>
          </w:tcPr>
          <w:p w:rsidR="00000000" w:rsidRDefault="00C9700C">
            <w:pPr>
              <w:jc w:val="both"/>
              <w:rPr>
                <w:rFonts w:eastAsia="Times New Roman"/>
                <w:sz w:val="20"/>
                <w:szCs w:val="20"/>
              </w:rPr>
            </w:pPr>
            <w:r>
              <w:rPr>
                <w:rFonts w:eastAsia="Times New Roman"/>
                <w:sz w:val="20"/>
                <w:szCs w:val="20"/>
              </w:rPr>
              <w:t>Income tax (benefit) expense resulting from the amortization of goodwill related to our acquisitions.</w:t>
            </w:r>
          </w:p>
        </w:tc>
      </w:tr>
    </w:tbl>
    <w:p w:rsidR="00000000" w:rsidRDefault="00C9700C">
      <w:pPr>
        <w:pStyle w:val="a3"/>
        <w:shd w:val="clear" w:color="auto" w:fill="FFFFFF"/>
        <w:spacing w:before="0" w:beforeAutospacing="0" w:after="0" w:afterAutospacing="0"/>
        <w:ind w:left="72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957714195"/>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color w:val="000000"/>
          <w:sz w:val="20"/>
          <w:szCs w:val="20"/>
          <w:shd w:val="clear" w:color="auto" w:fill="FFFFFF"/>
        </w:rPr>
        <w:t xml:space="preserve">No </w:t>
      </w:r>
      <w:r>
        <w:rPr>
          <w:color w:val="000000"/>
          <w:sz w:val="20"/>
          <w:szCs w:val="20"/>
          <w:shd w:val="clear" w:color="auto" w:fill="FFFFFF"/>
        </w:rPr>
        <w:t xml:space="preserve">tax effect has been provided in computing non-GAAP adjusted net income and non-GAAP adjusted net income per share as the Company has sufficient carry forward net operating losses to offset the applicable income taxes. </w:t>
      </w:r>
      <w:r>
        <w:rPr>
          <w:sz w:val="20"/>
          <w:szCs w:val="20"/>
        </w:rPr>
        <w:t>The following table shows our reconcil</w:t>
      </w:r>
      <w:r>
        <w:rPr>
          <w:sz w:val="20"/>
          <w:szCs w:val="20"/>
        </w:rPr>
        <w:t>iation of GAAP net (loss) income to non-GAAP adjusted net income for the three months ended March 31, 2019 and 2018:</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39"/>
        <w:gridCol w:w="119"/>
        <w:gridCol w:w="100"/>
        <w:gridCol w:w="916"/>
        <w:gridCol w:w="67"/>
        <w:gridCol w:w="120"/>
        <w:gridCol w:w="100"/>
        <w:gridCol w:w="917"/>
        <w:gridCol w:w="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6"/>
            <w:vAlign w:val="bottom"/>
            <w:hideMark/>
          </w:tcPr>
          <w:p w:rsidR="00000000" w:rsidRDefault="00C9700C">
            <w:pPr>
              <w:jc w:val="center"/>
              <w:rPr>
                <w:rFonts w:eastAsia="Times New Roman"/>
                <w:sz w:val="20"/>
                <w:szCs w:val="20"/>
              </w:rPr>
            </w:pPr>
            <w:r>
              <w:rPr>
                <w:rFonts w:eastAsia="Times New Roman"/>
                <w:sz w:val="20"/>
                <w:szCs w:val="20"/>
              </w:rPr>
              <w:t>($ in thousands)</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C9700C">
            <w:pPr>
              <w:rPr>
                <w:rFonts w:eastAsia="Times New Roman"/>
                <w:sz w:val="20"/>
                <w:szCs w:val="20"/>
              </w:rPr>
            </w:pPr>
            <w:r>
              <w:rPr>
                <w:rFonts w:eastAsia="Times New Roman"/>
                <w:sz w:val="20"/>
                <w:szCs w:val="20"/>
              </w:rPr>
              <w:t>GAAP net (loss) income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(296</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75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Foreign exchange / other expense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244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(147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758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486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 xml:space="preserve">Integration, </w:t>
            </w:r>
            <w:r>
              <w:rPr>
                <w:rFonts w:eastAsia="Times New Roman"/>
                <w:sz w:val="20"/>
                <w:szCs w:val="20"/>
              </w:rPr>
              <w:t>transaction and restructuring costs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205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179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ind w:firstLine="200"/>
              <w:rPr>
                <w:rFonts w:eastAsia="Times New Roman"/>
                <w:sz w:val="20"/>
                <w:szCs w:val="20"/>
              </w:rPr>
            </w:pPr>
            <w:r>
              <w:rPr>
                <w:rFonts w:eastAsia="Times New Roman"/>
                <w:sz w:val="20"/>
                <w:szCs w:val="20"/>
              </w:rPr>
              <w:t>Income tax (benefit) expense related to goodwill</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(56</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38</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Non-GAAP adjusted net income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b/>
                <w:bCs/>
                <w:sz w:val="20"/>
                <w:szCs w:val="20"/>
              </w:rPr>
            </w:pPr>
            <w:r>
              <w:rPr>
                <w:rFonts w:eastAsia="Times New Roman"/>
                <w:b/>
                <w:bCs/>
                <w:sz w:val="20"/>
                <w:szCs w:val="20"/>
              </w:rPr>
              <w:t>1,277</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b/>
                <w:bCs/>
                <w:sz w:val="20"/>
                <w:szCs w:val="20"/>
              </w:rPr>
            </w:pPr>
            <w:r>
              <w:rPr>
                <w:rFonts w:eastAsia="Times New Roman"/>
                <w:b/>
                <w:bCs/>
                <w:sz w:val="20"/>
                <w:szCs w:val="20"/>
              </w:rPr>
              <w:t>666</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reconciliation of our non-GAAP adjusted net income per share to our GAAP net loss attributable to common shareholders, per share:</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508"/>
        <w:gridCol w:w="131"/>
        <w:gridCol w:w="100"/>
        <w:gridCol w:w="979"/>
        <w:gridCol w:w="67"/>
        <w:gridCol w:w="128"/>
        <w:gridCol w:w="100"/>
        <w:gridCol w:w="980"/>
        <w:gridCol w:w="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200" w:type="pct"/>
            <w:shd w:val="clear" w:color="auto" w:fill="CCEEFF"/>
            <w:vAlign w:val="bottom"/>
            <w:hideMark/>
          </w:tcPr>
          <w:p w:rsidR="00000000" w:rsidRDefault="00C9700C">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(0.15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9700C">
            <w:pPr>
              <w:ind w:firstLine="200"/>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0.13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0.07</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Net (loss) income per end-of-period share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Foreign exchange / other expense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0.06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ind w:firstLine="200"/>
              <w:rPr>
                <w:rFonts w:eastAsia="Times New Roman"/>
                <w:sz w:val="20"/>
                <w:szCs w:val="20"/>
              </w:rPr>
            </w:pPr>
            <w:r>
              <w:rPr>
                <w:rFonts w:eastAsia="Times New Roman"/>
                <w:sz w:val="20"/>
                <w:szCs w:val="20"/>
              </w:rPr>
              <w:t>Integration, transaction and restructuring costs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0.02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ind w:firstLine="200"/>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0.00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C9700C">
            <w:pPr>
              <w:ind w:firstLine="200"/>
              <w:rPr>
                <w:rFonts w:eastAsia="Times New Roman"/>
                <w:sz w:val="20"/>
                <w:szCs w:val="20"/>
              </w:rPr>
            </w:pPr>
            <w:r>
              <w:rPr>
                <w:rFonts w:eastAsia="Times New Roman"/>
                <w:sz w:val="20"/>
                <w:szCs w:val="20"/>
              </w:rPr>
              <w:t>Income tax (benefit) expense related to goodwill</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0.00</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Non-GAAP adjusted net income per share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b/>
                <w:bCs/>
                <w:sz w:val="20"/>
                <w:szCs w:val="20"/>
              </w:rPr>
            </w:pPr>
            <w:r>
              <w:rPr>
                <w:rFonts w:eastAsia="Times New Roman"/>
                <w:b/>
                <w:bCs/>
                <w:sz w:val="20"/>
                <w:szCs w:val="20"/>
              </w:rPr>
              <w:t>0.11</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b/>
                <w:bCs/>
                <w:sz w:val="20"/>
                <w:szCs w:val="20"/>
              </w:rPr>
            </w:pPr>
            <w:r>
              <w:rPr>
                <w:rFonts w:eastAsia="Times New Roman"/>
                <w:b/>
                <w:bCs/>
                <w:sz w:val="20"/>
                <w:szCs w:val="20"/>
              </w:rPr>
              <w:t>0.06</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End-of-period shares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12,009,742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11,665,174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net income per share, the Company used the number of common shares outstanding at the end of March 31, 2019 and 2018. Non-GAAP adjusted net income per share does not take into account dividends paid on our preferre</w:t>
      </w:r>
      <w:r>
        <w:rPr>
          <w:sz w:val="20"/>
          <w:szCs w:val="20"/>
          <w:shd w:val="clear" w:color="auto" w:fill="FFFFFF"/>
        </w:rPr>
        <w:t>d stock. No tax effect has been provided in computing non-GAAP adjusted net income and non-GAAP adjusted net income per common share as the Company has sufficient carry forward net operating losses to offset the applicable income taxes.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b/>
          <w:bCs/>
          <w:sz w:val="20"/>
          <w:szCs w:val="20"/>
        </w:rPr>
        <w:t>Key Metrics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to the line items in our consolidated financial statements, we regularly review the following metrics. We believe information on these metrics is useful for investors to understand the underlying trends in our business.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i/>
          <w:iCs/>
          <w:sz w:val="20"/>
          <w:szCs w:val="20"/>
        </w:rPr>
        <w:t>Providers and Practices S</w:t>
      </w:r>
      <w:r>
        <w:rPr>
          <w:b/>
          <w:bCs/>
          <w:i/>
          <w:iCs/>
          <w:sz w:val="20"/>
          <w:szCs w:val="20"/>
        </w:rPr>
        <w:t>erved:</w:t>
      </w:r>
      <w:r>
        <w:rPr>
          <w:sz w:val="20"/>
          <w:szCs w:val="20"/>
        </w:rPr>
        <w:t xml:space="preserve"> As of March 31, 2019, we provided services to an estimated universe of more than 11,000 providers (which we define as physicians, nurses, nurse practitioners, physician assistants and other clinical staff that render bills for their services), repre</w:t>
      </w:r>
      <w:r>
        <w:rPr>
          <w:sz w:val="20"/>
          <w:szCs w:val="20"/>
        </w:rPr>
        <w:t>senting approximately 1,800 independent medical practices and hospitals. In addition, we served approximately 200 clients who were not medical practices, but are service organizations who serve the healthcare community. As of March 31, 2018, we served appr</w:t>
      </w:r>
      <w:r>
        <w:rPr>
          <w:sz w:val="20"/>
          <w:szCs w:val="20"/>
        </w:rPr>
        <w:t>oximately 3,400 providers representing approximately 750 practices. The foregoing numbers include clients leveraging any of our products or services and are based in part upon estimates in cases where the precise number of practices or providers is unknown</w:t>
      </w:r>
      <w:r>
        <w:rPr>
          <w:sz w:val="20"/>
          <w:szCs w:val="20"/>
        </w:rPr>
        <w:t>.</w:t>
      </w:r>
    </w:p>
    <w:p w:rsidR="00000000" w:rsidRDefault="00C9700C">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4649002"/>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b/>
          <w:bCs/>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Sources of Revenue</w:t>
      </w:r>
    </w:p>
    <w:p w:rsidR="00000000" w:rsidRDefault="00C9700C">
      <w:pPr>
        <w:pStyle w:val="a3"/>
        <w:shd w:val="clear" w:color="auto" w:fill="FFFFFF"/>
        <w:spacing w:before="0" w:beforeAutospacing="0" w:after="0" w:afterAutospacing="0"/>
        <w:jc w:val="both"/>
        <w:rPr>
          <w:sz w:val="20"/>
          <w:szCs w:val="20"/>
        </w:rPr>
      </w:pPr>
      <w:r>
        <w:rPr>
          <w:i/>
          <w:iCs/>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revenues from revenue cycle management services, reported in our Healthcare IT segment, which is typically billed as a percentage of payments collected by our customers. This fee includes RCM, as well as the ability to use our EHR a</w:t>
      </w:r>
      <w:r>
        <w:rPr>
          <w:sz w:val="20"/>
          <w:szCs w:val="20"/>
        </w:rPr>
        <w:t>nd practice management software as part of the bundled fee. All of these services are considered revenue cycle management revenue. These payments accounted for approximately 70% and 88% of our revenues during the three months ended March 31, 2019 and 2018,</w:t>
      </w:r>
      <w:r>
        <w:rPr>
          <w:sz w:val="20"/>
          <w:szCs w:val="20"/>
        </w:rPr>
        <w:t xml:space="preserve"> respectively. Other Healthcare IT services, including </w:t>
      </w:r>
      <w:r>
        <w:rPr>
          <w:color w:val="000000"/>
          <w:sz w:val="20"/>
          <w:szCs w:val="20"/>
        </w:rPr>
        <w:t>printing and mailing operations and professional services, represented</w:t>
      </w:r>
      <w:r>
        <w:rPr>
          <w:sz w:val="20"/>
          <w:szCs w:val="20"/>
        </w:rPr>
        <w:t xml:space="preserve"> approximately 9% and 12% of </w:t>
      </w:r>
      <w:r>
        <w:rPr>
          <w:color w:val="000000"/>
          <w:sz w:val="20"/>
          <w:szCs w:val="20"/>
        </w:rPr>
        <w:t>revenues for the three months ended Ma</w:t>
      </w:r>
      <w:r>
        <w:rPr>
          <w:color w:val="000000"/>
          <w:sz w:val="20"/>
          <w:szCs w:val="20"/>
        </w:rPr>
        <w:t>rch 31, 2019 and 2018, respectively.</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As a result of the Orion acquisition, we earned approximately 20% of our revenue from practice management services during the three months ended March 31, 2019. This revenue represents fees based on our actual costs p</w:t>
      </w:r>
      <w:r>
        <w:rPr>
          <w:sz w:val="20"/>
          <w:szCs w:val="20"/>
        </w:rPr>
        <w:t>lus a percentage of the operating profit and is reported in our Practice Management segment. Also commencing July 1, 2018, we earned approximately 1% of our revenue during the three months ended March 31, 2019 from group purchasing services which are repor</w:t>
      </w:r>
      <w:r>
        <w:rPr>
          <w:sz w:val="20"/>
          <w:szCs w:val="20"/>
        </w:rPr>
        <w:t>ted in our Healthcare IT segment.</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b/>
          <w:bCs/>
          <w:sz w:val="20"/>
          <w:szCs w:val="20"/>
        </w:rPr>
        <w:t>Operating Expenses</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 cost consists primarily of salaries and benefits related to personnel who provide services to our customers, claims processing costs, costs to operate the thr</w:t>
      </w:r>
      <w:r>
        <w:rPr>
          <w:sz w:val="20"/>
          <w:szCs w:val="20"/>
        </w:rPr>
        <w:t xml:space="preserve">ee managed practices, including facility lease costs, supplies, insurance and other direct costs related to our services. Costs associated with the implementation of new customers are expensed as incurred. The reported amounts of direct operating costs do </w:t>
      </w:r>
      <w:r>
        <w:rPr>
          <w:sz w:val="20"/>
          <w:szCs w:val="20"/>
        </w:rPr>
        <w:t>not include depreciation and amortization, which are broken out separately in the condensed consolidated statements of operations.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 xml:space="preserve">Selling and marketing expense consists primarily of compensation and benefits, commissions, </w:t>
      </w:r>
      <w:r>
        <w:rPr>
          <w:sz w:val="20"/>
          <w:szCs w:val="20"/>
        </w:rPr>
        <w:t>travel and advertising expenses.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expense consists primarily of personnel-related costs and third-party contractor costs.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w:t>
      </w:r>
      <w:r>
        <w:rPr>
          <w:sz w:val="20"/>
          <w:szCs w:val="20"/>
        </w:rPr>
        <w:t>onsists primarily of personnel-related expense for administrative employees, including compensation, benefits, travel, facility lease costs and insurance, software license fees and outside professional fees.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achievement of defined performance measures contained in the purchase agreements. Contingent considerat</w:t>
      </w:r>
      <w:r>
        <w:rPr>
          <w:sz w:val="20"/>
          <w:szCs w:val="20"/>
        </w:rPr>
        <w:t>ion is adjusted to fair value at the end of each reporting period.</w:t>
      </w:r>
      <w:r>
        <w:rPr>
          <w:sz w:val="20"/>
          <w:szCs w:val="20"/>
        </w:rPr>
        <w:tab/>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straight-line method over the estimated lives of the assets ranging from three to ten years. Amortization</w:t>
      </w:r>
      <w:r>
        <w:rPr>
          <w:sz w:val="20"/>
          <w:szCs w:val="20"/>
        </w:rPr>
        <w:t xml:space="preserve"> expense is charged on either an accelerated or on a straight-line basis over a period of three or four years for most intangible assets acquired in connection with acquisitions including those intangibles related to the group purchasing services. Amortiza</w:t>
      </w:r>
      <w:r>
        <w:rPr>
          <w:sz w:val="20"/>
          <w:szCs w:val="20"/>
        </w:rPr>
        <w:t>tion expense related to the value of our practice management clients is amortized on a straight-line basis over a period of twelve years.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Interest and Other Income (Expense).</w:t>
      </w:r>
      <w:r>
        <w:rPr>
          <w:sz w:val="20"/>
          <w:szCs w:val="20"/>
        </w:rPr>
        <w:t xml:space="preserve"> Interest expense consists primarily of interest costs related to our working ca</w:t>
      </w:r>
      <w:r>
        <w:rPr>
          <w:sz w:val="20"/>
          <w:szCs w:val="20"/>
        </w:rPr>
        <w:t>pital line of credit, term loans and amounts due in connection with acquisitions, offset by interest income. Other income (expense) results primarily from foreign currency transaction gains (losses) and income earned from temporary cash investments.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Inco</w:t>
      </w:r>
      <w:r>
        <w:rPr>
          <w:i/>
          <w:iCs/>
          <w:sz w:val="20"/>
          <w:szCs w:val="20"/>
        </w:rPr>
        <w:t>me Tax.</w:t>
      </w:r>
      <w:r>
        <w:rPr>
          <w:sz w:val="20"/>
          <w:szCs w:val="20"/>
        </w:rPr>
        <w:t xml:space="preserve"> In preparing our condensed consolidated financial statements, we estimate income taxes in each of the jurisdictions in which we operate. This process involves estimating actual current tax exposure together with assessing temporary differences resu</w:t>
      </w:r>
      <w:r>
        <w:rPr>
          <w:sz w:val="20"/>
          <w:szCs w:val="20"/>
        </w:rPr>
        <w:t>lting from differing treatment of items for tax and financial reporting purposes. These differences result in deferred income tax assets and liabilities. Although the Company is forecasting a return to profitability, it incurred cumulative losses, which ma</w:t>
      </w:r>
      <w:r>
        <w:rPr>
          <w:sz w:val="20"/>
          <w:szCs w:val="20"/>
        </w:rPr>
        <w:t>ke realization of a deferred tax asset difficult to support in accordance with ASC 740. Accordingly, a valuation allowance has been recorded against all deferred tax assets as of March 31, 2019 and December 31, 2018.</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6090315"/>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Critical Accounting Policie</w:t>
      </w:r>
      <w:r>
        <w:rPr>
          <w:b/>
          <w:bCs/>
          <w:sz w:val="20"/>
          <w:szCs w:val="20"/>
        </w:rPr>
        <w:t>s and Estimates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We prepare our condensed consolidated financial statements in accordance with GAAP. The preparation of these financial statements requires us to make estimates and assumptions about future events, and apply judgments that affect the repor</w:t>
      </w:r>
      <w:r>
        <w:rPr>
          <w:sz w:val="20"/>
          <w:szCs w:val="20"/>
        </w:rPr>
        <w:t xml:space="preserve">ted amounts of assets, liabilities, revenue, expense and related disclosures. We base our estimates, assumptions and judgments on historical experience, current trends and various other factors that we believe to be reasonable under the circumstances. The </w:t>
      </w:r>
      <w:r>
        <w:rPr>
          <w:sz w:val="20"/>
          <w:szCs w:val="20"/>
        </w:rPr>
        <w:t>accounting estimates used in the preparation of our condensed consolidated financial statements will change as new events occur, as more experience is acquired, as additional information is obtained and as our operating environment changes. On a regular ba</w:t>
      </w:r>
      <w:r>
        <w:rPr>
          <w:sz w:val="20"/>
          <w:szCs w:val="20"/>
        </w:rPr>
        <w:t>sis, we review our accounting policies, estimates, assumptions and judgments to ensure that our financial statements are presented fairly and in accordance with GAAP. However, because future events and their effects cannot be determined with certainty, act</w:t>
      </w:r>
      <w:r>
        <w:rPr>
          <w:sz w:val="20"/>
          <w:szCs w:val="20"/>
        </w:rPr>
        <w:t>ual results could differ from our assumptions and estimates, and such differences could be material. The methods, estimates and judgments that we use in applying our accounting policies have a significant impact on our results of operations.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Critical acc</w:t>
      </w:r>
      <w:r>
        <w:rPr>
          <w:sz w:val="20"/>
          <w:szCs w:val="20"/>
        </w:rPr>
        <w:t>ounting policies are those policies used in the preparation of our condensed consolidated financial statements that require management to make difficult, subjective, or complex adjustments, and to make estimates about the effect of matters that are inheren</w:t>
      </w:r>
      <w:r>
        <w:rPr>
          <w:sz w:val="20"/>
          <w:szCs w:val="20"/>
        </w:rPr>
        <w:t>tly uncertain.</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We account for revenue in accordance with ASC 606, </w:t>
      </w:r>
      <w:r>
        <w:rPr>
          <w:i/>
          <w:iCs/>
          <w:sz w:val="20"/>
          <w:szCs w:val="20"/>
        </w:rPr>
        <w:t>Revenue from Contracts with Customers</w:t>
      </w:r>
      <w:r>
        <w:rPr>
          <w:sz w:val="20"/>
          <w:szCs w:val="20"/>
        </w:rPr>
        <w:t>. Our revenue recognition policies require us to make significant judgments and estimates, particularly as it relates to revenue cycle management and g</w:t>
      </w:r>
      <w:r>
        <w:rPr>
          <w:sz w:val="20"/>
          <w:szCs w:val="20"/>
        </w:rPr>
        <w:t>roup purchasing revenue. Under ASC 606, certain significant accounting estimates, such as payment-to-charge ratios, effective billing rates and the estimated contractual payment periods are required to measure the revenue cycle management revenue. To measu</w:t>
      </w:r>
      <w:r>
        <w:rPr>
          <w:sz w:val="20"/>
          <w:szCs w:val="20"/>
        </w:rPr>
        <w:t>re group purchasing services revenue, we need to estimate the number of providers purchasing vaccines and the amount and timing of those purchases. We analyze various factors including, but not limited to, contractual terms and conditions, the credit-worth</w:t>
      </w:r>
      <w:r>
        <w:rPr>
          <w:sz w:val="20"/>
          <w:szCs w:val="20"/>
        </w:rPr>
        <w:t>iness of our customers and our pricing policies. Changes in judgment on any of the above factors could materially impact the timing and amount of revenue recognized in a given period.</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Revenue cycle management services:</w:t>
      </w:r>
    </w:p>
    <w:p w:rsidR="00000000" w:rsidRDefault="00C9700C">
      <w:pPr>
        <w:pStyle w:val="a3"/>
        <w:shd w:val="clear" w:color="auto" w:fill="FFFFFF"/>
        <w:spacing w:before="0" w:beforeAutospacing="0" w:after="0" w:afterAutospacing="0"/>
        <w:jc w:val="both"/>
        <w:rPr>
          <w:sz w:val="20"/>
          <w:szCs w:val="20"/>
        </w:rPr>
      </w:pPr>
      <w:r>
        <w:rPr>
          <w:i/>
          <w:iCs/>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Most of our </w:t>
      </w:r>
      <w:r>
        <w:rPr>
          <w:sz w:val="20"/>
          <w:szCs w:val="20"/>
        </w:rPr>
        <w:t xml:space="preserve">revenue cycle management contracts contain variable consideration and we estimate the variable consideration which we expect to be entitled to over the contractual period associated with our revenue cycle management contracts, which begins no earlier than </w:t>
      </w:r>
      <w:r>
        <w:rPr>
          <w:sz w:val="20"/>
          <w:szCs w:val="20"/>
        </w:rPr>
        <w:t>go-live and recognize the fees over the term. When a contract includes variable consideration, we evaluate the estimate of the variable consideration to determine whether the estimate needs to be constrained; therefore, we include the variable consideratio</w:t>
      </w:r>
      <w:r>
        <w:rPr>
          <w:sz w:val="20"/>
          <w:szCs w:val="20"/>
        </w:rPr>
        <w:t>n in the transaction price only to the extent that it is probable that a significant reversal of the amount of cumulative revenue recognized will not occur when the uncertainty associated with the variable consideration is subsequently resolved. For the ma</w:t>
      </w:r>
      <w:r>
        <w:rPr>
          <w:sz w:val="20"/>
          <w:szCs w:val="20"/>
        </w:rPr>
        <w:t>jority of our revenue cycle management contracts, the total contractual price is variable because our obligation is to process an unknown quantity of transactions, as and when requested by our customers, over the contract period. We allocate the variable p</w:t>
      </w:r>
      <w:r>
        <w:rPr>
          <w:sz w:val="20"/>
          <w:szCs w:val="20"/>
        </w:rPr>
        <w:t>rice to each claim processed using the time-series concept and recognize revenue based on the most likely amount of consideration to which we will be entitled to, which is generally the amount we will have the right to invoice. Estimates to determine the v</w:t>
      </w:r>
      <w:r>
        <w:rPr>
          <w:sz w:val="20"/>
          <w:szCs w:val="20"/>
        </w:rPr>
        <w:t>ariable consideration such as payment to charge ratios, effective billing rates, and the estimated contractual payment periods are updated at each reporting date.</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Practice management services: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We estimate the variable consideration which we expect to b</w:t>
      </w:r>
      <w:r>
        <w:rPr>
          <w:sz w:val="20"/>
          <w:szCs w:val="20"/>
        </w:rPr>
        <w:t xml:space="preserve">e entitled to for the group purchasing services based upon anticipated shipments to the medical providers enrolled in the program, seasonality and the changes in the number of providers. The estimate of variable consideration includes adjusting historical </w:t>
      </w:r>
      <w:r>
        <w:rPr>
          <w:sz w:val="20"/>
          <w:szCs w:val="20"/>
        </w:rPr>
        <w:t>data for anticipated changes from prior periods. When reviewing our estimates, in order to ensure that our estimates do not pose a risk of significantly overstating our revenue in any reporting period, we will apply constraints, when appropriate, to certai</w:t>
      </w:r>
      <w:r>
        <w:rPr>
          <w:sz w:val="20"/>
          <w:szCs w:val="20"/>
        </w:rPr>
        <w:t>n estimates around our variable consideration. Variable consideration estimates are updated at each reporting period.</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10722836"/>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Although we believe that our approach to estimates and judgements is reasonable, actual results could differ, and we may be ex</w:t>
      </w:r>
      <w:r>
        <w:rPr>
          <w:sz w:val="20"/>
          <w:szCs w:val="20"/>
        </w:rPr>
        <w:t>posed to increases or decreases in revenue that could be material. Our estimates of variable consideration may prove to be inaccurate, in which case we may have understated or overstated the revenue recognized in an accounting period. The amount of variabl</w:t>
      </w:r>
      <w:r>
        <w:rPr>
          <w:sz w:val="20"/>
          <w:szCs w:val="20"/>
        </w:rPr>
        <w:t>e consideration recognized to date that remains subject to estimation is included within the contract asset on the condensed consolidated balance sheet.</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Revenue is recognized as the performance obligations are satisfied. We derive revenue from seven prim</w:t>
      </w:r>
      <w:r>
        <w:rPr>
          <w:sz w:val="20"/>
          <w:szCs w:val="20"/>
        </w:rPr>
        <w:t xml:space="preserve">ary sources: revenue cycle management services, practice management services, professional services, ancillary services, group purchasing services, printing and mailing services, and clearinghouse and EDI (electronic data interchange) services. All of our </w:t>
      </w:r>
      <w:r>
        <w:rPr>
          <w:sz w:val="20"/>
          <w:szCs w:val="20"/>
        </w:rPr>
        <w:t>revenue arrangements are based on contracts with customers. Most of our contracts with customers contain single performance obligations, although certain contracts do contain multiple performance obligations. We account for individual performance obligatio</w:t>
      </w:r>
      <w:r>
        <w:rPr>
          <w:sz w:val="20"/>
          <w:szCs w:val="20"/>
        </w:rPr>
        <w:t>ns separately if they are distinct. For contracts where we provide multiple services such as where we perform multiple ancillary services, each service represents its own performance obligation. Selling or transaction prices are based on the contractual pr</w:t>
      </w:r>
      <w:r>
        <w:rPr>
          <w:sz w:val="20"/>
          <w:szCs w:val="20"/>
        </w:rPr>
        <w:t>ice for the service.</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Leases:</w:t>
      </w:r>
    </w:p>
    <w:p w:rsidR="00000000" w:rsidRDefault="00C9700C">
      <w:pPr>
        <w:pStyle w:val="a3"/>
        <w:shd w:val="clear" w:color="auto" w:fill="FFFFFF"/>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sz w:val="20"/>
          <w:szCs w:val="20"/>
        </w:rPr>
        <w:t xml:space="preserve">We adopted ASU 2016-02: </w:t>
      </w:r>
      <w:r>
        <w:rPr>
          <w:i/>
          <w:iCs/>
          <w:sz w:val="20"/>
          <w:szCs w:val="20"/>
        </w:rPr>
        <w:t>Leases</w:t>
      </w:r>
      <w:r>
        <w:rPr>
          <w:sz w:val="20"/>
          <w:szCs w:val="20"/>
        </w:rPr>
        <w:t xml:space="preserve"> (Topic 842) as of January 1, 2019. We determine if an arrangement is a lease at inception. </w:t>
      </w:r>
      <w:r>
        <w:rPr>
          <w:sz w:val="20"/>
          <w:szCs w:val="20"/>
        </w:rPr>
        <w:t>Operating leases are included in operating lease right-of-use (“ROU”) assets, operating lease liability (current portion) and operating lease liability (noncurrent portion) in our condensed consolidated balance sheet at March 31, 2019. The Company does not</w:t>
      </w:r>
      <w:r>
        <w:rPr>
          <w:sz w:val="20"/>
          <w:szCs w:val="20"/>
        </w:rPr>
        <w:t xml:space="preserve"> have any finance leases.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liabilities are recognized at the lease co</w:t>
      </w:r>
      <w:r>
        <w:rPr>
          <w:sz w:val="20"/>
          <w:szCs w:val="20"/>
        </w:rPr>
        <w:t>mmencement date based on the estimated present value of lease payments over the lease term.</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 of</w:t>
      </w:r>
      <w:r>
        <w:rPr>
          <w:sz w:val="20"/>
          <w:szCs w:val="20"/>
        </w:rPr>
        <w:t xml:space="preserve"> lease payments. We give consideration to bank financing arrangements, geographical location and collateralization of assets when calculating our incremental borrowing rates.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Our lease term includes options to extend the lease when it is reasonably certa</w:t>
      </w:r>
      <w:r>
        <w:rPr>
          <w:sz w:val="20"/>
          <w:szCs w:val="20"/>
        </w:rPr>
        <w:t>in that we will exercise that option. Leases with a term of less than 12 months are not recorded in the condensed consolidated balance sheet. Our lease agreements do not contain any residual value guarantees. For real estate leases, we account for the leas</w:t>
      </w:r>
      <w:r>
        <w:rPr>
          <w:sz w:val="20"/>
          <w:szCs w:val="20"/>
        </w:rPr>
        <w:t>ed and non-leased components as a single lease component. Some leases include escalation clauses and termination options that are factored into the determination of the future lease payments when appropriate.</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Other than the adoption of ASC 842, there hav</w:t>
      </w:r>
      <w:r>
        <w:rPr>
          <w:sz w:val="20"/>
          <w:szCs w:val="20"/>
        </w:rPr>
        <w:t>e been no material changes in our critical accounting policies and estimates from those described in the Management’s Discussion and Analysis of Financial Condition and Results of Operations, included in our Annual Report on Form 10-K for the year ended De</w:t>
      </w:r>
      <w:r>
        <w:rPr>
          <w:sz w:val="20"/>
          <w:szCs w:val="20"/>
        </w:rPr>
        <w:t>cember 31, 2018, filed with the SEC on March 20, 2019.</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53532883"/>
        </w:trPr>
        <w:tc>
          <w:tcPr>
            <w:tcW w:w="5000" w:type="pct"/>
            <w:hideMark/>
          </w:tcPr>
          <w:p w:rsidR="00000000" w:rsidRDefault="00C9700C">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b/>
          <w:bCs/>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Results of Operations</w:t>
      </w:r>
    </w:p>
    <w:p w:rsidR="00000000" w:rsidRDefault="00C9700C">
      <w:pPr>
        <w:pStyle w:val="a3"/>
        <w:shd w:val="clear" w:color="auto" w:fill="FFFFFF"/>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The following table sets forth our consolidated results of operations as a percentage of total revenue for the periods shown:</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47"/>
        <w:gridCol w:w="75"/>
        <w:gridCol w:w="50"/>
        <w:gridCol w:w="857"/>
        <w:gridCol w:w="234"/>
        <w:gridCol w:w="76"/>
        <w:gridCol w:w="50"/>
        <w:gridCol w:w="858"/>
        <w:gridCol w:w="1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 xml:space="preserve">Three </w:t>
            </w:r>
            <w:r>
              <w:rPr>
                <w:rFonts w:eastAsia="Times New Roman"/>
                <w:b/>
                <w:bCs/>
                <w:sz w:val="20"/>
                <w:szCs w:val="20"/>
              </w:rPr>
              <w:t>Months Ended 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000" w:type="pct"/>
            <w:shd w:val="clear" w:color="auto" w:fill="CCEEFF"/>
            <w:vAlign w:val="bottom"/>
            <w:hideMark/>
          </w:tcPr>
          <w:p w:rsidR="00000000" w:rsidRDefault="00C9700C">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65.3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54.0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 xml:space="preserve">General </w:t>
            </w:r>
            <w:r>
              <w:rPr>
                <w:rFonts w:eastAsia="Times New Roman"/>
                <w:sz w:val="20"/>
                <w:szCs w:val="20"/>
              </w:rPr>
              <w:t>and administrative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27.6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31.3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Total operating expenses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101.6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99.6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Operating (loss) income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0.8</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(0.5</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1.8</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(Loss) income before income taxes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xml:space="preserve">Income </w:t>
            </w:r>
            <w:r>
              <w:rPr>
                <w:rFonts w:eastAsia="Times New Roman"/>
                <w:sz w:val="20"/>
                <w:szCs w:val="20"/>
              </w:rPr>
              <w:t>tax (benefit) provision</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(0.3</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0.6</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Net (loss) income</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(1.9</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0.8</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i/>
          <w:iCs/>
          <w:sz w:val="20"/>
          <w:szCs w:val="20"/>
        </w:rPr>
        <w:t>Comparison of the three months ended March 31, 2019 and 2018</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845"/>
        <w:gridCol w:w="117"/>
        <w:gridCol w:w="100"/>
        <w:gridCol w:w="914"/>
        <w:gridCol w:w="50"/>
        <w:gridCol w:w="118"/>
        <w:gridCol w:w="100"/>
        <w:gridCol w:w="915"/>
        <w:gridCol w:w="51"/>
        <w:gridCol w:w="118"/>
        <w:gridCol w:w="100"/>
        <w:gridCol w:w="915"/>
        <w:gridCol w:w="51"/>
        <w:gridCol w:w="118"/>
        <w:gridCol w:w="51"/>
        <w:gridCol w:w="915"/>
        <w:gridCol w:w="167"/>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1400" w:type="pct"/>
            <w:shd w:val="clear" w:color="auto" w:fill="CCEEFF"/>
            <w:vAlign w:val="bottom"/>
            <w:hideMark/>
          </w:tcPr>
          <w:p w:rsidR="00000000" w:rsidRDefault="00C9700C">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15,080,211</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8,307,325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6,772,886</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82</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Revenue. </w:t>
      </w:r>
      <w:r>
        <w:rPr>
          <w:sz w:val="20"/>
          <w:szCs w:val="20"/>
        </w:rPr>
        <w:t xml:space="preserve">Total revenue of $15.1 million for the three months ended March 31, 2019 increased </w:t>
      </w:r>
      <w:r>
        <w:rPr>
          <w:sz w:val="20"/>
          <w:szCs w:val="20"/>
        </w:rPr>
        <w:t>by $6.8 million or 82% from revenue of $8.3 million the three months ended March 31, 2018, respectively. Revenue for the three months ended March 31, 2019 includes approximately $7.7 million from customers acquired in the Orion acquisition. Of this amount,</w:t>
      </w:r>
      <w:r>
        <w:rPr>
          <w:sz w:val="20"/>
          <w:szCs w:val="20"/>
        </w:rPr>
        <w:t xml:space="preserve"> $4.5 million relates to RCM clients and other revenue streams, $3.0 million relates to practice management services and $200,000 relates to group purchasing services.</w:t>
      </w:r>
    </w:p>
    <w:p w:rsidR="00000000" w:rsidRDefault="00C9700C">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940"/>
        <w:gridCol w:w="174"/>
        <w:gridCol w:w="100"/>
        <w:gridCol w:w="900"/>
        <w:gridCol w:w="67"/>
        <w:gridCol w:w="133"/>
        <w:gridCol w:w="100"/>
        <w:gridCol w:w="800"/>
        <w:gridCol w:w="50"/>
        <w:gridCol w:w="151"/>
        <w:gridCol w:w="100"/>
        <w:gridCol w:w="800"/>
        <w:gridCol w:w="67"/>
        <w:gridCol w:w="134"/>
        <w:gridCol w:w="60"/>
        <w:gridCol w:w="665"/>
        <w:gridCol w:w="234"/>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2000" w:type="pct"/>
            <w:shd w:val="clear" w:color="auto" w:fill="CCEEFF"/>
            <w:vAlign w:val="bottom"/>
            <w:hideMark/>
          </w:tcPr>
          <w:p w:rsidR="00000000" w:rsidRDefault="00C9700C">
            <w:pPr>
              <w:rPr>
                <w:rFonts w:eastAsia="Times New Roman"/>
                <w:sz w:val="20"/>
                <w:szCs w:val="20"/>
              </w:rPr>
            </w:pPr>
            <w:r>
              <w:rPr>
                <w:rFonts w:eastAsia="Times New Roman"/>
                <w:sz w:val="20"/>
                <w:szCs w:val="20"/>
              </w:rPr>
              <w:t>Direct operating costs</w:t>
            </w:r>
          </w:p>
        </w:tc>
        <w:tc>
          <w:tcPr>
            <w:tcW w:w="1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9,847,540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4,484,055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5,363,485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120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361,399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305,014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56,385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4,162,076</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2,600,734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1,561,342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254,656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255,880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(1,224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(64,203</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31,749</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(95,952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(302</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207,617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151,072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56,545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37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Amortization</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549,123</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439,699</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109,424</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25</w:t>
            </w:r>
          </w:p>
        </w:tc>
        <w:tc>
          <w:tcPr>
            <w:tcW w:w="0" w:type="auto"/>
            <w:shd w:val="clear" w:color="auto" w:fill="CCEE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C9700C">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15,318,208</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8,268,203</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7,050,005</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85</w:t>
            </w:r>
          </w:p>
        </w:tc>
        <w:tc>
          <w:tcPr>
            <w:tcW w:w="0" w:type="auto"/>
            <w:shd w:val="clear" w:color="auto" w:fill="FFFF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w:t>
      </w:r>
      <w:r>
        <w:rPr>
          <w:sz w:val="20"/>
          <w:szCs w:val="20"/>
        </w:rPr>
        <w:t>costs of $9.8 million for the three months ended March 31, 2019 increased by $5.4 million or 120% from direct operating costs of $4.5 million for the three months ended March 31, 2018. During the three months ended March 31, 2019, salary costs increased by</w:t>
      </w:r>
      <w:r>
        <w:rPr>
          <w:sz w:val="20"/>
          <w:szCs w:val="20"/>
        </w:rPr>
        <w:t xml:space="preserve"> $2.8 million and outsourcing and processing costs increased by $814,000, respectively. Facility costs increased by $396,000 for the three months ended March 31, 2019. Medical supplies for the managed practices were $1.2 million for the three months ended </w:t>
      </w:r>
      <w:r>
        <w:rPr>
          <w:sz w:val="20"/>
          <w:szCs w:val="20"/>
        </w:rPr>
        <w:t>March 31, 2019. The increase in the costs for the three months ended March 31, 2019 were primarily related to the Orion acquisition.</w:t>
      </w:r>
    </w:p>
    <w:p w:rsidR="00000000" w:rsidRDefault="00C9700C">
      <w:pPr>
        <w:pStyle w:val="a3"/>
        <w:shd w:val="clear" w:color="auto" w:fill="FFFFFF"/>
        <w:spacing w:before="0" w:beforeAutospacing="0" w:after="0" w:afterAutospacing="0"/>
        <w:jc w:val="both"/>
        <w:rPr>
          <w:sz w:val="20"/>
          <w:szCs w:val="20"/>
        </w:rPr>
      </w:pPr>
      <w:r>
        <w:rPr>
          <w:i/>
          <w:iCs/>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$361,000 for the three months ended March 31, 2019 increa</w:t>
      </w:r>
      <w:r>
        <w:rPr>
          <w:sz w:val="20"/>
          <w:szCs w:val="20"/>
        </w:rPr>
        <w:t>sed by $56,000 or 18% from selling and marketing expense of $305,000 for the three months ended March 31, 2018, respectively. The increase was primarily due to increased marketing expenditures.</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9762000"/>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General </w:t>
      </w:r>
      <w:r>
        <w:rPr>
          <w:i/>
          <w:iCs/>
          <w:sz w:val="20"/>
          <w:szCs w:val="20"/>
        </w:rPr>
        <w:t xml:space="preserve">and Administrative Expense. </w:t>
      </w:r>
      <w:r>
        <w:rPr>
          <w:sz w:val="20"/>
          <w:szCs w:val="20"/>
        </w:rPr>
        <w:t xml:space="preserve">General and administrative expense of $4.2 million for the three months ended March 31, 2019 increased </w:t>
      </w:r>
      <w:r>
        <w:rPr>
          <w:color w:val="000000"/>
          <w:sz w:val="20"/>
          <w:szCs w:val="20"/>
        </w:rPr>
        <w:t>by $1.6 million</w:t>
      </w:r>
      <w:r>
        <w:rPr>
          <w:sz w:val="20"/>
          <w:szCs w:val="20"/>
        </w:rPr>
        <w:t xml:space="preserve"> or 60% compared to the same period in 2018. The increase in general and administrative expense for the three </w:t>
      </w:r>
      <w:r>
        <w:rPr>
          <w:sz w:val="20"/>
          <w:szCs w:val="20"/>
        </w:rPr>
        <w:t>months ended March 31, 2019 was primarily related to additional salaries, facility costs and professional fees as a result of the Orion acquisition.</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$255,000 for the three months ended</w:t>
      </w:r>
      <w:r>
        <w:rPr>
          <w:sz w:val="20"/>
          <w:szCs w:val="20"/>
        </w:rPr>
        <w:t xml:space="preserve"> March 31, 2019 decreased by $1,000 from research and development expense of $256,000 or the three months ended March 31, 2018, respectively.</w:t>
      </w:r>
    </w:p>
    <w:p w:rsidR="00000000" w:rsidRDefault="00C9700C">
      <w:pPr>
        <w:pStyle w:val="a3"/>
        <w:shd w:val="clear" w:color="auto" w:fill="FFFFFF"/>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Contingent Consideration. </w:t>
      </w:r>
      <w:r>
        <w:rPr>
          <w:sz w:val="20"/>
          <w:szCs w:val="20"/>
        </w:rPr>
        <w:t>The change in contingent consideration of $64,000 was due to a favorable settlement du</w:t>
      </w:r>
      <w:r>
        <w:rPr>
          <w:sz w:val="20"/>
          <w:szCs w:val="20"/>
        </w:rPr>
        <w:t xml:space="preserve">ring the three months ended March 31, 2019. The change of $32,000 </w:t>
      </w:r>
      <w:r>
        <w:rPr>
          <w:color w:val="000000"/>
          <w:sz w:val="20"/>
          <w:szCs w:val="20"/>
        </w:rPr>
        <w:t xml:space="preserve">during </w:t>
      </w:r>
      <w:r>
        <w:rPr>
          <w:sz w:val="20"/>
          <w:szCs w:val="20"/>
        </w:rPr>
        <w:t>the three months ended March 31, 2018 relates to the change in the fair value of the contingent consideration from acquisitions.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Depreciation. </w:t>
      </w:r>
      <w:r>
        <w:rPr>
          <w:sz w:val="20"/>
          <w:szCs w:val="20"/>
        </w:rPr>
        <w:t>Depreciation of $208,000 for the three</w:t>
      </w:r>
      <w:r>
        <w:rPr>
          <w:sz w:val="20"/>
          <w:szCs w:val="20"/>
        </w:rPr>
        <w:t xml:space="preserve"> months ended March 31, 2019 increased by $57,000 or 37% from depreciation of $151,000 for the three months ended March 31, 2018 due to additional purchases and property and equipment acquired as part of the Orion acquisition.</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Amortization Expense. </w:t>
      </w:r>
      <w:r>
        <w:rPr>
          <w:sz w:val="20"/>
          <w:szCs w:val="20"/>
        </w:rPr>
        <w:t>Amort</w:t>
      </w:r>
      <w:r>
        <w:rPr>
          <w:sz w:val="20"/>
          <w:szCs w:val="20"/>
        </w:rPr>
        <w:t>ization expense of $549,000 for the three months ended March 31, 2019 increased by $109,000 from amortization expense of $440,000 for the three months ended March 31, 2018. The increase for the three months ended March 31, 2019 was primarily related to the</w:t>
      </w:r>
      <w:r>
        <w:rPr>
          <w:sz w:val="20"/>
          <w:szCs w:val="20"/>
        </w:rPr>
        <w:t xml:space="preserve"> intangible assets acquired from the Orion acquisition.</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65"/>
        <w:gridCol w:w="106"/>
        <w:gridCol w:w="100"/>
        <w:gridCol w:w="770"/>
        <w:gridCol w:w="67"/>
        <w:gridCol w:w="106"/>
        <w:gridCol w:w="100"/>
        <w:gridCol w:w="770"/>
        <w:gridCol w:w="67"/>
        <w:gridCol w:w="106"/>
        <w:gridCol w:w="100"/>
        <w:gridCol w:w="770"/>
        <w:gridCol w:w="67"/>
        <w:gridCol w:w="106"/>
        <w:gridCol w:w="51"/>
        <w:gridCol w:w="760"/>
        <w:gridCol w:w="234"/>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vAlign w:val="bottom"/>
            <w:hideMark/>
          </w:tcPr>
          <w:p w:rsidR="00000000" w:rsidRDefault="00C9700C">
            <w:pPr>
              <w:jc w:val="center"/>
              <w:rPr>
                <w:rFonts w:eastAsia="Times New Roman"/>
                <w:b/>
                <w:bCs/>
                <w:sz w:val="20"/>
                <w:szCs w:val="20"/>
              </w:rPr>
            </w:pPr>
            <w:r>
              <w:rPr>
                <w:rFonts w:eastAsia="Times New Roman"/>
                <w:b/>
                <w:bCs/>
                <w:sz w:val="20"/>
                <w:szCs w:val="20"/>
              </w:rPr>
              <w:t>Three Months Ended</w:t>
            </w:r>
          </w:p>
        </w:tc>
        <w:tc>
          <w:tcPr>
            <w:tcW w:w="0" w:type="auto"/>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vAlign w:val="bottom"/>
            <w:hideMark/>
          </w:tcPr>
          <w:p w:rsidR="00000000" w:rsidRDefault="00C9700C">
            <w:pPr>
              <w:rPr>
                <w:rFonts w:eastAsia="Times New Roman"/>
                <w:sz w:val="20"/>
                <w:szCs w:val="20"/>
              </w:rPr>
            </w:pPr>
            <w:r>
              <w:rPr>
                <w:rFonts w:eastAsia="Times New Roman"/>
                <w:sz w:val="20"/>
                <w:szCs w:val="20"/>
              </w:rPr>
              <w:t> </w:t>
            </w:r>
          </w:p>
        </w:tc>
        <w:tc>
          <w:tcPr>
            <w:tcW w:w="0" w:type="auto"/>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sz w:val="20"/>
                <w:szCs w:val="20"/>
              </w:rPr>
            </w:pPr>
            <w:r>
              <w:rPr>
                <w:rFonts w:eastAsia="Times New Roman"/>
                <w:b/>
                <w:bCs/>
                <w:sz w:val="20"/>
                <w:szCs w:val="20"/>
              </w:rPr>
              <w:t xml:space="preserve">Amount </w:t>
            </w: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1800" w:type="pct"/>
            <w:shd w:val="clear" w:color="auto" w:fill="CCEEFF"/>
            <w:vAlign w:val="bottom"/>
            <w:hideMark/>
          </w:tcPr>
          <w:p w:rsidR="00000000" w:rsidRDefault="00C9700C">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78,200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5,285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72,915</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1,380</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(95,396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(74,081</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(21,315</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(81,030</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151,374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(232,404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(154</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Income tax (benefit) provision</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(40,532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46,664</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(87,196</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(187</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Interest Income. </w:t>
      </w:r>
      <w:r>
        <w:rPr>
          <w:sz w:val="20"/>
          <w:szCs w:val="20"/>
        </w:rPr>
        <w:t xml:space="preserve">Interest income of $78,000 for the three months ended March 31, 2019 increased by $73,000 or 1380% from interest income of $5,000 for the three months ended March 31, 2018, respectively. The increase in interest income represents interest </w:t>
      </w:r>
      <w:r>
        <w:rPr>
          <w:sz w:val="20"/>
          <w:szCs w:val="20"/>
        </w:rPr>
        <w:t>earned on temporary cash investments.</w:t>
      </w:r>
    </w:p>
    <w:p w:rsidR="00000000" w:rsidRDefault="00C9700C">
      <w:pPr>
        <w:pStyle w:val="a3"/>
        <w:shd w:val="clear" w:color="auto" w:fill="FFFFFF"/>
        <w:spacing w:before="0" w:beforeAutospacing="0" w:after="0" w:afterAutospacing="0"/>
        <w:jc w:val="both"/>
        <w:rPr>
          <w:sz w:val="20"/>
          <w:szCs w:val="20"/>
        </w:rPr>
      </w:pPr>
      <w:r>
        <w:rPr>
          <w:i/>
          <w:iCs/>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$95,000 for the three months ended March 31, 2019, increased by $21,000 or 29% from interest expense of $74,000 for the three months ended March 31, 2018. This increase was prima</w:t>
      </w:r>
      <w:r>
        <w:rPr>
          <w:sz w:val="20"/>
          <w:szCs w:val="20"/>
        </w:rPr>
        <w:t>rily due to the additional vehicle financing during the three months ended March 31, 2019. Interest expense includes the amortization of deferred financing costs, which was $48,000 and $49,000 during the three months ended March 31, 2019 and 2018, respecti</w:t>
      </w:r>
      <w:r>
        <w:rPr>
          <w:sz w:val="20"/>
          <w:szCs w:val="20"/>
        </w:rPr>
        <w:t>vely.</w:t>
      </w:r>
    </w:p>
    <w:p w:rsidR="00000000" w:rsidRDefault="00C9700C">
      <w:pPr>
        <w:pStyle w:val="a3"/>
        <w:shd w:val="clear" w:color="auto" w:fill="FFFFFF"/>
        <w:spacing w:before="0" w:beforeAutospacing="0" w:after="0" w:afterAutospacing="0"/>
        <w:jc w:val="both"/>
        <w:rPr>
          <w:sz w:val="20"/>
          <w:szCs w:val="20"/>
        </w:rPr>
      </w:pPr>
      <w:r>
        <w:rPr>
          <w:b/>
          <w:bCs/>
          <w:i/>
          <w:iCs/>
          <w:sz w:val="20"/>
          <w:szCs w:val="20"/>
        </w:rPr>
        <w:t> </w:t>
      </w:r>
    </w:p>
    <w:p w:rsidR="00000000" w:rsidRDefault="00C9700C">
      <w:pPr>
        <w:pStyle w:val="a3"/>
        <w:shd w:val="clear" w:color="auto" w:fill="FFFFFF"/>
        <w:spacing w:before="0" w:beforeAutospacing="0" w:after="0" w:afterAutospacing="0"/>
        <w:jc w:val="both"/>
        <w:rPr>
          <w:sz w:val="20"/>
          <w:szCs w:val="20"/>
        </w:rPr>
      </w:pPr>
      <w:r>
        <w:rPr>
          <w:i/>
          <w:iCs/>
          <w:sz w:val="20"/>
          <w:szCs w:val="20"/>
        </w:rPr>
        <w:t xml:space="preserve">Other (Expense) Income - net. </w:t>
      </w:r>
      <w:r>
        <w:rPr>
          <w:sz w:val="20"/>
          <w:szCs w:val="20"/>
        </w:rPr>
        <w:t xml:space="preserve">Other (expense) income - net was ($81,000) </w:t>
      </w:r>
      <w:r>
        <w:rPr>
          <w:color w:val="000000"/>
          <w:sz w:val="20"/>
          <w:szCs w:val="20"/>
        </w:rPr>
        <w:t xml:space="preserve">for </w:t>
      </w:r>
      <w:r>
        <w:rPr>
          <w:sz w:val="20"/>
          <w:szCs w:val="20"/>
        </w:rPr>
        <w:t>the three months ended March 31, 2019, compared to other income - net of $151,000 for the three months ended March 31, 2018. Other income primarily represents foreign curr</w:t>
      </w:r>
      <w:r>
        <w:rPr>
          <w:sz w:val="20"/>
          <w:szCs w:val="20"/>
        </w:rPr>
        <w:t>ency transaction gains (losses) resulting from transactions in foreign currencies other than the functional currency. These transaction gains and losses are recorded in the condensed consolidated statements of operations related to the recurring measuremen</w:t>
      </w:r>
      <w:r>
        <w:rPr>
          <w:sz w:val="20"/>
          <w:szCs w:val="20"/>
        </w:rPr>
        <w:t>t and settlement of such transactions.</w:t>
      </w:r>
    </w:p>
    <w:p w:rsidR="00000000" w:rsidRDefault="00C9700C">
      <w:pPr>
        <w:pStyle w:val="a3"/>
        <w:shd w:val="clear" w:color="auto" w:fill="FFFFFF"/>
        <w:spacing w:before="0" w:beforeAutospacing="0" w:after="0" w:afterAutospacing="0"/>
        <w:ind w:firstLine="540"/>
        <w:jc w:val="both"/>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i/>
          <w:iCs/>
          <w:sz w:val="20"/>
          <w:szCs w:val="20"/>
        </w:rPr>
        <w:t xml:space="preserve">Income Tax (Benefit) Provision. </w:t>
      </w:r>
      <w:r>
        <w:rPr>
          <w:sz w:val="20"/>
          <w:szCs w:val="20"/>
        </w:rPr>
        <w:t>There was a $41,000 benefit for income taxes for the three months ended March 31, 2019, compared to the provision for income taxes of $47,000 for the three months ended March 31, 2018. Included in the tax benefit for the three months ended March 31, 2019 i</w:t>
      </w:r>
      <w:r>
        <w:rPr>
          <w:sz w:val="20"/>
          <w:szCs w:val="20"/>
        </w:rPr>
        <w:t>s a $56,000 deferred Federal income tax benefit. As a result of the Company incurring a tax loss for 2018, which has an indefinite life under the recent tax reform legislation, the Federal deferred tax liability was offset against the 2018 Federal net oper</w:t>
      </w:r>
      <w:r>
        <w:rPr>
          <w:sz w:val="20"/>
          <w:szCs w:val="20"/>
        </w:rPr>
        <w:t>ating loss, resulting in a Federal net deferred income tax benefit.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current income tax provision for the three months ended March 31, 2019 was approximately $15,000 and primarily relates to state minimum taxes and foreign income taxes. Although the C</w:t>
      </w:r>
      <w:r>
        <w:rPr>
          <w:sz w:val="20"/>
          <w:szCs w:val="20"/>
        </w:rPr>
        <w:t>ompany is forecasting a return to profitability, it incurred losses historically and there is uncertainty regarding future US taxable income, which make realization of a deferred tax asset difficult to support in accordance with ASC 740. Accordingly, a val</w:t>
      </w:r>
      <w:r>
        <w:rPr>
          <w:sz w:val="20"/>
          <w:szCs w:val="20"/>
        </w:rPr>
        <w:t>uation allowance was recorded against all deferred tax assets at March 31, 2019 and 2018.</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29772912"/>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Liquidity and Capital Resources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Borrowings under the SVB facility are based on 200% of repeatable revenue, reduced by an annualized attrition rate as de</w:t>
      </w:r>
      <w:r>
        <w:rPr>
          <w:sz w:val="20"/>
          <w:szCs w:val="20"/>
        </w:rPr>
        <w:t>fined in the agreement. The entire facility is currently available to the Company. As of March 31, 2019, nothing was drawn on the SVB credit agreement.</w:t>
      </w:r>
    </w:p>
    <w:p w:rsidR="00000000" w:rsidRDefault="00C9700C">
      <w:pPr>
        <w:pStyle w:val="a3"/>
        <w:shd w:val="clear" w:color="auto" w:fill="FFFFFF"/>
        <w:spacing w:before="0" w:beforeAutospacing="0" w:after="0" w:afterAutospacing="0"/>
        <w:jc w:val="both"/>
        <w:rPr>
          <w:sz w:val="20"/>
          <w:szCs w:val="20"/>
        </w:rPr>
      </w:pPr>
      <w:r>
        <w:rPr>
          <w:b/>
          <w:bCs/>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During the three months ended March 31, 2019, there was </w:t>
      </w:r>
      <w:r>
        <w:rPr>
          <w:color w:val="000000"/>
          <w:sz w:val="20"/>
          <w:szCs w:val="20"/>
        </w:rPr>
        <w:t xml:space="preserve">positive cash flow from operations </w:t>
      </w:r>
      <w:r>
        <w:rPr>
          <w:sz w:val="20"/>
          <w:szCs w:val="20"/>
        </w:rPr>
        <w:t>of approxim</w:t>
      </w:r>
      <w:r>
        <w:rPr>
          <w:sz w:val="20"/>
          <w:szCs w:val="20"/>
        </w:rPr>
        <w:t>ately $938,000 and as of March 31, 2019 the Company had approximately $12.5 million in cash, positive working capital of $14.5 million and no bank debt.</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During 2018, the Company paid the purchase price of $12.6 million for the Orion acquisition. The Comp</w:t>
      </w:r>
      <w:r>
        <w:rPr>
          <w:sz w:val="20"/>
          <w:szCs w:val="20"/>
        </w:rPr>
        <w:t xml:space="preserve">any occasionally utilizes its revolving line of credit with SVB, but, as of March 31, 2019, there was no balance outstanding. SVB doubled the maximum availability on the line from $5 million to $10 million in September 2018. </w:t>
      </w:r>
      <w:r>
        <w:rPr>
          <w:color w:val="000000"/>
          <w:sz w:val="20"/>
          <w:szCs w:val="20"/>
        </w:rPr>
        <w:t>During October 2018, the Compan</w:t>
      </w:r>
      <w:r>
        <w:rPr>
          <w:color w:val="000000"/>
          <w:sz w:val="20"/>
          <w:szCs w:val="20"/>
        </w:rPr>
        <w:t xml:space="preserve">y sold 600,000 additional shares of its Series A Preferred Stock raising net proceeds of approximately $13.4 million. </w:t>
      </w:r>
      <w:r>
        <w:rPr>
          <w:sz w:val="20"/>
          <w:szCs w:val="20"/>
        </w:rPr>
        <w:t>During April 2018, the Company sold 420,000 shares of Series A Preferred Stock and raised net proceeds of approximately $9.4 million.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The following table summarizes our cash flows for the periods presented:</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776"/>
        <w:gridCol w:w="142"/>
        <w:gridCol w:w="100"/>
        <w:gridCol w:w="1039"/>
        <w:gridCol w:w="67"/>
        <w:gridCol w:w="143"/>
        <w:gridCol w:w="100"/>
        <w:gridCol w:w="1040"/>
        <w:gridCol w:w="68"/>
      </w:tblGrid>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Three Months Ended March 31,</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C9700C">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rsidR="00000000" w:rsidRDefault="00C9700C">
            <w:pPr>
              <w:rPr>
                <w:rFonts w:eastAsia="Times New Roman"/>
                <w:b/>
                <w:bCs/>
                <w:sz w:val="20"/>
                <w:szCs w:val="20"/>
              </w:rPr>
            </w:pPr>
            <w:r>
              <w:rPr>
                <w:rFonts w:eastAsia="Times New Roman"/>
                <w:b/>
                <w:bCs/>
                <w:sz w:val="20"/>
                <w:szCs w:val="20"/>
              </w:rPr>
              <w:t> </w:t>
            </w:r>
          </w:p>
        </w:tc>
      </w:tr>
      <w:tr w:rsidR="00000000">
        <w:tc>
          <w:tcPr>
            <w:tcW w:w="3200" w:type="pct"/>
            <w:shd w:val="clear" w:color="auto" w:fill="CCEEFF"/>
            <w:vAlign w:val="bottom"/>
            <w:hideMark/>
          </w:tcPr>
          <w:p w:rsidR="00000000" w:rsidRDefault="00C9700C">
            <w:pPr>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937,509</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C9700C">
            <w:pPr>
              <w:jc w:val="right"/>
              <w:rPr>
                <w:rFonts w:eastAsia="Times New Roman"/>
                <w:sz w:val="20"/>
                <w:szCs w:val="20"/>
              </w:rPr>
            </w:pPr>
            <w:r>
              <w:rPr>
                <w:rFonts w:eastAsia="Times New Roman"/>
                <w:sz w:val="20"/>
                <w:szCs w:val="20"/>
              </w:rPr>
              <w:t>673,381</w:t>
            </w:r>
          </w:p>
        </w:tc>
        <w:tc>
          <w:tcPr>
            <w:tcW w:w="50" w:type="pct"/>
            <w:shd w:val="clear" w:color="auto" w:fill="CCEEFF"/>
            <w:vAlign w:val="bottom"/>
            <w:hideMark/>
          </w:tcPr>
          <w:p w:rsidR="00000000" w:rsidRDefault="00C9700C">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xml:space="preserve">Net </w:t>
            </w:r>
            <w:r>
              <w:rPr>
                <w:rFonts w:eastAsia="Times New Roman"/>
                <w:sz w:val="20"/>
                <w:szCs w:val="20"/>
              </w:rPr>
              <w:t>cash used in investing activities</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(510,938</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C9700C">
            <w:pPr>
              <w:jc w:val="right"/>
              <w:rPr>
                <w:rFonts w:eastAsia="Times New Roman"/>
                <w:sz w:val="20"/>
                <w:szCs w:val="20"/>
              </w:rPr>
            </w:pPr>
            <w:r>
              <w:rPr>
                <w:rFonts w:eastAsia="Times New Roman"/>
                <w:sz w:val="20"/>
                <w:szCs w:val="20"/>
              </w:rPr>
              <w:t>(174,242</w:t>
            </w:r>
          </w:p>
        </w:tc>
        <w:tc>
          <w:tcPr>
            <w:tcW w:w="0" w:type="auto"/>
            <w:shd w:val="clear" w:color="auto" w:fill="FFFF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Net cash used in financing activities</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(2,586,271</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C9700C">
            <w:pPr>
              <w:jc w:val="right"/>
              <w:rPr>
                <w:rFonts w:eastAsia="Times New Roman"/>
                <w:sz w:val="20"/>
                <w:szCs w:val="20"/>
              </w:rPr>
            </w:pPr>
            <w:r>
              <w:rPr>
                <w:rFonts w:eastAsia="Times New Roman"/>
                <w:sz w:val="20"/>
                <w:szCs w:val="20"/>
              </w:rPr>
              <w:t>(1,114,037</w:t>
            </w:r>
          </w:p>
        </w:tc>
        <w:tc>
          <w:tcPr>
            <w:tcW w:w="0" w:type="auto"/>
            <w:shd w:val="clear" w:color="auto" w:fill="CCEEFF"/>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213,864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C9700C">
            <w:pPr>
              <w:jc w:val="right"/>
              <w:rPr>
                <w:rFonts w:eastAsia="Times New Roman"/>
                <w:sz w:val="20"/>
                <w:szCs w:val="20"/>
              </w:rPr>
            </w:pPr>
            <w:r>
              <w:rPr>
                <w:rFonts w:eastAsia="Times New Roman"/>
                <w:sz w:val="20"/>
                <w:szCs w:val="20"/>
              </w:rPr>
              <w:t>(206,264</w:t>
            </w:r>
          </w:p>
        </w:tc>
        <w:tc>
          <w:tcPr>
            <w:tcW w:w="0" w:type="auto"/>
            <w:shd w:val="clear" w:color="auto" w:fill="FFFFFF"/>
            <w:tcMar>
              <w:top w:w="0" w:type="dxa"/>
              <w:left w:w="0" w:type="dxa"/>
              <w:bottom w:w="3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Net decrease in cash</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(1,945,836</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C9700C">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C9700C">
            <w:pPr>
              <w:jc w:val="right"/>
              <w:rPr>
                <w:rFonts w:eastAsia="Times New Roman"/>
                <w:sz w:val="20"/>
                <w:szCs w:val="20"/>
              </w:rPr>
            </w:pPr>
            <w:r>
              <w:rPr>
                <w:rFonts w:eastAsia="Times New Roman"/>
                <w:sz w:val="20"/>
                <w:szCs w:val="20"/>
              </w:rPr>
              <w:t>(821,162</w:t>
            </w:r>
          </w:p>
        </w:tc>
        <w:tc>
          <w:tcPr>
            <w:tcW w:w="0" w:type="auto"/>
            <w:shd w:val="clear" w:color="auto" w:fill="CCEEFF"/>
            <w:tcMar>
              <w:top w:w="0" w:type="dxa"/>
              <w:left w:w="0" w:type="dxa"/>
              <w:bottom w:w="50" w:type="dxa"/>
              <w:right w:w="0" w:type="dxa"/>
            </w:tcMar>
            <w:vAlign w:val="bottom"/>
            <w:hideMark/>
          </w:tcPr>
          <w:p w:rsidR="00000000" w:rsidRDefault="00C9700C">
            <w:pPr>
              <w:rPr>
                <w:rFonts w:eastAsia="Times New Roman"/>
                <w:sz w:val="20"/>
                <w:szCs w:val="20"/>
              </w:rPr>
            </w:pPr>
            <w:r>
              <w:rPr>
                <w:rFonts w:eastAsia="Times New Roman"/>
                <w:sz w:val="20"/>
                <w:szCs w:val="20"/>
              </w:rPr>
              <w:t>)</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The </w:t>
      </w:r>
      <w:r>
        <w:rPr>
          <w:sz w:val="20"/>
          <w:szCs w:val="20"/>
        </w:rPr>
        <w:t>loss before income taxes was $336,000 for the three months ended March 31, 2019, which included $757,000 of non-cash depreciation and amortization. The income before tax for the three months ended March 31, 2018 was $122,000, which included $591,000 of non</w:t>
      </w:r>
      <w:r>
        <w:rPr>
          <w:sz w:val="20"/>
          <w:szCs w:val="20"/>
        </w:rPr>
        <w:t>-cash depreciation and amortization.</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i/>
          <w:iCs/>
          <w:sz w:val="20"/>
          <w:szCs w:val="20"/>
        </w:rPr>
        <w:t>Operating Activities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Cash provided by operating activities was $938,000 during the three months ended March 31, 2019, compared to $673,000 during the three months ended March 31, 2018. The increase in the net loss o</w:t>
      </w:r>
      <w:r>
        <w:rPr>
          <w:sz w:val="20"/>
          <w:szCs w:val="20"/>
        </w:rPr>
        <w:t>f $371,000 included the following changes in non-cash items: an increase in depreciation and amortization of $166,000, an increase in stock based compensation expense of $630,000, a change in the benefit for deferred income taxes of $94,000 and an increase</w:t>
      </w:r>
      <w:r>
        <w:rPr>
          <w:sz w:val="20"/>
          <w:szCs w:val="20"/>
        </w:rPr>
        <w:t xml:space="preserve"> in interest accretion of $71,000.</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 change in operating assets and liabilities increased by $766,000. Accounts receivable increased by $481,000 for the three months ended March 31, 2019, compared with a decrease of $24,000 for the three months ended M</w:t>
      </w:r>
      <w:r>
        <w:rPr>
          <w:sz w:val="20"/>
          <w:szCs w:val="20"/>
        </w:rPr>
        <w:t>arch 31, 2018. Accounts payable, accrued compensation and accrued expenses decreased by $765,000 for the three months ended March 31, 2019 compared to a decrease of $212,000 for the three months ended March 31, 2018. For the three months ended March 31, 20</w:t>
      </w:r>
      <w:r>
        <w:rPr>
          <w:sz w:val="20"/>
          <w:szCs w:val="20"/>
        </w:rPr>
        <w:t>19, the change in the lease liabilities is included in this amount.</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b/>
          <w:bCs/>
          <w:i/>
          <w:iCs/>
          <w:sz w:val="20"/>
          <w:szCs w:val="20"/>
        </w:rPr>
        <w:t>Investing Activities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Capital expenditures were $511,000 and $174,000 for the three months ended March 31, 2019 and 2018, respectively. The capital expenditures for the three months end</w:t>
      </w:r>
      <w:r>
        <w:rPr>
          <w:sz w:val="20"/>
          <w:szCs w:val="20"/>
        </w:rPr>
        <w:t>ed March 31, 2019 primarily represented computer equipment purchased for the Pakistan office.</w:t>
      </w:r>
    </w:p>
    <w:p w:rsidR="00000000" w:rsidRDefault="00C9700C">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329602244"/>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i/>
          <w:iCs/>
          <w:sz w:val="20"/>
          <w:szCs w:val="20"/>
        </w:rPr>
        <w:t>Financing Activities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 xml:space="preserve">Cash </w:t>
      </w:r>
      <w:r>
        <w:rPr>
          <w:sz w:val="20"/>
          <w:szCs w:val="20"/>
        </w:rPr>
        <w:t>used in financing activities during the three months ended March 31, 2019 and 2018 was $2.6 million and $1.1 million, respectively. Cash used in financing activities during the three months ended March 31, 2019 included $85,000 of repayments for debt oblig</w:t>
      </w:r>
      <w:r>
        <w:rPr>
          <w:sz w:val="20"/>
          <w:szCs w:val="20"/>
        </w:rPr>
        <w:t>ations, $1.5 million of preferred stock dividends and $872,000 of tax withholding obligations paid in connection with stock awards issued to employees. Cash used in financing activities for three months ended March 31, 2018 included $93,000 of repayment fo</w:t>
      </w:r>
      <w:r>
        <w:rPr>
          <w:sz w:val="20"/>
          <w:szCs w:val="20"/>
        </w:rPr>
        <w:t>r debt obligations, $755,000 of preferred stock dividends and $214,000 of withholding obligations in connection stock awards issued to employees. There were no borrowings during the three months ended March 31, 2019 and 2018.</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 xml:space="preserve">Contractual Obligations and </w:t>
      </w:r>
      <w:r>
        <w:rPr>
          <w:b/>
          <w:bCs/>
          <w:sz w:val="20"/>
          <w:szCs w:val="20"/>
        </w:rPr>
        <w:t>Commitments</w:t>
      </w:r>
    </w:p>
    <w:p w:rsidR="00000000" w:rsidRDefault="00C9700C">
      <w:pPr>
        <w:pStyle w:val="a3"/>
        <w:shd w:val="clear" w:color="auto" w:fill="FFFFFF"/>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have contractual obligations under our line of credit and related to contingent consideration in connection with the acquisitions made in 2015 and 2016. We also maintain operating leases for property and certain office equipment. We were i</w:t>
      </w:r>
      <w:r>
        <w:rPr>
          <w:sz w:val="20"/>
          <w:szCs w:val="20"/>
        </w:rPr>
        <w:t>n compliance with all SVB covenants as of March 31, 2019. For additional information, see Contractual Obligations and Commitments under Item 7, “Management’s Discussion and Analysis of Financial Condition and Results of Operations,” in the Company’s Annual</w:t>
      </w:r>
      <w:r>
        <w:rPr>
          <w:sz w:val="20"/>
          <w:szCs w:val="20"/>
        </w:rPr>
        <w:t xml:space="preserve"> Report on Form 10-K for the year ended December 31, 2018, filed with the SEC on March 20, 2019.</w:t>
      </w:r>
    </w:p>
    <w:p w:rsidR="00000000" w:rsidRDefault="00C9700C">
      <w:pPr>
        <w:pStyle w:val="a3"/>
        <w:shd w:val="clear" w:color="auto" w:fill="FFFFFF"/>
        <w:spacing w:before="0" w:beforeAutospacing="0" w:after="0" w:afterAutospacing="0"/>
        <w:jc w:val="both"/>
        <w:rPr>
          <w:sz w:val="20"/>
          <w:szCs w:val="20"/>
        </w:rPr>
      </w:pPr>
      <w:r>
        <w:rPr>
          <w:b/>
          <w:bCs/>
          <w:sz w:val="20"/>
          <w:szCs w:val="20"/>
        </w:rPr>
        <w:t> </w:t>
      </w:r>
    </w:p>
    <w:p w:rsidR="00000000" w:rsidRDefault="00C9700C">
      <w:pPr>
        <w:pStyle w:val="a3"/>
        <w:shd w:val="clear" w:color="auto" w:fill="FFFFFF"/>
        <w:spacing w:before="0" w:beforeAutospacing="0" w:after="0" w:afterAutospacing="0"/>
        <w:jc w:val="both"/>
        <w:rPr>
          <w:sz w:val="20"/>
          <w:szCs w:val="20"/>
        </w:rPr>
      </w:pPr>
      <w:r>
        <w:rPr>
          <w:b/>
          <w:bCs/>
          <w:sz w:val="20"/>
          <w:szCs w:val="20"/>
        </w:rPr>
        <w:t>Off-Balance Sheet Arrangements</w:t>
      </w:r>
    </w:p>
    <w:p w:rsidR="00000000" w:rsidRDefault="00C9700C">
      <w:pPr>
        <w:pStyle w:val="a3"/>
        <w:shd w:val="clear" w:color="auto" w:fill="FFFFFF"/>
        <w:spacing w:before="0" w:beforeAutospacing="0" w:after="0" w:afterAutospacing="0"/>
        <w:ind w:firstLine="540"/>
        <w:jc w:val="both"/>
        <w:rPr>
          <w:sz w:val="20"/>
          <w:szCs w:val="20"/>
        </w:rPr>
      </w:pPr>
      <w:r>
        <w:rPr>
          <w:sz w:val="20"/>
          <w:szCs w:val="20"/>
        </w:rPr>
        <w:t> </w:t>
      </w:r>
    </w:p>
    <w:p w:rsidR="00000000" w:rsidRDefault="00C9700C">
      <w:pPr>
        <w:pStyle w:val="a3"/>
        <w:shd w:val="clear" w:color="auto" w:fill="FFFFFF"/>
        <w:spacing w:before="0" w:beforeAutospacing="0" w:after="0" w:afterAutospacing="0"/>
        <w:jc w:val="both"/>
        <w:rPr>
          <w:sz w:val="20"/>
          <w:szCs w:val="20"/>
        </w:rPr>
      </w:pPr>
      <w:r>
        <w:rPr>
          <w:sz w:val="20"/>
          <w:szCs w:val="20"/>
        </w:rPr>
        <w:t>As of March 31, 2019 and 2018, we did not have any relationships with unconsolidated entities or financial partnerships, suc</w:t>
      </w:r>
      <w:r>
        <w:rPr>
          <w:sz w:val="20"/>
          <w:szCs w:val="20"/>
        </w:rPr>
        <w:t>h as entities often referred to as structured finance or special-purpose entities, which would have been established for the purpose of facilitating off-balance sheet arrangements or other contractually narrow or limited purposes.</w:t>
      </w:r>
    </w:p>
    <w:p w:rsidR="00000000" w:rsidRDefault="00C9700C">
      <w:pPr>
        <w:pStyle w:val="a3"/>
        <w:spacing w:before="0" w:beforeAutospacing="0" w:after="0" w:afterAutospacing="0"/>
        <w:ind w:left="1440" w:hanging="1440"/>
        <w:jc w:val="both"/>
        <w:rPr>
          <w:b/>
          <w:bCs/>
          <w:sz w:val="20"/>
          <w:szCs w:val="20"/>
        </w:rPr>
      </w:pPr>
      <w:r>
        <w:rPr>
          <w:b/>
          <w:bCs/>
          <w:i/>
          <w:iCs/>
          <w:sz w:val="20"/>
          <w:szCs w:val="20"/>
        </w:rPr>
        <w:t> </w:t>
      </w:r>
    </w:p>
    <w:p w:rsidR="00000000" w:rsidRDefault="00C9700C">
      <w:pPr>
        <w:pStyle w:val="a3"/>
        <w:spacing w:before="0" w:beforeAutospacing="0" w:after="0" w:afterAutospacing="0"/>
        <w:ind w:left="1440" w:hanging="1440"/>
        <w:jc w:val="both"/>
        <w:rPr>
          <w:b/>
          <w:bCs/>
          <w:sz w:val="20"/>
          <w:szCs w:val="20"/>
        </w:rPr>
      </w:pPr>
      <w:bookmarkStart w:id="10" w:name="t_011"/>
      <w:bookmarkEnd w:id="10"/>
      <w:r>
        <w:rPr>
          <w:b/>
          <w:bCs/>
          <w:i/>
          <w:iCs/>
          <w:sz w:val="20"/>
          <w:szCs w:val="20"/>
        </w:rPr>
        <w:t xml:space="preserve">Item </w:t>
      </w:r>
      <w:r>
        <w:rPr>
          <w:b/>
          <w:bCs/>
          <w:i/>
          <w:iCs/>
          <w:sz w:val="20"/>
          <w:szCs w:val="20"/>
        </w:rPr>
        <w:t>3. Quantitative and Qualitative Disclosures about Market Risk</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Regulation S-K.</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ind w:left="1440" w:hanging="1440"/>
        <w:jc w:val="both"/>
        <w:rPr>
          <w:b/>
          <w:bCs/>
          <w:sz w:val="20"/>
          <w:szCs w:val="20"/>
        </w:rPr>
      </w:pPr>
      <w:bookmarkStart w:id="11" w:name="t_012"/>
      <w:bookmarkEnd w:id="11"/>
      <w:r>
        <w:rPr>
          <w:b/>
          <w:bCs/>
          <w:i/>
          <w:iCs/>
          <w:sz w:val="20"/>
          <w:szCs w:val="20"/>
        </w:rPr>
        <w:t>Item 4. Contro</w:t>
      </w:r>
      <w:r>
        <w:rPr>
          <w:b/>
          <w:bCs/>
          <w:i/>
          <w:iCs/>
          <w:sz w:val="20"/>
          <w:szCs w:val="20"/>
        </w:rPr>
        <w:t>ls and Procedures</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i/>
          <w:iCs/>
          <w:sz w:val="20"/>
          <w:szCs w:val="20"/>
        </w:rPr>
        <w:t>Evaluation of Disclosure Controls and Procedures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Our management, with the participation of our Chief Executive Officer and Chief Financial Officer, based on the 2013 framework and criteria established by the Committee of Sponsoring Or</w:t>
      </w:r>
      <w:r>
        <w:rPr>
          <w:sz w:val="20"/>
          <w:szCs w:val="20"/>
        </w:rPr>
        <w:t xml:space="preserve">ganizations of the Treadway Commission (“COSO”), evaluated the effectiveness of our disclosure controls and procedures as of March 31, 2019 as required by Rules 13a-15(b) and 15d-15(b) of the Exchange Act. The term “disclosure controls and procedures,” as </w:t>
      </w:r>
      <w:r>
        <w:rPr>
          <w:sz w:val="20"/>
          <w:szCs w:val="20"/>
        </w:rPr>
        <w:t xml:space="preserve">defined in Rules 13a-15(e) and 15d-15(e) under the Exchange Act, means controls and other procedures of a company that are designed to ensure that information required to be disclosed by a company in the reports that it files or submits under the Exchange </w:t>
      </w:r>
      <w:r>
        <w:rPr>
          <w:sz w:val="20"/>
          <w:szCs w:val="20"/>
        </w:rPr>
        <w:t>Act is recorded, processed, summarized and reported, within the time periods specified in the SEC’s rules and forms.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Disclosure controls and procedures include, without limitation, controls and procedures designed to ensure that information required to b</w:t>
      </w:r>
      <w:r>
        <w:rPr>
          <w:sz w:val="20"/>
          <w:szCs w:val="20"/>
        </w:rPr>
        <w:t>e disclosed by a company in the reports that it files or submits under the Exchange Act is accumulated and communicated to the Company’s management, including its principal executive and principal financial officer, to allow timely decisions regarding requ</w:t>
      </w:r>
      <w:r>
        <w:rPr>
          <w:sz w:val="20"/>
          <w:szCs w:val="20"/>
        </w:rPr>
        <w:t>ired disclosure. Management recognizes that any controls and procedures, no matter how well designed and operated, can provide only reasonable assurance of achieving their objectives and management necessarily applies its judgment in evaluating the cost-be</w:t>
      </w:r>
      <w:r>
        <w:rPr>
          <w:sz w:val="20"/>
          <w:szCs w:val="20"/>
        </w:rPr>
        <w:t>nefit relationship of possible controls and procedures.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Based on the evaluation of our disclosure controls and procedures, as of March 31, 2019, our Chief Executive Officer and Chief Financial Officer concluded that, as of such date, our disclosure contr</w:t>
      </w:r>
      <w:r>
        <w:rPr>
          <w:sz w:val="20"/>
          <w:szCs w:val="20"/>
        </w:rPr>
        <w:t>ols and procedures were effective at the reasonable assurance level.</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i/>
          <w:iCs/>
          <w:sz w:val="20"/>
          <w:szCs w:val="20"/>
        </w:rPr>
        <w:t>Changes in Internal Control Over Financial Reporting</w:t>
      </w:r>
    </w:p>
    <w:p w:rsidR="00000000" w:rsidRDefault="00C9700C">
      <w:pPr>
        <w:pStyle w:val="a3"/>
        <w:spacing w:before="0" w:beforeAutospacing="0" w:after="0" w:afterAutospacing="0"/>
        <w:jc w:val="both"/>
        <w:rPr>
          <w:sz w:val="20"/>
          <w:szCs w:val="20"/>
        </w:rPr>
      </w:pPr>
      <w:r>
        <w:rPr>
          <w:i/>
          <w:iCs/>
          <w:sz w:val="20"/>
          <w:szCs w:val="20"/>
        </w:rPr>
        <w:t> </w:t>
      </w:r>
    </w:p>
    <w:p w:rsidR="00000000" w:rsidRDefault="00C9700C">
      <w:pPr>
        <w:pStyle w:val="a3"/>
        <w:spacing w:before="0" w:beforeAutospacing="0" w:after="0" w:afterAutospacing="0"/>
        <w:jc w:val="both"/>
        <w:rPr>
          <w:sz w:val="20"/>
          <w:szCs w:val="20"/>
        </w:rPr>
      </w:pPr>
      <w:r>
        <w:rPr>
          <w:sz w:val="20"/>
          <w:szCs w:val="20"/>
        </w:rPr>
        <w:t>Beginning January 1, 2019, we implemented ASC 842, “</w:t>
      </w:r>
      <w:r>
        <w:rPr>
          <w:i/>
          <w:iCs/>
          <w:sz w:val="20"/>
          <w:szCs w:val="20"/>
        </w:rPr>
        <w:t>Leases.</w:t>
      </w:r>
      <w:r>
        <w:rPr>
          <w:sz w:val="20"/>
          <w:szCs w:val="20"/>
        </w:rPr>
        <w:t xml:space="preserve">” </w:t>
      </w:r>
      <w:r>
        <w:rPr>
          <w:sz w:val="20"/>
          <w:szCs w:val="20"/>
        </w:rPr>
        <w:t>For its adoption, we implemented changes to our lease identification processes and control activities within them such as development of new entity-wide policies, in-house training, ongoing contract reviews and system changes to accommodate presentation an</w:t>
      </w:r>
      <w:r>
        <w:rPr>
          <w:sz w:val="20"/>
          <w:szCs w:val="20"/>
        </w:rPr>
        <w:t>d disclosure requirements.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There were no other changes in our internal control over financial reporting (as defined in Rule 13a-15(f) of the Exchange Act) that occurred during our most recent fiscal quarter that have materially affected, or are reasonabl</w:t>
      </w:r>
      <w:r>
        <w:rPr>
          <w:sz w:val="20"/>
          <w:szCs w:val="20"/>
        </w:rPr>
        <w:t>y likely to materially affect, our internal control over financial reporting.</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30534309"/>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center"/>
        <w:rPr>
          <w:sz w:val="20"/>
          <w:szCs w:val="20"/>
        </w:rPr>
      </w:pPr>
      <w:r>
        <w:rPr>
          <w:sz w:val="20"/>
          <w:szCs w:val="20"/>
        </w:rPr>
        <w:t> </w:t>
      </w:r>
    </w:p>
    <w:p w:rsidR="00000000" w:rsidRDefault="00C9700C">
      <w:pPr>
        <w:pStyle w:val="a3"/>
        <w:spacing w:before="0" w:beforeAutospacing="0" w:after="0" w:afterAutospacing="0"/>
        <w:jc w:val="center"/>
        <w:rPr>
          <w:sz w:val="20"/>
          <w:szCs w:val="20"/>
        </w:rPr>
      </w:pPr>
      <w:bookmarkStart w:id="12" w:name="t_013"/>
      <w:bookmarkEnd w:id="12"/>
      <w:r>
        <w:rPr>
          <w:b/>
          <w:bCs/>
          <w:sz w:val="20"/>
          <w:szCs w:val="20"/>
        </w:rPr>
        <w:t>Part II. Other Information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b/>
          <w:bCs/>
          <w:sz w:val="20"/>
          <w:szCs w:val="20"/>
        </w:rPr>
      </w:pPr>
      <w:bookmarkStart w:id="13" w:name="t_014"/>
      <w:bookmarkEnd w:id="13"/>
      <w:r>
        <w:rPr>
          <w:b/>
          <w:bCs/>
          <w:i/>
          <w:iCs/>
          <w:sz w:val="20"/>
          <w:szCs w:val="20"/>
        </w:rPr>
        <w:t>Item 1. Legal Proceedings</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sz w:val="20"/>
          <w:szCs w:val="20"/>
        </w:rPr>
      </w:pPr>
      <w:r>
        <w:rPr>
          <w:sz w:val="20"/>
          <w:szCs w:val="20"/>
        </w:rPr>
        <w:t>See discussion of legal proceedings in “</w:t>
      </w:r>
      <w:r>
        <w:rPr>
          <w:sz w:val="20"/>
          <w:szCs w:val="20"/>
        </w:rPr>
        <w:t>Note 8, Commitment And Contingencies” of the Notes to Condensed Consolidated Financial Statements in this Quarterly Report.</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b/>
          <w:bCs/>
          <w:sz w:val="20"/>
          <w:szCs w:val="20"/>
        </w:rPr>
      </w:pPr>
      <w:bookmarkStart w:id="14" w:name="t_015"/>
      <w:bookmarkEnd w:id="14"/>
      <w:r>
        <w:rPr>
          <w:b/>
          <w:bCs/>
          <w:i/>
          <w:iCs/>
          <w:sz w:val="20"/>
          <w:szCs w:val="20"/>
        </w:rPr>
        <w:t>Item 1A. Risk Factors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Pursuant to the instructions of Item 1A of Form 10-Q, a smaller reporting company is not required to provi</w:t>
      </w:r>
      <w:r>
        <w:rPr>
          <w:sz w:val="20"/>
          <w:szCs w:val="20"/>
        </w:rPr>
        <w:t>de the information required by this Item.</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b/>
          <w:bCs/>
          <w:sz w:val="20"/>
          <w:szCs w:val="20"/>
        </w:rPr>
      </w:pPr>
      <w:bookmarkStart w:id="15" w:name="t_016"/>
      <w:bookmarkEnd w:id="15"/>
      <w:r>
        <w:rPr>
          <w:b/>
          <w:bCs/>
          <w:i/>
          <w:iCs/>
          <w:sz w:val="20"/>
          <w:szCs w:val="20"/>
        </w:rPr>
        <w:t>Item 2. Unregistered Sales of Equity Securities and Use of Proceeds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None.</w:t>
      </w:r>
    </w:p>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b/>
          <w:bCs/>
          <w:sz w:val="20"/>
          <w:szCs w:val="20"/>
        </w:rPr>
      </w:pPr>
      <w:bookmarkStart w:id="16" w:name="t_017"/>
      <w:bookmarkEnd w:id="16"/>
      <w:r>
        <w:rPr>
          <w:b/>
          <w:bCs/>
          <w:i/>
          <w:iCs/>
          <w:sz w:val="20"/>
          <w:szCs w:val="20"/>
        </w:rPr>
        <w:t>Item 3. Defaults upon Senior Securities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Not applicable.</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b/>
          <w:bCs/>
          <w:sz w:val="20"/>
          <w:szCs w:val="20"/>
        </w:rPr>
      </w:pPr>
      <w:bookmarkStart w:id="17" w:name="t_018"/>
      <w:bookmarkEnd w:id="17"/>
      <w:r>
        <w:rPr>
          <w:b/>
          <w:bCs/>
          <w:i/>
          <w:iCs/>
          <w:sz w:val="20"/>
          <w:szCs w:val="20"/>
        </w:rPr>
        <w:t>Item 4. Mine Safety Disclosures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Not applicable.</w:t>
      </w:r>
    </w:p>
    <w:p w:rsidR="00000000" w:rsidRDefault="00C9700C">
      <w:pPr>
        <w:pStyle w:val="a3"/>
        <w:spacing w:before="0" w:beforeAutospacing="0" w:after="0" w:afterAutospacing="0"/>
        <w:jc w:val="both"/>
        <w:rPr>
          <w:sz w:val="20"/>
          <w:szCs w:val="20"/>
        </w:rPr>
      </w:pPr>
      <w:r>
        <w:rPr>
          <w:b/>
          <w:bCs/>
          <w:i/>
          <w:iCs/>
          <w:sz w:val="20"/>
          <w:szCs w:val="20"/>
        </w:rPr>
        <w:t> </w:t>
      </w:r>
    </w:p>
    <w:p w:rsidR="00000000" w:rsidRDefault="00C9700C">
      <w:pPr>
        <w:pStyle w:val="a3"/>
        <w:spacing w:before="0" w:beforeAutospacing="0" w:after="0" w:afterAutospacing="0"/>
        <w:jc w:val="both"/>
        <w:rPr>
          <w:b/>
          <w:bCs/>
          <w:sz w:val="20"/>
          <w:szCs w:val="20"/>
        </w:rPr>
      </w:pPr>
      <w:bookmarkStart w:id="18" w:name="t_019"/>
      <w:bookmarkEnd w:id="18"/>
      <w:r>
        <w:rPr>
          <w:b/>
          <w:bCs/>
          <w:i/>
          <w:iCs/>
          <w:sz w:val="20"/>
          <w:szCs w:val="20"/>
        </w:rPr>
        <w:t xml:space="preserve">Item </w:t>
      </w:r>
      <w:r>
        <w:rPr>
          <w:b/>
          <w:bCs/>
          <w:i/>
          <w:iCs/>
          <w:sz w:val="20"/>
          <w:szCs w:val="20"/>
        </w:rPr>
        <w:t>5. Other Information</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Not applicable.</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30069748"/>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rPr>
          <w:b/>
          <w:bCs/>
          <w:sz w:val="20"/>
          <w:szCs w:val="20"/>
        </w:rPr>
      </w:pPr>
      <w:bookmarkStart w:id="19" w:name="t_020"/>
      <w:bookmarkEnd w:id="19"/>
      <w:r>
        <w:rPr>
          <w:b/>
          <w:bCs/>
          <w:i/>
          <w:iCs/>
          <w:sz w:val="20"/>
          <w:szCs w:val="20"/>
        </w:rPr>
        <w:t>Item 6. Exhibits</w:t>
      </w:r>
    </w:p>
    <w:p w:rsidR="00000000" w:rsidRDefault="00C9700C">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800"/>
        <w:gridCol w:w="216"/>
        <w:gridCol w:w="6290"/>
      </w:tblGrid>
      <w:tr w:rsidR="00000000">
        <w:tc>
          <w:tcPr>
            <w:tcW w:w="1800" w:type="dxa"/>
            <w:tcBorders>
              <w:bottom w:val="single" w:sz="12" w:space="0" w:color="000000"/>
            </w:tcBorders>
            <w:hideMark/>
          </w:tcPr>
          <w:p w:rsidR="00000000" w:rsidRDefault="00C9700C">
            <w:pPr>
              <w:jc w:val="center"/>
              <w:rPr>
                <w:rFonts w:eastAsia="Times New Roman"/>
                <w:sz w:val="20"/>
                <w:szCs w:val="20"/>
              </w:rPr>
            </w:pPr>
            <w:r>
              <w:rPr>
                <w:rFonts w:eastAsia="Times New Roman"/>
                <w:b/>
                <w:bCs/>
                <w:sz w:val="20"/>
                <w:szCs w:val="20"/>
              </w:rPr>
              <w:t>Exhibit Number</w:t>
            </w:r>
          </w:p>
        </w:tc>
        <w:tc>
          <w:tcPr>
            <w:tcW w:w="216" w:type="dxa"/>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C9700C">
            <w:pPr>
              <w:jc w:val="center"/>
              <w:rPr>
                <w:rFonts w:eastAsia="Times New Roman"/>
                <w:sz w:val="20"/>
                <w:szCs w:val="20"/>
              </w:rPr>
            </w:pPr>
            <w:r>
              <w:rPr>
                <w:rFonts w:eastAsia="Times New Roman"/>
                <w:b/>
                <w:bCs/>
                <w:sz w:val="20"/>
                <w:szCs w:val="20"/>
              </w:rPr>
              <w:t>Exhibit Description</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31.1</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hyperlink r:id="rId5" w:history="1">
              <w:r>
                <w:rPr>
                  <w:rStyle w:val="a4"/>
                  <w:rFonts w:eastAsia="Times New Roman"/>
                  <w:sz w:val="20"/>
                  <w:szCs w:val="20"/>
                </w:rPr>
                <w:t>Certification of the Company’</w:t>
              </w:r>
              <w:r>
                <w:rPr>
                  <w:rStyle w:val="a4"/>
                  <w:rFonts w:eastAsia="Times New Roman"/>
                  <w:sz w:val="20"/>
                  <w:szCs w:val="20"/>
                </w:rPr>
                <w:t>s Principal Executive Officer pursuant to Exchange Act Rules 13a-14(a)/15d-14(a), of the Securities Exchange Act of 1934, as amended.</w:t>
              </w:r>
            </w:hyperlink>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31.2</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hyperlink r:id="rId6" w:history="1">
              <w:r>
                <w:rPr>
                  <w:rStyle w:val="a4"/>
                  <w:rFonts w:eastAsia="Times New Roman"/>
                  <w:sz w:val="20"/>
                  <w:szCs w:val="20"/>
                </w:rPr>
                <w:t xml:space="preserve">Certification of the Company’s Principal Financial Officer pursuant to Exchange </w:t>
              </w:r>
              <w:r>
                <w:rPr>
                  <w:rStyle w:val="a4"/>
                  <w:rFonts w:eastAsia="Times New Roman"/>
                  <w:sz w:val="20"/>
                  <w:szCs w:val="20"/>
                </w:rPr>
                <w:t>Act Rules 13a-14(a)/15d-14(a), of the Securities Exchange Act of 1934, as amended.</w:t>
              </w:r>
            </w:hyperlink>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32.1*</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hyperlink r:id="rId7" w:history="1">
              <w:r>
                <w:rPr>
                  <w:rStyle w:val="a4"/>
                  <w:rFonts w:eastAsia="Times New Roman"/>
                  <w:sz w:val="20"/>
                  <w:szCs w:val="20"/>
                </w:rPr>
                <w:t>Certification of the Company’</w:t>
              </w:r>
              <w:r>
                <w:rPr>
                  <w:rStyle w:val="a4"/>
                  <w:rFonts w:eastAsia="Times New Roman"/>
                  <w:sz w:val="20"/>
                  <w:szCs w:val="20"/>
                </w:rPr>
                <w:t>s Chief Executive Officer pursuant to 18 U.S.C. Section 1350, as adopted pursuant to Section 906 of the Sarbanes-Oxley Act of 2002.</w:t>
              </w:r>
            </w:hyperlink>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32.2*</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jc w:val="both"/>
              <w:rPr>
                <w:rFonts w:eastAsia="Times New Roman"/>
                <w:sz w:val="20"/>
                <w:szCs w:val="20"/>
              </w:rPr>
            </w:pPr>
            <w:hyperlink r:id="rId8" w:history="1">
              <w:r>
                <w:rPr>
                  <w:rStyle w:val="a4"/>
                  <w:rFonts w:eastAsia="Times New Roman"/>
                  <w:sz w:val="20"/>
                  <w:szCs w:val="20"/>
                </w:rPr>
                <w:t>Certification of the Company’</w:t>
              </w:r>
              <w:r>
                <w:rPr>
                  <w:rStyle w:val="a4"/>
                  <w:rFonts w:eastAsia="Times New Roman"/>
                  <w:sz w:val="20"/>
                  <w:szCs w:val="20"/>
                </w:rPr>
                <w:t>s Chief Financial Officer pursuant to 18 U.S.C. Section 1350, as adopted pursuant to Section 906 of the Sarbanes-Oxley Act of 2002.</w:t>
              </w:r>
            </w:hyperlink>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101.INS</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XBRL Instance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101.SCH</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XBRL Taxonomy Extension Schema</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101.CAL</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101.LAB</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XBRL Taxonomy Extension Label Linkbase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101.PRE</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XBRL Taxonomy Extension Presentation Linkbase</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hideMark/>
          </w:tcPr>
          <w:p w:rsidR="00000000" w:rsidRDefault="00C9700C">
            <w:pPr>
              <w:rPr>
                <w:rFonts w:eastAsia="Times New Roman"/>
                <w:sz w:val="20"/>
                <w:szCs w:val="20"/>
              </w:rPr>
            </w:pPr>
            <w:r>
              <w:rPr>
                <w:rFonts w:eastAsia="Times New Roman"/>
                <w:sz w:val="20"/>
                <w:szCs w:val="20"/>
              </w:rPr>
              <w:t>101.DEF</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w:t>
            </w:r>
          </w:p>
        </w:tc>
      </w:tr>
    </w:tbl>
    <w:p w:rsidR="00000000" w:rsidRDefault="00C9700C">
      <w:pPr>
        <w:pStyle w:val="a3"/>
        <w:spacing w:before="0" w:beforeAutospacing="0" w:after="0" w:afterAutospacing="0"/>
        <w:jc w:val="both"/>
        <w:rPr>
          <w:sz w:val="20"/>
          <w:szCs w:val="20"/>
        </w:rPr>
      </w:pPr>
      <w:r>
        <w:rPr>
          <w:b/>
          <w:bCs/>
          <w:sz w:val="20"/>
          <w:szCs w:val="20"/>
        </w:rPr>
        <w:t> </w:t>
      </w:r>
    </w:p>
    <w:p w:rsidR="00000000" w:rsidRDefault="00C9700C">
      <w:pPr>
        <w:pStyle w:val="a3"/>
        <w:spacing w:before="0" w:beforeAutospacing="0" w:after="0" w:afterAutospacing="0"/>
        <w:jc w:val="both"/>
        <w:rPr>
          <w:sz w:val="20"/>
          <w:szCs w:val="20"/>
        </w:rPr>
      </w:pPr>
      <w:r>
        <w:rPr>
          <w:sz w:val="20"/>
          <w:szCs w:val="20"/>
        </w:rPr>
        <w:t>*The certifications on Exhibit 32 hereto are deemed not “filed” for purposes of Section 18 of the Securities and Exchange Act of 1934, as amended, or otherwise subject to the liability of that Section. Such certifi</w:t>
      </w:r>
      <w:r>
        <w:rPr>
          <w:sz w:val="20"/>
          <w:szCs w:val="20"/>
        </w:rPr>
        <w:t xml:space="preserve">cations will not be deemed incorporated by reference into any filing under the Securities Act or the Exchange Act, except to the extent that the Company specifically incorporates them by reference. </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51989048"/>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000000" w:rsidRDefault="00C9700C">
      <w:pPr>
        <w:pStyle w:val="a3"/>
        <w:spacing w:before="0" w:beforeAutospacing="0" w:after="0" w:afterAutospacing="0"/>
        <w:jc w:val="both"/>
        <w:rPr>
          <w:sz w:val="20"/>
          <w:szCs w:val="20"/>
        </w:rPr>
      </w:pPr>
      <w:r>
        <w:rPr>
          <w:sz w:val="20"/>
          <w:szCs w:val="20"/>
        </w:rPr>
        <w:t> </w:t>
      </w:r>
      <w:r>
        <w:rPr>
          <w:sz w:val="20"/>
          <w:szCs w:val="20"/>
        </w:rPr>
        <w:br w:type="textWrapping" w:clear="all"/>
      </w:r>
    </w:p>
    <w:p w:rsidR="00000000" w:rsidRDefault="00C9700C">
      <w:pPr>
        <w:pStyle w:val="a3"/>
        <w:spacing w:before="0" w:beforeAutospacing="0" w:after="0" w:afterAutospacing="0"/>
        <w:jc w:val="center"/>
        <w:rPr>
          <w:b/>
          <w:bCs/>
          <w:sz w:val="20"/>
          <w:szCs w:val="20"/>
        </w:rPr>
      </w:pPr>
      <w:bookmarkStart w:id="20" w:name="t_021"/>
      <w:bookmarkEnd w:id="20"/>
      <w:r>
        <w:rPr>
          <w:b/>
          <w:bCs/>
          <w:sz w:val="20"/>
          <w:szCs w:val="20"/>
        </w:rPr>
        <w:t>Signatures</w:t>
      </w:r>
    </w:p>
    <w:p w:rsidR="00000000" w:rsidRDefault="00C9700C">
      <w:pPr>
        <w:pStyle w:val="a3"/>
        <w:spacing w:before="0" w:beforeAutospacing="0" w:after="0" w:afterAutospacing="0"/>
        <w:jc w:val="both"/>
        <w:rPr>
          <w:sz w:val="20"/>
          <w:szCs w:val="20"/>
        </w:rPr>
      </w:pPr>
      <w:r>
        <w:rPr>
          <w:sz w:val="20"/>
          <w:szCs w:val="20"/>
        </w:rPr>
        <w:t> </w:t>
      </w:r>
    </w:p>
    <w:p w:rsidR="00000000" w:rsidRDefault="00C9700C">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C9700C">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56"/>
        <w:gridCol w:w="153"/>
        <w:gridCol w:w="289"/>
        <w:gridCol w:w="3808"/>
      </w:tblGrid>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gridSpan w:val="2"/>
            <w:hideMark/>
          </w:tcPr>
          <w:p w:rsidR="00000000" w:rsidRDefault="00C9700C">
            <w:pPr>
              <w:rPr>
                <w:rFonts w:eastAsia="Times New Roman"/>
                <w:sz w:val="20"/>
                <w:szCs w:val="20"/>
              </w:rPr>
            </w:pPr>
            <w:r>
              <w:rPr>
                <w:rFonts w:eastAsia="Times New Roman"/>
                <w:b/>
                <w:bCs/>
                <w:sz w:val="20"/>
                <w:szCs w:val="20"/>
              </w:rPr>
              <w:t>MTBC, Inc.</w:t>
            </w:r>
          </w:p>
        </w:tc>
      </w:tr>
      <w:tr w:rsidR="00000000">
        <w:tc>
          <w:tcPr>
            <w:tcW w:w="2450" w:type="pct"/>
            <w:hideMark/>
          </w:tcPr>
          <w:p w:rsidR="00000000" w:rsidRDefault="00C9700C">
            <w:pPr>
              <w:rPr>
                <w:rFonts w:eastAsia="Times New Roman"/>
                <w:sz w:val="20"/>
                <w:szCs w:val="20"/>
              </w:rPr>
            </w:pPr>
            <w:r>
              <w:rPr>
                <w:rFonts w:eastAsia="Times New Roman"/>
                <w:sz w:val="20"/>
                <w:szCs w:val="20"/>
              </w:rPr>
              <w:t> </w:t>
            </w:r>
          </w:p>
        </w:tc>
        <w:tc>
          <w:tcPr>
            <w:tcW w:w="100" w:type="pct"/>
            <w:hideMark/>
          </w:tcPr>
          <w:p w:rsidR="00000000" w:rsidRDefault="00C9700C">
            <w:pPr>
              <w:rPr>
                <w:rFonts w:eastAsia="Times New Roman"/>
                <w:sz w:val="20"/>
                <w:szCs w:val="20"/>
              </w:rPr>
            </w:pPr>
            <w:r>
              <w:rPr>
                <w:rFonts w:eastAsia="Times New Roman"/>
                <w:sz w:val="20"/>
                <w:szCs w:val="20"/>
              </w:rPr>
              <w:t> </w:t>
            </w:r>
          </w:p>
        </w:tc>
        <w:tc>
          <w:tcPr>
            <w:tcW w:w="150" w:type="pct"/>
            <w:hideMark/>
          </w:tcPr>
          <w:p w:rsidR="00000000" w:rsidRDefault="00C9700C">
            <w:pPr>
              <w:rPr>
                <w:rFonts w:eastAsia="Times New Roman"/>
                <w:sz w:val="20"/>
                <w:szCs w:val="20"/>
              </w:rPr>
            </w:pPr>
            <w:r>
              <w:rPr>
                <w:rFonts w:eastAsia="Times New Roman"/>
                <w:sz w:val="20"/>
                <w:szCs w:val="20"/>
              </w:rPr>
              <w:t> </w:t>
            </w:r>
          </w:p>
        </w:tc>
        <w:tc>
          <w:tcPr>
            <w:tcW w:w="2300" w:type="pct"/>
            <w:hideMark/>
          </w:tcPr>
          <w:p w:rsidR="00000000" w:rsidRDefault="00C9700C">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C9700C">
            <w:pPr>
              <w:jc w:val="center"/>
              <w:rPr>
                <w:rFonts w:eastAsia="Times New Roman"/>
                <w:sz w:val="20"/>
                <w:szCs w:val="20"/>
              </w:rPr>
            </w:pPr>
            <w:r>
              <w:rPr>
                <w:rFonts w:eastAsia="Times New Roman"/>
                <w:sz w:val="20"/>
                <w:szCs w:val="20"/>
              </w:rPr>
              <w:t>May 8, 2019</w:t>
            </w:r>
          </w:p>
        </w:tc>
        <w:tc>
          <w:tcPr>
            <w:tcW w:w="0" w:type="auto"/>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C9700C">
            <w:pPr>
              <w:rPr>
                <w:rFonts w:eastAsia="Times New Roman"/>
                <w:sz w:val="20"/>
                <w:szCs w:val="20"/>
              </w:rPr>
            </w:pPr>
            <w:r>
              <w:rPr>
                <w:rFonts w:eastAsia="Times New Roman"/>
                <w:i/>
                <w:iCs/>
                <w:sz w:val="20"/>
                <w:szCs w:val="20"/>
              </w:rPr>
              <w:t>/s/ Stephen Snyder</w:t>
            </w:r>
          </w:p>
        </w:tc>
      </w:tr>
      <w:tr w:rsidR="00000000">
        <w:tc>
          <w:tcPr>
            <w:tcW w:w="0" w:type="auto"/>
            <w:hideMark/>
          </w:tcPr>
          <w:p w:rsidR="00000000" w:rsidRDefault="00C9700C">
            <w:pPr>
              <w:jc w:val="center"/>
              <w:rPr>
                <w:rFonts w:eastAsia="Times New Roman"/>
                <w:sz w:val="20"/>
                <w:szCs w:val="20"/>
              </w:rPr>
            </w:pPr>
            <w:r>
              <w:rPr>
                <w:rFonts w:eastAsia="Times New Roman"/>
                <w:sz w:val="20"/>
                <w:szCs w:val="20"/>
              </w:rPr>
              <w:t>Date</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Stephen Snyder</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r>
      <w:tr w:rsidR="00000000">
        <w:tc>
          <w:tcPr>
            <w:tcW w:w="0" w:type="auto"/>
            <w:tcBorders>
              <w:bottom w:val="single" w:sz="12" w:space="0" w:color="000000"/>
            </w:tcBorders>
            <w:hideMark/>
          </w:tcPr>
          <w:p w:rsidR="00000000" w:rsidRDefault="00C9700C">
            <w:pPr>
              <w:jc w:val="center"/>
              <w:rPr>
                <w:rFonts w:eastAsia="Times New Roman"/>
                <w:sz w:val="20"/>
                <w:szCs w:val="20"/>
              </w:rPr>
            </w:pPr>
            <w:r>
              <w:rPr>
                <w:rFonts w:eastAsia="Times New Roman"/>
                <w:sz w:val="20"/>
                <w:szCs w:val="20"/>
              </w:rPr>
              <w:t>May 8, 2019</w:t>
            </w:r>
          </w:p>
        </w:tc>
        <w:tc>
          <w:tcPr>
            <w:tcW w:w="0" w:type="auto"/>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C9700C">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C9700C">
            <w:pPr>
              <w:rPr>
                <w:rFonts w:eastAsia="Times New Roman"/>
                <w:sz w:val="20"/>
                <w:szCs w:val="20"/>
              </w:rPr>
            </w:pPr>
            <w:r>
              <w:rPr>
                <w:rFonts w:eastAsia="Times New Roman"/>
                <w:i/>
                <w:iCs/>
                <w:sz w:val="20"/>
                <w:szCs w:val="20"/>
              </w:rPr>
              <w:t>/s/ Bill Korn</w:t>
            </w:r>
          </w:p>
        </w:tc>
      </w:tr>
      <w:tr w:rsidR="00000000">
        <w:tc>
          <w:tcPr>
            <w:tcW w:w="0" w:type="auto"/>
            <w:hideMark/>
          </w:tcPr>
          <w:p w:rsidR="00000000" w:rsidRDefault="00C9700C">
            <w:pPr>
              <w:jc w:val="center"/>
              <w:rPr>
                <w:rFonts w:eastAsia="Times New Roman"/>
                <w:sz w:val="20"/>
                <w:szCs w:val="20"/>
              </w:rPr>
            </w:pPr>
            <w:r>
              <w:rPr>
                <w:rFonts w:eastAsia="Times New Roman"/>
                <w:sz w:val="20"/>
                <w:szCs w:val="20"/>
              </w:rPr>
              <w:t>Date</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Bill Korn</w:t>
            </w:r>
          </w:p>
        </w:tc>
      </w:tr>
      <w:tr w:rsidR="00000000">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 </w:t>
            </w:r>
          </w:p>
        </w:tc>
        <w:tc>
          <w:tcPr>
            <w:tcW w:w="0" w:type="auto"/>
            <w:hideMark/>
          </w:tcPr>
          <w:p w:rsidR="00000000" w:rsidRDefault="00C9700C">
            <w:pPr>
              <w:rPr>
                <w:rFonts w:eastAsia="Times New Roman"/>
                <w:sz w:val="20"/>
                <w:szCs w:val="20"/>
              </w:rPr>
            </w:pPr>
            <w:r>
              <w:rPr>
                <w:rFonts w:eastAsia="Times New Roman"/>
                <w:sz w:val="20"/>
                <w:szCs w:val="20"/>
              </w:rPr>
              <w:t>Chief Financial Officer</w:t>
            </w:r>
          </w:p>
        </w:tc>
      </w:tr>
    </w:tbl>
    <w:p w:rsidR="00000000" w:rsidRDefault="00C9700C">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73379613"/>
        </w:trPr>
        <w:tc>
          <w:tcPr>
            <w:tcW w:w="5000" w:type="pct"/>
            <w:hideMark/>
          </w:tcPr>
          <w:p w:rsidR="00000000" w:rsidRDefault="00C9700C">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tc>
          <w:tcPr>
            <w:tcW w:w="5000" w:type="pct"/>
            <w:hideMark/>
          </w:tcPr>
          <w:p w:rsidR="00000000" w:rsidRDefault="00C9700C">
            <w:pPr>
              <w:jc w:val="center"/>
              <w:rPr>
                <w:rFonts w:eastAsia="Times New Roman"/>
                <w:sz w:val="20"/>
                <w:szCs w:val="20"/>
              </w:rPr>
            </w:pPr>
            <w:r>
              <w:rPr>
                <w:rFonts w:eastAsia="Times New Roman"/>
                <w:sz w:val="20"/>
                <w:szCs w:val="20"/>
              </w:rPr>
              <w:t> </w:t>
            </w:r>
          </w:p>
        </w:tc>
      </w:tr>
    </w:tbl>
    <w:p w:rsidR="00C9700C" w:rsidRDefault="00C9700C">
      <w:pPr>
        <w:rPr>
          <w:rFonts w:eastAsia="Times New Roman"/>
        </w:rPr>
      </w:pPr>
    </w:p>
    <w:sectPr w:rsidR="00C9700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700C"/>
    <w:rsid w:val="00C9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377">
      <w:marLeft w:val="0"/>
      <w:marRight w:val="0"/>
      <w:marTop w:val="0"/>
      <w:marBottom w:val="120"/>
      <w:divBdr>
        <w:top w:val="none" w:sz="0" w:space="0" w:color="auto"/>
        <w:left w:val="none" w:sz="0" w:space="0" w:color="auto"/>
        <w:bottom w:val="single" w:sz="12" w:space="0" w:color="000000"/>
        <w:right w:val="none" w:sz="0" w:space="0" w:color="auto"/>
      </w:divBdr>
    </w:div>
    <w:div w:id="64649002">
      <w:marLeft w:val="0"/>
      <w:marRight w:val="0"/>
      <w:marTop w:val="0"/>
      <w:marBottom w:val="120"/>
      <w:divBdr>
        <w:top w:val="none" w:sz="0" w:space="0" w:color="auto"/>
        <w:left w:val="none" w:sz="0" w:space="0" w:color="auto"/>
        <w:bottom w:val="single" w:sz="12" w:space="0" w:color="000000"/>
        <w:right w:val="none" w:sz="0" w:space="0" w:color="auto"/>
      </w:divBdr>
    </w:div>
    <w:div w:id="119762000">
      <w:marLeft w:val="0"/>
      <w:marRight w:val="0"/>
      <w:marTop w:val="0"/>
      <w:marBottom w:val="120"/>
      <w:divBdr>
        <w:top w:val="none" w:sz="0" w:space="0" w:color="auto"/>
        <w:left w:val="none" w:sz="0" w:space="0" w:color="auto"/>
        <w:bottom w:val="single" w:sz="12" w:space="0" w:color="000000"/>
        <w:right w:val="none" w:sz="0" w:space="0" w:color="auto"/>
      </w:divBdr>
    </w:div>
    <w:div w:id="175508966">
      <w:marLeft w:val="0"/>
      <w:marRight w:val="0"/>
      <w:marTop w:val="0"/>
      <w:marBottom w:val="0"/>
      <w:divBdr>
        <w:top w:val="single" w:sz="36" w:space="0" w:color="000000"/>
        <w:left w:val="none" w:sz="0" w:space="0" w:color="auto"/>
        <w:bottom w:val="single" w:sz="12" w:space="0" w:color="000000"/>
        <w:right w:val="none" w:sz="0" w:space="0" w:color="auto"/>
      </w:divBdr>
    </w:div>
    <w:div w:id="300698442">
      <w:marLeft w:val="0"/>
      <w:marRight w:val="0"/>
      <w:marTop w:val="0"/>
      <w:marBottom w:val="120"/>
      <w:divBdr>
        <w:top w:val="none" w:sz="0" w:space="0" w:color="auto"/>
        <w:left w:val="none" w:sz="0" w:space="0" w:color="auto"/>
        <w:bottom w:val="single" w:sz="12" w:space="0" w:color="000000"/>
        <w:right w:val="none" w:sz="0" w:space="0" w:color="auto"/>
      </w:divBdr>
    </w:div>
    <w:div w:id="313026401">
      <w:marLeft w:val="0"/>
      <w:marRight w:val="0"/>
      <w:marTop w:val="0"/>
      <w:marBottom w:val="0"/>
      <w:divBdr>
        <w:top w:val="single" w:sz="12" w:space="0" w:color="000000"/>
        <w:left w:val="none" w:sz="0" w:space="0" w:color="auto"/>
        <w:bottom w:val="none" w:sz="0" w:space="0" w:color="auto"/>
        <w:right w:val="none" w:sz="0" w:space="0" w:color="auto"/>
      </w:divBdr>
    </w:div>
    <w:div w:id="343551801">
      <w:marLeft w:val="0"/>
      <w:marRight w:val="0"/>
      <w:marTop w:val="0"/>
      <w:marBottom w:val="120"/>
      <w:divBdr>
        <w:top w:val="none" w:sz="0" w:space="0" w:color="auto"/>
        <w:left w:val="none" w:sz="0" w:space="0" w:color="auto"/>
        <w:bottom w:val="single" w:sz="12" w:space="0" w:color="000000"/>
        <w:right w:val="none" w:sz="0" w:space="0" w:color="auto"/>
      </w:divBdr>
    </w:div>
    <w:div w:id="353532883">
      <w:marLeft w:val="0"/>
      <w:marRight w:val="0"/>
      <w:marTop w:val="0"/>
      <w:marBottom w:val="120"/>
      <w:divBdr>
        <w:top w:val="none" w:sz="0" w:space="0" w:color="auto"/>
        <w:left w:val="none" w:sz="0" w:space="0" w:color="auto"/>
        <w:bottom w:val="single" w:sz="12" w:space="0" w:color="000000"/>
        <w:right w:val="none" w:sz="0" w:space="0" w:color="auto"/>
      </w:divBdr>
    </w:div>
    <w:div w:id="379592407">
      <w:marLeft w:val="0"/>
      <w:marRight w:val="0"/>
      <w:marTop w:val="0"/>
      <w:marBottom w:val="120"/>
      <w:divBdr>
        <w:top w:val="none" w:sz="0" w:space="0" w:color="auto"/>
        <w:left w:val="none" w:sz="0" w:space="0" w:color="auto"/>
        <w:bottom w:val="single" w:sz="12" w:space="0" w:color="000000"/>
        <w:right w:val="none" w:sz="0" w:space="0" w:color="auto"/>
      </w:divBdr>
    </w:div>
    <w:div w:id="419907109">
      <w:marLeft w:val="0"/>
      <w:marRight w:val="0"/>
      <w:marTop w:val="0"/>
      <w:marBottom w:val="120"/>
      <w:divBdr>
        <w:top w:val="none" w:sz="0" w:space="0" w:color="auto"/>
        <w:left w:val="none" w:sz="0" w:space="0" w:color="auto"/>
        <w:bottom w:val="single" w:sz="12" w:space="0" w:color="000000"/>
        <w:right w:val="none" w:sz="0" w:space="0" w:color="auto"/>
      </w:divBdr>
    </w:div>
    <w:div w:id="503471387">
      <w:marLeft w:val="0"/>
      <w:marRight w:val="0"/>
      <w:marTop w:val="0"/>
      <w:marBottom w:val="120"/>
      <w:divBdr>
        <w:top w:val="none" w:sz="0" w:space="0" w:color="auto"/>
        <w:left w:val="none" w:sz="0" w:space="0" w:color="auto"/>
        <w:bottom w:val="single" w:sz="12" w:space="0" w:color="000000"/>
        <w:right w:val="none" w:sz="0" w:space="0" w:color="auto"/>
      </w:divBdr>
    </w:div>
    <w:div w:id="530069748">
      <w:marLeft w:val="0"/>
      <w:marRight w:val="0"/>
      <w:marTop w:val="0"/>
      <w:marBottom w:val="120"/>
      <w:divBdr>
        <w:top w:val="none" w:sz="0" w:space="0" w:color="auto"/>
        <w:left w:val="none" w:sz="0" w:space="0" w:color="auto"/>
        <w:bottom w:val="single" w:sz="12" w:space="0" w:color="000000"/>
        <w:right w:val="none" w:sz="0" w:space="0" w:color="auto"/>
      </w:divBdr>
    </w:div>
    <w:div w:id="546991484">
      <w:marLeft w:val="0"/>
      <w:marRight w:val="0"/>
      <w:marTop w:val="0"/>
      <w:marBottom w:val="120"/>
      <w:divBdr>
        <w:top w:val="none" w:sz="0" w:space="0" w:color="auto"/>
        <w:left w:val="none" w:sz="0" w:space="0" w:color="auto"/>
        <w:bottom w:val="single" w:sz="12" w:space="0" w:color="000000"/>
        <w:right w:val="none" w:sz="0" w:space="0" w:color="auto"/>
      </w:divBdr>
    </w:div>
    <w:div w:id="650869414">
      <w:marLeft w:val="0"/>
      <w:marRight w:val="0"/>
      <w:marTop w:val="0"/>
      <w:marBottom w:val="120"/>
      <w:divBdr>
        <w:top w:val="none" w:sz="0" w:space="0" w:color="auto"/>
        <w:left w:val="none" w:sz="0" w:space="0" w:color="auto"/>
        <w:bottom w:val="single" w:sz="12" w:space="0" w:color="000000"/>
        <w:right w:val="none" w:sz="0" w:space="0" w:color="auto"/>
      </w:divBdr>
    </w:div>
    <w:div w:id="681854258">
      <w:marLeft w:val="0"/>
      <w:marRight w:val="0"/>
      <w:marTop w:val="0"/>
      <w:marBottom w:val="120"/>
      <w:divBdr>
        <w:top w:val="none" w:sz="0" w:space="0" w:color="auto"/>
        <w:left w:val="none" w:sz="0" w:space="0" w:color="auto"/>
        <w:bottom w:val="single" w:sz="12" w:space="0" w:color="000000"/>
        <w:right w:val="none" w:sz="0" w:space="0" w:color="auto"/>
      </w:divBdr>
    </w:div>
    <w:div w:id="709569035">
      <w:marLeft w:val="0"/>
      <w:marRight w:val="0"/>
      <w:marTop w:val="0"/>
      <w:marBottom w:val="120"/>
      <w:divBdr>
        <w:top w:val="none" w:sz="0" w:space="0" w:color="auto"/>
        <w:left w:val="none" w:sz="0" w:space="0" w:color="auto"/>
        <w:bottom w:val="single" w:sz="12" w:space="0" w:color="000000"/>
        <w:right w:val="none" w:sz="0" w:space="0" w:color="auto"/>
      </w:divBdr>
    </w:div>
    <w:div w:id="762919084">
      <w:marLeft w:val="0"/>
      <w:marRight w:val="0"/>
      <w:marTop w:val="0"/>
      <w:marBottom w:val="120"/>
      <w:divBdr>
        <w:top w:val="none" w:sz="0" w:space="0" w:color="auto"/>
        <w:left w:val="none" w:sz="0" w:space="0" w:color="auto"/>
        <w:bottom w:val="single" w:sz="12" w:space="0" w:color="000000"/>
        <w:right w:val="none" w:sz="0" w:space="0" w:color="auto"/>
      </w:divBdr>
    </w:div>
    <w:div w:id="769740966">
      <w:marLeft w:val="0"/>
      <w:marRight w:val="0"/>
      <w:marTop w:val="0"/>
      <w:marBottom w:val="120"/>
      <w:divBdr>
        <w:top w:val="none" w:sz="0" w:space="0" w:color="auto"/>
        <w:left w:val="none" w:sz="0" w:space="0" w:color="auto"/>
        <w:bottom w:val="single" w:sz="12" w:space="0" w:color="000000"/>
        <w:right w:val="none" w:sz="0" w:space="0" w:color="auto"/>
      </w:divBdr>
    </w:div>
    <w:div w:id="789738618">
      <w:marLeft w:val="0"/>
      <w:marRight w:val="0"/>
      <w:marTop w:val="0"/>
      <w:marBottom w:val="120"/>
      <w:divBdr>
        <w:top w:val="none" w:sz="0" w:space="0" w:color="auto"/>
        <w:left w:val="none" w:sz="0" w:space="0" w:color="auto"/>
        <w:bottom w:val="single" w:sz="12" w:space="0" w:color="000000"/>
        <w:right w:val="none" w:sz="0" w:space="0" w:color="auto"/>
      </w:divBdr>
    </w:div>
    <w:div w:id="854997784">
      <w:marLeft w:val="0"/>
      <w:marRight w:val="0"/>
      <w:marTop w:val="0"/>
      <w:marBottom w:val="120"/>
      <w:divBdr>
        <w:top w:val="none" w:sz="0" w:space="0" w:color="auto"/>
        <w:left w:val="none" w:sz="0" w:space="0" w:color="auto"/>
        <w:bottom w:val="single" w:sz="12" w:space="0" w:color="000000"/>
        <w:right w:val="none" w:sz="0" w:space="0" w:color="auto"/>
      </w:divBdr>
    </w:div>
    <w:div w:id="1010722836">
      <w:marLeft w:val="0"/>
      <w:marRight w:val="0"/>
      <w:marTop w:val="0"/>
      <w:marBottom w:val="120"/>
      <w:divBdr>
        <w:top w:val="none" w:sz="0" w:space="0" w:color="auto"/>
        <w:left w:val="none" w:sz="0" w:space="0" w:color="auto"/>
        <w:bottom w:val="single" w:sz="12" w:space="0" w:color="000000"/>
        <w:right w:val="none" w:sz="0" w:space="0" w:color="auto"/>
      </w:divBdr>
    </w:div>
    <w:div w:id="1126193107">
      <w:marLeft w:val="0"/>
      <w:marRight w:val="0"/>
      <w:marTop w:val="0"/>
      <w:marBottom w:val="120"/>
      <w:divBdr>
        <w:top w:val="none" w:sz="0" w:space="0" w:color="auto"/>
        <w:left w:val="none" w:sz="0" w:space="0" w:color="auto"/>
        <w:bottom w:val="single" w:sz="12" w:space="0" w:color="000000"/>
        <w:right w:val="none" w:sz="0" w:space="0" w:color="auto"/>
      </w:divBdr>
    </w:div>
    <w:div w:id="1173379613">
      <w:marLeft w:val="0"/>
      <w:marRight w:val="0"/>
      <w:marTop w:val="0"/>
      <w:marBottom w:val="120"/>
      <w:divBdr>
        <w:top w:val="none" w:sz="0" w:space="0" w:color="auto"/>
        <w:left w:val="none" w:sz="0" w:space="0" w:color="auto"/>
        <w:bottom w:val="single" w:sz="12" w:space="0" w:color="000000"/>
        <w:right w:val="none" w:sz="0" w:space="0" w:color="auto"/>
      </w:divBdr>
    </w:div>
    <w:div w:id="1230534309">
      <w:marLeft w:val="0"/>
      <w:marRight w:val="0"/>
      <w:marTop w:val="0"/>
      <w:marBottom w:val="120"/>
      <w:divBdr>
        <w:top w:val="none" w:sz="0" w:space="0" w:color="auto"/>
        <w:left w:val="none" w:sz="0" w:space="0" w:color="auto"/>
        <w:bottom w:val="single" w:sz="12" w:space="0" w:color="000000"/>
        <w:right w:val="none" w:sz="0" w:space="0" w:color="auto"/>
      </w:divBdr>
    </w:div>
    <w:div w:id="1284506179">
      <w:marLeft w:val="0"/>
      <w:marRight w:val="0"/>
      <w:marTop w:val="0"/>
      <w:marBottom w:val="120"/>
      <w:divBdr>
        <w:top w:val="none" w:sz="0" w:space="0" w:color="auto"/>
        <w:left w:val="none" w:sz="0" w:space="0" w:color="auto"/>
        <w:bottom w:val="single" w:sz="12" w:space="0" w:color="000000"/>
        <w:right w:val="none" w:sz="0" w:space="0" w:color="auto"/>
      </w:divBdr>
    </w:div>
    <w:div w:id="1329602244">
      <w:marLeft w:val="0"/>
      <w:marRight w:val="0"/>
      <w:marTop w:val="0"/>
      <w:marBottom w:val="120"/>
      <w:divBdr>
        <w:top w:val="none" w:sz="0" w:space="0" w:color="auto"/>
        <w:left w:val="none" w:sz="0" w:space="0" w:color="auto"/>
        <w:bottom w:val="single" w:sz="12" w:space="0" w:color="000000"/>
        <w:right w:val="none" w:sz="0" w:space="0" w:color="auto"/>
      </w:divBdr>
    </w:div>
    <w:div w:id="1415391634">
      <w:marLeft w:val="0"/>
      <w:marRight w:val="0"/>
      <w:marTop w:val="0"/>
      <w:marBottom w:val="120"/>
      <w:divBdr>
        <w:top w:val="none" w:sz="0" w:space="0" w:color="auto"/>
        <w:left w:val="none" w:sz="0" w:space="0" w:color="auto"/>
        <w:bottom w:val="single" w:sz="12" w:space="0" w:color="000000"/>
        <w:right w:val="none" w:sz="0" w:space="0" w:color="auto"/>
      </w:divBdr>
    </w:div>
    <w:div w:id="1469129864">
      <w:marLeft w:val="0"/>
      <w:marRight w:val="0"/>
      <w:marTop w:val="0"/>
      <w:marBottom w:val="120"/>
      <w:divBdr>
        <w:top w:val="none" w:sz="0" w:space="0" w:color="auto"/>
        <w:left w:val="none" w:sz="0" w:space="0" w:color="auto"/>
        <w:bottom w:val="single" w:sz="12" w:space="0" w:color="000000"/>
        <w:right w:val="none" w:sz="0" w:space="0" w:color="auto"/>
      </w:divBdr>
    </w:div>
    <w:div w:id="1473013774">
      <w:marLeft w:val="0"/>
      <w:marRight w:val="0"/>
      <w:marTop w:val="0"/>
      <w:marBottom w:val="120"/>
      <w:divBdr>
        <w:top w:val="none" w:sz="0" w:space="0" w:color="auto"/>
        <w:left w:val="none" w:sz="0" w:space="0" w:color="auto"/>
        <w:bottom w:val="single" w:sz="12" w:space="0" w:color="000000"/>
        <w:right w:val="none" w:sz="0" w:space="0" w:color="auto"/>
      </w:divBdr>
    </w:div>
    <w:div w:id="1521967295">
      <w:marLeft w:val="0"/>
      <w:marRight w:val="0"/>
      <w:marTop w:val="0"/>
      <w:marBottom w:val="120"/>
      <w:divBdr>
        <w:top w:val="none" w:sz="0" w:space="0" w:color="auto"/>
        <w:left w:val="none" w:sz="0" w:space="0" w:color="auto"/>
        <w:bottom w:val="single" w:sz="12" w:space="0" w:color="000000"/>
        <w:right w:val="none" w:sz="0" w:space="0" w:color="auto"/>
      </w:divBdr>
    </w:div>
    <w:div w:id="1551989048">
      <w:marLeft w:val="0"/>
      <w:marRight w:val="0"/>
      <w:marTop w:val="0"/>
      <w:marBottom w:val="120"/>
      <w:divBdr>
        <w:top w:val="none" w:sz="0" w:space="0" w:color="auto"/>
        <w:left w:val="none" w:sz="0" w:space="0" w:color="auto"/>
        <w:bottom w:val="single" w:sz="12" w:space="0" w:color="000000"/>
        <w:right w:val="none" w:sz="0" w:space="0" w:color="auto"/>
      </w:divBdr>
    </w:div>
    <w:div w:id="1557819202">
      <w:marLeft w:val="0"/>
      <w:marRight w:val="0"/>
      <w:marTop w:val="0"/>
      <w:marBottom w:val="120"/>
      <w:divBdr>
        <w:top w:val="none" w:sz="0" w:space="0" w:color="auto"/>
        <w:left w:val="none" w:sz="0" w:space="0" w:color="auto"/>
        <w:bottom w:val="single" w:sz="12" w:space="0" w:color="000000"/>
        <w:right w:val="none" w:sz="0" w:space="0" w:color="auto"/>
      </w:divBdr>
    </w:div>
    <w:div w:id="1629772912">
      <w:marLeft w:val="0"/>
      <w:marRight w:val="0"/>
      <w:marTop w:val="0"/>
      <w:marBottom w:val="120"/>
      <w:divBdr>
        <w:top w:val="none" w:sz="0" w:space="0" w:color="auto"/>
        <w:left w:val="none" w:sz="0" w:space="0" w:color="auto"/>
        <w:bottom w:val="single" w:sz="12" w:space="0" w:color="000000"/>
        <w:right w:val="none" w:sz="0" w:space="0" w:color="auto"/>
      </w:divBdr>
    </w:div>
    <w:div w:id="1743215108">
      <w:marLeft w:val="0"/>
      <w:marRight w:val="0"/>
      <w:marTop w:val="0"/>
      <w:marBottom w:val="120"/>
      <w:divBdr>
        <w:top w:val="none" w:sz="0" w:space="0" w:color="auto"/>
        <w:left w:val="none" w:sz="0" w:space="0" w:color="auto"/>
        <w:bottom w:val="single" w:sz="12" w:space="0" w:color="000000"/>
        <w:right w:val="none" w:sz="0" w:space="0" w:color="auto"/>
      </w:divBdr>
    </w:div>
    <w:div w:id="1774746719">
      <w:marLeft w:val="0"/>
      <w:marRight w:val="0"/>
      <w:marTop w:val="0"/>
      <w:marBottom w:val="120"/>
      <w:divBdr>
        <w:top w:val="none" w:sz="0" w:space="0" w:color="auto"/>
        <w:left w:val="none" w:sz="0" w:space="0" w:color="auto"/>
        <w:bottom w:val="single" w:sz="12" w:space="0" w:color="000000"/>
        <w:right w:val="none" w:sz="0" w:space="0" w:color="auto"/>
      </w:divBdr>
    </w:div>
    <w:div w:id="1825581965">
      <w:marLeft w:val="0"/>
      <w:marRight w:val="0"/>
      <w:marTop w:val="0"/>
      <w:marBottom w:val="0"/>
      <w:divBdr>
        <w:top w:val="single" w:sz="12" w:space="0" w:color="000000"/>
        <w:left w:val="none" w:sz="0" w:space="0" w:color="auto"/>
        <w:bottom w:val="single" w:sz="36" w:space="0" w:color="000000"/>
        <w:right w:val="none" w:sz="0" w:space="0" w:color="auto"/>
      </w:divBdr>
    </w:div>
    <w:div w:id="1866090315">
      <w:marLeft w:val="0"/>
      <w:marRight w:val="0"/>
      <w:marTop w:val="0"/>
      <w:marBottom w:val="120"/>
      <w:divBdr>
        <w:top w:val="none" w:sz="0" w:space="0" w:color="auto"/>
        <w:left w:val="none" w:sz="0" w:space="0" w:color="auto"/>
        <w:bottom w:val="single" w:sz="12" w:space="0" w:color="000000"/>
        <w:right w:val="none" w:sz="0" w:space="0" w:color="auto"/>
      </w:divBdr>
    </w:div>
    <w:div w:id="1957714195">
      <w:marLeft w:val="0"/>
      <w:marRight w:val="0"/>
      <w:marTop w:val="0"/>
      <w:marBottom w:val="120"/>
      <w:divBdr>
        <w:top w:val="none" w:sz="0" w:space="0" w:color="auto"/>
        <w:left w:val="none" w:sz="0" w:space="0" w:color="auto"/>
        <w:bottom w:val="single" w:sz="12" w:space="0" w:color="000000"/>
        <w:right w:val="none" w:sz="0" w:space="0" w:color="auto"/>
      </w:divBdr>
    </w:div>
    <w:div w:id="1973175075">
      <w:marLeft w:val="0"/>
      <w:marRight w:val="0"/>
      <w:marTop w:val="0"/>
      <w:marBottom w:val="120"/>
      <w:divBdr>
        <w:top w:val="none" w:sz="0" w:space="0" w:color="auto"/>
        <w:left w:val="none" w:sz="0" w:space="0" w:color="auto"/>
        <w:bottom w:val="single" w:sz="12" w:space="0" w:color="000000"/>
        <w:right w:val="none" w:sz="0" w:space="0" w:color="auto"/>
      </w:divBdr>
    </w:div>
    <w:div w:id="2076931403">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32-2.htm" TargetMode="External"/><Relationship Id="rId3" Type="http://schemas.openxmlformats.org/officeDocument/2006/relationships/webSettings" Target="webSettings.xml"/><Relationship Id="rId7" Type="http://schemas.openxmlformats.org/officeDocument/2006/relationships/hyperlink" Target="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1-2.htm" TargetMode="External"/><Relationship Id="rId5" Type="http://schemas.openxmlformats.org/officeDocument/2006/relationships/hyperlink" Target="ex31-1.htm" TargetMode="External"/><Relationship Id="rId10" Type="http://schemas.openxmlformats.org/officeDocument/2006/relationships/theme" Target="theme/theme1.xml"/><Relationship Id="rId4" Type="http://schemas.openxmlformats.org/officeDocument/2006/relationships/image" Target="file:///E:\projects\LLMs\new_data_collection\data_new\htm\CareCloud,%20Inc\logo_001.jpg"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17763</Words>
  <Characters>101253</Characters>
  <Application>Microsoft Office Word</Application>
  <DocSecurity>0</DocSecurity>
  <Lines>843</Lines>
  <Paragraphs>237</Paragraphs>
  <ScaleCrop>false</ScaleCrop>
  <Company/>
  <LinksUpToDate>false</LinksUpToDate>
  <CharactersWithSpaces>118779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2024-01-04T15:36:00Z</dcterms:created>
  <dcterms:modified xsi:type="dcterms:W3CDTF">2024-01-04T15:36:00Z</dcterms:modified>
</cp:coreProperties>
</file>