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B8FC" w14:textId="77777777" w:rsidR="00000000" w:rsidRDefault="001826C1">
      <w:pPr>
        <w:pStyle w:val="a3"/>
        <w:spacing w:before="0" w:beforeAutospacing="0" w:after="0" w:afterAutospacing="0"/>
        <w:jc w:val="center"/>
        <w:rPr>
          <w:sz w:val="20"/>
          <w:szCs w:val="20"/>
        </w:rPr>
      </w:pPr>
      <w:r>
        <w:rPr>
          <w:sz w:val="20"/>
          <w:szCs w:val="20"/>
        </w:rPr>
        <w:t> </w:t>
      </w:r>
    </w:p>
    <w:p w14:paraId="7417A364" w14:textId="77777777" w:rsidR="00000000" w:rsidRDefault="001826C1">
      <w:pPr>
        <w:divId w:val="789859643"/>
        <w:rPr>
          <w:rFonts w:eastAsia="Times New Roman"/>
          <w:sz w:val="2"/>
          <w:szCs w:val="2"/>
        </w:rPr>
      </w:pPr>
      <w:r>
        <w:rPr>
          <w:rFonts w:eastAsia="Times New Roman"/>
          <w:sz w:val="2"/>
          <w:szCs w:val="2"/>
        </w:rPr>
        <w:t> </w:t>
      </w:r>
    </w:p>
    <w:p w14:paraId="49E4194E" w14:textId="77777777" w:rsidR="00000000" w:rsidRDefault="001826C1">
      <w:pPr>
        <w:pStyle w:val="a3"/>
        <w:spacing w:before="0" w:beforeAutospacing="0" w:after="0" w:afterAutospacing="0"/>
        <w:jc w:val="center"/>
        <w:rPr>
          <w:sz w:val="20"/>
          <w:szCs w:val="20"/>
        </w:rPr>
      </w:pPr>
      <w:r>
        <w:rPr>
          <w:sz w:val="20"/>
          <w:szCs w:val="20"/>
        </w:rPr>
        <w:t> </w:t>
      </w:r>
    </w:p>
    <w:p w14:paraId="4EABA76B" w14:textId="77777777" w:rsidR="00000000" w:rsidRDefault="001826C1">
      <w:pPr>
        <w:pStyle w:val="a3"/>
        <w:spacing w:before="0" w:beforeAutospacing="0" w:after="0" w:afterAutospacing="0"/>
        <w:jc w:val="center"/>
        <w:rPr>
          <w:sz w:val="20"/>
          <w:szCs w:val="20"/>
        </w:rPr>
      </w:pPr>
      <w:r>
        <w:rPr>
          <w:b/>
          <w:bCs/>
          <w:sz w:val="36"/>
          <w:szCs w:val="36"/>
        </w:rPr>
        <w:t>UNITED STATES</w:t>
      </w:r>
    </w:p>
    <w:p w14:paraId="2A4284CC" w14:textId="77777777" w:rsidR="00000000" w:rsidRDefault="001826C1">
      <w:pPr>
        <w:pStyle w:val="a3"/>
        <w:spacing w:before="0" w:beforeAutospacing="0" w:after="0" w:afterAutospacing="0"/>
        <w:jc w:val="center"/>
        <w:rPr>
          <w:sz w:val="20"/>
          <w:szCs w:val="20"/>
        </w:rPr>
      </w:pPr>
      <w:r>
        <w:rPr>
          <w:b/>
          <w:bCs/>
          <w:sz w:val="36"/>
          <w:szCs w:val="36"/>
        </w:rPr>
        <w:t>SECURITIES AND EXCHANGE COMMISSION</w:t>
      </w:r>
    </w:p>
    <w:p w14:paraId="54ED402E" w14:textId="77777777" w:rsidR="00000000" w:rsidRDefault="001826C1">
      <w:pPr>
        <w:pStyle w:val="a3"/>
        <w:spacing w:before="0" w:beforeAutospacing="0" w:after="0" w:afterAutospacing="0"/>
        <w:jc w:val="center"/>
        <w:rPr>
          <w:sz w:val="20"/>
          <w:szCs w:val="20"/>
        </w:rPr>
      </w:pPr>
      <w:r>
        <w:rPr>
          <w:b/>
          <w:bCs/>
        </w:rPr>
        <w:t>Washington, D.C. 20549</w:t>
      </w:r>
    </w:p>
    <w:p w14:paraId="2CC3F5C9" w14:textId="77777777" w:rsidR="00000000" w:rsidRDefault="001826C1">
      <w:pPr>
        <w:pStyle w:val="a3"/>
        <w:spacing w:before="0" w:beforeAutospacing="0" w:after="0" w:afterAutospacing="0"/>
        <w:jc w:val="center"/>
        <w:rPr>
          <w:sz w:val="20"/>
          <w:szCs w:val="20"/>
        </w:rPr>
      </w:pPr>
      <w:r>
        <w:rPr>
          <w:sz w:val="20"/>
          <w:szCs w:val="20"/>
        </w:rPr>
        <w:t> </w:t>
      </w:r>
    </w:p>
    <w:p w14:paraId="74B8E806" w14:textId="77777777" w:rsidR="00000000" w:rsidRDefault="001826C1">
      <w:pPr>
        <w:pStyle w:val="a3"/>
        <w:spacing w:before="0" w:beforeAutospacing="0" w:after="0" w:afterAutospacing="0"/>
        <w:jc w:val="center"/>
        <w:rPr>
          <w:sz w:val="20"/>
          <w:szCs w:val="20"/>
        </w:rPr>
      </w:pPr>
      <w:r>
        <w:rPr>
          <w:b/>
          <w:bCs/>
          <w:sz w:val="36"/>
          <w:szCs w:val="36"/>
        </w:rPr>
        <w:t>Form 10-K</w:t>
      </w:r>
    </w:p>
    <w:p w14:paraId="74AA1D5F" w14:textId="77777777" w:rsidR="00000000" w:rsidRDefault="001826C1">
      <w:pPr>
        <w:pStyle w:val="a3"/>
        <w:spacing w:before="0" w:beforeAutospacing="0" w:after="0" w:afterAutospacing="0"/>
        <w:jc w:val="center"/>
        <w:rPr>
          <w:sz w:val="20"/>
          <w:szCs w:val="20"/>
        </w:rPr>
      </w:pPr>
      <w:r>
        <w:rPr>
          <w:b/>
          <w:bCs/>
          <w:sz w:val="20"/>
          <w:szCs w:val="20"/>
        </w:rPr>
        <w:t> </w:t>
      </w:r>
    </w:p>
    <w:p w14:paraId="3D35B4A2" w14:textId="77777777" w:rsidR="00000000" w:rsidRDefault="001826C1">
      <w:pPr>
        <w:pStyle w:val="a3"/>
        <w:spacing w:before="0" w:beforeAutospacing="0" w:after="0" w:afterAutospacing="0"/>
        <w:jc w:val="both"/>
        <w:rPr>
          <w:sz w:val="20"/>
          <w:szCs w:val="20"/>
        </w:rPr>
      </w:pPr>
      <w:r>
        <w:rPr>
          <w:b/>
          <w:bCs/>
          <w:sz w:val="20"/>
          <w:szCs w:val="20"/>
        </w:rPr>
        <w:t>(Mark one)</w:t>
      </w:r>
    </w:p>
    <w:p w14:paraId="505F6CB6" w14:textId="77777777" w:rsidR="00000000" w:rsidRDefault="001826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A4883FE" w14:textId="77777777">
        <w:tc>
          <w:tcPr>
            <w:tcW w:w="360" w:type="dxa"/>
            <w:hideMark/>
          </w:tcPr>
          <w:p w14:paraId="77DA755B" w14:textId="77777777" w:rsidR="00000000" w:rsidRDefault="001826C1">
            <w:pPr>
              <w:rPr>
                <w:rFonts w:eastAsia="Times New Roman"/>
                <w:sz w:val="20"/>
                <w:szCs w:val="20"/>
              </w:rPr>
            </w:pPr>
            <w:r>
              <w:rPr>
                <w:rFonts w:eastAsia="Times New Roman"/>
                <w:sz w:val="20"/>
                <w:szCs w:val="20"/>
              </w:rPr>
              <w:t> </w:t>
            </w:r>
          </w:p>
        </w:tc>
        <w:tc>
          <w:tcPr>
            <w:tcW w:w="360" w:type="dxa"/>
            <w:hideMark/>
          </w:tcPr>
          <w:p w14:paraId="12D50BD6" w14:textId="77777777" w:rsidR="00000000" w:rsidRDefault="001826C1">
            <w:pPr>
              <w:rPr>
                <w:rFonts w:eastAsia="Times New Roman"/>
                <w:sz w:val="20"/>
                <w:szCs w:val="20"/>
              </w:rPr>
            </w:pPr>
            <w:r>
              <w:rPr>
                <w:rFonts w:eastAsia="Times New Roman"/>
                <w:b/>
                <w:bCs/>
                <w:sz w:val="20"/>
                <w:szCs w:val="20"/>
              </w:rPr>
              <w:t>[X]</w:t>
            </w:r>
          </w:p>
        </w:tc>
        <w:tc>
          <w:tcPr>
            <w:tcW w:w="0" w:type="auto"/>
            <w:hideMark/>
          </w:tcPr>
          <w:p w14:paraId="1233DA40" w14:textId="77777777" w:rsidR="00000000" w:rsidRDefault="001826C1">
            <w:pPr>
              <w:jc w:val="both"/>
              <w:rPr>
                <w:rFonts w:eastAsia="Times New Roman"/>
                <w:sz w:val="20"/>
                <w:szCs w:val="20"/>
              </w:rPr>
            </w:pPr>
            <w:r>
              <w:rPr>
                <w:rFonts w:eastAsia="Times New Roman"/>
                <w:b/>
                <w:bCs/>
                <w:sz w:val="20"/>
                <w:szCs w:val="20"/>
              </w:rPr>
              <w:t xml:space="preserve">ANNUAL </w:t>
            </w:r>
            <w:r>
              <w:rPr>
                <w:rFonts w:eastAsia="Times New Roman"/>
                <w:b/>
                <w:bCs/>
                <w:sz w:val="20"/>
                <w:szCs w:val="20"/>
              </w:rPr>
              <w:t>REPORT PURSUANT TO SECTION 13 OR 15(d) OF THE SECURITIES EXCHANGE ACT OF 1934</w:t>
            </w:r>
          </w:p>
        </w:tc>
      </w:tr>
    </w:tbl>
    <w:p w14:paraId="7AFC90B2" w14:textId="77777777" w:rsidR="00000000" w:rsidRDefault="001826C1">
      <w:pPr>
        <w:pStyle w:val="a3"/>
        <w:spacing w:before="0" w:beforeAutospacing="0" w:after="0" w:afterAutospacing="0"/>
        <w:jc w:val="center"/>
        <w:rPr>
          <w:sz w:val="20"/>
          <w:szCs w:val="20"/>
        </w:rPr>
      </w:pPr>
      <w:r>
        <w:rPr>
          <w:b/>
          <w:bCs/>
          <w:sz w:val="20"/>
          <w:szCs w:val="20"/>
        </w:rPr>
        <w:t> </w:t>
      </w:r>
    </w:p>
    <w:p w14:paraId="4647EC4F" w14:textId="77777777" w:rsidR="00000000" w:rsidRDefault="001826C1">
      <w:pPr>
        <w:pStyle w:val="a3"/>
        <w:spacing w:before="0" w:beforeAutospacing="0" w:after="0" w:afterAutospacing="0"/>
        <w:jc w:val="center"/>
        <w:rPr>
          <w:sz w:val="20"/>
          <w:szCs w:val="20"/>
        </w:rPr>
      </w:pPr>
      <w:r>
        <w:rPr>
          <w:b/>
          <w:bCs/>
          <w:sz w:val="20"/>
          <w:szCs w:val="20"/>
        </w:rPr>
        <w:t>For the fiscal year ended December 31, 2019</w:t>
      </w:r>
    </w:p>
    <w:p w14:paraId="50415F0D" w14:textId="77777777" w:rsidR="00000000" w:rsidRDefault="001826C1">
      <w:pPr>
        <w:pStyle w:val="a3"/>
        <w:spacing w:before="0" w:beforeAutospacing="0" w:after="0" w:afterAutospacing="0"/>
        <w:jc w:val="center"/>
        <w:rPr>
          <w:sz w:val="20"/>
          <w:szCs w:val="20"/>
        </w:rPr>
      </w:pPr>
      <w:r>
        <w:rPr>
          <w:b/>
          <w:bCs/>
          <w:sz w:val="20"/>
          <w:szCs w:val="20"/>
        </w:rPr>
        <w:t> </w:t>
      </w:r>
    </w:p>
    <w:p w14:paraId="76E85315" w14:textId="77777777" w:rsidR="00000000" w:rsidRDefault="001826C1">
      <w:pPr>
        <w:pStyle w:val="a3"/>
        <w:spacing w:before="0" w:beforeAutospacing="0" w:after="0" w:afterAutospacing="0"/>
        <w:jc w:val="center"/>
        <w:rPr>
          <w:sz w:val="20"/>
          <w:szCs w:val="20"/>
        </w:rPr>
      </w:pPr>
      <w:r>
        <w:rPr>
          <w:b/>
          <w:bCs/>
          <w:sz w:val="20"/>
          <w:szCs w:val="20"/>
        </w:rPr>
        <w:t>or</w:t>
      </w:r>
    </w:p>
    <w:p w14:paraId="49C832E8" w14:textId="77777777" w:rsidR="00000000" w:rsidRDefault="001826C1">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7ECDF61E" w14:textId="77777777">
        <w:tc>
          <w:tcPr>
            <w:tcW w:w="360" w:type="dxa"/>
            <w:hideMark/>
          </w:tcPr>
          <w:p w14:paraId="2055C5E0" w14:textId="77777777" w:rsidR="00000000" w:rsidRDefault="001826C1">
            <w:pPr>
              <w:rPr>
                <w:rFonts w:eastAsia="Times New Roman"/>
                <w:sz w:val="20"/>
                <w:szCs w:val="20"/>
              </w:rPr>
            </w:pPr>
            <w:r>
              <w:rPr>
                <w:rFonts w:eastAsia="Times New Roman"/>
                <w:sz w:val="20"/>
                <w:szCs w:val="20"/>
              </w:rPr>
              <w:t> </w:t>
            </w:r>
          </w:p>
        </w:tc>
        <w:tc>
          <w:tcPr>
            <w:tcW w:w="360" w:type="dxa"/>
            <w:hideMark/>
          </w:tcPr>
          <w:p w14:paraId="1594E2D1" w14:textId="77777777" w:rsidR="00000000" w:rsidRDefault="001826C1">
            <w:pPr>
              <w:rPr>
                <w:rFonts w:eastAsia="Times New Roman"/>
                <w:sz w:val="20"/>
                <w:szCs w:val="20"/>
              </w:rPr>
            </w:pPr>
            <w:r>
              <w:rPr>
                <w:rFonts w:eastAsia="Times New Roman"/>
                <w:sz w:val="20"/>
                <w:szCs w:val="20"/>
              </w:rPr>
              <w:t>[  ]</w:t>
            </w:r>
          </w:p>
        </w:tc>
        <w:tc>
          <w:tcPr>
            <w:tcW w:w="0" w:type="auto"/>
            <w:hideMark/>
          </w:tcPr>
          <w:p w14:paraId="0BCE277F" w14:textId="77777777" w:rsidR="00000000" w:rsidRDefault="001826C1">
            <w:pPr>
              <w:jc w:val="both"/>
              <w:rPr>
                <w:rFonts w:eastAsia="Times New Roman"/>
                <w:sz w:val="20"/>
                <w:szCs w:val="20"/>
              </w:rPr>
            </w:pPr>
            <w:r>
              <w:rPr>
                <w:rFonts w:eastAsia="Times New Roman"/>
                <w:b/>
                <w:bCs/>
                <w:sz w:val="20"/>
                <w:szCs w:val="20"/>
              </w:rPr>
              <w:t xml:space="preserve">TRANSITION </w:t>
            </w:r>
            <w:r>
              <w:rPr>
                <w:rFonts w:eastAsia="Times New Roman"/>
                <w:b/>
                <w:bCs/>
                <w:sz w:val="20"/>
                <w:szCs w:val="20"/>
              </w:rPr>
              <w:t>REPORT PURSUANT TO SECTION 13 OR 15(d) OF THE SECURITIES EXCHANGE ACT OF 1934</w:t>
            </w:r>
          </w:p>
        </w:tc>
      </w:tr>
    </w:tbl>
    <w:p w14:paraId="3E67EBF0" w14:textId="77777777" w:rsidR="00000000" w:rsidRDefault="001826C1">
      <w:pPr>
        <w:pStyle w:val="a3"/>
        <w:spacing w:before="0" w:beforeAutospacing="0" w:after="0" w:afterAutospacing="0"/>
        <w:jc w:val="center"/>
        <w:rPr>
          <w:sz w:val="20"/>
          <w:szCs w:val="20"/>
        </w:rPr>
      </w:pPr>
      <w:r>
        <w:rPr>
          <w:sz w:val="20"/>
          <w:szCs w:val="20"/>
        </w:rPr>
        <w:t> </w:t>
      </w:r>
    </w:p>
    <w:p w14:paraId="33D32696" w14:textId="77777777" w:rsidR="00000000" w:rsidRDefault="001826C1">
      <w:pPr>
        <w:pStyle w:val="a3"/>
        <w:spacing w:before="0" w:beforeAutospacing="0" w:after="0" w:afterAutospacing="0"/>
        <w:jc w:val="center"/>
        <w:rPr>
          <w:sz w:val="20"/>
          <w:szCs w:val="20"/>
        </w:rPr>
      </w:pPr>
      <w:r>
        <w:rPr>
          <w:b/>
          <w:bCs/>
          <w:sz w:val="20"/>
          <w:szCs w:val="20"/>
        </w:rPr>
        <w:t>For the transition period from         to</w:t>
      </w:r>
    </w:p>
    <w:p w14:paraId="467C1E83" w14:textId="77777777" w:rsidR="00000000" w:rsidRDefault="001826C1">
      <w:pPr>
        <w:pStyle w:val="a3"/>
        <w:spacing w:before="0" w:beforeAutospacing="0" w:after="0" w:afterAutospacing="0"/>
        <w:jc w:val="center"/>
        <w:rPr>
          <w:sz w:val="20"/>
          <w:szCs w:val="20"/>
        </w:rPr>
      </w:pPr>
      <w:r>
        <w:rPr>
          <w:sz w:val="20"/>
          <w:szCs w:val="20"/>
        </w:rPr>
        <w:t> </w:t>
      </w:r>
    </w:p>
    <w:p w14:paraId="22AB4F26" w14:textId="77777777" w:rsidR="00000000" w:rsidRDefault="001826C1">
      <w:pPr>
        <w:pStyle w:val="a3"/>
        <w:spacing w:before="0" w:beforeAutospacing="0" w:after="0" w:afterAutospacing="0"/>
        <w:jc w:val="center"/>
        <w:rPr>
          <w:sz w:val="20"/>
          <w:szCs w:val="20"/>
        </w:rPr>
      </w:pPr>
      <w:r>
        <w:rPr>
          <w:b/>
          <w:bCs/>
          <w:sz w:val="20"/>
          <w:szCs w:val="20"/>
        </w:rPr>
        <w:t>Commission File Number: 001-36529</w:t>
      </w:r>
    </w:p>
    <w:p w14:paraId="21082A31" w14:textId="77777777" w:rsidR="00000000" w:rsidRDefault="001826C1">
      <w:pPr>
        <w:pStyle w:val="a3"/>
        <w:spacing w:before="0" w:beforeAutospacing="0" w:after="0" w:afterAutospacing="0"/>
        <w:jc w:val="center"/>
        <w:rPr>
          <w:sz w:val="20"/>
          <w:szCs w:val="20"/>
        </w:rPr>
      </w:pPr>
      <w:r>
        <w:rPr>
          <w:sz w:val="20"/>
          <w:szCs w:val="20"/>
        </w:rPr>
        <w:t> </w:t>
      </w:r>
    </w:p>
    <w:p w14:paraId="514754EB" w14:textId="77777777" w:rsidR="00000000" w:rsidRDefault="001826C1">
      <w:pPr>
        <w:pStyle w:val="a3"/>
        <w:spacing w:before="0" w:beforeAutospacing="0" w:after="0" w:afterAutospacing="0"/>
        <w:jc w:val="center"/>
        <w:rPr>
          <w:sz w:val="20"/>
          <w:szCs w:val="20"/>
        </w:rPr>
      </w:pPr>
      <w:r>
        <w:rPr>
          <w:b/>
          <w:bCs/>
          <w:noProof/>
          <w:sz w:val="20"/>
          <w:szCs w:val="20"/>
        </w:rPr>
        <w:drawing>
          <wp:inline distT="0" distB="0" distL="0" distR="0" wp14:anchorId="35CC655B" wp14:editId="7D591432">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891A146" w14:textId="77777777" w:rsidR="00000000" w:rsidRDefault="001826C1">
      <w:pPr>
        <w:pStyle w:val="a3"/>
        <w:spacing w:before="0" w:beforeAutospacing="0" w:after="0" w:afterAutospacing="0"/>
        <w:jc w:val="center"/>
        <w:rPr>
          <w:sz w:val="20"/>
          <w:szCs w:val="20"/>
        </w:rPr>
      </w:pPr>
      <w:r>
        <w:rPr>
          <w:b/>
          <w:bCs/>
          <w:sz w:val="20"/>
          <w:szCs w:val="20"/>
        </w:rPr>
        <w:t> </w:t>
      </w:r>
    </w:p>
    <w:p w14:paraId="45E4D578" w14:textId="77777777" w:rsidR="00000000" w:rsidRDefault="001826C1">
      <w:pPr>
        <w:pStyle w:val="a3"/>
        <w:spacing w:before="0" w:beforeAutospacing="0" w:after="0" w:afterAutospacing="0"/>
        <w:jc w:val="center"/>
        <w:rPr>
          <w:sz w:val="20"/>
          <w:szCs w:val="20"/>
        </w:rPr>
      </w:pPr>
      <w:r>
        <w:rPr>
          <w:b/>
          <w:bCs/>
          <w:sz w:val="36"/>
          <w:szCs w:val="36"/>
        </w:rPr>
        <w:t xml:space="preserve">MTBC, </w:t>
      </w:r>
      <w:r>
        <w:rPr>
          <w:b/>
          <w:bCs/>
          <w:sz w:val="36"/>
          <w:szCs w:val="36"/>
        </w:rPr>
        <w:t>Inc.</w:t>
      </w:r>
    </w:p>
    <w:p w14:paraId="76DE2AAA" w14:textId="77777777" w:rsidR="00000000" w:rsidRDefault="001826C1">
      <w:pPr>
        <w:pStyle w:val="a3"/>
        <w:spacing w:before="0" w:beforeAutospacing="0" w:after="0" w:afterAutospacing="0"/>
        <w:jc w:val="center"/>
        <w:rPr>
          <w:sz w:val="20"/>
          <w:szCs w:val="20"/>
        </w:rPr>
      </w:pPr>
      <w:r>
        <w:rPr>
          <w:i/>
          <w:iCs/>
          <w:sz w:val="20"/>
          <w:szCs w:val="20"/>
        </w:rPr>
        <w:t>(Exact name of registrant as specified in its charter)</w:t>
      </w:r>
    </w:p>
    <w:p w14:paraId="4417C64D" w14:textId="77777777" w:rsidR="00000000" w:rsidRDefault="001826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641525A8" w14:textId="77777777">
        <w:tc>
          <w:tcPr>
            <w:tcW w:w="2450" w:type="pct"/>
            <w:hideMark/>
          </w:tcPr>
          <w:p w14:paraId="5F1F4C44" w14:textId="77777777" w:rsidR="00000000" w:rsidRDefault="001826C1">
            <w:pPr>
              <w:jc w:val="center"/>
              <w:rPr>
                <w:rFonts w:eastAsia="Times New Roman"/>
                <w:sz w:val="20"/>
                <w:szCs w:val="20"/>
              </w:rPr>
            </w:pPr>
            <w:r>
              <w:rPr>
                <w:rFonts w:eastAsia="Times New Roman"/>
                <w:b/>
                <w:bCs/>
                <w:sz w:val="20"/>
                <w:szCs w:val="20"/>
              </w:rPr>
              <w:t>Delaware</w:t>
            </w:r>
          </w:p>
        </w:tc>
        <w:tc>
          <w:tcPr>
            <w:tcW w:w="100" w:type="pct"/>
            <w:hideMark/>
          </w:tcPr>
          <w:p w14:paraId="4EBDB3CE" w14:textId="77777777" w:rsidR="00000000" w:rsidRDefault="001826C1">
            <w:pPr>
              <w:jc w:val="center"/>
              <w:rPr>
                <w:rFonts w:eastAsia="Times New Roman"/>
                <w:sz w:val="20"/>
                <w:szCs w:val="20"/>
              </w:rPr>
            </w:pPr>
            <w:r>
              <w:rPr>
                <w:rFonts w:eastAsia="Times New Roman"/>
                <w:sz w:val="20"/>
                <w:szCs w:val="20"/>
              </w:rPr>
              <w:t> </w:t>
            </w:r>
          </w:p>
        </w:tc>
        <w:tc>
          <w:tcPr>
            <w:tcW w:w="2450" w:type="pct"/>
            <w:hideMark/>
          </w:tcPr>
          <w:p w14:paraId="5EA7BD47" w14:textId="77777777" w:rsidR="00000000" w:rsidRDefault="001826C1">
            <w:pPr>
              <w:jc w:val="center"/>
              <w:rPr>
                <w:rFonts w:eastAsia="Times New Roman"/>
                <w:sz w:val="20"/>
                <w:szCs w:val="20"/>
              </w:rPr>
            </w:pPr>
            <w:r>
              <w:rPr>
                <w:rFonts w:eastAsia="Times New Roman"/>
                <w:b/>
                <w:bCs/>
                <w:sz w:val="20"/>
                <w:szCs w:val="20"/>
              </w:rPr>
              <w:t>22-3832302</w:t>
            </w:r>
          </w:p>
        </w:tc>
      </w:tr>
      <w:tr w:rsidR="00000000" w14:paraId="79AA15F2" w14:textId="77777777">
        <w:tc>
          <w:tcPr>
            <w:tcW w:w="0" w:type="auto"/>
            <w:hideMark/>
          </w:tcPr>
          <w:p w14:paraId="1A528835" w14:textId="77777777" w:rsidR="00000000" w:rsidRDefault="001826C1">
            <w:pPr>
              <w:pStyle w:val="a3"/>
              <w:spacing w:before="0" w:beforeAutospacing="0" w:after="0" w:afterAutospacing="0"/>
              <w:jc w:val="center"/>
              <w:rPr>
                <w:sz w:val="20"/>
                <w:szCs w:val="20"/>
              </w:rPr>
            </w:pPr>
            <w:r>
              <w:rPr>
                <w:i/>
                <w:iCs/>
                <w:sz w:val="20"/>
                <w:szCs w:val="20"/>
              </w:rPr>
              <w:t>(State or other jurisdiction of</w:t>
            </w:r>
          </w:p>
          <w:p w14:paraId="6B401B7D" w14:textId="77777777" w:rsidR="00000000" w:rsidRDefault="001826C1">
            <w:pPr>
              <w:pStyle w:val="a3"/>
              <w:spacing w:before="0" w:beforeAutospacing="0" w:after="0" w:afterAutospacing="0"/>
              <w:jc w:val="center"/>
              <w:rPr>
                <w:sz w:val="20"/>
                <w:szCs w:val="20"/>
              </w:rPr>
            </w:pPr>
            <w:r>
              <w:rPr>
                <w:i/>
                <w:iCs/>
                <w:sz w:val="20"/>
                <w:szCs w:val="20"/>
              </w:rPr>
              <w:t>incorporation or organization)</w:t>
            </w:r>
          </w:p>
        </w:tc>
        <w:tc>
          <w:tcPr>
            <w:tcW w:w="0" w:type="auto"/>
            <w:hideMark/>
          </w:tcPr>
          <w:p w14:paraId="156B7A22" w14:textId="77777777" w:rsidR="00000000" w:rsidRDefault="001826C1">
            <w:pPr>
              <w:jc w:val="center"/>
              <w:rPr>
                <w:rFonts w:eastAsia="Times New Roman"/>
                <w:sz w:val="20"/>
                <w:szCs w:val="20"/>
              </w:rPr>
            </w:pPr>
            <w:r>
              <w:rPr>
                <w:rFonts w:eastAsia="Times New Roman"/>
                <w:sz w:val="20"/>
                <w:szCs w:val="20"/>
              </w:rPr>
              <w:t> </w:t>
            </w:r>
          </w:p>
        </w:tc>
        <w:tc>
          <w:tcPr>
            <w:tcW w:w="0" w:type="auto"/>
            <w:hideMark/>
          </w:tcPr>
          <w:p w14:paraId="5739173C" w14:textId="77777777" w:rsidR="00000000" w:rsidRDefault="001826C1">
            <w:pPr>
              <w:pStyle w:val="a3"/>
              <w:spacing w:before="0" w:beforeAutospacing="0" w:after="0" w:afterAutospacing="0"/>
              <w:jc w:val="center"/>
              <w:rPr>
                <w:sz w:val="20"/>
                <w:szCs w:val="20"/>
              </w:rPr>
            </w:pPr>
            <w:r>
              <w:rPr>
                <w:i/>
                <w:iCs/>
                <w:sz w:val="20"/>
                <w:szCs w:val="20"/>
              </w:rPr>
              <w:t>(I.R.S. Employer</w:t>
            </w:r>
          </w:p>
          <w:p w14:paraId="443D2B11" w14:textId="77777777" w:rsidR="00000000" w:rsidRDefault="001826C1">
            <w:pPr>
              <w:pStyle w:val="a3"/>
              <w:spacing w:before="0" w:beforeAutospacing="0" w:after="0" w:afterAutospacing="0"/>
              <w:jc w:val="center"/>
              <w:rPr>
                <w:sz w:val="20"/>
                <w:szCs w:val="20"/>
              </w:rPr>
            </w:pPr>
            <w:r>
              <w:rPr>
                <w:i/>
                <w:iCs/>
                <w:sz w:val="20"/>
                <w:szCs w:val="20"/>
              </w:rPr>
              <w:t>Identification Number)</w:t>
            </w:r>
          </w:p>
        </w:tc>
      </w:tr>
    </w:tbl>
    <w:p w14:paraId="0D18DEE7" w14:textId="77777777" w:rsidR="00000000" w:rsidRDefault="001826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14:paraId="24E6688C" w14:textId="77777777">
        <w:tc>
          <w:tcPr>
            <w:tcW w:w="2450" w:type="pct"/>
            <w:hideMark/>
          </w:tcPr>
          <w:p w14:paraId="0E2BEC4F" w14:textId="77777777" w:rsidR="00000000" w:rsidRDefault="001826C1">
            <w:pPr>
              <w:pStyle w:val="a3"/>
              <w:spacing w:before="0" w:beforeAutospacing="0" w:after="0" w:afterAutospacing="0"/>
              <w:jc w:val="center"/>
              <w:rPr>
                <w:sz w:val="20"/>
                <w:szCs w:val="20"/>
              </w:rPr>
            </w:pPr>
            <w:r>
              <w:rPr>
                <w:b/>
                <w:bCs/>
                <w:sz w:val="20"/>
                <w:szCs w:val="20"/>
              </w:rPr>
              <w:t>7 Clyde Road</w:t>
            </w:r>
          </w:p>
          <w:p w14:paraId="46154281" w14:textId="77777777" w:rsidR="00000000" w:rsidRDefault="001826C1">
            <w:pPr>
              <w:pStyle w:val="a3"/>
              <w:spacing w:before="0" w:beforeAutospacing="0" w:after="0" w:afterAutospacing="0"/>
              <w:jc w:val="center"/>
              <w:rPr>
                <w:sz w:val="20"/>
                <w:szCs w:val="20"/>
              </w:rPr>
            </w:pPr>
            <w:r>
              <w:rPr>
                <w:b/>
                <w:bCs/>
                <w:sz w:val="20"/>
                <w:szCs w:val="20"/>
              </w:rPr>
              <w:t>Somerset, New Jersey</w:t>
            </w:r>
          </w:p>
        </w:tc>
        <w:tc>
          <w:tcPr>
            <w:tcW w:w="100" w:type="pct"/>
            <w:hideMark/>
          </w:tcPr>
          <w:p w14:paraId="38A5245B" w14:textId="77777777" w:rsidR="00000000" w:rsidRDefault="001826C1">
            <w:pPr>
              <w:jc w:val="center"/>
              <w:rPr>
                <w:rFonts w:eastAsia="Times New Roman"/>
                <w:sz w:val="20"/>
                <w:szCs w:val="20"/>
              </w:rPr>
            </w:pPr>
            <w:r>
              <w:rPr>
                <w:rFonts w:eastAsia="Times New Roman"/>
                <w:sz w:val="20"/>
                <w:szCs w:val="20"/>
              </w:rPr>
              <w:t> </w:t>
            </w:r>
          </w:p>
        </w:tc>
        <w:tc>
          <w:tcPr>
            <w:tcW w:w="2450" w:type="pct"/>
            <w:vAlign w:val="bottom"/>
            <w:hideMark/>
          </w:tcPr>
          <w:p w14:paraId="32709A91" w14:textId="77777777" w:rsidR="00000000" w:rsidRDefault="001826C1">
            <w:pPr>
              <w:jc w:val="center"/>
              <w:rPr>
                <w:rFonts w:eastAsia="Times New Roman"/>
                <w:sz w:val="20"/>
                <w:szCs w:val="20"/>
              </w:rPr>
            </w:pPr>
            <w:r>
              <w:rPr>
                <w:rFonts w:eastAsia="Times New Roman"/>
                <w:b/>
                <w:bCs/>
                <w:sz w:val="20"/>
                <w:szCs w:val="20"/>
              </w:rPr>
              <w:t>08873</w:t>
            </w:r>
          </w:p>
        </w:tc>
      </w:tr>
      <w:tr w:rsidR="00000000" w14:paraId="17D6B8DE" w14:textId="77777777">
        <w:tc>
          <w:tcPr>
            <w:tcW w:w="0" w:type="auto"/>
            <w:hideMark/>
          </w:tcPr>
          <w:p w14:paraId="36457B5B" w14:textId="77777777" w:rsidR="00000000" w:rsidRDefault="001826C1">
            <w:pPr>
              <w:jc w:val="center"/>
              <w:rPr>
                <w:rFonts w:eastAsia="Times New Roman"/>
                <w:sz w:val="20"/>
                <w:szCs w:val="20"/>
              </w:rPr>
            </w:pPr>
            <w:r>
              <w:rPr>
                <w:rFonts w:eastAsia="Times New Roman"/>
                <w:i/>
                <w:iCs/>
                <w:sz w:val="20"/>
                <w:szCs w:val="20"/>
              </w:rPr>
              <w:t xml:space="preserve">(Address </w:t>
            </w:r>
            <w:r>
              <w:rPr>
                <w:rFonts w:eastAsia="Times New Roman"/>
                <w:i/>
                <w:iCs/>
                <w:sz w:val="20"/>
                <w:szCs w:val="20"/>
              </w:rPr>
              <w:t>of principal executive offices)</w:t>
            </w:r>
          </w:p>
        </w:tc>
        <w:tc>
          <w:tcPr>
            <w:tcW w:w="0" w:type="auto"/>
            <w:hideMark/>
          </w:tcPr>
          <w:p w14:paraId="229A2A40" w14:textId="77777777" w:rsidR="00000000" w:rsidRDefault="001826C1">
            <w:pPr>
              <w:jc w:val="center"/>
              <w:rPr>
                <w:rFonts w:eastAsia="Times New Roman"/>
                <w:sz w:val="20"/>
                <w:szCs w:val="20"/>
              </w:rPr>
            </w:pPr>
            <w:r>
              <w:rPr>
                <w:rFonts w:eastAsia="Times New Roman"/>
                <w:sz w:val="20"/>
                <w:szCs w:val="20"/>
              </w:rPr>
              <w:t> </w:t>
            </w:r>
          </w:p>
        </w:tc>
        <w:tc>
          <w:tcPr>
            <w:tcW w:w="0" w:type="auto"/>
            <w:hideMark/>
          </w:tcPr>
          <w:p w14:paraId="0F53AB13" w14:textId="77777777" w:rsidR="00000000" w:rsidRDefault="001826C1">
            <w:pPr>
              <w:jc w:val="center"/>
              <w:rPr>
                <w:rFonts w:eastAsia="Times New Roman"/>
                <w:sz w:val="20"/>
                <w:szCs w:val="20"/>
              </w:rPr>
            </w:pPr>
            <w:r>
              <w:rPr>
                <w:rFonts w:eastAsia="Times New Roman"/>
                <w:i/>
                <w:iCs/>
                <w:sz w:val="20"/>
                <w:szCs w:val="20"/>
              </w:rPr>
              <w:t>(Zip Code)</w:t>
            </w:r>
          </w:p>
        </w:tc>
      </w:tr>
    </w:tbl>
    <w:p w14:paraId="237EE2A2" w14:textId="77777777" w:rsidR="00000000" w:rsidRDefault="001826C1">
      <w:pPr>
        <w:pStyle w:val="a3"/>
        <w:spacing w:before="0" w:beforeAutospacing="0" w:after="0" w:afterAutospacing="0"/>
        <w:jc w:val="center"/>
        <w:rPr>
          <w:sz w:val="20"/>
          <w:szCs w:val="20"/>
        </w:rPr>
      </w:pPr>
      <w:r>
        <w:rPr>
          <w:sz w:val="20"/>
          <w:szCs w:val="20"/>
        </w:rPr>
        <w:t> </w:t>
      </w:r>
    </w:p>
    <w:p w14:paraId="55C92D5A" w14:textId="77777777" w:rsidR="00000000" w:rsidRDefault="001826C1">
      <w:pPr>
        <w:pStyle w:val="a3"/>
        <w:spacing w:before="0" w:beforeAutospacing="0" w:after="0" w:afterAutospacing="0"/>
        <w:jc w:val="center"/>
        <w:rPr>
          <w:sz w:val="20"/>
          <w:szCs w:val="20"/>
        </w:rPr>
      </w:pPr>
      <w:r>
        <w:rPr>
          <w:b/>
          <w:bCs/>
          <w:sz w:val="20"/>
          <w:szCs w:val="20"/>
        </w:rPr>
        <w:t>(732) 873-5133</w:t>
      </w:r>
    </w:p>
    <w:p w14:paraId="21DDC0FF" w14:textId="77777777" w:rsidR="00000000" w:rsidRDefault="001826C1">
      <w:pPr>
        <w:pStyle w:val="a3"/>
        <w:spacing w:before="0" w:beforeAutospacing="0" w:after="0" w:afterAutospacing="0"/>
        <w:jc w:val="center"/>
        <w:rPr>
          <w:sz w:val="20"/>
          <w:szCs w:val="20"/>
        </w:rPr>
      </w:pPr>
      <w:r>
        <w:rPr>
          <w:i/>
          <w:iCs/>
          <w:sz w:val="20"/>
          <w:szCs w:val="20"/>
        </w:rPr>
        <w:t>(Registrant’s telephone number, including area code)</w:t>
      </w:r>
    </w:p>
    <w:p w14:paraId="5341AE4F" w14:textId="77777777" w:rsidR="00000000" w:rsidRDefault="001826C1">
      <w:pPr>
        <w:pStyle w:val="a3"/>
        <w:spacing w:before="0" w:beforeAutospacing="0" w:after="0" w:afterAutospacing="0"/>
        <w:jc w:val="center"/>
        <w:rPr>
          <w:sz w:val="20"/>
          <w:szCs w:val="20"/>
        </w:rPr>
      </w:pPr>
      <w:r>
        <w:rPr>
          <w:i/>
          <w:iCs/>
          <w:sz w:val="20"/>
          <w:szCs w:val="20"/>
        </w:rPr>
        <w:t> </w:t>
      </w:r>
    </w:p>
    <w:p w14:paraId="19C8E4F8" w14:textId="77777777" w:rsidR="00000000" w:rsidRDefault="001826C1">
      <w:pPr>
        <w:pStyle w:val="a3"/>
        <w:spacing w:before="0" w:beforeAutospacing="0" w:after="0" w:afterAutospacing="0"/>
        <w:jc w:val="center"/>
        <w:rPr>
          <w:sz w:val="20"/>
          <w:szCs w:val="20"/>
        </w:rPr>
      </w:pPr>
      <w:r>
        <w:rPr>
          <w:sz w:val="20"/>
          <w:szCs w:val="20"/>
        </w:rPr>
        <w:t>Securities registered pursuant to Section 12(b) of the Act:</w:t>
      </w:r>
    </w:p>
    <w:p w14:paraId="4B04B085" w14:textId="77777777" w:rsidR="00000000" w:rsidRDefault="001826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57"/>
        <w:gridCol w:w="166"/>
        <w:gridCol w:w="1993"/>
        <w:gridCol w:w="166"/>
        <w:gridCol w:w="2824"/>
      </w:tblGrid>
      <w:tr w:rsidR="00000000" w14:paraId="30B8F5A4" w14:textId="77777777">
        <w:tc>
          <w:tcPr>
            <w:tcW w:w="1900" w:type="pct"/>
            <w:tcBorders>
              <w:bottom w:val="single" w:sz="12" w:space="0" w:color="000000"/>
            </w:tcBorders>
            <w:vAlign w:val="center"/>
            <w:hideMark/>
          </w:tcPr>
          <w:p w14:paraId="0DF4C186" w14:textId="77777777" w:rsidR="00000000" w:rsidRDefault="001826C1">
            <w:pPr>
              <w:jc w:val="center"/>
              <w:rPr>
                <w:rFonts w:eastAsia="Times New Roman"/>
                <w:sz w:val="20"/>
                <w:szCs w:val="20"/>
              </w:rPr>
            </w:pPr>
            <w:r>
              <w:rPr>
                <w:rFonts w:eastAsia="Times New Roman"/>
                <w:b/>
                <w:bCs/>
                <w:sz w:val="20"/>
                <w:szCs w:val="20"/>
              </w:rPr>
              <w:t>Title of each class</w:t>
            </w:r>
          </w:p>
        </w:tc>
        <w:tc>
          <w:tcPr>
            <w:tcW w:w="100" w:type="pct"/>
            <w:tcMar>
              <w:top w:w="0" w:type="dxa"/>
              <w:left w:w="0" w:type="dxa"/>
              <w:bottom w:w="30" w:type="dxa"/>
              <w:right w:w="0" w:type="dxa"/>
            </w:tcMar>
            <w:vAlign w:val="center"/>
            <w:hideMark/>
          </w:tcPr>
          <w:p w14:paraId="01B0F80B" w14:textId="77777777" w:rsidR="00000000" w:rsidRDefault="001826C1">
            <w:pPr>
              <w:jc w:val="center"/>
              <w:rPr>
                <w:rFonts w:eastAsia="Times New Roman"/>
                <w:sz w:val="20"/>
                <w:szCs w:val="20"/>
              </w:rPr>
            </w:pPr>
            <w:r>
              <w:rPr>
                <w:rFonts w:eastAsia="Times New Roman"/>
                <w:sz w:val="20"/>
                <w:szCs w:val="20"/>
              </w:rPr>
              <w:t> </w:t>
            </w:r>
          </w:p>
        </w:tc>
        <w:tc>
          <w:tcPr>
            <w:tcW w:w="1200" w:type="pct"/>
            <w:tcBorders>
              <w:bottom w:val="single" w:sz="12" w:space="0" w:color="000000"/>
            </w:tcBorders>
            <w:vAlign w:val="center"/>
            <w:hideMark/>
          </w:tcPr>
          <w:p w14:paraId="7D28609C" w14:textId="77777777" w:rsidR="00000000" w:rsidRDefault="001826C1">
            <w:pPr>
              <w:jc w:val="center"/>
              <w:rPr>
                <w:rFonts w:eastAsia="Times New Roman"/>
                <w:sz w:val="20"/>
                <w:szCs w:val="20"/>
              </w:rPr>
            </w:pPr>
            <w:r>
              <w:rPr>
                <w:rFonts w:eastAsia="Times New Roman"/>
                <w:b/>
                <w:bCs/>
                <w:sz w:val="20"/>
                <w:szCs w:val="20"/>
              </w:rPr>
              <w:t>Trading Symbol(s)</w:t>
            </w:r>
          </w:p>
        </w:tc>
        <w:tc>
          <w:tcPr>
            <w:tcW w:w="100" w:type="pct"/>
            <w:tcMar>
              <w:top w:w="0" w:type="dxa"/>
              <w:left w:w="0" w:type="dxa"/>
              <w:bottom w:w="30" w:type="dxa"/>
              <w:right w:w="0" w:type="dxa"/>
            </w:tcMar>
            <w:vAlign w:val="center"/>
            <w:hideMark/>
          </w:tcPr>
          <w:p w14:paraId="110F3DBC" w14:textId="77777777" w:rsidR="00000000" w:rsidRDefault="001826C1">
            <w:pPr>
              <w:jc w:val="center"/>
              <w:rPr>
                <w:rFonts w:eastAsia="Times New Roman"/>
                <w:sz w:val="20"/>
                <w:szCs w:val="20"/>
              </w:rPr>
            </w:pPr>
            <w:r>
              <w:rPr>
                <w:rFonts w:eastAsia="Times New Roman"/>
                <w:sz w:val="20"/>
                <w:szCs w:val="20"/>
              </w:rPr>
              <w:t> </w:t>
            </w:r>
          </w:p>
        </w:tc>
        <w:tc>
          <w:tcPr>
            <w:tcW w:w="1700" w:type="pct"/>
            <w:tcBorders>
              <w:bottom w:val="single" w:sz="12" w:space="0" w:color="000000"/>
            </w:tcBorders>
            <w:vAlign w:val="center"/>
            <w:hideMark/>
          </w:tcPr>
          <w:p w14:paraId="10BFFF7C" w14:textId="77777777" w:rsidR="00000000" w:rsidRDefault="001826C1">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exchange on which registered</w:t>
            </w:r>
          </w:p>
        </w:tc>
      </w:tr>
      <w:tr w:rsidR="00000000" w14:paraId="39CE3D2F" w14:textId="77777777">
        <w:tc>
          <w:tcPr>
            <w:tcW w:w="0" w:type="auto"/>
            <w:vAlign w:val="center"/>
            <w:hideMark/>
          </w:tcPr>
          <w:p w14:paraId="42B453E5" w14:textId="77777777" w:rsidR="00000000" w:rsidRDefault="001826C1">
            <w:pPr>
              <w:jc w:val="center"/>
              <w:rPr>
                <w:rFonts w:eastAsia="Times New Roman"/>
                <w:sz w:val="20"/>
                <w:szCs w:val="20"/>
              </w:rPr>
            </w:pPr>
            <w:r>
              <w:rPr>
                <w:rFonts w:eastAsia="Times New Roman"/>
                <w:sz w:val="20"/>
                <w:szCs w:val="20"/>
              </w:rPr>
              <w:t>Common Stock, par value $0.001 per share</w:t>
            </w:r>
          </w:p>
        </w:tc>
        <w:tc>
          <w:tcPr>
            <w:tcW w:w="0" w:type="auto"/>
            <w:vAlign w:val="center"/>
            <w:hideMark/>
          </w:tcPr>
          <w:p w14:paraId="1B033E54" w14:textId="77777777" w:rsidR="00000000" w:rsidRDefault="001826C1">
            <w:pPr>
              <w:jc w:val="center"/>
              <w:rPr>
                <w:rFonts w:eastAsia="Times New Roman"/>
                <w:sz w:val="20"/>
                <w:szCs w:val="20"/>
              </w:rPr>
            </w:pPr>
            <w:r>
              <w:rPr>
                <w:rFonts w:eastAsia="Times New Roman"/>
                <w:sz w:val="20"/>
                <w:szCs w:val="20"/>
              </w:rPr>
              <w:t> </w:t>
            </w:r>
          </w:p>
        </w:tc>
        <w:tc>
          <w:tcPr>
            <w:tcW w:w="0" w:type="auto"/>
            <w:vAlign w:val="bottom"/>
            <w:hideMark/>
          </w:tcPr>
          <w:p w14:paraId="667AD097" w14:textId="77777777" w:rsidR="00000000" w:rsidRDefault="001826C1">
            <w:pPr>
              <w:jc w:val="center"/>
              <w:rPr>
                <w:rFonts w:eastAsia="Times New Roman"/>
                <w:sz w:val="20"/>
                <w:szCs w:val="20"/>
              </w:rPr>
            </w:pPr>
            <w:r>
              <w:rPr>
                <w:rFonts w:eastAsia="Times New Roman"/>
                <w:sz w:val="20"/>
                <w:szCs w:val="20"/>
              </w:rPr>
              <w:t>MTBC</w:t>
            </w:r>
          </w:p>
        </w:tc>
        <w:tc>
          <w:tcPr>
            <w:tcW w:w="0" w:type="auto"/>
            <w:vAlign w:val="center"/>
            <w:hideMark/>
          </w:tcPr>
          <w:p w14:paraId="10A113EA" w14:textId="77777777" w:rsidR="00000000" w:rsidRDefault="001826C1">
            <w:pPr>
              <w:jc w:val="center"/>
              <w:rPr>
                <w:rFonts w:eastAsia="Times New Roman"/>
                <w:sz w:val="20"/>
                <w:szCs w:val="20"/>
              </w:rPr>
            </w:pPr>
            <w:r>
              <w:rPr>
                <w:rFonts w:eastAsia="Times New Roman"/>
                <w:sz w:val="20"/>
                <w:szCs w:val="20"/>
              </w:rPr>
              <w:t> </w:t>
            </w:r>
          </w:p>
        </w:tc>
        <w:tc>
          <w:tcPr>
            <w:tcW w:w="0" w:type="auto"/>
            <w:vAlign w:val="bottom"/>
            <w:hideMark/>
          </w:tcPr>
          <w:p w14:paraId="0E85B06F" w14:textId="77777777" w:rsidR="00000000" w:rsidRDefault="001826C1">
            <w:pPr>
              <w:jc w:val="center"/>
              <w:rPr>
                <w:rFonts w:eastAsia="Times New Roman"/>
                <w:sz w:val="20"/>
                <w:szCs w:val="20"/>
              </w:rPr>
            </w:pPr>
            <w:r>
              <w:rPr>
                <w:rFonts w:eastAsia="Times New Roman"/>
                <w:sz w:val="20"/>
                <w:szCs w:val="20"/>
              </w:rPr>
              <w:t>Nasdaq Global Market</w:t>
            </w:r>
          </w:p>
        </w:tc>
      </w:tr>
      <w:tr w:rsidR="00000000" w14:paraId="3EDD1781" w14:textId="77777777">
        <w:tc>
          <w:tcPr>
            <w:tcW w:w="0" w:type="auto"/>
            <w:vAlign w:val="center"/>
            <w:hideMark/>
          </w:tcPr>
          <w:p w14:paraId="380E0A05" w14:textId="77777777" w:rsidR="00000000" w:rsidRDefault="001826C1">
            <w:pPr>
              <w:jc w:val="center"/>
              <w:rPr>
                <w:rFonts w:eastAsia="Times New Roman"/>
                <w:sz w:val="20"/>
                <w:szCs w:val="20"/>
              </w:rPr>
            </w:pPr>
            <w:r>
              <w:rPr>
                <w:rFonts w:eastAsia="Times New Roman"/>
                <w:sz w:val="20"/>
                <w:szCs w:val="20"/>
              </w:rPr>
              <w:t>11% Series A Cumulative Redeemable Perpetual Preferred Stock, par value $0.001 per share</w:t>
            </w:r>
          </w:p>
        </w:tc>
        <w:tc>
          <w:tcPr>
            <w:tcW w:w="0" w:type="auto"/>
            <w:vAlign w:val="center"/>
            <w:hideMark/>
          </w:tcPr>
          <w:p w14:paraId="0DA32268" w14:textId="77777777" w:rsidR="00000000" w:rsidRDefault="001826C1">
            <w:pPr>
              <w:jc w:val="center"/>
              <w:rPr>
                <w:rFonts w:eastAsia="Times New Roman"/>
                <w:sz w:val="20"/>
                <w:szCs w:val="20"/>
              </w:rPr>
            </w:pPr>
            <w:r>
              <w:rPr>
                <w:rFonts w:eastAsia="Times New Roman"/>
                <w:sz w:val="20"/>
                <w:szCs w:val="20"/>
              </w:rPr>
              <w:t> </w:t>
            </w:r>
          </w:p>
        </w:tc>
        <w:tc>
          <w:tcPr>
            <w:tcW w:w="0" w:type="auto"/>
            <w:vAlign w:val="bottom"/>
            <w:hideMark/>
          </w:tcPr>
          <w:p w14:paraId="466BB949" w14:textId="77777777" w:rsidR="00000000" w:rsidRDefault="001826C1">
            <w:pPr>
              <w:jc w:val="center"/>
              <w:rPr>
                <w:rFonts w:eastAsia="Times New Roman"/>
                <w:sz w:val="20"/>
                <w:szCs w:val="20"/>
              </w:rPr>
            </w:pPr>
            <w:r>
              <w:rPr>
                <w:rFonts w:eastAsia="Times New Roman"/>
                <w:sz w:val="20"/>
                <w:szCs w:val="20"/>
              </w:rPr>
              <w:t>MTBCP</w:t>
            </w:r>
          </w:p>
        </w:tc>
        <w:tc>
          <w:tcPr>
            <w:tcW w:w="0" w:type="auto"/>
            <w:vAlign w:val="center"/>
            <w:hideMark/>
          </w:tcPr>
          <w:p w14:paraId="2DB006A1" w14:textId="77777777" w:rsidR="00000000" w:rsidRDefault="001826C1">
            <w:pPr>
              <w:jc w:val="center"/>
              <w:rPr>
                <w:rFonts w:eastAsia="Times New Roman"/>
                <w:sz w:val="20"/>
                <w:szCs w:val="20"/>
              </w:rPr>
            </w:pPr>
            <w:r>
              <w:rPr>
                <w:rFonts w:eastAsia="Times New Roman"/>
                <w:sz w:val="20"/>
                <w:szCs w:val="20"/>
              </w:rPr>
              <w:t> </w:t>
            </w:r>
          </w:p>
        </w:tc>
        <w:tc>
          <w:tcPr>
            <w:tcW w:w="0" w:type="auto"/>
            <w:vAlign w:val="bottom"/>
            <w:hideMark/>
          </w:tcPr>
          <w:p w14:paraId="54FB118C" w14:textId="77777777" w:rsidR="00000000" w:rsidRDefault="001826C1">
            <w:pPr>
              <w:jc w:val="center"/>
              <w:rPr>
                <w:rFonts w:eastAsia="Times New Roman"/>
                <w:sz w:val="20"/>
                <w:szCs w:val="20"/>
              </w:rPr>
            </w:pPr>
            <w:r>
              <w:rPr>
                <w:rFonts w:eastAsia="Times New Roman"/>
                <w:sz w:val="20"/>
                <w:szCs w:val="20"/>
              </w:rPr>
              <w:t>Nasdaq Global Market</w:t>
            </w:r>
          </w:p>
        </w:tc>
      </w:tr>
    </w:tbl>
    <w:p w14:paraId="42DB7C11" w14:textId="77777777" w:rsidR="00000000" w:rsidRDefault="001826C1">
      <w:pPr>
        <w:pStyle w:val="a3"/>
        <w:spacing w:before="0" w:beforeAutospacing="0" w:after="0" w:afterAutospacing="0"/>
        <w:jc w:val="both"/>
        <w:rPr>
          <w:sz w:val="20"/>
          <w:szCs w:val="20"/>
        </w:rPr>
      </w:pPr>
      <w:r>
        <w:rPr>
          <w:sz w:val="20"/>
          <w:szCs w:val="20"/>
        </w:rPr>
        <w:t> </w:t>
      </w:r>
    </w:p>
    <w:p w14:paraId="79336799" w14:textId="77777777" w:rsidR="00000000" w:rsidRDefault="001826C1">
      <w:pPr>
        <w:pStyle w:val="a3"/>
        <w:spacing w:before="0" w:beforeAutospacing="0" w:after="0" w:afterAutospacing="0"/>
        <w:jc w:val="both"/>
        <w:rPr>
          <w:sz w:val="20"/>
          <w:szCs w:val="20"/>
        </w:rPr>
      </w:pPr>
      <w:r>
        <w:rPr>
          <w:sz w:val="20"/>
          <w:szCs w:val="20"/>
        </w:rPr>
        <w:t>Securities registered pursua</w:t>
      </w:r>
      <w:r>
        <w:rPr>
          <w:sz w:val="20"/>
          <w:szCs w:val="20"/>
        </w:rPr>
        <w:t>nt to Section 12(g) of the Act: None</w:t>
      </w:r>
    </w:p>
    <w:p w14:paraId="441A471A" w14:textId="77777777" w:rsidR="00000000" w:rsidRDefault="001826C1">
      <w:pPr>
        <w:pStyle w:val="a3"/>
        <w:spacing w:before="0" w:beforeAutospacing="0" w:after="0" w:afterAutospacing="0"/>
        <w:jc w:val="both"/>
        <w:rPr>
          <w:sz w:val="20"/>
          <w:szCs w:val="20"/>
        </w:rPr>
      </w:pPr>
      <w:r>
        <w:rPr>
          <w:sz w:val="20"/>
          <w:szCs w:val="20"/>
        </w:rPr>
        <w:t> </w:t>
      </w:r>
    </w:p>
    <w:p w14:paraId="3F26874A" w14:textId="77777777" w:rsidR="00000000" w:rsidRDefault="001826C1">
      <w:pPr>
        <w:pStyle w:val="a3"/>
        <w:spacing w:before="0" w:beforeAutospacing="0" w:after="0" w:afterAutospacing="0"/>
        <w:jc w:val="both"/>
        <w:rPr>
          <w:sz w:val="20"/>
          <w:szCs w:val="20"/>
        </w:rPr>
      </w:pPr>
      <w:r>
        <w:rPr>
          <w:sz w:val="20"/>
          <w:szCs w:val="20"/>
        </w:rPr>
        <w:t xml:space="preserve">Indicate </w:t>
      </w:r>
      <w:r>
        <w:rPr>
          <w:sz w:val="20"/>
          <w:szCs w:val="20"/>
        </w:rPr>
        <w:t>by check mark if the registrant is a well-known seasoned issuer, as defined in Rule 405 of the Securities Act. Yes [  ] No [X]</w:t>
      </w:r>
    </w:p>
    <w:p w14:paraId="4420E95D" w14:textId="77777777" w:rsidR="00000000" w:rsidRDefault="001826C1">
      <w:pPr>
        <w:pStyle w:val="a3"/>
        <w:spacing w:before="0" w:beforeAutospacing="0" w:after="0" w:afterAutospacing="0"/>
        <w:jc w:val="both"/>
        <w:rPr>
          <w:sz w:val="20"/>
          <w:szCs w:val="20"/>
        </w:rPr>
      </w:pPr>
      <w:r>
        <w:rPr>
          <w:sz w:val="20"/>
          <w:szCs w:val="20"/>
        </w:rPr>
        <w:t> </w:t>
      </w:r>
    </w:p>
    <w:p w14:paraId="3DA57990" w14:textId="77777777" w:rsidR="00000000" w:rsidRDefault="001826C1">
      <w:pPr>
        <w:pStyle w:val="a3"/>
        <w:spacing w:before="0" w:beforeAutospacing="0" w:after="0" w:afterAutospacing="0"/>
        <w:jc w:val="both"/>
        <w:rPr>
          <w:sz w:val="20"/>
          <w:szCs w:val="20"/>
        </w:rPr>
      </w:pPr>
      <w:r>
        <w:rPr>
          <w:sz w:val="20"/>
          <w:szCs w:val="20"/>
        </w:rPr>
        <w:lastRenderedPageBreak/>
        <w:t>Indicate by check mark if the registrant is not required to file reports pursuant to Section 13 or Section 15(d) of the Act. Ye</w:t>
      </w:r>
      <w:r>
        <w:rPr>
          <w:sz w:val="20"/>
          <w:szCs w:val="20"/>
        </w:rPr>
        <w:t>s [  ] No [X]</w:t>
      </w:r>
    </w:p>
    <w:p w14:paraId="10356EEB" w14:textId="77777777" w:rsidR="00000000" w:rsidRDefault="001826C1">
      <w:pPr>
        <w:pStyle w:val="a3"/>
        <w:spacing w:before="0" w:beforeAutospacing="0" w:after="0" w:afterAutospacing="0"/>
        <w:jc w:val="both"/>
        <w:rPr>
          <w:sz w:val="20"/>
          <w:szCs w:val="20"/>
        </w:rPr>
      </w:pPr>
      <w:r>
        <w:rPr>
          <w:sz w:val="20"/>
          <w:szCs w:val="20"/>
        </w:rPr>
        <w:t> </w:t>
      </w:r>
    </w:p>
    <w:p w14:paraId="6CECEC89" w14:textId="77777777" w:rsidR="00000000" w:rsidRDefault="001826C1">
      <w:pPr>
        <w:pStyle w:val="a3"/>
        <w:spacing w:before="0" w:beforeAutospacing="0" w:after="0" w:afterAutospacing="0"/>
        <w:jc w:val="both"/>
        <w:rPr>
          <w:sz w:val="20"/>
          <w:szCs w:val="20"/>
        </w:rPr>
      </w:pPr>
      <w:r>
        <w:rPr>
          <w:sz w:val="20"/>
          <w:szCs w:val="20"/>
        </w:rPr>
        <w:t>Indicate by check mark whether the registrant (1) has filed all reports required to be filed by Section 13 or 15(d) of the Securities Exchange Act of 1934 during the preceding 12 months (or for such shorter period that the registrant was re</w:t>
      </w:r>
      <w:r>
        <w:rPr>
          <w:sz w:val="20"/>
          <w:szCs w:val="20"/>
        </w:rPr>
        <w:t>quired to file such reports), and (2) has been subject to such filing requirements for the past 90 days. Yes [X] No [  ]</w:t>
      </w:r>
    </w:p>
    <w:p w14:paraId="583B2254" w14:textId="77777777" w:rsidR="00000000" w:rsidRDefault="001826C1">
      <w:pPr>
        <w:pStyle w:val="a3"/>
        <w:spacing w:before="0" w:beforeAutospacing="0" w:after="0" w:afterAutospacing="0"/>
        <w:jc w:val="both"/>
        <w:rPr>
          <w:sz w:val="20"/>
          <w:szCs w:val="20"/>
        </w:rPr>
      </w:pPr>
      <w:r>
        <w:rPr>
          <w:sz w:val="20"/>
          <w:szCs w:val="20"/>
        </w:rPr>
        <w:t> </w:t>
      </w:r>
    </w:p>
    <w:p w14:paraId="6FA0D358" w14:textId="77777777" w:rsidR="00000000" w:rsidRDefault="001826C1">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w:t>
      </w:r>
      <w:r>
        <w:rPr>
          <w:sz w:val="20"/>
          <w:szCs w:val="20"/>
        </w:rPr>
        <w:t>ant to Rule 405 of Regulation S-T (§232.405 of this chapter) during the preceding 12 months (or for such shorter period that the registrant was required to submit such files). Yes [X] No [  ]</w:t>
      </w:r>
    </w:p>
    <w:p w14:paraId="07D8C737" w14:textId="77777777" w:rsidR="00000000" w:rsidRDefault="001826C1">
      <w:pPr>
        <w:pStyle w:val="a3"/>
        <w:spacing w:before="0" w:beforeAutospacing="0" w:after="0" w:afterAutospacing="0"/>
        <w:jc w:val="both"/>
        <w:rPr>
          <w:sz w:val="20"/>
          <w:szCs w:val="20"/>
        </w:rPr>
      </w:pPr>
      <w:r>
        <w:rPr>
          <w:sz w:val="20"/>
          <w:szCs w:val="20"/>
        </w:rPr>
        <w:t> </w:t>
      </w:r>
    </w:p>
    <w:p w14:paraId="225F405B" w14:textId="77777777" w:rsidR="00000000" w:rsidRDefault="001826C1">
      <w:pPr>
        <w:pStyle w:val="a3"/>
        <w:spacing w:before="0" w:beforeAutospacing="0" w:after="0" w:afterAutospacing="0"/>
        <w:jc w:val="both"/>
        <w:rPr>
          <w:sz w:val="20"/>
          <w:szCs w:val="20"/>
        </w:rPr>
      </w:pPr>
      <w:r>
        <w:rPr>
          <w:sz w:val="20"/>
          <w:szCs w:val="20"/>
        </w:rPr>
        <w:t>Indicate by check mark whether the registrant is a large accel</w:t>
      </w:r>
      <w:r>
        <w:rPr>
          <w:sz w:val="20"/>
          <w:szCs w:val="20"/>
        </w:rPr>
        <w:t>erated filer, an accelerated filer, a non-accelerated filer, a smaller reporting company, or an emerging growth company. See the definitions of “large accelerated filer,” “accelerated filer,” “smaller reporting company,” and “emerging growth company” in Ru</w:t>
      </w:r>
      <w:r>
        <w:rPr>
          <w:sz w:val="20"/>
          <w:szCs w:val="20"/>
        </w:rPr>
        <w:t>le 12b-2 of the Exchange Act:</w:t>
      </w:r>
    </w:p>
    <w:p w14:paraId="3B349F74"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814"/>
        <w:gridCol w:w="2492"/>
      </w:tblGrid>
      <w:tr w:rsidR="00000000" w14:paraId="1B337C68" w14:textId="77777777">
        <w:tc>
          <w:tcPr>
            <w:tcW w:w="3500" w:type="pct"/>
            <w:hideMark/>
          </w:tcPr>
          <w:p w14:paraId="6CD5E80D" w14:textId="77777777" w:rsidR="00000000" w:rsidRDefault="001826C1">
            <w:pPr>
              <w:rPr>
                <w:rFonts w:eastAsia="Times New Roman"/>
                <w:sz w:val="20"/>
                <w:szCs w:val="20"/>
              </w:rPr>
            </w:pPr>
            <w:r>
              <w:rPr>
                <w:rFonts w:eastAsia="Times New Roman"/>
                <w:sz w:val="20"/>
                <w:szCs w:val="20"/>
              </w:rPr>
              <w:t>Large accelerated filer [  ]</w:t>
            </w:r>
          </w:p>
        </w:tc>
        <w:tc>
          <w:tcPr>
            <w:tcW w:w="1500" w:type="pct"/>
            <w:hideMark/>
          </w:tcPr>
          <w:p w14:paraId="65341C6D" w14:textId="77777777" w:rsidR="00000000" w:rsidRDefault="001826C1">
            <w:pPr>
              <w:rPr>
                <w:rFonts w:eastAsia="Times New Roman"/>
                <w:sz w:val="20"/>
                <w:szCs w:val="20"/>
              </w:rPr>
            </w:pPr>
            <w:r>
              <w:rPr>
                <w:rFonts w:eastAsia="Times New Roman"/>
                <w:sz w:val="20"/>
                <w:szCs w:val="20"/>
              </w:rPr>
              <w:t>Accelerated filer [  ]</w:t>
            </w:r>
          </w:p>
        </w:tc>
      </w:tr>
      <w:tr w:rsidR="00000000" w14:paraId="46175E01" w14:textId="77777777">
        <w:tc>
          <w:tcPr>
            <w:tcW w:w="0" w:type="auto"/>
            <w:hideMark/>
          </w:tcPr>
          <w:p w14:paraId="21387075" w14:textId="77777777" w:rsidR="00000000" w:rsidRDefault="001826C1">
            <w:pPr>
              <w:rPr>
                <w:rFonts w:eastAsia="Times New Roman"/>
                <w:sz w:val="20"/>
                <w:szCs w:val="20"/>
              </w:rPr>
            </w:pPr>
            <w:r>
              <w:rPr>
                <w:rFonts w:eastAsia="Times New Roman"/>
                <w:sz w:val="20"/>
                <w:szCs w:val="20"/>
              </w:rPr>
              <w:t>Non-accelerated filer [X]</w:t>
            </w:r>
          </w:p>
        </w:tc>
        <w:tc>
          <w:tcPr>
            <w:tcW w:w="0" w:type="auto"/>
            <w:hideMark/>
          </w:tcPr>
          <w:p w14:paraId="0D3F07B5" w14:textId="77777777" w:rsidR="00000000" w:rsidRDefault="001826C1">
            <w:pPr>
              <w:rPr>
                <w:rFonts w:eastAsia="Times New Roman"/>
                <w:sz w:val="20"/>
                <w:szCs w:val="20"/>
              </w:rPr>
            </w:pPr>
            <w:r>
              <w:rPr>
                <w:rFonts w:eastAsia="Times New Roman"/>
                <w:sz w:val="20"/>
                <w:szCs w:val="20"/>
              </w:rPr>
              <w:t>Smaller reporting company [X]</w:t>
            </w:r>
          </w:p>
        </w:tc>
      </w:tr>
      <w:tr w:rsidR="00000000" w14:paraId="5AFC3A25" w14:textId="77777777">
        <w:tc>
          <w:tcPr>
            <w:tcW w:w="0" w:type="auto"/>
            <w:hideMark/>
          </w:tcPr>
          <w:p w14:paraId="097E2F7F" w14:textId="77777777" w:rsidR="00000000" w:rsidRDefault="001826C1">
            <w:pPr>
              <w:rPr>
                <w:rFonts w:eastAsia="Times New Roman"/>
                <w:sz w:val="20"/>
                <w:szCs w:val="20"/>
              </w:rPr>
            </w:pPr>
          </w:p>
        </w:tc>
        <w:tc>
          <w:tcPr>
            <w:tcW w:w="0" w:type="auto"/>
            <w:hideMark/>
          </w:tcPr>
          <w:p w14:paraId="48F0DA87" w14:textId="77777777" w:rsidR="00000000" w:rsidRDefault="001826C1">
            <w:pPr>
              <w:rPr>
                <w:rFonts w:eastAsia="Times New Roman"/>
                <w:sz w:val="20"/>
                <w:szCs w:val="20"/>
              </w:rPr>
            </w:pPr>
            <w:r>
              <w:rPr>
                <w:rFonts w:eastAsia="Times New Roman"/>
                <w:sz w:val="20"/>
                <w:szCs w:val="20"/>
              </w:rPr>
              <w:t>Emerging growth company [  ]</w:t>
            </w:r>
          </w:p>
        </w:tc>
      </w:tr>
    </w:tbl>
    <w:p w14:paraId="194F73C3" w14:textId="77777777" w:rsidR="00000000" w:rsidRDefault="001826C1">
      <w:pPr>
        <w:pStyle w:val="a3"/>
        <w:spacing w:before="0" w:beforeAutospacing="0" w:after="0" w:afterAutospacing="0"/>
        <w:jc w:val="both"/>
        <w:rPr>
          <w:sz w:val="20"/>
          <w:szCs w:val="20"/>
        </w:rPr>
      </w:pPr>
      <w:r>
        <w:rPr>
          <w:sz w:val="20"/>
          <w:szCs w:val="20"/>
        </w:rPr>
        <w:t> </w:t>
      </w:r>
    </w:p>
    <w:p w14:paraId="1818BCE9" w14:textId="77777777" w:rsidR="00000000" w:rsidRDefault="001826C1">
      <w:pPr>
        <w:pStyle w:val="a3"/>
        <w:spacing w:before="0" w:beforeAutospacing="0" w:after="0" w:afterAutospacing="0"/>
        <w:jc w:val="both"/>
        <w:rPr>
          <w:sz w:val="20"/>
          <w:szCs w:val="20"/>
        </w:rPr>
      </w:pPr>
      <w:r>
        <w:rPr>
          <w:sz w:val="20"/>
          <w:szCs w:val="20"/>
        </w:rPr>
        <w:t xml:space="preserve">If </w:t>
      </w:r>
      <w:r>
        <w:rPr>
          <w:sz w:val="20"/>
          <w:szCs w:val="20"/>
        </w:rPr>
        <w:t>an emerging growth company, indicate by check mark if the registrant has elected not to use the extended transition period for complying with any new or revised financial accounting standards provided pursuant to Section 13(a) of the Exchange Act. [  ]</w:t>
      </w:r>
    </w:p>
    <w:p w14:paraId="0813EB8C" w14:textId="77777777" w:rsidR="00000000" w:rsidRDefault="001826C1">
      <w:pPr>
        <w:pStyle w:val="a3"/>
        <w:spacing w:before="0" w:beforeAutospacing="0" w:after="0" w:afterAutospacing="0"/>
        <w:jc w:val="both"/>
        <w:rPr>
          <w:sz w:val="20"/>
          <w:szCs w:val="20"/>
        </w:rPr>
      </w:pPr>
      <w:r>
        <w:rPr>
          <w:sz w:val="20"/>
          <w:szCs w:val="20"/>
        </w:rPr>
        <w:t> </w:t>
      </w:r>
    </w:p>
    <w:p w14:paraId="7F401679" w14:textId="77777777" w:rsidR="00000000" w:rsidRDefault="001826C1">
      <w:pPr>
        <w:pStyle w:val="a3"/>
        <w:spacing w:before="0" w:beforeAutospacing="0" w:after="0" w:afterAutospacing="0"/>
        <w:jc w:val="both"/>
        <w:rPr>
          <w:sz w:val="20"/>
          <w:szCs w:val="20"/>
        </w:rPr>
      </w:pPr>
      <w:r>
        <w:rPr>
          <w:sz w:val="20"/>
          <w:szCs w:val="20"/>
        </w:rPr>
        <w:t>I</w:t>
      </w:r>
      <w:r>
        <w:rPr>
          <w:sz w:val="20"/>
          <w:szCs w:val="20"/>
        </w:rPr>
        <w:t>ndicate by check mark whether the registrant is a shell company (as defined in Rule 12b-2 of the Act). Yes [  ] No [X]</w:t>
      </w:r>
    </w:p>
    <w:p w14:paraId="58AB1E23" w14:textId="77777777" w:rsidR="00000000" w:rsidRDefault="001826C1">
      <w:pPr>
        <w:pStyle w:val="a3"/>
        <w:spacing w:before="0" w:beforeAutospacing="0" w:after="0" w:afterAutospacing="0"/>
        <w:jc w:val="both"/>
        <w:rPr>
          <w:sz w:val="20"/>
          <w:szCs w:val="20"/>
        </w:rPr>
      </w:pPr>
      <w:r>
        <w:rPr>
          <w:sz w:val="20"/>
          <w:szCs w:val="20"/>
        </w:rPr>
        <w:t> </w:t>
      </w:r>
    </w:p>
    <w:p w14:paraId="37AFFA0F" w14:textId="77777777" w:rsidR="00000000" w:rsidRDefault="001826C1">
      <w:pPr>
        <w:pStyle w:val="a3"/>
        <w:spacing w:before="0" w:beforeAutospacing="0" w:after="0" w:afterAutospacing="0"/>
        <w:jc w:val="both"/>
        <w:rPr>
          <w:sz w:val="20"/>
          <w:szCs w:val="20"/>
        </w:rPr>
      </w:pPr>
      <w:r>
        <w:rPr>
          <w:sz w:val="20"/>
          <w:szCs w:val="20"/>
        </w:rPr>
        <w:t>As of June 30, 2019, the aggregate market value of the registrant’s Common Stock held by non-affiliates of the registrant was approxima</w:t>
      </w:r>
      <w:r>
        <w:rPr>
          <w:sz w:val="20"/>
          <w:szCs w:val="20"/>
        </w:rPr>
        <w:t>tely $31.4 million, based on the last reported trading price of the Common Stock on that date, as reported on the Nasdaq Global Market.</w:t>
      </w:r>
    </w:p>
    <w:p w14:paraId="7518E704" w14:textId="77777777" w:rsidR="00000000" w:rsidRDefault="001826C1">
      <w:pPr>
        <w:pStyle w:val="a3"/>
        <w:spacing w:before="0" w:beforeAutospacing="0" w:after="0" w:afterAutospacing="0"/>
        <w:jc w:val="both"/>
        <w:rPr>
          <w:sz w:val="20"/>
          <w:szCs w:val="20"/>
        </w:rPr>
      </w:pPr>
      <w:r>
        <w:rPr>
          <w:sz w:val="20"/>
          <w:szCs w:val="20"/>
        </w:rPr>
        <w:t> </w:t>
      </w:r>
    </w:p>
    <w:p w14:paraId="57636EED" w14:textId="77777777" w:rsidR="00000000" w:rsidRDefault="001826C1">
      <w:pPr>
        <w:pStyle w:val="a3"/>
        <w:spacing w:before="0" w:beforeAutospacing="0" w:after="0" w:afterAutospacing="0"/>
        <w:jc w:val="both"/>
        <w:rPr>
          <w:sz w:val="20"/>
          <w:szCs w:val="20"/>
        </w:rPr>
      </w:pPr>
      <w:r>
        <w:rPr>
          <w:sz w:val="20"/>
          <w:szCs w:val="20"/>
        </w:rPr>
        <w:t>At February 27, 2020, the registrant had 12,335,930 shares of common stock, par value $0.001 per share, outstanding.</w:t>
      </w:r>
    </w:p>
    <w:p w14:paraId="1CA35849" w14:textId="77777777" w:rsidR="00000000" w:rsidRDefault="001826C1">
      <w:pPr>
        <w:pStyle w:val="a3"/>
        <w:spacing w:before="0" w:beforeAutospacing="0" w:after="0" w:afterAutospacing="0"/>
        <w:jc w:val="center"/>
        <w:rPr>
          <w:sz w:val="20"/>
          <w:szCs w:val="20"/>
        </w:rPr>
      </w:pPr>
      <w:r>
        <w:rPr>
          <w:sz w:val="20"/>
          <w:szCs w:val="20"/>
        </w:rPr>
        <w:t> </w:t>
      </w:r>
    </w:p>
    <w:p w14:paraId="417EA85C" w14:textId="77777777" w:rsidR="00000000" w:rsidRDefault="001826C1">
      <w:pPr>
        <w:pStyle w:val="a3"/>
        <w:spacing w:before="0" w:beforeAutospacing="0" w:after="0" w:afterAutospacing="0"/>
        <w:jc w:val="center"/>
        <w:rPr>
          <w:sz w:val="20"/>
          <w:szCs w:val="20"/>
        </w:rPr>
      </w:pPr>
      <w:r>
        <w:rPr>
          <w:b/>
          <w:bCs/>
          <w:sz w:val="20"/>
          <w:szCs w:val="20"/>
        </w:rPr>
        <w:t>DOCUMENTS INCORPORATED BY REFERENCE</w:t>
      </w:r>
    </w:p>
    <w:p w14:paraId="330DA1F9" w14:textId="77777777" w:rsidR="00000000" w:rsidRDefault="001826C1">
      <w:pPr>
        <w:pStyle w:val="a3"/>
        <w:spacing w:before="0" w:beforeAutospacing="0" w:after="0" w:afterAutospacing="0"/>
        <w:jc w:val="center"/>
        <w:rPr>
          <w:sz w:val="20"/>
          <w:szCs w:val="20"/>
        </w:rPr>
      </w:pPr>
      <w:r>
        <w:rPr>
          <w:b/>
          <w:bCs/>
          <w:sz w:val="20"/>
          <w:szCs w:val="20"/>
        </w:rPr>
        <w:t> </w:t>
      </w:r>
    </w:p>
    <w:p w14:paraId="2D0B8B0D" w14:textId="77777777" w:rsidR="00000000" w:rsidRDefault="001826C1">
      <w:pPr>
        <w:pStyle w:val="a3"/>
        <w:spacing w:before="0" w:beforeAutospacing="0" w:after="0" w:afterAutospacing="0"/>
        <w:jc w:val="both"/>
        <w:rPr>
          <w:sz w:val="20"/>
          <w:szCs w:val="20"/>
        </w:rPr>
      </w:pPr>
      <w:r>
        <w:rPr>
          <w:sz w:val="20"/>
          <w:szCs w:val="20"/>
        </w:rPr>
        <w:t>Portions of the Proxy Statement for the Annual Meeting of Shareholders to be held on May 19, 2020 are incorporated by reference into Part III, Items 10, 11, 12, 13, and 14 of this Annual Report on Form 10-K.</w:t>
      </w:r>
    </w:p>
    <w:p w14:paraId="2EE2310A" w14:textId="77777777" w:rsidR="00000000" w:rsidRDefault="001826C1">
      <w:pPr>
        <w:pStyle w:val="a3"/>
        <w:spacing w:before="0" w:beforeAutospacing="0" w:after="0" w:afterAutospacing="0"/>
        <w:jc w:val="center"/>
        <w:rPr>
          <w:sz w:val="20"/>
          <w:szCs w:val="20"/>
        </w:rPr>
      </w:pPr>
      <w:r>
        <w:rPr>
          <w:sz w:val="20"/>
          <w:szCs w:val="20"/>
        </w:rPr>
        <w:t> </w:t>
      </w:r>
    </w:p>
    <w:p w14:paraId="368012C4" w14:textId="77777777" w:rsidR="00000000" w:rsidRDefault="001826C1">
      <w:pPr>
        <w:divId w:val="936985192"/>
        <w:rPr>
          <w:rFonts w:eastAsia="Times New Roman"/>
          <w:sz w:val="2"/>
          <w:szCs w:val="2"/>
        </w:rPr>
      </w:pPr>
      <w:r>
        <w:rPr>
          <w:rFonts w:eastAsia="Times New Roman"/>
          <w:sz w:val="2"/>
          <w:szCs w:val="2"/>
        </w:rPr>
        <w:t> </w:t>
      </w:r>
    </w:p>
    <w:p w14:paraId="6A5CC3A4" w14:textId="77777777" w:rsidR="00000000" w:rsidRDefault="001826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3111EA4" w14:textId="77777777">
        <w:trPr>
          <w:divId w:val="540095324"/>
        </w:trPr>
        <w:tc>
          <w:tcPr>
            <w:tcW w:w="5000" w:type="pct"/>
            <w:hideMark/>
          </w:tcPr>
          <w:p w14:paraId="03CA4DA3" w14:textId="77777777" w:rsidR="00000000" w:rsidRDefault="001826C1">
            <w:pPr>
              <w:jc w:val="center"/>
              <w:rPr>
                <w:rFonts w:eastAsia="Times New Roman"/>
                <w:sz w:val="20"/>
                <w:szCs w:val="20"/>
              </w:rPr>
            </w:pPr>
            <w:r>
              <w:rPr>
                <w:rFonts w:eastAsia="Times New Roman"/>
                <w:sz w:val="20"/>
                <w:szCs w:val="20"/>
              </w:rPr>
              <w:t> </w:t>
            </w:r>
          </w:p>
        </w:tc>
      </w:tr>
    </w:tbl>
    <w:tbl>
      <w:tblPr>
        <w:tblW w:w="5000" w:type="pct"/>
        <w:tblCellMar>
          <w:left w:w="0" w:type="dxa"/>
          <w:right w:w="0" w:type="dxa"/>
        </w:tblCellMar>
        <w:tblLook w:val="04A0" w:firstRow="1" w:lastRow="0" w:firstColumn="1" w:lastColumn="0" w:noHBand="0" w:noVBand="1"/>
      </w:tblPr>
      <w:tblGrid>
        <w:gridCol w:w="8306"/>
      </w:tblGrid>
      <w:tr w:rsidR="00000000" w14:paraId="6C6FB2A1" w14:textId="77777777">
        <w:tc>
          <w:tcPr>
            <w:tcW w:w="5000" w:type="pct"/>
            <w:hideMark/>
          </w:tcPr>
          <w:p w14:paraId="42D12470" w14:textId="77777777" w:rsidR="00000000" w:rsidRDefault="001826C1">
            <w:pPr>
              <w:jc w:val="center"/>
              <w:rPr>
                <w:rFonts w:eastAsia="Times New Roman"/>
                <w:sz w:val="20"/>
                <w:szCs w:val="20"/>
              </w:rPr>
            </w:pPr>
            <w:r>
              <w:rPr>
                <w:rFonts w:eastAsia="Times New Roman"/>
                <w:sz w:val="20"/>
                <w:szCs w:val="20"/>
              </w:rPr>
              <w:t> </w:t>
            </w:r>
          </w:p>
        </w:tc>
      </w:tr>
    </w:tbl>
    <w:p w14:paraId="1424C872" w14:textId="77777777" w:rsidR="00000000" w:rsidRDefault="001826C1">
      <w:pPr>
        <w:pStyle w:val="a3"/>
        <w:spacing w:before="0" w:beforeAutospacing="0" w:after="0" w:afterAutospacing="0"/>
        <w:jc w:val="center"/>
        <w:rPr>
          <w:sz w:val="20"/>
          <w:szCs w:val="20"/>
        </w:rPr>
      </w:pPr>
      <w:r>
        <w:rPr>
          <w:b/>
          <w:bCs/>
          <w:sz w:val="20"/>
          <w:szCs w:val="20"/>
        </w:rPr>
        <w:t> </w:t>
      </w:r>
    </w:p>
    <w:p w14:paraId="622A7DED" w14:textId="77777777" w:rsidR="00000000" w:rsidRDefault="001826C1">
      <w:pPr>
        <w:pStyle w:val="a3"/>
        <w:spacing w:before="0" w:beforeAutospacing="0" w:after="0" w:afterAutospacing="0"/>
        <w:jc w:val="center"/>
        <w:rPr>
          <w:sz w:val="20"/>
          <w:szCs w:val="20"/>
        </w:rPr>
      </w:pPr>
      <w:r>
        <w:rPr>
          <w:b/>
          <w:bCs/>
          <w:sz w:val="20"/>
          <w:szCs w:val="20"/>
        </w:rPr>
        <w:t>Table of Contents</w:t>
      </w:r>
    </w:p>
    <w:p w14:paraId="132DD600" w14:textId="77777777" w:rsidR="00000000" w:rsidRDefault="001826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14:paraId="4838970B" w14:textId="77777777">
        <w:tc>
          <w:tcPr>
            <w:tcW w:w="0" w:type="auto"/>
            <w:shd w:val="clear" w:color="auto" w:fill="CCEEFF"/>
            <w:hideMark/>
          </w:tcPr>
          <w:p w14:paraId="60777CDD" w14:textId="77777777" w:rsidR="00000000" w:rsidRDefault="001826C1">
            <w:pPr>
              <w:rPr>
                <w:rFonts w:eastAsia="Times New Roman"/>
                <w:sz w:val="20"/>
                <w:szCs w:val="20"/>
              </w:rPr>
            </w:pPr>
            <w:hyperlink w:anchor="a_001" w:history="1">
              <w:r>
                <w:rPr>
                  <w:rStyle w:val="a4"/>
                  <w:rFonts w:eastAsia="Times New Roman"/>
                  <w:sz w:val="20"/>
                  <w:szCs w:val="20"/>
                </w:rPr>
                <w:t>Forward Looking Statements</w:t>
              </w:r>
            </w:hyperlink>
          </w:p>
        </w:tc>
        <w:tc>
          <w:tcPr>
            <w:tcW w:w="720" w:type="dxa"/>
            <w:shd w:val="clear" w:color="auto" w:fill="CCEEFF"/>
            <w:vAlign w:val="bottom"/>
            <w:hideMark/>
          </w:tcPr>
          <w:p w14:paraId="62FE1355" w14:textId="77777777" w:rsidR="00000000" w:rsidRDefault="001826C1">
            <w:pPr>
              <w:jc w:val="right"/>
              <w:rPr>
                <w:rFonts w:eastAsia="Times New Roman"/>
                <w:sz w:val="20"/>
                <w:szCs w:val="20"/>
              </w:rPr>
            </w:pPr>
            <w:r>
              <w:rPr>
                <w:rFonts w:eastAsia="Times New Roman"/>
                <w:sz w:val="20"/>
                <w:szCs w:val="20"/>
              </w:rPr>
              <w:t>2</w:t>
            </w:r>
          </w:p>
        </w:tc>
      </w:tr>
      <w:tr w:rsidR="00000000" w14:paraId="7AE954BA" w14:textId="77777777">
        <w:tc>
          <w:tcPr>
            <w:tcW w:w="0" w:type="auto"/>
            <w:shd w:val="clear" w:color="auto" w:fill="FFFFFF"/>
            <w:hideMark/>
          </w:tcPr>
          <w:p w14:paraId="3E0761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3FE963" w14:textId="77777777" w:rsidR="00000000" w:rsidRDefault="001826C1">
            <w:pPr>
              <w:jc w:val="right"/>
              <w:rPr>
                <w:rFonts w:eastAsia="Times New Roman"/>
                <w:sz w:val="20"/>
                <w:szCs w:val="20"/>
              </w:rPr>
            </w:pPr>
            <w:r>
              <w:rPr>
                <w:rFonts w:eastAsia="Times New Roman"/>
                <w:sz w:val="20"/>
                <w:szCs w:val="20"/>
              </w:rPr>
              <w:t> </w:t>
            </w:r>
          </w:p>
        </w:tc>
      </w:tr>
      <w:tr w:rsidR="00000000" w14:paraId="117D634B" w14:textId="77777777">
        <w:tc>
          <w:tcPr>
            <w:tcW w:w="0" w:type="auto"/>
            <w:shd w:val="clear" w:color="auto" w:fill="CCEEFF"/>
            <w:hideMark/>
          </w:tcPr>
          <w:p w14:paraId="646454A3" w14:textId="77777777" w:rsidR="00000000" w:rsidRDefault="001826C1">
            <w:pPr>
              <w:jc w:val="center"/>
              <w:rPr>
                <w:rFonts w:eastAsia="Times New Roman"/>
                <w:sz w:val="20"/>
                <w:szCs w:val="20"/>
              </w:rPr>
            </w:pPr>
            <w:hyperlink w:anchor="a_002" w:history="1">
              <w:r>
                <w:rPr>
                  <w:rStyle w:val="a4"/>
                  <w:rFonts w:eastAsia="Times New Roman"/>
                  <w:sz w:val="20"/>
                  <w:szCs w:val="20"/>
                </w:rPr>
                <w:t>PART I</w:t>
              </w:r>
            </w:hyperlink>
          </w:p>
        </w:tc>
        <w:tc>
          <w:tcPr>
            <w:tcW w:w="0" w:type="auto"/>
            <w:shd w:val="clear" w:color="auto" w:fill="CCEEFF"/>
            <w:vAlign w:val="bottom"/>
            <w:hideMark/>
          </w:tcPr>
          <w:p w14:paraId="780FCECC" w14:textId="77777777" w:rsidR="00000000" w:rsidRDefault="001826C1">
            <w:pPr>
              <w:jc w:val="right"/>
              <w:rPr>
                <w:rFonts w:eastAsia="Times New Roman"/>
                <w:sz w:val="20"/>
                <w:szCs w:val="20"/>
              </w:rPr>
            </w:pPr>
            <w:r>
              <w:rPr>
                <w:rFonts w:eastAsia="Times New Roman"/>
                <w:sz w:val="20"/>
                <w:szCs w:val="20"/>
              </w:rPr>
              <w:t> </w:t>
            </w:r>
          </w:p>
        </w:tc>
      </w:tr>
      <w:tr w:rsidR="00000000" w14:paraId="0415C795" w14:textId="77777777">
        <w:tc>
          <w:tcPr>
            <w:tcW w:w="0" w:type="auto"/>
            <w:shd w:val="clear" w:color="auto" w:fill="FFFFFF"/>
            <w:hideMark/>
          </w:tcPr>
          <w:p w14:paraId="1256FF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90CD03" w14:textId="77777777" w:rsidR="00000000" w:rsidRDefault="001826C1">
            <w:pPr>
              <w:jc w:val="right"/>
              <w:rPr>
                <w:rFonts w:eastAsia="Times New Roman"/>
                <w:sz w:val="20"/>
                <w:szCs w:val="20"/>
              </w:rPr>
            </w:pPr>
            <w:r>
              <w:rPr>
                <w:rFonts w:eastAsia="Times New Roman"/>
                <w:sz w:val="20"/>
                <w:szCs w:val="20"/>
              </w:rPr>
              <w:t> </w:t>
            </w:r>
          </w:p>
        </w:tc>
      </w:tr>
      <w:tr w:rsidR="00000000" w14:paraId="00F4EDB7" w14:textId="77777777">
        <w:tc>
          <w:tcPr>
            <w:tcW w:w="0" w:type="auto"/>
            <w:shd w:val="clear" w:color="auto" w:fill="CCEEFF"/>
            <w:hideMark/>
          </w:tcPr>
          <w:p w14:paraId="52964A49" w14:textId="77777777" w:rsidR="00000000" w:rsidRDefault="001826C1">
            <w:pPr>
              <w:rPr>
                <w:rFonts w:eastAsia="Times New Roman"/>
                <w:sz w:val="20"/>
                <w:szCs w:val="20"/>
              </w:rPr>
            </w:pPr>
            <w:hyperlink w:anchor="a_003" w:history="1">
              <w:r>
                <w:rPr>
                  <w:rStyle w:val="a4"/>
                  <w:rFonts w:eastAsia="Times New Roman"/>
                  <w:sz w:val="20"/>
                  <w:szCs w:val="20"/>
                </w:rPr>
                <w:t>Item 1. Business</w:t>
              </w:r>
            </w:hyperlink>
          </w:p>
        </w:tc>
        <w:tc>
          <w:tcPr>
            <w:tcW w:w="0" w:type="auto"/>
            <w:shd w:val="clear" w:color="auto" w:fill="CCEEFF"/>
            <w:vAlign w:val="bottom"/>
            <w:hideMark/>
          </w:tcPr>
          <w:p w14:paraId="6AACC455" w14:textId="77777777" w:rsidR="00000000" w:rsidRDefault="001826C1">
            <w:pPr>
              <w:jc w:val="right"/>
              <w:rPr>
                <w:rFonts w:eastAsia="Times New Roman"/>
                <w:sz w:val="20"/>
                <w:szCs w:val="20"/>
              </w:rPr>
            </w:pPr>
            <w:r>
              <w:rPr>
                <w:rFonts w:eastAsia="Times New Roman"/>
                <w:sz w:val="20"/>
                <w:szCs w:val="20"/>
              </w:rPr>
              <w:t>3</w:t>
            </w:r>
          </w:p>
        </w:tc>
      </w:tr>
      <w:tr w:rsidR="00000000" w14:paraId="53334B59" w14:textId="77777777">
        <w:tc>
          <w:tcPr>
            <w:tcW w:w="0" w:type="auto"/>
            <w:shd w:val="clear" w:color="auto" w:fill="FFFFFF"/>
            <w:hideMark/>
          </w:tcPr>
          <w:p w14:paraId="4F502A1F" w14:textId="77777777" w:rsidR="00000000" w:rsidRDefault="001826C1">
            <w:pPr>
              <w:rPr>
                <w:rFonts w:eastAsia="Times New Roman"/>
                <w:sz w:val="20"/>
                <w:szCs w:val="20"/>
              </w:rPr>
            </w:pPr>
            <w:hyperlink w:anchor="a_004" w:history="1">
              <w:r>
                <w:rPr>
                  <w:rStyle w:val="a4"/>
                  <w:rFonts w:eastAsia="Times New Roman"/>
                  <w:sz w:val="20"/>
                  <w:szCs w:val="20"/>
                </w:rPr>
                <w:t>Item 1A. Risk Factors</w:t>
              </w:r>
            </w:hyperlink>
          </w:p>
        </w:tc>
        <w:tc>
          <w:tcPr>
            <w:tcW w:w="0" w:type="auto"/>
            <w:shd w:val="clear" w:color="auto" w:fill="FFFFFF"/>
            <w:vAlign w:val="bottom"/>
            <w:hideMark/>
          </w:tcPr>
          <w:p w14:paraId="516CBA48" w14:textId="77777777" w:rsidR="00000000" w:rsidRDefault="001826C1">
            <w:pPr>
              <w:jc w:val="right"/>
              <w:rPr>
                <w:rFonts w:eastAsia="Times New Roman"/>
                <w:sz w:val="20"/>
                <w:szCs w:val="20"/>
              </w:rPr>
            </w:pPr>
            <w:r>
              <w:rPr>
                <w:rFonts w:eastAsia="Times New Roman"/>
                <w:sz w:val="20"/>
                <w:szCs w:val="20"/>
              </w:rPr>
              <w:t>10</w:t>
            </w:r>
          </w:p>
        </w:tc>
      </w:tr>
      <w:tr w:rsidR="00000000" w14:paraId="197ECB86" w14:textId="77777777">
        <w:tc>
          <w:tcPr>
            <w:tcW w:w="0" w:type="auto"/>
            <w:shd w:val="clear" w:color="auto" w:fill="CCEEFF"/>
            <w:hideMark/>
          </w:tcPr>
          <w:p w14:paraId="71DE8473" w14:textId="77777777" w:rsidR="00000000" w:rsidRDefault="001826C1">
            <w:pPr>
              <w:rPr>
                <w:rFonts w:eastAsia="Times New Roman"/>
                <w:sz w:val="20"/>
                <w:szCs w:val="20"/>
              </w:rPr>
            </w:pPr>
            <w:hyperlink w:anchor="a_005" w:history="1">
              <w:r>
                <w:rPr>
                  <w:rStyle w:val="a4"/>
                  <w:rFonts w:eastAsia="Times New Roman"/>
                  <w:sz w:val="20"/>
                  <w:szCs w:val="20"/>
                </w:rPr>
                <w:t>Item 1B. Unresolved Staff Comments</w:t>
              </w:r>
            </w:hyperlink>
          </w:p>
        </w:tc>
        <w:tc>
          <w:tcPr>
            <w:tcW w:w="0" w:type="auto"/>
            <w:shd w:val="clear" w:color="auto" w:fill="CCEEFF"/>
            <w:vAlign w:val="bottom"/>
            <w:hideMark/>
          </w:tcPr>
          <w:p w14:paraId="008C17EF" w14:textId="77777777" w:rsidR="00000000" w:rsidRDefault="001826C1">
            <w:pPr>
              <w:jc w:val="right"/>
              <w:rPr>
                <w:rFonts w:eastAsia="Times New Roman"/>
                <w:sz w:val="20"/>
                <w:szCs w:val="20"/>
              </w:rPr>
            </w:pPr>
            <w:r>
              <w:rPr>
                <w:rFonts w:eastAsia="Times New Roman"/>
                <w:sz w:val="20"/>
                <w:szCs w:val="20"/>
              </w:rPr>
              <w:t>31</w:t>
            </w:r>
          </w:p>
        </w:tc>
      </w:tr>
      <w:tr w:rsidR="00000000" w14:paraId="379946B9" w14:textId="77777777">
        <w:tc>
          <w:tcPr>
            <w:tcW w:w="0" w:type="auto"/>
            <w:shd w:val="clear" w:color="auto" w:fill="FFFFFF"/>
            <w:hideMark/>
          </w:tcPr>
          <w:p w14:paraId="305280CA" w14:textId="77777777" w:rsidR="00000000" w:rsidRDefault="001826C1">
            <w:pPr>
              <w:rPr>
                <w:rFonts w:eastAsia="Times New Roman"/>
                <w:sz w:val="20"/>
                <w:szCs w:val="20"/>
              </w:rPr>
            </w:pPr>
            <w:hyperlink w:anchor="a_006" w:history="1">
              <w:r>
                <w:rPr>
                  <w:rStyle w:val="a4"/>
                  <w:rFonts w:eastAsia="Times New Roman"/>
                  <w:sz w:val="20"/>
                  <w:szCs w:val="20"/>
                </w:rPr>
                <w:t>Item 2. Properties</w:t>
              </w:r>
            </w:hyperlink>
          </w:p>
        </w:tc>
        <w:tc>
          <w:tcPr>
            <w:tcW w:w="0" w:type="auto"/>
            <w:shd w:val="clear" w:color="auto" w:fill="FFFFFF"/>
            <w:vAlign w:val="bottom"/>
            <w:hideMark/>
          </w:tcPr>
          <w:p w14:paraId="682391B2" w14:textId="77777777" w:rsidR="00000000" w:rsidRDefault="001826C1">
            <w:pPr>
              <w:jc w:val="right"/>
              <w:rPr>
                <w:rFonts w:eastAsia="Times New Roman"/>
                <w:sz w:val="20"/>
                <w:szCs w:val="20"/>
              </w:rPr>
            </w:pPr>
            <w:r>
              <w:rPr>
                <w:rFonts w:eastAsia="Times New Roman"/>
                <w:sz w:val="20"/>
                <w:szCs w:val="20"/>
              </w:rPr>
              <w:t>31</w:t>
            </w:r>
          </w:p>
        </w:tc>
      </w:tr>
      <w:tr w:rsidR="00000000" w14:paraId="728E2C2E" w14:textId="77777777">
        <w:tc>
          <w:tcPr>
            <w:tcW w:w="0" w:type="auto"/>
            <w:shd w:val="clear" w:color="auto" w:fill="CCEEFF"/>
            <w:hideMark/>
          </w:tcPr>
          <w:p w14:paraId="0E3AFC54" w14:textId="77777777" w:rsidR="00000000" w:rsidRDefault="001826C1">
            <w:pPr>
              <w:rPr>
                <w:rFonts w:eastAsia="Times New Roman"/>
                <w:sz w:val="20"/>
                <w:szCs w:val="20"/>
              </w:rPr>
            </w:pPr>
            <w:hyperlink w:anchor="a_007" w:history="1">
              <w:r>
                <w:rPr>
                  <w:rStyle w:val="a4"/>
                  <w:rFonts w:eastAsia="Times New Roman"/>
                  <w:sz w:val="20"/>
                  <w:szCs w:val="20"/>
                </w:rPr>
                <w:t>Item 3. Legal Proceedings</w:t>
              </w:r>
            </w:hyperlink>
          </w:p>
        </w:tc>
        <w:tc>
          <w:tcPr>
            <w:tcW w:w="0" w:type="auto"/>
            <w:shd w:val="clear" w:color="auto" w:fill="CCEEFF"/>
            <w:vAlign w:val="bottom"/>
            <w:hideMark/>
          </w:tcPr>
          <w:p w14:paraId="07EEE32F" w14:textId="77777777" w:rsidR="00000000" w:rsidRDefault="001826C1">
            <w:pPr>
              <w:jc w:val="right"/>
              <w:rPr>
                <w:rFonts w:eastAsia="Times New Roman"/>
                <w:sz w:val="20"/>
                <w:szCs w:val="20"/>
              </w:rPr>
            </w:pPr>
            <w:r>
              <w:rPr>
                <w:rFonts w:eastAsia="Times New Roman"/>
                <w:sz w:val="20"/>
                <w:szCs w:val="20"/>
              </w:rPr>
              <w:t>31</w:t>
            </w:r>
          </w:p>
        </w:tc>
      </w:tr>
      <w:tr w:rsidR="00000000" w14:paraId="4FC125E1" w14:textId="77777777">
        <w:tc>
          <w:tcPr>
            <w:tcW w:w="0" w:type="auto"/>
            <w:shd w:val="clear" w:color="auto" w:fill="FFFFFF"/>
            <w:hideMark/>
          </w:tcPr>
          <w:p w14:paraId="5341E40F" w14:textId="77777777" w:rsidR="00000000" w:rsidRDefault="001826C1">
            <w:pPr>
              <w:rPr>
                <w:rFonts w:eastAsia="Times New Roman"/>
                <w:sz w:val="20"/>
                <w:szCs w:val="20"/>
              </w:rPr>
            </w:pPr>
            <w:hyperlink w:anchor="a_008" w:history="1">
              <w:r>
                <w:rPr>
                  <w:rStyle w:val="a4"/>
                  <w:rFonts w:eastAsia="Times New Roman"/>
                  <w:sz w:val="20"/>
                  <w:szCs w:val="20"/>
                </w:rPr>
                <w:t>Item 4. Mine Safety Disclosures</w:t>
              </w:r>
            </w:hyperlink>
          </w:p>
        </w:tc>
        <w:tc>
          <w:tcPr>
            <w:tcW w:w="0" w:type="auto"/>
            <w:shd w:val="clear" w:color="auto" w:fill="FFFFFF"/>
            <w:vAlign w:val="bottom"/>
            <w:hideMark/>
          </w:tcPr>
          <w:p w14:paraId="21D6FD53" w14:textId="77777777" w:rsidR="00000000" w:rsidRDefault="001826C1">
            <w:pPr>
              <w:jc w:val="right"/>
              <w:rPr>
                <w:rFonts w:eastAsia="Times New Roman"/>
                <w:sz w:val="20"/>
                <w:szCs w:val="20"/>
              </w:rPr>
            </w:pPr>
            <w:r>
              <w:rPr>
                <w:rFonts w:eastAsia="Times New Roman"/>
                <w:sz w:val="20"/>
                <w:szCs w:val="20"/>
              </w:rPr>
              <w:t>31</w:t>
            </w:r>
          </w:p>
        </w:tc>
      </w:tr>
      <w:tr w:rsidR="00000000" w14:paraId="02F8D715" w14:textId="77777777">
        <w:tc>
          <w:tcPr>
            <w:tcW w:w="0" w:type="auto"/>
            <w:shd w:val="clear" w:color="auto" w:fill="CCEEFF"/>
            <w:hideMark/>
          </w:tcPr>
          <w:p w14:paraId="3FD70294" w14:textId="77777777" w:rsidR="00000000" w:rsidRDefault="001826C1">
            <w:pPr>
              <w:rPr>
                <w:rFonts w:eastAsia="Times New Roman"/>
                <w:sz w:val="20"/>
                <w:szCs w:val="20"/>
              </w:rPr>
            </w:pPr>
            <w:r>
              <w:rPr>
                <w:rFonts w:eastAsia="Times New Roman"/>
                <w:sz w:val="20"/>
                <w:szCs w:val="20"/>
              </w:rPr>
              <w:lastRenderedPageBreak/>
              <w:t> </w:t>
            </w:r>
          </w:p>
        </w:tc>
        <w:tc>
          <w:tcPr>
            <w:tcW w:w="0" w:type="auto"/>
            <w:shd w:val="clear" w:color="auto" w:fill="CCEEFF"/>
            <w:vAlign w:val="bottom"/>
            <w:hideMark/>
          </w:tcPr>
          <w:p w14:paraId="368AB970" w14:textId="77777777" w:rsidR="00000000" w:rsidRDefault="001826C1">
            <w:pPr>
              <w:jc w:val="right"/>
              <w:rPr>
                <w:rFonts w:eastAsia="Times New Roman"/>
                <w:sz w:val="20"/>
                <w:szCs w:val="20"/>
              </w:rPr>
            </w:pPr>
            <w:r>
              <w:rPr>
                <w:rFonts w:eastAsia="Times New Roman"/>
                <w:sz w:val="20"/>
                <w:szCs w:val="20"/>
              </w:rPr>
              <w:t> </w:t>
            </w:r>
          </w:p>
        </w:tc>
      </w:tr>
      <w:tr w:rsidR="00000000" w14:paraId="31E61F06" w14:textId="77777777">
        <w:tc>
          <w:tcPr>
            <w:tcW w:w="0" w:type="auto"/>
            <w:shd w:val="clear" w:color="auto" w:fill="FFFFFF"/>
            <w:hideMark/>
          </w:tcPr>
          <w:p w14:paraId="1F5FE87E" w14:textId="77777777" w:rsidR="00000000" w:rsidRDefault="001826C1">
            <w:pPr>
              <w:jc w:val="center"/>
              <w:rPr>
                <w:rFonts w:eastAsia="Times New Roman"/>
                <w:sz w:val="20"/>
                <w:szCs w:val="20"/>
              </w:rPr>
            </w:pPr>
            <w:hyperlink w:anchor="a_009" w:history="1">
              <w:r>
                <w:rPr>
                  <w:rStyle w:val="a4"/>
                  <w:rFonts w:eastAsia="Times New Roman"/>
                  <w:sz w:val="20"/>
                  <w:szCs w:val="20"/>
                </w:rPr>
                <w:t>PART II</w:t>
              </w:r>
            </w:hyperlink>
          </w:p>
        </w:tc>
        <w:tc>
          <w:tcPr>
            <w:tcW w:w="0" w:type="auto"/>
            <w:shd w:val="clear" w:color="auto" w:fill="FFFFFF"/>
            <w:vAlign w:val="bottom"/>
            <w:hideMark/>
          </w:tcPr>
          <w:p w14:paraId="3D66F587" w14:textId="77777777" w:rsidR="00000000" w:rsidRDefault="001826C1">
            <w:pPr>
              <w:jc w:val="right"/>
              <w:rPr>
                <w:rFonts w:eastAsia="Times New Roman"/>
                <w:sz w:val="20"/>
                <w:szCs w:val="20"/>
              </w:rPr>
            </w:pPr>
            <w:r>
              <w:rPr>
                <w:rFonts w:eastAsia="Times New Roman"/>
                <w:sz w:val="20"/>
                <w:szCs w:val="20"/>
              </w:rPr>
              <w:t> </w:t>
            </w:r>
          </w:p>
        </w:tc>
      </w:tr>
      <w:tr w:rsidR="00000000" w14:paraId="446871C0" w14:textId="77777777">
        <w:tc>
          <w:tcPr>
            <w:tcW w:w="0" w:type="auto"/>
            <w:shd w:val="clear" w:color="auto" w:fill="CCEEFF"/>
            <w:hideMark/>
          </w:tcPr>
          <w:p w14:paraId="644100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D00BFB" w14:textId="77777777" w:rsidR="00000000" w:rsidRDefault="001826C1">
            <w:pPr>
              <w:jc w:val="right"/>
              <w:rPr>
                <w:rFonts w:eastAsia="Times New Roman"/>
                <w:sz w:val="20"/>
                <w:szCs w:val="20"/>
              </w:rPr>
            </w:pPr>
            <w:r>
              <w:rPr>
                <w:rFonts w:eastAsia="Times New Roman"/>
                <w:sz w:val="20"/>
                <w:szCs w:val="20"/>
              </w:rPr>
              <w:t> </w:t>
            </w:r>
          </w:p>
        </w:tc>
      </w:tr>
      <w:tr w:rsidR="00000000" w14:paraId="1B605E2A" w14:textId="77777777">
        <w:tc>
          <w:tcPr>
            <w:tcW w:w="0" w:type="auto"/>
            <w:shd w:val="clear" w:color="auto" w:fill="FFFFFF"/>
            <w:hideMark/>
          </w:tcPr>
          <w:p w14:paraId="75E0BD38" w14:textId="77777777" w:rsidR="00000000" w:rsidRDefault="001826C1">
            <w:pPr>
              <w:jc w:val="both"/>
              <w:rPr>
                <w:rFonts w:eastAsia="Times New Roman"/>
                <w:sz w:val="20"/>
                <w:szCs w:val="20"/>
              </w:rPr>
            </w:pPr>
            <w:hyperlink w:anchor="a_010" w:history="1">
              <w:r>
                <w:rPr>
                  <w:rStyle w:val="a4"/>
                  <w:rFonts w:eastAsia="Times New Roman"/>
                  <w:sz w:val="20"/>
                  <w:szCs w:val="20"/>
                </w:rPr>
                <w:t>Item 5. Market for Registrant’</w:t>
              </w:r>
              <w:r>
                <w:rPr>
                  <w:rStyle w:val="a4"/>
                  <w:rFonts w:eastAsia="Times New Roman"/>
                  <w:sz w:val="20"/>
                  <w:szCs w:val="20"/>
                </w:rPr>
                <w:t>s Common Equity, Related Stockholder Matters and Issuer Purchases of Equity Securities</w:t>
              </w:r>
            </w:hyperlink>
          </w:p>
        </w:tc>
        <w:tc>
          <w:tcPr>
            <w:tcW w:w="0" w:type="auto"/>
            <w:shd w:val="clear" w:color="auto" w:fill="FFFFFF"/>
            <w:vAlign w:val="bottom"/>
            <w:hideMark/>
          </w:tcPr>
          <w:p w14:paraId="49C811D1" w14:textId="77777777" w:rsidR="00000000" w:rsidRDefault="001826C1">
            <w:pPr>
              <w:jc w:val="right"/>
              <w:rPr>
                <w:rFonts w:eastAsia="Times New Roman"/>
                <w:sz w:val="20"/>
                <w:szCs w:val="20"/>
              </w:rPr>
            </w:pPr>
            <w:r>
              <w:rPr>
                <w:rFonts w:eastAsia="Times New Roman"/>
                <w:sz w:val="20"/>
                <w:szCs w:val="20"/>
              </w:rPr>
              <w:t>32</w:t>
            </w:r>
          </w:p>
        </w:tc>
      </w:tr>
      <w:tr w:rsidR="00000000" w14:paraId="6B6AA606" w14:textId="77777777">
        <w:tc>
          <w:tcPr>
            <w:tcW w:w="0" w:type="auto"/>
            <w:shd w:val="clear" w:color="auto" w:fill="CCEEFF"/>
            <w:hideMark/>
          </w:tcPr>
          <w:p w14:paraId="5B091F90" w14:textId="77777777" w:rsidR="00000000" w:rsidRDefault="001826C1">
            <w:pPr>
              <w:rPr>
                <w:rFonts w:eastAsia="Times New Roman"/>
                <w:sz w:val="20"/>
                <w:szCs w:val="20"/>
              </w:rPr>
            </w:pPr>
            <w:hyperlink w:anchor="a_011" w:history="1">
              <w:r>
                <w:rPr>
                  <w:rStyle w:val="a4"/>
                  <w:rFonts w:eastAsia="Times New Roman"/>
                  <w:sz w:val="20"/>
                  <w:szCs w:val="20"/>
                </w:rPr>
                <w:t>Item 6. Selected Financial Data</w:t>
              </w:r>
            </w:hyperlink>
          </w:p>
        </w:tc>
        <w:tc>
          <w:tcPr>
            <w:tcW w:w="0" w:type="auto"/>
            <w:shd w:val="clear" w:color="auto" w:fill="CCEEFF"/>
            <w:vAlign w:val="bottom"/>
            <w:hideMark/>
          </w:tcPr>
          <w:p w14:paraId="080CBAE5" w14:textId="77777777" w:rsidR="00000000" w:rsidRDefault="001826C1">
            <w:pPr>
              <w:jc w:val="right"/>
              <w:rPr>
                <w:rFonts w:eastAsia="Times New Roman"/>
                <w:sz w:val="20"/>
                <w:szCs w:val="20"/>
              </w:rPr>
            </w:pPr>
            <w:r>
              <w:rPr>
                <w:rFonts w:eastAsia="Times New Roman"/>
                <w:sz w:val="20"/>
                <w:szCs w:val="20"/>
              </w:rPr>
              <w:t>33</w:t>
            </w:r>
          </w:p>
        </w:tc>
      </w:tr>
      <w:tr w:rsidR="00000000" w14:paraId="0C07DE75" w14:textId="77777777">
        <w:tc>
          <w:tcPr>
            <w:tcW w:w="0" w:type="auto"/>
            <w:shd w:val="clear" w:color="auto" w:fill="FFFFFF"/>
            <w:hideMark/>
          </w:tcPr>
          <w:p w14:paraId="75703547" w14:textId="77777777" w:rsidR="00000000" w:rsidRDefault="001826C1">
            <w:pPr>
              <w:rPr>
                <w:rFonts w:eastAsia="Times New Roman"/>
                <w:sz w:val="20"/>
                <w:szCs w:val="20"/>
              </w:rPr>
            </w:pPr>
            <w:hyperlink w:anchor="a_012" w:history="1">
              <w:r>
                <w:rPr>
                  <w:rStyle w:val="a4"/>
                  <w:rFonts w:eastAsia="Times New Roman"/>
                  <w:sz w:val="20"/>
                  <w:szCs w:val="20"/>
                </w:rPr>
                <w:t>Item 7. Management’s Discussion and Analysis of Financial Condition and R</w:t>
              </w:r>
              <w:r>
                <w:rPr>
                  <w:rStyle w:val="a4"/>
                  <w:rFonts w:eastAsia="Times New Roman"/>
                  <w:sz w:val="20"/>
                  <w:szCs w:val="20"/>
                </w:rPr>
                <w:t>esults of Operations</w:t>
              </w:r>
            </w:hyperlink>
          </w:p>
        </w:tc>
        <w:tc>
          <w:tcPr>
            <w:tcW w:w="0" w:type="auto"/>
            <w:shd w:val="clear" w:color="auto" w:fill="FFFFFF"/>
            <w:vAlign w:val="bottom"/>
            <w:hideMark/>
          </w:tcPr>
          <w:p w14:paraId="6CB8E3CB" w14:textId="77777777" w:rsidR="00000000" w:rsidRDefault="001826C1">
            <w:pPr>
              <w:jc w:val="right"/>
              <w:rPr>
                <w:rFonts w:eastAsia="Times New Roman"/>
                <w:sz w:val="20"/>
                <w:szCs w:val="20"/>
              </w:rPr>
            </w:pPr>
            <w:r>
              <w:rPr>
                <w:rFonts w:eastAsia="Times New Roman"/>
                <w:sz w:val="20"/>
                <w:szCs w:val="20"/>
              </w:rPr>
              <w:t>36</w:t>
            </w:r>
          </w:p>
        </w:tc>
      </w:tr>
      <w:tr w:rsidR="00000000" w14:paraId="564F2012" w14:textId="77777777">
        <w:tc>
          <w:tcPr>
            <w:tcW w:w="0" w:type="auto"/>
            <w:shd w:val="clear" w:color="auto" w:fill="CCEEFF"/>
            <w:hideMark/>
          </w:tcPr>
          <w:p w14:paraId="24EDDDC9" w14:textId="77777777" w:rsidR="00000000" w:rsidRDefault="001826C1">
            <w:pPr>
              <w:rPr>
                <w:rFonts w:eastAsia="Times New Roman"/>
                <w:sz w:val="20"/>
                <w:szCs w:val="20"/>
              </w:rPr>
            </w:pPr>
            <w:hyperlink w:anchor="a_013" w:history="1">
              <w:r>
                <w:rPr>
                  <w:rStyle w:val="a4"/>
                  <w:rFonts w:eastAsia="Times New Roman"/>
                  <w:sz w:val="20"/>
                  <w:szCs w:val="20"/>
                </w:rPr>
                <w:t>Item 7A. Quantitative and Qualitative Disclosures about Market Risk</w:t>
              </w:r>
            </w:hyperlink>
          </w:p>
        </w:tc>
        <w:tc>
          <w:tcPr>
            <w:tcW w:w="0" w:type="auto"/>
            <w:shd w:val="clear" w:color="auto" w:fill="CCEEFF"/>
            <w:vAlign w:val="bottom"/>
            <w:hideMark/>
          </w:tcPr>
          <w:p w14:paraId="54623319" w14:textId="77777777" w:rsidR="00000000" w:rsidRDefault="001826C1">
            <w:pPr>
              <w:jc w:val="right"/>
              <w:rPr>
                <w:rFonts w:eastAsia="Times New Roman"/>
                <w:sz w:val="20"/>
                <w:szCs w:val="20"/>
              </w:rPr>
            </w:pPr>
            <w:r>
              <w:rPr>
                <w:rFonts w:eastAsia="Times New Roman"/>
                <w:sz w:val="20"/>
                <w:szCs w:val="20"/>
              </w:rPr>
              <w:t>49</w:t>
            </w:r>
          </w:p>
        </w:tc>
      </w:tr>
      <w:tr w:rsidR="00000000" w14:paraId="3CC5DB9E" w14:textId="77777777">
        <w:tc>
          <w:tcPr>
            <w:tcW w:w="0" w:type="auto"/>
            <w:shd w:val="clear" w:color="auto" w:fill="FFFFFF"/>
            <w:hideMark/>
          </w:tcPr>
          <w:p w14:paraId="348E3226" w14:textId="77777777" w:rsidR="00000000" w:rsidRDefault="001826C1">
            <w:pPr>
              <w:rPr>
                <w:rFonts w:eastAsia="Times New Roman"/>
                <w:sz w:val="20"/>
                <w:szCs w:val="20"/>
              </w:rPr>
            </w:pPr>
            <w:hyperlink w:anchor="a_014" w:history="1">
              <w:r>
                <w:rPr>
                  <w:rStyle w:val="a4"/>
                  <w:rFonts w:eastAsia="Times New Roman"/>
                  <w:sz w:val="20"/>
                  <w:szCs w:val="20"/>
                </w:rPr>
                <w:t>Item 8. Financial Statements and Supplementary Data</w:t>
              </w:r>
            </w:hyperlink>
          </w:p>
        </w:tc>
        <w:tc>
          <w:tcPr>
            <w:tcW w:w="0" w:type="auto"/>
            <w:shd w:val="clear" w:color="auto" w:fill="FFFFFF"/>
            <w:vAlign w:val="bottom"/>
            <w:hideMark/>
          </w:tcPr>
          <w:p w14:paraId="4E26ACF4" w14:textId="77777777" w:rsidR="00000000" w:rsidRDefault="001826C1">
            <w:pPr>
              <w:jc w:val="right"/>
              <w:rPr>
                <w:rFonts w:eastAsia="Times New Roman"/>
                <w:sz w:val="20"/>
                <w:szCs w:val="20"/>
              </w:rPr>
            </w:pPr>
            <w:r>
              <w:rPr>
                <w:rFonts w:eastAsia="Times New Roman"/>
                <w:sz w:val="20"/>
                <w:szCs w:val="20"/>
              </w:rPr>
              <w:t>49</w:t>
            </w:r>
          </w:p>
        </w:tc>
      </w:tr>
      <w:tr w:rsidR="00000000" w14:paraId="7F426699" w14:textId="77777777">
        <w:tc>
          <w:tcPr>
            <w:tcW w:w="0" w:type="auto"/>
            <w:shd w:val="clear" w:color="auto" w:fill="CCEEFF"/>
            <w:hideMark/>
          </w:tcPr>
          <w:p w14:paraId="0D87011C" w14:textId="77777777" w:rsidR="00000000" w:rsidRDefault="001826C1">
            <w:pPr>
              <w:rPr>
                <w:rFonts w:eastAsia="Times New Roman"/>
                <w:sz w:val="20"/>
                <w:szCs w:val="20"/>
              </w:rPr>
            </w:pPr>
            <w:hyperlink w:anchor="a_015" w:history="1">
              <w:r>
                <w:rPr>
                  <w:rStyle w:val="a4"/>
                  <w:rFonts w:eastAsia="Times New Roman"/>
                  <w:sz w:val="20"/>
                  <w:szCs w:val="20"/>
                </w:rPr>
                <w:t xml:space="preserve">Item 9. Changes in </w:t>
              </w:r>
              <w:r>
                <w:rPr>
                  <w:rStyle w:val="a4"/>
                  <w:rFonts w:eastAsia="Times New Roman"/>
                  <w:sz w:val="20"/>
                  <w:szCs w:val="20"/>
                </w:rPr>
                <w:t>and Disagreements with Accountants on Accounting and Financial Disclosure</w:t>
              </w:r>
            </w:hyperlink>
          </w:p>
        </w:tc>
        <w:tc>
          <w:tcPr>
            <w:tcW w:w="0" w:type="auto"/>
            <w:shd w:val="clear" w:color="auto" w:fill="CCEEFF"/>
            <w:vAlign w:val="bottom"/>
            <w:hideMark/>
          </w:tcPr>
          <w:p w14:paraId="0F42584E" w14:textId="77777777" w:rsidR="00000000" w:rsidRDefault="001826C1">
            <w:pPr>
              <w:jc w:val="right"/>
              <w:rPr>
                <w:rFonts w:eastAsia="Times New Roman"/>
                <w:sz w:val="20"/>
                <w:szCs w:val="20"/>
              </w:rPr>
            </w:pPr>
            <w:r>
              <w:rPr>
                <w:rFonts w:eastAsia="Times New Roman"/>
                <w:sz w:val="20"/>
                <w:szCs w:val="20"/>
              </w:rPr>
              <w:t>50</w:t>
            </w:r>
          </w:p>
        </w:tc>
      </w:tr>
      <w:tr w:rsidR="00000000" w14:paraId="7196639A" w14:textId="77777777">
        <w:tc>
          <w:tcPr>
            <w:tcW w:w="0" w:type="auto"/>
            <w:shd w:val="clear" w:color="auto" w:fill="FFFFFF"/>
            <w:hideMark/>
          </w:tcPr>
          <w:p w14:paraId="3166F99D" w14:textId="77777777" w:rsidR="00000000" w:rsidRDefault="001826C1">
            <w:pPr>
              <w:rPr>
                <w:rFonts w:eastAsia="Times New Roman"/>
                <w:sz w:val="20"/>
                <w:szCs w:val="20"/>
              </w:rPr>
            </w:pPr>
            <w:hyperlink w:anchor="a_016" w:history="1">
              <w:r>
                <w:rPr>
                  <w:rStyle w:val="a4"/>
                  <w:rFonts w:eastAsia="Times New Roman"/>
                  <w:sz w:val="20"/>
                  <w:szCs w:val="20"/>
                </w:rPr>
                <w:t>Item 9A. Controls and Procedures</w:t>
              </w:r>
            </w:hyperlink>
          </w:p>
        </w:tc>
        <w:tc>
          <w:tcPr>
            <w:tcW w:w="0" w:type="auto"/>
            <w:shd w:val="clear" w:color="auto" w:fill="FFFFFF"/>
            <w:vAlign w:val="bottom"/>
            <w:hideMark/>
          </w:tcPr>
          <w:p w14:paraId="5682C397" w14:textId="77777777" w:rsidR="00000000" w:rsidRDefault="001826C1">
            <w:pPr>
              <w:jc w:val="right"/>
              <w:rPr>
                <w:rFonts w:eastAsia="Times New Roman"/>
                <w:sz w:val="20"/>
                <w:szCs w:val="20"/>
              </w:rPr>
            </w:pPr>
            <w:r>
              <w:rPr>
                <w:rFonts w:eastAsia="Times New Roman"/>
                <w:sz w:val="20"/>
                <w:szCs w:val="20"/>
              </w:rPr>
              <w:t>50</w:t>
            </w:r>
          </w:p>
        </w:tc>
      </w:tr>
      <w:tr w:rsidR="00000000" w14:paraId="3FE7A469" w14:textId="77777777">
        <w:tc>
          <w:tcPr>
            <w:tcW w:w="0" w:type="auto"/>
            <w:shd w:val="clear" w:color="auto" w:fill="CCEEFF"/>
            <w:hideMark/>
          </w:tcPr>
          <w:p w14:paraId="3177EC6E" w14:textId="77777777" w:rsidR="00000000" w:rsidRDefault="001826C1">
            <w:pPr>
              <w:rPr>
                <w:rFonts w:eastAsia="Times New Roman"/>
                <w:sz w:val="20"/>
                <w:szCs w:val="20"/>
              </w:rPr>
            </w:pPr>
            <w:hyperlink w:anchor="Z_001" w:history="1">
              <w:r>
                <w:rPr>
                  <w:rStyle w:val="a4"/>
                  <w:rFonts w:eastAsia="Times New Roman"/>
                  <w:sz w:val="20"/>
                  <w:szCs w:val="20"/>
                </w:rPr>
                <w:t>Item 9B. Other Information</w:t>
              </w:r>
            </w:hyperlink>
          </w:p>
        </w:tc>
        <w:tc>
          <w:tcPr>
            <w:tcW w:w="0" w:type="auto"/>
            <w:shd w:val="clear" w:color="auto" w:fill="CCEEFF"/>
            <w:vAlign w:val="bottom"/>
            <w:hideMark/>
          </w:tcPr>
          <w:p w14:paraId="60B5F793" w14:textId="77777777" w:rsidR="00000000" w:rsidRDefault="001826C1">
            <w:pPr>
              <w:jc w:val="right"/>
              <w:rPr>
                <w:rFonts w:eastAsia="Times New Roman"/>
                <w:sz w:val="20"/>
                <w:szCs w:val="20"/>
              </w:rPr>
            </w:pPr>
            <w:r>
              <w:rPr>
                <w:rFonts w:eastAsia="Times New Roman"/>
                <w:sz w:val="20"/>
                <w:szCs w:val="20"/>
              </w:rPr>
              <w:t>50</w:t>
            </w:r>
          </w:p>
        </w:tc>
      </w:tr>
      <w:tr w:rsidR="00000000" w14:paraId="1E5BDEEA" w14:textId="77777777">
        <w:tc>
          <w:tcPr>
            <w:tcW w:w="0" w:type="auto"/>
            <w:shd w:val="clear" w:color="auto" w:fill="FFFFFF"/>
            <w:hideMark/>
          </w:tcPr>
          <w:p w14:paraId="349B1A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4515A3" w14:textId="77777777" w:rsidR="00000000" w:rsidRDefault="001826C1">
            <w:pPr>
              <w:jc w:val="right"/>
              <w:rPr>
                <w:rFonts w:eastAsia="Times New Roman"/>
                <w:sz w:val="20"/>
                <w:szCs w:val="20"/>
              </w:rPr>
            </w:pPr>
            <w:r>
              <w:rPr>
                <w:rFonts w:eastAsia="Times New Roman"/>
                <w:sz w:val="20"/>
                <w:szCs w:val="20"/>
              </w:rPr>
              <w:t> </w:t>
            </w:r>
          </w:p>
        </w:tc>
      </w:tr>
      <w:tr w:rsidR="00000000" w14:paraId="146F7B24" w14:textId="77777777">
        <w:tc>
          <w:tcPr>
            <w:tcW w:w="0" w:type="auto"/>
            <w:shd w:val="clear" w:color="auto" w:fill="CCEEFF"/>
            <w:hideMark/>
          </w:tcPr>
          <w:p w14:paraId="45838289" w14:textId="77777777" w:rsidR="00000000" w:rsidRDefault="001826C1">
            <w:pPr>
              <w:jc w:val="center"/>
              <w:rPr>
                <w:rFonts w:eastAsia="Times New Roman"/>
                <w:sz w:val="20"/>
                <w:szCs w:val="20"/>
              </w:rPr>
            </w:pPr>
            <w:hyperlink w:anchor="a_017" w:history="1">
              <w:r>
                <w:rPr>
                  <w:rStyle w:val="a4"/>
                  <w:rFonts w:eastAsia="Times New Roman"/>
                  <w:sz w:val="20"/>
                  <w:szCs w:val="20"/>
                </w:rPr>
                <w:t>PART III</w:t>
              </w:r>
            </w:hyperlink>
          </w:p>
        </w:tc>
        <w:tc>
          <w:tcPr>
            <w:tcW w:w="0" w:type="auto"/>
            <w:shd w:val="clear" w:color="auto" w:fill="CCEEFF"/>
            <w:vAlign w:val="bottom"/>
            <w:hideMark/>
          </w:tcPr>
          <w:p w14:paraId="61339F34" w14:textId="77777777" w:rsidR="00000000" w:rsidRDefault="001826C1">
            <w:pPr>
              <w:jc w:val="right"/>
              <w:rPr>
                <w:rFonts w:eastAsia="Times New Roman"/>
                <w:sz w:val="20"/>
                <w:szCs w:val="20"/>
              </w:rPr>
            </w:pPr>
            <w:r>
              <w:rPr>
                <w:rFonts w:eastAsia="Times New Roman"/>
                <w:sz w:val="20"/>
                <w:szCs w:val="20"/>
              </w:rPr>
              <w:t> </w:t>
            </w:r>
          </w:p>
        </w:tc>
      </w:tr>
      <w:tr w:rsidR="00000000" w14:paraId="5EBA7EC4" w14:textId="77777777">
        <w:tc>
          <w:tcPr>
            <w:tcW w:w="0" w:type="auto"/>
            <w:shd w:val="clear" w:color="auto" w:fill="FFFFFF"/>
            <w:hideMark/>
          </w:tcPr>
          <w:p w14:paraId="13D3C11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A42F61" w14:textId="77777777" w:rsidR="00000000" w:rsidRDefault="001826C1">
            <w:pPr>
              <w:jc w:val="right"/>
              <w:rPr>
                <w:rFonts w:eastAsia="Times New Roman"/>
                <w:sz w:val="20"/>
                <w:szCs w:val="20"/>
              </w:rPr>
            </w:pPr>
            <w:r>
              <w:rPr>
                <w:rFonts w:eastAsia="Times New Roman"/>
                <w:sz w:val="20"/>
                <w:szCs w:val="20"/>
              </w:rPr>
              <w:t> </w:t>
            </w:r>
          </w:p>
        </w:tc>
      </w:tr>
      <w:tr w:rsidR="00000000" w14:paraId="1D218184" w14:textId="77777777">
        <w:tc>
          <w:tcPr>
            <w:tcW w:w="0" w:type="auto"/>
            <w:shd w:val="clear" w:color="auto" w:fill="CCEEFF"/>
            <w:hideMark/>
          </w:tcPr>
          <w:p w14:paraId="339E1FF0" w14:textId="77777777" w:rsidR="00000000" w:rsidRDefault="001826C1">
            <w:pPr>
              <w:rPr>
                <w:rFonts w:eastAsia="Times New Roman"/>
                <w:sz w:val="20"/>
                <w:szCs w:val="20"/>
              </w:rPr>
            </w:pPr>
            <w:hyperlink w:anchor="cole_001" w:history="1">
              <w:r>
                <w:rPr>
                  <w:rStyle w:val="a4"/>
                  <w:rFonts w:eastAsia="Times New Roman"/>
                  <w:sz w:val="20"/>
                  <w:szCs w:val="20"/>
                </w:rPr>
                <w:t>Item 10. Directors, Executive Officers and Corporate Governance</w:t>
              </w:r>
            </w:hyperlink>
          </w:p>
        </w:tc>
        <w:tc>
          <w:tcPr>
            <w:tcW w:w="0" w:type="auto"/>
            <w:shd w:val="clear" w:color="auto" w:fill="CCEEFF"/>
            <w:vAlign w:val="bottom"/>
            <w:hideMark/>
          </w:tcPr>
          <w:p w14:paraId="543C01E5" w14:textId="77777777" w:rsidR="00000000" w:rsidRDefault="001826C1">
            <w:pPr>
              <w:jc w:val="right"/>
              <w:rPr>
                <w:rFonts w:eastAsia="Times New Roman"/>
                <w:sz w:val="20"/>
                <w:szCs w:val="20"/>
              </w:rPr>
            </w:pPr>
            <w:r>
              <w:rPr>
                <w:rFonts w:eastAsia="Times New Roman"/>
                <w:sz w:val="20"/>
                <w:szCs w:val="20"/>
              </w:rPr>
              <w:t>51</w:t>
            </w:r>
          </w:p>
        </w:tc>
      </w:tr>
      <w:tr w:rsidR="00000000" w14:paraId="79C3E21D" w14:textId="77777777">
        <w:tc>
          <w:tcPr>
            <w:tcW w:w="0" w:type="auto"/>
            <w:shd w:val="clear" w:color="auto" w:fill="FFFFFF"/>
            <w:hideMark/>
          </w:tcPr>
          <w:p w14:paraId="297257D5" w14:textId="77777777" w:rsidR="00000000" w:rsidRDefault="001826C1">
            <w:pPr>
              <w:rPr>
                <w:rFonts w:eastAsia="Times New Roman"/>
                <w:sz w:val="20"/>
                <w:szCs w:val="20"/>
              </w:rPr>
            </w:pPr>
            <w:hyperlink w:anchor="a_018" w:history="1">
              <w:r>
                <w:rPr>
                  <w:rStyle w:val="a4"/>
                  <w:rFonts w:eastAsia="Times New Roman"/>
                  <w:sz w:val="20"/>
                  <w:szCs w:val="20"/>
                </w:rPr>
                <w:t>Item 11. Executive Compensation</w:t>
              </w:r>
            </w:hyperlink>
          </w:p>
        </w:tc>
        <w:tc>
          <w:tcPr>
            <w:tcW w:w="0" w:type="auto"/>
            <w:shd w:val="clear" w:color="auto" w:fill="FFFFFF"/>
            <w:vAlign w:val="bottom"/>
            <w:hideMark/>
          </w:tcPr>
          <w:p w14:paraId="22A046AB" w14:textId="77777777" w:rsidR="00000000" w:rsidRDefault="001826C1">
            <w:pPr>
              <w:jc w:val="right"/>
              <w:rPr>
                <w:rFonts w:eastAsia="Times New Roman"/>
                <w:sz w:val="20"/>
                <w:szCs w:val="20"/>
              </w:rPr>
            </w:pPr>
            <w:r>
              <w:rPr>
                <w:rFonts w:eastAsia="Times New Roman"/>
                <w:sz w:val="20"/>
                <w:szCs w:val="20"/>
              </w:rPr>
              <w:t>51</w:t>
            </w:r>
          </w:p>
        </w:tc>
      </w:tr>
      <w:tr w:rsidR="00000000" w14:paraId="7ABA83A9" w14:textId="77777777">
        <w:tc>
          <w:tcPr>
            <w:tcW w:w="0" w:type="auto"/>
            <w:shd w:val="clear" w:color="auto" w:fill="CCEEFF"/>
            <w:hideMark/>
          </w:tcPr>
          <w:p w14:paraId="6AC66420" w14:textId="77777777" w:rsidR="00000000" w:rsidRDefault="001826C1">
            <w:pPr>
              <w:rPr>
                <w:rFonts w:eastAsia="Times New Roman"/>
                <w:sz w:val="20"/>
                <w:szCs w:val="20"/>
              </w:rPr>
            </w:pPr>
            <w:hyperlink w:anchor="a_019" w:history="1">
              <w:r>
                <w:rPr>
                  <w:rStyle w:val="a4"/>
                  <w:rFonts w:eastAsia="Times New Roman"/>
                  <w:sz w:val="20"/>
                  <w:szCs w:val="20"/>
                </w:rPr>
                <w:t>Item 12. Security Ownership of Certain Beneficial Owners and Mana</w:t>
              </w:r>
              <w:r>
                <w:rPr>
                  <w:rStyle w:val="a4"/>
                  <w:rFonts w:eastAsia="Times New Roman"/>
                  <w:sz w:val="20"/>
                  <w:szCs w:val="20"/>
                </w:rPr>
                <w:t>gement and Related Stockholder Matters</w:t>
              </w:r>
            </w:hyperlink>
          </w:p>
        </w:tc>
        <w:tc>
          <w:tcPr>
            <w:tcW w:w="0" w:type="auto"/>
            <w:shd w:val="clear" w:color="auto" w:fill="CCEEFF"/>
            <w:vAlign w:val="bottom"/>
            <w:hideMark/>
          </w:tcPr>
          <w:p w14:paraId="57FC078D" w14:textId="77777777" w:rsidR="00000000" w:rsidRDefault="001826C1">
            <w:pPr>
              <w:jc w:val="right"/>
              <w:rPr>
                <w:rFonts w:eastAsia="Times New Roman"/>
                <w:sz w:val="20"/>
                <w:szCs w:val="20"/>
              </w:rPr>
            </w:pPr>
            <w:r>
              <w:rPr>
                <w:rFonts w:eastAsia="Times New Roman"/>
                <w:sz w:val="20"/>
                <w:szCs w:val="20"/>
              </w:rPr>
              <w:t>51</w:t>
            </w:r>
          </w:p>
        </w:tc>
      </w:tr>
      <w:tr w:rsidR="00000000" w14:paraId="4A3A132A" w14:textId="77777777">
        <w:tc>
          <w:tcPr>
            <w:tcW w:w="0" w:type="auto"/>
            <w:shd w:val="clear" w:color="auto" w:fill="FFFFFF"/>
            <w:hideMark/>
          </w:tcPr>
          <w:p w14:paraId="6059E99F" w14:textId="77777777" w:rsidR="00000000" w:rsidRDefault="001826C1">
            <w:pPr>
              <w:rPr>
                <w:rFonts w:eastAsia="Times New Roman"/>
                <w:sz w:val="20"/>
                <w:szCs w:val="20"/>
              </w:rPr>
            </w:pPr>
            <w:hyperlink w:anchor="a_020" w:history="1">
              <w:r>
                <w:rPr>
                  <w:rStyle w:val="a4"/>
                  <w:rFonts w:eastAsia="Times New Roman"/>
                  <w:sz w:val="20"/>
                  <w:szCs w:val="20"/>
                </w:rPr>
                <w:t>Item 13. Certain Relationships and Related Transactions, and Director Independence</w:t>
              </w:r>
            </w:hyperlink>
          </w:p>
        </w:tc>
        <w:tc>
          <w:tcPr>
            <w:tcW w:w="0" w:type="auto"/>
            <w:shd w:val="clear" w:color="auto" w:fill="FFFFFF"/>
            <w:vAlign w:val="bottom"/>
            <w:hideMark/>
          </w:tcPr>
          <w:p w14:paraId="74646315" w14:textId="77777777" w:rsidR="00000000" w:rsidRDefault="001826C1">
            <w:pPr>
              <w:jc w:val="right"/>
              <w:rPr>
                <w:rFonts w:eastAsia="Times New Roman"/>
                <w:sz w:val="20"/>
                <w:szCs w:val="20"/>
              </w:rPr>
            </w:pPr>
            <w:r>
              <w:rPr>
                <w:rFonts w:eastAsia="Times New Roman"/>
                <w:sz w:val="20"/>
                <w:szCs w:val="20"/>
              </w:rPr>
              <w:t>51</w:t>
            </w:r>
          </w:p>
        </w:tc>
      </w:tr>
      <w:tr w:rsidR="00000000" w14:paraId="227D9D63" w14:textId="77777777">
        <w:tc>
          <w:tcPr>
            <w:tcW w:w="0" w:type="auto"/>
            <w:shd w:val="clear" w:color="auto" w:fill="CCEEFF"/>
            <w:hideMark/>
          </w:tcPr>
          <w:p w14:paraId="30FE19E3" w14:textId="77777777" w:rsidR="00000000" w:rsidRDefault="001826C1">
            <w:pPr>
              <w:rPr>
                <w:rFonts w:eastAsia="Times New Roman"/>
                <w:sz w:val="20"/>
                <w:szCs w:val="20"/>
              </w:rPr>
            </w:pPr>
            <w:hyperlink w:anchor="a_021" w:history="1">
              <w:r>
                <w:rPr>
                  <w:rStyle w:val="a4"/>
                  <w:rFonts w:eastAsia="Times New Roman"/>
                  <w:sz w:val="20"/>
                  <w:szCs w:val="20"/>
                </w:rPr>
                <w:t>Item 14. Principal Accounting Fees and Services</w:t>
              </w:r>
            </w:hyperlink>
          </w:p>
        </w:tc>
        <w:tc>
          <w:tcPr>
            <w:tcW w:w="0" w:type="auto"/>
            <w:shd w:val="clear" w:color="auto" w:fill="CCEEFF"/>
            <w:vAlign w:val="bottom"/>
            <w:hideMark/>
          </w:tcPr>
          <w:p w14:paraId="1F33D4F6" w14:textId="77777777" w:rsidR="00000000" w:rsidRDefault="001826C1">
            <w:pPr>
              <w:jc w:val="right"/>
              <w:rPr>
                <w:rFonts w:eastAsia="Times New Roman"/>
                <w:sz w:val="20"/>
                <w:szCs w:val="20"/>
              </w:rPr>
            </w:pPr>
            <w:r>
              <w:rPr>
                <w:rFonts w:eastAsia="Times New Roman"/>
                <w:sz w:val="20"/>
                <w:szCs w:val="20"/>
              </w:rPr>
              <w:t>51</w:t>
            </w:r>
          </w:p>
        </w:tc>
      </w:tr>
      <w:tr w:rsidR="00000000" w14:paraId="64ED9AEF" w14:textId="77777777">
        <w:tc>
          <w:tcPr>
            <w:tcW w:w="0" w:type="auto"/>
            <w:shd w:val="clear" w:color="auto" w:fill="FFFFFF"/>
            <w:hideMark/>
          </w:tcPr>
          <w:p w14:paraId="480BA5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D50A02" w14:textId="77777777" w:rsidR="00000000" w:rsidRDefault="001826C1">
            <w:pPr>
              <w:jc w:val="right"/>
              <w:rPr>
                <w:rFonts w:eastAsia="Times New Roman"/>
                <w:sz w:val="20"/>
                <w:szCs w:val="20"/>
              </w:rPr>
            </w:pPr>
            <w:r>
              <w:rPr>
                <w:rFonts w:eastAsia="Times New Roman"/>
                <w:sz w:val="20"/>
                <w:szCs w:val="20"/>
              </w:rPr>
              <w:t> </w:t>
            </w:r>
          </w:p>
        </w:tc>
      </w:tr>
      <w:tr w:rsidR="00000000" w14:paraId="59EE1B3E" w14:textId="77777777">
        <w:tc>
          <w:tcPr>
            <w:tcW w:w="0" w:type="auto"/>
            <w:shd w:val="clear" w:color="auto" w:fill="CCEEFF"/>
            <w:hideMark/>
          </w:tcPr>
          <w:p w14:paraId="0A5DA31D" w14:textId="77777777" w:rsidR="00000000" w:rsidRDefault="001826C1">
            <w:pPr>
              <w:jc w:val="center"/>
              <w:rPr>
                <w:rFonts w:eastAsia="Times New Roman"/>
                <w:sz w:val="20"/>
                <w:szCs w:val="20"/>
              </w:rPr>
            </w:pPr>
            <w:hyperlink w:anchor="a_022" w:history="1">
              <w:r>
                <w:rPr>
                  <w:rStyle w:val="a4"/>
                  <w:rFonts w:eastAsia="Times New Roman"/>
                  <w:sz w:val="20"/>
                  <w:szCs w:val="20"/>
                </w:rPr>
                <w:t>PART IV</w:t>
              </w:r>
            </w:hyperlink>
          </w:p>
        </w:tc>
        <w:tc>
          <w:tcPr>
            <w:tcW w:w="0" w:type="auto"/>
            <w:shd w:val="clear" w:color="auto" w:fill="CCEEFF"/>
            <w:vAlign w:val="bottom"/>
            <w:hideMark/>
          </w:tcPr>
          <w:p w14:paraId="45474350" w14:textId="77777777" w:rsidR="00000000" w:rsidRDefault="001826C1">
            <w:pPr>
              <w:jc w:val="right"/>
              <w:rPr>
                <w:rFonts w:eastAsia="Times New Roman"/>
                <w:sz w:val="20"/>
                <w:szCs w:val="20"/>
              </w:rPr>
            </w:pPr>
            <w:r>
              <w:rPr>
                <w:rFonts w:eastAsia="Times New Roman"/>
                <w:sz w:val="20"/>
                <w:szCs w:val="20"/>
              </w:rPr>
              <w:t> </w:t>
            </w:r>
          </w:p>
        </w:tc>
      </w:tr>
      <w:tr w:rsidR="00000000" w14:paraId="1FDB96A0" w14:textId="77777777">
        <w:tc>
          <w:tcPr>
            <w:tcW w:w="0" w:type="auto"/>
            <w:shd w:val="clear" w:color="auto" w:fill="FFFFFF"/>
            <w:hideMark/>
          </w:tcPr>
          <w:p w14:paraId="1E9808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962378" w14:textId="77777777" w:rsidR="00000000" w:rsidRDefault="001826C1">
            <w:pPr>
              <w:jc w:val="right"/>
              <w:rPr>
                <w:rFonts w:eastAsia="Times New Roman"/>
                <w:sz w:val="20"/>
                <w:szCs w:val="20"/>
              </w:rPr>
            </w:pPr>
            <w:r>
              <w:rPr>
                <w:rFonts w:eastAsia="Times New Roman"/>
                <w:sz w:val="20"/>
                <w:szCs w:val="20"/>
              </w:rPr>
              <w:t> </w:t>
            </w:r>
          </w:p>
        </w:tc>
      </w:tr>
      <w:tr w:rsidR="00000000" w14:paraId="2F354D58" w14:textId="77777777">
        <w:tc>
          <w:tcPr>
            <w:tcW w:w="0" w:type="auto"/>
            <w:shd w:val="clear" w:color="auto" w:fill="CCEEFF"/>
            <w:hideMark/>
          </w:tcPr>
          <w:p w14:paraId="462E3E68" w14:textId="77777777" w:rsidR="00000000" w:rsidRDefault="001826C1">
            <w:pPr>
              <w:rPr>
                <w:rFonts w:eastAsia="Times New Roman"/>
                <w:sz w:val="20"/>
                <w:szCs w:val="20"/>
              </w:rPr>
            </w:pPr>
            <w:hyperlink w:anchor="a_022" w:history="1">
              <w:r>
                <w:rPr>
                  <w:rStyle w:val="a4"/>
                  <w:rFonts w:eastAsia="Times New Roman"/>
                  <w:sz w:val="20"/>
                  <w:szCs w:val="20"/>
                </w:rPr>
                <w:t>Item 15. Exhibits, Financial Statement Schedules</w:t>
              </w:r>
            </w:hyperlink>
          </w:p>
        </w:tc>
        <w:tc>
          <w:tcPr>
            <w:tcW w:w="0" w:type="auto"/>
            <w:shd w:val="clear" w:color="auto" w:fill="CCEEFF"/>
            <w:vAlign w:val="bottom"/>
            <w:hideMark/>
          </w:tcPr>
          <w:p w14:paraId="771D0427" w14:textId="77777777" w:rsidR="00000000" w:rsidRDefault="001826C1">
            <w:pPr>
              <w:jc w:val="right"/>
              <w:rPr>
                <w:rFonts w:eastAsia="Times New Roman"/>
                <w:sz w:val="20"/>
                <w:szCs w:val="20"/>
              </w:rPr>
            </w:pPr>
            <w:r>
              <w:rPr>
                <w:rFonts w:eastAsia="Times New Roman"/>
                <w:sz w:val="20"/>
                <w:szCs w:val="20"/>
              </w:rPr>
              <w:t>52</w:t>
            </w:r>
          </w:p>
        </w:tc>
      </w:tr>
      <w:tr w:rsidR="00000000" w14:paraId="770F0417" w14:textId="77777777">
        <w:tc>
          <w:tcPr>
            <w:tcW w:w="0" w:type="auto"/>
            <w:shd w:val="clear" w:color="auto" w:fill="FFFFFF"/>
            <w:hideMark/>
          </w:tcPr>
          <w:p w14:paraId="2AE50881" w14:textId="77777777" w:rsidR="00000000" w:rsidRDefault="001826C1">
            <w:pPr>
              <w:rPr>
                <w:rFonts w:eastAsia="Times New Roman"/>
                <w:sz w:val="20"/>
                <w:szCs w:val="20"/>
              </w:rPr>
            </w:pPr>
            <w:hyperlink w:anchor="a_023" w:history="1">
              <w:r>
                <w:rPr>
                  <w:rStyle w:val="a4"/>
                  <w:rFonts w:eastAsia="Times New Roman"/>
                  <w:sz w:val="20"/>
                  <w:szCs w:val="20"/>
                </w:rPr>
                <w:t>Signatures</w:t>
              </w:r>
            </w:hyperlink>
          </w:p>
        </w:tc>
        <w:tc>
          <w:tcPr>
            <w:tcW w:w="0" w:type="auto"/>
            <w:shd w:val="clear" w:color="auto" w:fill="FFFFFF"/>
            <w:vAlign w:val="bottom"/>
            <w:hideMark/>
          </w:tcPr>
          <w:p w14:paraId="2F84070B" w14:textId="77777777" w:rsidR="00000000" w:rsidRDefault="001826C1">
            <w:pPr>
              <w:jc w:val="right"/>
              <w:rPr>
                <w:rFonts w:eastAsia="Times New Roman"/>
                <w:sz w:val="20"/>
                <w:szCs w:val="20"/>
              </w:rPr>
            </w:pPr>
            <w:r>
              <w:rPr>
                <w:rFonts w:eastAsia="Times New Roman"/>
                <w:sz w:val="20"/>
                <w:szCs w:val="20"/>
              </w:rPr>
              <w:t>56</w:t>
            </w:r>
          </w:p>
        </w:tc>
      </w:tr>
    </w:tbl>
    <w:p w14:paraId="161CD10E"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77D6F88" w14:textId="77777777">
        <w:trPr>
          <w:divId w:val="1721440648"/>
        </w:trPr>
        <w:tc>
          <w:tcPr>
            <w:tcW w:w="5000" w:type="pct"/>
            <w:hideMark/>
          </w:tcPr>
          <w:p w14:paraId="6A8CD2BC" w14:textId="77777777" w:rsidR="00000000" w:rsidRDefault="001826C1">
            <w:pPr>
              <w:jc w:val="center"/>
              <w:rPr>
                <w:rFonts w:eastAsia="Times New Roman"/>
                <w:sz w:val="20"/>
                <w:szCs w:val="20"/>
              </w:rPr>
            </w:pP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61BE9F8A" w14:textId="77777777">
        <w:tc>
          <w:tcPr>
            <w:tcW w:w="5000" w:type="pct"/>
            <w:hideMark/>
          </w:tcPr>
          <w:p w14:paraId="622C8A33" w14:textId="77777777" w:rsidR="00000000" w:rsidRDefault="001826C1">
            <w:pPr>
              <w:jc w:val="center"/>
              <w:rPr>
                <w:rFonts w:eastAsia="Times New Roman"/>
                <w:sz w:val="20"/>
                <w:szCs w:val="20"/>
              </w:rPr>
            </w:pPr>
            <w:r>
              <w:rPr>
                <w:rFonts w:eastAsia="Times New Roman"/>
                <w:sz w:val="20"/>
                <w:szCs w:val="20"/>
              </w:rPr>
              <w:t> </w:t>
            </w:r>
          </w:p>
        </w:tc>
      </w:tr>
    </w:tbl>
    <w:p w14:paraId="68FB693E" w14:textId="77777777" w:rsidR="00000000" w:rsidRDefault="001826C1">
      <w:pPr>
        <w:pStyle w:val="a3"/>
        <w:spacing w:before="0" w:beforeAutospacing="0" w:after="0" w:afterAutospacing="0"/>
        <w:jc w:val="both"/>
        <w:rPr>
          <w:sz w:val="20"/>
          <w:szCs w:val="20"/>
        </w:rPr>
      </w:pPr>
      <w:r>
        <w:rPr>
          <w:b/>
          <w:bCs/>
          <w:sz w:val="20"/>
          <w:szCs w:val="20"/>
        </w:rPr>
        <w:t> </w:t>
      </w:r>
    </w:p>
    <w:p w14:paraId="10014FE2" w14:textId="77777777" w:rsidR="00000000" w:rsidRDefault="001826C1">
      <w:pPr>
        <w:pStyle w:val="a3"/>
        <w:spacing w:before="0" w:beforeAutospacing="0" w:after="0" w:afterAutospacing="0"/>
        <w:jc w:val="both"/>
        <w:rPr>
          <w:b/>
          <w:bCs/>
          <w:sz w:val="20"/>
          <w:szCs w:val="20"/>
        </w:rPr>
      </w:pPr>
      <w:bookmarkStart w:id="0" w:name="a_001"/>
      <w:bookmarkEnd w:id="0"/>
      <w:r>
        <w:rPr>
          <w:b/>
          <w:bCs/>
          <w:sz w:val="20"/>
          <w:szCs w:val="20"/>
        </w:rPr>
        <w:t>Forward-Looking Statements</w:t>
      </w:r>
    </w:p>
    <w:p w14:paraId="1D625B35" w14:textId="77777777" w:rsidR="00000000" w:rsidRDefault="001826C1">
      <w:pPr>
        <w:pStyle w:val="a3"/>
        <w:spacing w:before="0" w:beforeAutospacing="0" w:after="0" w:afterAutospacing="0"/>
        <w:jc w:val="both"/>
        <w:rPr>
          <w:sz w:val="20"/>
          <w:szCs w:val="20"/>
        </w:rPr>
      </w:pPr>
      <w:r>
        <w:rPr>
          <w:sz w:val="20"/>
          <w:szCs w:val="20"/>
        </w:rPr>
        <w:t> </w:t>
      </w:r>
    </w:p>
    <w:p w14:paraId="6151CC61" w14:textId="77777777" w:rsidR="00000000" w:rsidRDefault="001826C1">
      <w:pPr>
        <w:pStyle w:val="a3"/>
        <w:spacing w:before="0" w:beforeAutospacing="0" w:after="0" w:afterAutospacing="0"/>
        <w:jc w:val="both"/>
        <w:rPr>
          <w:sz w:val="20"/>
          <w:szCs w:val="20"/>
        </w:rPr>
      </w:pPr>
      <w:r>
        <w:rPr>
          <w:i/>
          <w:iCs/>
          <w:sz w:val="20"/>
          <w:szCs w:val="20"/>
        </w:rPr>
        <w:t>Certain statements that we make from time to time, including statements contained in this Annual Report on Form 10-K, constitute “forward-looking statements” within the meaning of Section 27A of the Securities Act of 1933, as a</w:t>
      </w:r>
      <w:r>
        <w:rPr>
          <w:i/>
          <w:iCs/>
          <w:sz w:val="20"/>
          <w:szCs w:val="20"/>
        </w:rPr>
        <w:t>mended, or the Securities Act, and Section 21E of the Securities Exchange Act of 1934, as amended, or the Exchange Act. All statements other than statements of historical fact contained in this Annual Report on Form 10-K are forward-looking statements. The</w:t>
      </w:r>
      <w:r>
        <w:rPr>
          <w:i/>
          <w:iCs/>
          <w:sz w:val="20"/>
          <w:szCs w:val="20"/>
        </w:rPr>
        <w:t>se statements relate to anticipated future events, future results of operations or future financial performance. In some cases, you can identify forward-looking statements by terminology such as “may,” “might,” “will,” “should,” “intends,” “expects,” “plan</w:t>
      </w:r>
      <w:r>
        <w:rPr>
          <w:i/>
          <w:iCs/>
          <w:sz w:val="20"/>
          <w:szCs w:val="20"/>
        </w:rPr>
        <w:t>s,” “goals,” “projects,” “anticipates,” “believes,” “estimates,” “predicts,” “potential,” or “continue” or the negative of these terms or other comparable terminology. Our operations involve risks and uncertainties, many of which are outside our control, a</w:t>
      </w:r>
      <w:r>
        <w:rPr>
          <w:i/>
          <w:iCs/>
          <w:sz w:val="20"/>
          <w:szCs w:val="20"/>
        </w:rPr>
        <w:t>nd any one of which, or a combination of which, could materially affect our results of operations and whether the forward-looking statements ultimately prove to be correct. Forward-looking statements in this Annual Report on Form 10-K include, without limi</w:t>
      </w:r>
      <w:r>
        <w:rPr>
          <w:i/>
          <w:iCs/>
          <w:sz w:val="20"/>
          <w:szCs w:val="20"/>
        </w:rPr>
        <w:t>tation, statements reflecting management’s expectations for future financial performance and operating expenditures (including our ability to continue as a going concern, to raise additional capital and to succeed in our future operations), expected growth</w:t>
      </w:r>
      <w:r>
        <w:rPr>
          <w:i/>
          <w:iCs/>
          <w:sz w:val="20"/>
          <w:szCs w:val="20"/>
        </w:rPr>
        <w:t>, profitability and business outlook, increased sales and marketing expenses, and the expected results from the integration of our acquisitions.</w:t>
      </w:r>
    </w:p>
    <w:p w14:paraId="1A1A940F" w14:textId="77777777" w:rsidR="00000000" w:rsidRDefault="001826C1">
      <w:pPr>
        <w:pStyle w:val="a3"/>
        <w:spacing w:before="0" w:beforeAutospacing="0" w:after="0" w:afterAutospacing="0"/>
        <w:ind w:firstLine="480"/>
        <w:jc w:val="both"/>
        <w:rPr>
          <w:sz w:val="20"/>
          <w:szCs w:val="20"/>
        </w:rPr>
      </w:pPr>
      <w:r>
        <w:rPr>
          <w:sz w:val="20"/>
          <w:szCs w:val="20"/>
        </w:rPr>
        <w:t> </w:t>
      </w:r>
    </w:p>
    <w:p w14:paraId="08AECFBB" w14:textId="77777777" w:rsidR="00000000" w:rsidRDefault="001826C1">
      <w:pPr>
        <w:pStyle w:val="a3"/>
        <w:spacing w:before="0" w:beforeAutospacing="0" w:after="0" w:afterAutospacing="0"/>
        <w:jc w:val="both"/>
        <w:rPr>
          <w:sz w:val="20"/>
          <w:szCs w:val="20"/>
        </w:rPr>
      </w:pPr>
      <w:r>
        <w:rPr>
          <w:i/>
          <w:iCs/>
          <w:sz w:val="20"/>
          <w:szCs w:val="20"/>
        </w:rPr>
        <w:t>Forward-looking statements are only predictions, are uncertain and involve substantial known and unknown risk</w:t>
      </w:r>
      <w:r>
        <w:rPr>
          <w:i/>
          <w:iCs/>
          <w:sz w:val="20"/>
          <w:szCs w:val="20"/>
        </w:rPr>
        <w:t>s, uncertainties, and other factors that may cause our (or our industry’s) actual results, levels of activity or performance to be materially different from any future results, levels of activity or performance expressed or implied by these forward-looking</w:t>
      </w:r>
      <w:r>
        <w:rPr>
          <w:i/>
          <w:iCs/>
          <w:sz w:val="20"/>
          <w:szCs w:val="20"/>
        </w:rPr>
        <w:t xml:space="preserve"> statements. These factors include, among other things, the unknown risks and uncertainties that we believe could cause actual results to differ from these forward-looking statements as set forth under the heading, “Risk Factors” and elsewhere in this Annu</w:t>
      </w:r>
      <w:r>
        <w:rPr>
          <w:i/>
          <w:iCs/>
          <w:sz w:val="20"/>
          <w:szCs w:val="20"/>
        </w:rPr>
        <w:t>al Report on Form 10-K</w:t>
      </w:r>
      <w:r>
        <w:rPr>
          <w:sz w:val="20"/>
          <w:szCs w:val="20"/>
        </w:rPr>
        <w:t xml:space="preserve">. </w:t>
      </w:r>
      <w:r>
        <w:rPr>
          <w:i/>
          <w:iCs/>
          <w:sz w:val="20"/>
          <w:szCs w:val="20"/>
        </w:rPr>
        <w:t xml:space="preserve">New risks and uncertainties emerge from time to time, and it is not possible </w:t>
      </w:r>
      <w:r>
        <w:rPr>
          <w:i/>
          <w:iCs/>
          <w:sz w:val="20"/>
          <w:szCs w:val="20"/>
        </w:rPr>
        <w:lastRenderedPageBreak/>
        <w:t>for us to predict all of the risks and uncertainties that could have an impact on the forward-looking statements, including without limitation, risks and u</w:t>
      </w:r>
      <w:r>
        <w:rPr>
          <w:i/>
          <w:iCs/>
          <w:sz w:val="20"/>
          <w:szCs w:val="20"/>
        </w:rPr>
        <w:t>ncertainties relating to:</w:t>
      </w:r>
    </w:p>
    <w:p w14:paraId="3563E8F7"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3BFDC72" w14:textId="77777777">
        <w:tc>
          <w:tcPr>
            <w:tcW w:w="360" w:type="dxa"/>
            <w:hideMark/>
          </w:tcPr>
          <w:p w14:paraId="54ED0FC4" w14:textId="77777777" w:rsidR="00000000" w:rsidRDefault="001826C1">
            <w:pPr>
              <w:rPr>
                <w:rFonts w:eastAsia="Times New Roman"/>
                <w:sz w:val="20"/>
                <w:szCs w:val="20"/>
              </w:rPr>
            </w:pPr>
            <w:r>
              <w:rPr>
                <w:rFonts w:eastAsia="Times New Roman"/>
                <w:sz w:val="20"/>
                <w:szCs w:val="20"/>
              </w:rPr>
              <w:t> </w:t>
            </w:r>
          </w:p>
        </w:tc>
        <w:tc>
          <w:tcPr>
            <w:tcW w:w="360" w:type="dxa"/>
            <w:hideMark/>
          </w:tcPr>
          <w:p w14:paraId="2582A959" w14:textId="77777777" w:rsidR="00000000" w:rsidRDefault="001826C1">
            <w:pPr>
              <w:rPr>
                <w:rFonts w:eastAsia="Times New Roman"/>
                <w:sz w:val="20"/>
                <w:szCs w:val="20"/>
              </w:rPr>
            </w:pPr>
            <w:r>
              <w:rPr>
                <w:rFonts w:eastAsia="Times New Roman"/>
                <w:sz w:val="20"/>
                <w:szCs w:val="20"/>
              </w:rPr>
              <w:t>●</w:t>
            </w:r>
          </w:p>
        </w:tc>
        <w:tc>
          <w:tcPr>
            <w:tcW w:w="0" w:type="auto"/>
            <w:hideMark/>
          </w:tcPr>
          <w:p w14:paraId="20A77853" w14:textId="77777777" w:rsidR="00000000" w:rsidRDefault="001826C1">
            <w:pPr>
              <w:jc w:val="both"/>
              <w:rPr>
                <w:rFonts w:eastAsia="Times New Roman"/>
                <w:sz w:val="20"/>
                <w:szCs w:val="20"/>
              </w:rPr>
            </w:pPr>
            <w:r>
              <w:rPr>
                <w:rFonts w:eastAsia="Times New Roman"/>
                <w:sz w:val="20"/>
                <w:szCs w:val="20"/>
              </w:rPr>
              <w:t>our ability to manage our growth, including acquiring, partnering with, and effectively integrating the recent acquisition of CareCloud Corporation and other acquired businesses into our infrastructure and avoiding legal exp</w:t>
            </w:r>
            <w:r>
              <w:rPr>
                <w:rFonts w:eastAsia="Times New Roman"/>
                <w:sz w:val="20"/>
                <w:szCs w:val="20"/>
              </w:rPr>
              <w:t>osure and liabilities associated with acquired companies and assets;</w:t>
            </w:r>
          </w:p>
        </w:tc>
      </w:tr>
      <w:tr w:rsidR="00000000" w14:paraId="582AD6D6" w14:textId="77777777">
        <w:tc>
          <w:tcPr>
            <w:tcW w:w="0" w:type="auto"/>
            <w:hideMark/>
          </w:tcPr>
          <w:p w14:paraId="0278E885" w14:textId="77777777" w:rsidR="00000000" w:rsidRDefault="001826C1">
            <w:pPr>
              <w:rPr>
                <w:rFonts w:eastAsia="Times New Roman"/>
                <w:sz w:val="20"/>
                <w:szCs w:val="20"/>
              </w:rPr>
            </w:pPr>
            <w:r>
              <w:rPr>
                <w:rFonts w:eastAsia="Times New Roman"/>
                <w:sz w:val="20"/>
                <w:szCs w:val="20"/>
              </w:rPr>
              <w:t> </w:t>
            </w:r>
          </w:p>
        </w:tc>
        <w:tc>
          <w:tcPr>
            <w:tcW w:w="0" w:type="auto"/>
            <w:hideMark/>
          </w:tcPr>
          <w:p w14:paraId="737CE764" w14:textId="77777777" w:rsidR="00000000" w:rsidRDefault="001826C1">
            <w:pPr>
              <w:rPr>
                <w:rFonts w:eastAsia="Times New Roman"/>
                <w:sz w:val="20"/>
                <w:szCs w:val="20"/>
              </w:rPr>
            </w:pPr>
            <w:r>
              <w:rPr>
                <w:rFonts w:eastAsia="Times New Roman"/>
                <w:sz w:val="20"/>
                <w:szCs w:val="20"/>
              </w:rPr>
              <w:t> </w:t>
            </w:r>
          </w:p>
        </w:tc>
        <w:tc>
          <w:tcPr>
            <w:tcW w:w="0" w:type="auto"/>
            <w:hideMark/>
          </w:tcPr>
          <w:p w14:paraId="19C5E690" w14:textId="77777777" w:rsidR="00000000" w:rsidRDefault="001826C1">
            <w:pPr>
              <w:rPr>
                <w:rFonts w:eastAsia="Times New Roman"/>
                <w:sz w:val="20"/>
                <w:szCs w:val="20"/>
              </w:rPr>
            </w:pPr>
            <w:r>
              <w:rPr>
                <w:rFonts w:eastAsia="Times New Roman"/>
                <w:sz w:val="20"/>
                <w:szCs w:val="20"/>
              </w:rPr>
              <w:t> </w:t>
            </w:r>
          </w:p>
        </w:tc>
      </w:tr>
      <w:tr w:rsidR="00000000" w14:paraId="425FC5A6" w14:textId="77777777">
        <w:tc>
          <w:tcPr>
            <w:tcW w:w="0" w:type="auto"/>
            <w:hideMark/>
          </w:tcPr>
          <w:p w14:paraId="7E80B63E" w14:textId="77777777" w:rsidR="00000000" w:rsidRDefault="001826C1">
            <w:pPr>
              <w:rPr>
                <w:rFonts w:eastAsia="Times New Roman"/>
                <w:sz w:val="20"/>
                <w:szCs w:val="20"/>
              </w:rPr>
            </w:pPr>
            <w:r>
              <w:rPr>
                <w:rFonts w:eastAsia="Times New Roman"/>
                <w:sz w:val="20"/>
                <w:szCs w:val="20"/>
              </w:rPr>
              <w:t> </w:t>
            </w:r>
          </w:p>
        </w:tc>
        <w:tc>
          <w:tcPr>
            <w:tcW w:w="0" w:type="auto"/>
            <w:hideMark/>
          </w:tcPr>
          <w:p w14:paraId="2ADC54F2" w14:textId="77777777" w:rsidR="00000000" w:rsidRDefault="001826C1">
            <w:pPr>
              <w:rPr>
                <w:rFonts w:eastAsia="Times New Roman"/>
                <w:sz w:val="20"/>
                <w:szCs w:val="20"/>
              </w:rPr>
            </w:pPr>
            <w:r>
              <w:rPr>
                <w:rFonts w:eastAsia="Times New Roman"/>
                <w:sz w:val="20"/>
                <w:szCs w:val="20"/>
              </w:rPr>
              <w:t>●</w:t>
            </w:r>
          </w:p>
        </w:tc>
        <w:tc>
          <w:tcPr>
            <w:tcW w:w="0" w:type="auto"/>
            <w:hideMark/>
          </w:tcPr>
          <w:p w14:paraId="61B39B75" w14:textId="77777777" w:rsidR="00000000" w:rsidRDefault="001826C1">
            <w:pPr>
              <w:jc w:val="both"/>
              <w:rPr>
                <w:rFonts w:eastAsia="Times New Roman"/>
                <w:sz w:val="20"/>
                <w:szCs w:val="20"/>
              </w:rPr>
            </w:pPr>
            <w:r>
              <w:rPr>
                <w:rFonts w:eastAsia="Times New Roman"/>
                <w:sz w:val="20"/>
                <w:szCs w:val="20"/>
              </w:rPr>
              <w:t xml:space="preserve">our </w:t>
            </w:r>
            <w:r>
              <w:rPr>
                <w:rFonts w:eastAsia="Times New Roman"/>
                <w:sz w:val="20"/>
                <w:szCs w:val="20"/>
              </w:rPr>
              <w:t>ability to retain our clients and revenue levels, including effectively migrating new clients and maintaining or growing the revenue levels of our new and existing clients;</w:t>
            </w:r>
          </w:p>
        </w:tc>
      </w:tr>
      <w:tr w:rsidR="00000000" w14:paraId="6C127C89" w14:textId="77777777">
        <w:tc>
          <w:tcPr>
            <w:tcW w:w="0" w:type="auto"/>
            <w:hideMark/>
          </w:tcPr>
          <w:p w14:paraId="6F2E4B97" w14:textId="77777777" w:rsidR="00000000" w:rsidRDefault="001826C1">
            <w:pPr>
              <w:rPr>
                <w:rFonts w:eastAsia="Times New Roman"/>
                <w:sz w:val="20"/>
                <w:szCs w:val="20"/>
              </w:rPr>
            </w:pPr>
            <w:r>
              <w:rPr>
                <w:rFonts w:eastAsia="Times New Roman"/>
                <w:sz w:val="20"/>
                <w:szCs w:val="20"/>
              </w:rPr>
              <w:t> </w:t>
            </w:r>
          </w:p>
        </w:tc>
        <w:tc>
          <w:tcPr>
            <w:tcW w:w="0" w:type="auto"/>
            <w:hideMark/>
          </w:tcPr>
          <w:p w14:paraId="5E16DB56" w14:textId="77777777" w:rsidR="00000000" w:rsidRDefault="001826C1">
            <w:pPr>
              <w:rPr>
                <w:rFonts w:eastAsia="Times New Roman"/>
                <w:sz w:val="20"/>
                <w:szCs w:val="20"/>
              </w:rPr>
            </w:pPr>
            <w:r>
              <w:rPr>
                <w:rFonts w:eastAsia="Times New Roman"/>
                <w:sz w:val="20"/>
                <w:szCs w:val="20"/>
              </w:rPr>
              <w:t> </w:t>
            </w:r>
          </w:p>
        </w:tc>
        <w:tc>
          <w:tcPr>
            <w:tcW w:w="0" w:type="auto"/>
            <w:hideMark/>
          </w:tcPr>
          <w:p w14:paraId="2DE95945" w14:textId="77777777" w:rsidR="00000000" w:rsidRDefault="001826C1">
            <w:pPr>
              <w:rPr>
                <w:rFonts w:eastAsia="Times New Roman"/>
                <w:sz w:val="20"/>
                <w:szCs w:val="20"/>
              </w:rPr>
            </w:pPr>
            <w:r>
              <w:rPr>
                <w:rFonts w:eastAsia="Times New Roman"/>
                <w:sz w:val="20"/>
                <w:szCs w:val="20"/>
              </w:rPr>
              <w:t> </w:t>
            </w:r>
          </w:p>
        </w:tc>
      </w:tr>
      <w:tr w:rsidR="00000000" w14:paraId="721139DE" w14:textId="77777777">
        <w:tc>
          <w:tcPr>
            <w:tcW w:w="0" w:type="auto"/>
            <w:hideMark/>
          </w:tcPr>
          <w:p w14:paraId="1C40971F" w14:textId="77777777" w:rsidR="00000000" w:rsidRDefault="001826C1">
            <w:pPr>
              <w:rPr>
                <w:rFonts w:eastAsia="Times New Roman"/>
                <w:sz w:val="20"/>
                <w:szCs w:val="20"/>
              </w:rPr>
            </w:pPr>
            <w:r>
              <w:rPr>
                <w:rFonts w:eastAsia="Times New Roman"/>
                <w:sz w:val="20"/>
                <w:szCs w:val="20"/>
              </w:rPr>
              <w:t> </w:t>
            </w:r>
          </w:p>
        </w:tc>
        <w:tc>
          <w:tcPr>
            <w:tcW w:w="0" w:type="auto"/>
            <w:hideMark/>
          </w:tcPr>
          <w:p w14:paraId="74F243C5" w14:textId="77777777" w:rsidR="00000000" w:rsidRDefault="001826C1">
            <w:pPr>
              <w:rPr>
                <w:rFonts w:eastAsia="Times New Roman"/>
                <w:sz w:val="20"/>
                <w:szCs w:val="20"/>
              </w:rPr>
            </w:pPr>
            <w:r>
              <w:rPr>
                <w:rFonts w:eastAsia="Times New Roman"/>
                <w:sz w:val="20"/>
                <w:szCs w:val="20"/>
              </w:rPr>
              <w:t>●</w:t>
            </w:r>
          </w:p>
        </w:tc>
        <w:tc>
          <w:tcPr>
            <w:tcW w:w="0" w:type="auto"/>
            <w:hideMark/>
          </w:tcPr>
          <w:p w14:paraId="0D1ECFA9" w14:textId="77777777" w:rsidR="00000000" w:rsidRDefault="001826C1">
            <w:pPr>
              <w:jc w:val="both"/>
              <w:rPr>
                <w:rFonts w:eastAsia="Times New Roman"/>
                <w:sz w:val="20"/>
                <w:szCs w:val="20"/>
              </w:rPr>
            </w:pPr>
            <w:r>
              <w:rPr>
                <w:rFonts w:eastAsia="Times New Roman"/>
                <w:sz w:val="20"/>
                <w:szCs w:val="20"/>
              </w:rPr>
              <w:t>our ability to maintain operations in Pakistan and Sri Lanka in a manne</w:t>
            </w:r>
            <w:r>
              <w:rPr>
                <w:rFonts w:eastAsia="Times New Roman"/>
                <w:sz w:val="20"/>
                <w:szCs w:val="20"/>
              </w:rPr>
              <w:t>r that continues to enable us to offer competitively priced products and services;</w:t>
            </w:r>
          </w:p>
        </w:tc>
      </w:tr>
      <w:tr w:rsidR="00000000" w14:paraId="1E9A1A8A" w14:textId="77777777">
        <w:tc>
          <w:tcPr>
            <w:tcW w:w="0" w:type="auto"/>
            <w:hideMark/>
          </w:tcPr>
          <w:p w14:paraId="19E5F1B0" w14:textId="77777777" w:rsidR="00000000" w:rsidRDefault="001826C1">
            <w:pPr>
              <w:rPr>
                <w:rFonts w:eastAsia="Times New Roman"/>
                <w:sz w:val="20"/>
                <w:szCs w:val="20"/>
              </w:rPr>
            </w:pPr>
            <w:r>
              <w:rPr>
                <w:rFonts w:eastAsia="Times New Roman"/>
                <w:sz w:val="20"/>
                <w:szCs w:val="20"/>
              </w:rPr>
              <w:t> </w:t>
            </w:r>
          </w:p>
        </w:tc>
        <w:tc>
          <w:tcPr>
            <w:tcW w:w="0" w:type="auto"/>
            <w:hideMark/>
          </w:tcPr>
          <w:p w14:paraId="2575A01E" w14:textId="77777777" w:rsidR="00000000" w:rsidRDefault="001826C1">
            <w:pPr>
              <w:rPr>
                <w:rFonts w:eastAsia="Times New Roman"/>
                <w:sz w:val="20"/>
                <w:szCs w:val="20"/>
              </w:rPr>
            </w:pPr>
            <w:r>
              <w:rPr>
                <w:rFonts w:eastAsia="Times New Roman"/>
                <w:sz w:val="20"/>
                <w:szCs w:val="20"/>
              </w:rPr>
              <w:t> </w:t>
            </w:r>
          </w:p>
        </w:tc>
        <w:tc>
          <w:tcPr>
            <w:tcW w:w="0" w:type="auto"/>
            <w:hideMark/>
          </w:tcPr>
          <w:p w14:paraId="2C8C54B3" w14:textId="77777777" w:rsidR="00000000" w:rsidRDefault="001826C1">
            <w:pPr>
              <w:rPr>
                <w:rFonts w:eastAsia="Times New Roman"/>
                <w:sz w:val="20"/>
                <w:szCs w:val="20"/>
              </w:rPr>
            </w:pPr>
            <w:r>
              <w:rPr>
                <w:rFonts w:eastAsia="Times New Roman"/>
                <w:sz w:val="20"/>
                <w:szCs w:val="20"/>
              </w:rPr>
              <w:t> </w:t>
            </w:r>
          </w:p>
        </w:tc>
      </w:tr>
      <w:tr w:rsidR="00000000" w14:paraId="4964D1FB" w14:textId="77777777">
        <w:tc>
          <w:tcPr>
            <w:tcW w:w="0" w:type="auto"/>
            <w:hideMark/>
          </w:tcPr>
          <w:p w14:paraId="18F8ECDD" w14:textId="77777777" w:rsidR="00000000" w:rsidRDefault="001826C1">
            <w:pPr>
              <w:rPr>
                <w:rFonts w:eastAsia="Times New Roman"/>
                <w:sz w:val="20"/>
                <w:szCs w:val="20"/>
              </w:rPr>
            </w:pPr>
            <w:r>
              <w:rPr>
                <w:rFonts w:eastAsia="Times New Roman"/>
                <w:sz w:val="20"/>
                <w:szCs w:val="20"/>
              </w:rPr>
              <w:t> </w:t>
            </w:r>
          </w:p>
        </w:tc>
        <w:tc>
          <w:tcPr>
            <w:tcW w:w="0" w:type="auto"/>
            <w:hideMark/>
          </w:tcPr>
          <w:p w14:paraId="20A38DC3" w14:textId="77777777" w:rsidR="00000000" w:rsidRDefault="001826C1">
            <w:pPr>
              <w:rPr>
                <w:rFonts w:eastAsia="Times New Roman"/>
                <w:sz w:val="20"/>
                <w:szCs w:val="20"/>
              </w:rPr>
            </w:pPr>
            <w:r>
              <w:rPr>
                <w:rFonts w:eastAsia="Times New Roman"/>
                <w:sz w:val="20"/>
                <w:szCs w:val="20"/>
              </w:rPr>
              <w:t>●</w:t>
            </w:r>
          </w:p>
        </w:tc>
        <w:tc>
          <w:tcPr>
            <w:tcW w:w="0" w:type="auto"/>
            <w:hideMark/>
          </w:tcPr>
          <w:p w14:paraId="3D824383" w14:textId="77777777" w:rsidR="00000000" w:rsidRDefault="001826C1">
            <w:pPr>
              <w:rPr>
                <w:rFonts w:eastAsia="Times New Roman"/>
                <w:sz w:val="20"/>
                <w:szCs w:val="20"/>
              </w:rPr>
            </w:pPr>
            <w:r>
              <w:rPr>
                <w:rFonts w:eastAsia="Times New Roman"/>
                <w:sz w:val="20"/>
                <w:szCs w:val="20"/>
              </w:rPr>
              <w:t>our ability to keep pace with a rapidly changing healthcare industry;</w:t>
            </w:r>
          </w:p>
        </w:tc>
      </w:tr>
      <w:tr w:rsidR="00000000" w14:paraId="49495070" w14:textId="77777777">
        <w:tc>
          <w:tcPr>
            <w:tcW w:w="0" w:type="auto"/>
            <w:hideMark/>
          </w:tcPr>
          <w:p w14:paraId="3BD85869" w14:textId="77777777" w:rsidR="00000000" w:rsidRDefault="001826C1">
            <w:pPr>
              <w:rPr>
                <w:rFonts w:eastAsia="Times New Roman"/>
                <w:sz w:val="20"/>
                <w:szCs w:val="20"/>
              </w:rPr>
            </w:pPr>
            <w:r>
              <w:rPr>
                <w:rFonts w:eastAsia="Times New Roman"/>
                <w:sz w:val="20"/>
                <w:szCs w:val="20"/>
              </w:rPr>
              <w:t> </w:t>
            </w:r>
          </w:p>
        </w:tc>
        <w:tc>
          <w:tcPr>
            <w:tcW w:w="0" w:type="auto"/>
            <w:hideMark/>
          </w:tcPr>
          <w:p w14:paraId="75C47FE5" w14:textId="77777777" w:rsidR="00000000" w:rsidRDefault="001826C1">
            <w:pPr>
              <w:rPr>
                <w:rFonts w:eastAsia="Times New Roman"/>
                <w:sz w:val="20"/>
                <w:szCs w:val="20"/>
              </w:rPr>
            </w:pPr>
            <w:r>
              <w:rPr>
                <w:rFonts w:eastAsia="Times New Roman"/>
                <w:sz w:val="20"/>
                <w:szCs w:val="20"/>
              </w:rPr>
              <w:t> </w:t>
            </w:r>
          </w:p>
        </w:tc>
        <w:tc>
          <w:tcPr>
            <w:tcW w:w="0" w:type="auto"/>
            <w:hideMark/>
          </w:tcPr>
          <w:p w14:paraId="0E6B6689" w14:textId="77777777" w:rsidR="00000000" w:rsidRDefault="001826C1">
            <w:pPr>
              <w:rPr>
                <w:rFonts w:eastAsia="Times New Roman"/>
                <w:sz w:val="20"/>
                <w:szCs w:val="20"/>
              </w:rPr>
            </w:pPr>
            <w:r>
              <w:rPr>
                <w:rFonts w:eastAsia="Times New Roman"/>
                <w:sz w:val="20"/>
                <w:szCs w:val="20"/>
              </w:rPr>
              <w:t> </w:t>
            </w:r>
          </w:p>
        </w:tc>
      </w:tr>
      <w:tr w:rsidR="00000000" w14:paraId="1D52378F" w14:textId="77777777">
        <w:tc>
          <w:tcPr>
            <w:tcW w:w="0" w:type="auto"/>
            <w:hideMark/>
          </w:tcPr>
          <w:p w14:paraId="1C9FBB25" w14:textId="77777777" w:rsidR="00000000" w:rsidRDefault="001826C1">
            <w:pPr>
              <w:rPr>
                <w:rFonts w:eastAsia="Times New Roman"/>
                <w:sz w:val="20"/>
                <w:szCs w:val="20"/>
              </w:rPr>
            </w:pPr>
            <w:r>
              <w:rPr>
                <w:rFonts w:eastAsia="Times New Roman"/>
                <w:sz w:val="20"/>
                <w:szCs w:val="20"/>
              </w:rPr>
              <w:t> </w:t>
            </w:r>
          </w:p>
        </w:tc>
        <w:tc>
          <w:tcPr>
            <w:tcW w:w="0" w:type="auto"/>
            <w:hideMark/>
          </w:tcPr>
          <w:p w14:paraId="36DB47D8" w14:textId="77777777" w:rsidR="00000000" w:rsidRDefault="001826C1">
            <w:pPr>
              <w:rPr>
                <w:rFonts w:eastAsia="Times New Roman"/>
                <w:sz w:val="20"/>
                <w:szCs w:val="20"/>
              </w:rPr>
            </w:pPr>
            <w:r>
              <w:rPr>
                <w:rFonts w:eastAsia="Times New Roman"/>
                <w:sz w:val="20"/>
                <w:szCs w:val="20"/>
              </w:rPr>
              <w:t>●</w:t>
            </w:r>
          </w:p>
        </w:tc>
        <w:tc>
          <w:tcPr>
            <w:tcW w:w="0" w:type="auto"/>
            <w:hideMark/>
          </w:tcPr>
          <w:p w14:paraId="155FF54D" w14:textId="77777777" w:rsidR="00000000" w:rsidRDefault="001826C1">
            <w:pPr>
              <w:jc w:val="both"/>
              <w:rPr>
                <w:rFonts w:eastAsia="Times New Roman"/>
                <w:sz w:val="20"/>
                <w:szCs w:val="20"/>
              </w:rPr>
            </w:pPr>
            <w:r>
              <w:rPr>
                <w:rFonts w:eastAsia="Times New Roman"/>
                <w:sz w:val="20"/>
                <w:szCs w:val="20"/>
              </w:rPr>
              <w:t xml:space="preserve">our </w:t>
            </w:r>
            <w:r>
              <w:rPr>
                <w:rFonts w:eastAsia="Times New Roman"/>
                <w:sz w:val="20"/>
                <w:szCs w:val="20"/>
              </w:rPr>
              <w:t>ability to consistently achieve and maintain compliance with a myriad of federal, state, foreign, local, payor and industry requirements, regulations, rules, laws and contracts;</w:t>
            </w:r>
          </w:p>
        </w:tc>
      </w:tr>
      <w:tr w:rsidR="00000000" w14:paraId="15AF0983" w14:textId="77777777">
        <w:tc>
          <w:tcPr>
            <w:tcW w:w="0" w:type="auto"/>
            <w:hideMark/>
          </w:tcPr>
          <w:p w14:paraId="762A1F58" w14:textId="77777777" w:rsidR="00000000" w:rsidRDefault="001826C1">
            <w:pPr>
              <w:rPr>
                <w:rFonts w:eastAsia="Times New Roman"/>
                <w:sz w:val="20"/>
                <w:szCs w:val="20"/>
              </w:rPr>
            </w:pPr>
            <w:r>
              <w:rPr>
                <w:rFonts w:eastAsia="Times New Roman"/>
                <w:sz w:val="20"/>
                <w:szCs w:val="20"/>
              </w:rPr>
              <w:t> </w:t>
            </w:r>
          </w:p>
        </w:tc>
        <w:tc>
          <w:tcPr>
            <w:tcW w:w="0" w:type="auto"/>
            <w:hideMark/>
          </w:tcPr>
          <w:p w14:paraId="49016E3A" w14:textId="77777777" w:rsidR="00000000" w:rsidRDefault="001826C1">
            <w:pPr>
              <w:rPr>
                <w:rFonts w:eastAsia="Times New Roman"/>
                <w:sz w:val="20"/>
                <w:szCs w:val="20"/>
              </w:rPr>
            </w:pPr>
            <w:r>
              <w:rPr>
                <w:rFonts w:eastAsia="Times New Roman"/>
                <w:sz w:val="20"/>
                <w:szCs w:val="20"/>
              </w:rPr>
              <w:t> </w:t>
            </w:r>
          </w:p>
        </w:tc>
        <w:tc>
          <w:tcPr>
            <w:tcW w:w="0" w:type="auto"/>
            <w:hideMark/>
          </w:tcPr>
          <w:p w14:paraId="56EE7944" w14:textId="77777777" w:rsidR="00000000" w:rsidRDefault="001826C1">
            <w:pPr>
              <w:rPr>
                <w:rFonts w:eastAsia="Times New Roman"/>
                <w:sz w:val="20"/>
                <w:szCs w:val="20"/>
              </w:rPr>
            </w:pPr>
            <w:r>
              <w:rPr>
                <w:rFonts w:eastAsia="Times New Roman"/>
                <w:sz w:val="20"/>
                <w:szCs w:val="20"/>
              </w:rPr>
              <w:t> </w:t>
            </w:r>
          </w:p>
        </w:tc>
      </w:tr>
      <w:tr w:rsidR="00000000" w14:paraId="6D797FFE" w14:textId="77777777">
        <w:tc>
          <w:tcPr>
            <w:tcW w:w="0" w:type="auto"/>
            <w:hideMark/>
          </w:tcPr>
          <w:p w14:paraId="770C97F7" w14:textId="77777777" w:rsidR="00000000" w:rsidRDefault="001826C1">
            <w:pPr>
              <w:rPr>
                <w:rFonts w:eastAsia="Times New Roman"/>
                <w:sz w:val="20"/>
                <w:szCs w:val="20"/>
              </w:rPr>
            </w:pPr>
            <w:r>
              <w:rPr>
                <w:rFonts w:eastAsia="Times New Roman"/>
                <w:sz w:val="20"/>
                <w:szCs w:val="20"/>
              </w:rPr>
              <w:t> </w:t>
            </w:r>
          </w:p>
        </w:tc>
        <w:tc>
          <w:tcPr>
            <w:tcW w:w="0" w:type="auto"/>
            <w:hideMark/>
          </w:tcPr>
          <w:p w14:paraId="392ED378" w14:textId="77777777" w:rsidR="00000000" w:rsidRDefault="001826C1">
            <w:pPr>
              <w:rPr>
                <w:rFonts w:eastAsia="Times New Roman"/>
                <w:sz w:val="20"/>
                <w:szCs w:val="20"/>
              </w:rPr>
            </w:pPr>
            <w:r>
              <w:rPr>
                <w:rFonts w:eastAsia="Times New Roman"/>
                <w:sz w:val="20"/>
                <w:szCs w:val="20"/>
              </w:rPr>
              <w:t>●</w:t>
            </w:r>
          </w:p>
        </w:tc>
        <w:tc>
          <w:tcPr>
            <w:tcW w:w="0" w:type="auto"/>
            <w:hideMark/>
          </w:tcPr>
          <w:p w14:paraId="54737C6F" w14:textId="77777777" w:rsidR="00000000" w:rsidRDefault="001826C1">
            <w:pPr>
              <w:jc w:val="both"/>
              <w:rPr>
                <w:rFonts w:eastAsia="Times New Roman"/>
                <w:sz w:val="20"/>
                <w:szCs w:val="20"/>
              </w:rPr>
            </w:pPr>
            <w:r>
              <w:rPr>
                <w:rFonts w:eastAsia="Times New Roman"/>
                <w:sz w:val="20"/>
                <w:szCs w:val="20"/>
              </w:rPr>
              <w:t>our ability to maintain and protect the privacy of confidential an</w:t>
            </w:r>
            <w:r>
              <w:rPr>
                <w:rFonts w:eastAsia="Times New Roman"/>
                <w:sz w:val="20"/>
                <w:szCs w:val="20"/>
              </w:rPr>
              <w:t>d protected Company, client and patient information;</w:t>
            </w:r>
          </w:p>
        </w:tc>
      </w:tr>
      <w:tr w:rsidR="00000000" w14:paraId="0C6015A9" w14:textId="77777777">
        <w:tc>
          <w:tcPr>
            <w:tcW w:w="0" w:type="auto"/>
            <w:hideMark/>
          </w:tcPr>
          <w:p w14:paraId="69303306" w14:textId="77777777" w:rsidR="00000000" w:rsidRDefault="001826C1">
            <w:pPr>
              <w:rPr>
                <w:rFonts w:eastAsia="Times New Roman"/>
                <w:sz w:val="20"/>
                <w:szCs w:val="20"/>
              </w:rPr>
            </w:pPr>
            <w:r>
              <w:rPr>
                <w:rFonts w:eastAsia="Times New Roman"/>
                <w:sz w:val="20"/>
                <w:szCs w:val="20"/>
              </w:rPr>
              <w:t> </w:t>
            </w:r>
          </w:p>
        </w:tc>
        <w:tc>
          <w:tcPr>
            <w:tcW w:w="0" w:type="auto"/>
            <w:hideMark/>
          </w:tcPr>
          <w:p w14:paraId="792261D7" w14:textId="77777777" w:rsidR="00000000" w:rsidRDefault="001826C1">
            <w:pPr>
              <w:rPr>
                <w:rFonts w:eastAsia="Times New Roman"/>
                <w:sz w:val="20"/>
                <w:szCs w:val="20"/>
              </w:rPr>
            </w:pPr>
            <w:r>
              <w:rPr>
                <w:rFonts w:eastAsia="Times New Roman"/>
                <w:sz w:val="20"/>
                <w:szCs w:val="20"/>
              </w:rPr>
              <w:t> </w:t>
            </w:r>
          </w:p>
        </w:tc>
        <w:tc>
          <w:tcPr>
            <w:tcW w:w="0" w:type="auto"/>
            <w:hideMark/>
          </w:tcPr>
          <w:p w14:paraId="37106E31" w14:textId="77777777" w:rsidR="00000000" w:rsidRDefault="001826C1">
            <w:pPr>
              <w:rPr>
                <w:rFonts w:eastAsia="Times New Roman"/>
                <w:sz w:val="20"/>
                <w:szCs w:val="20"/>
              </w:rPr>
            </w:pPr>
            <w:r>
              <w:rPr>
                <w:rFonts w:eastAsia="Times New Roman"/>
                <w:sz w:val="20"/>
                <w:szCs w:val="20"/>
              </w:rPr>
              <w:t> </w:t>
            </w:r>
          </w:p>
        </w:tc>
      </w:tr>
      <w:tr w:rsidR="00000000" w14:paraId="5A7DBF07" w14:textId="77777777">
        <w:tc>
          <w:tcPr>
            <w:tcW w:w="0" w:type="auto"/>
            <w:hideMark/>
          </w:tcPr>
          <w:p w14:paraId="5D2BAF49" w14:textId="77777777" w:rsidR="00000000" w:rsidRDefault="001826C1">
            <w:pPr>
              <w:rPr>
                <w:rFonts w:eastAsia="Times New Roman"/>
                <w:sz w:val="20"/>
                <w:szCs w:val="20"/>
              </w:rPr>
            </w:pPr>
            <w:r>
              <w:rPr>
                <w:rFonts w:eastAsia="Times New Roman"/>
                <w:sz w:val="20"/>
                <w:szCs w:val="20"/>
              </w:rPr>
              <w:t> </w:t>
            </w:r>
          </w:p>
        </w:tc>
        <w:tc>
          <w:tcPr>
            <w:tcW w:w="0" w:type="auto"/>
            <w:hideMark/>
          </w:tcPr>
          <w:p w14:paraId="6FF07AE1" w14:textId="77777777" w:rsidR="00000000" w:rsidRDefault="001826C1">
            <w:pPr>
              <w:rPr>
                <w:rFonts w:eastAsia="Times New Roman"/>
                <w:sz w:val="20"/>
                <w:szCs w:val="20"/>
              </w:rPr>
            </w:pPr>
            <w:r>
              <w:rPr>
                <w:rFonts w:eastAsia="Times New Roman"/>
                <w:sz w:val="20"/>
                <w:szCs w:val="20"/>
              </w:rPr>
              <w:t>●</w:t>
            </w:r>
          </w:p>
        </w:tc>
        <w:tc>
          <w:tcPr>
            <w:tcW w:w="0" w:type="auto"/>
            <w:hideMark/>
          </w:tcPr>
          <w:p w14:paraId="77A6F123" w14:textId="77777777" w:rsidR="00000000" w:rsidRDefault="001826C1">
            <w:pPr>
              <w:jc w:val="both"/>
              <w:rPr>
                <w:rFonts w:eastAsia="Times New Roman"/>
                <w:sz w:val="20"/>
                <w:szCs w:val="20"/>
              </w:rPr>
            </w:pPr>
            <w:r>
              <w:rPr>
                <w:rFonts w:eastAsia="Times New Roman"/>
                <w:sz w:val="20"/>
                <w:szCs w:val="20"/>
              </w:rPr>
              <w:t>our ability to develop new technologies, upgrade and adapt legacy and acquired technologies to work with evolving industry standards and third-party software platforms and technologies, and p</w:t>
            </w:r>
            <w:r>
              <w:rPr>
                <w:rFonts w:eastAsia="Times New Roman"/>
                <w:sz w:val="20"/>
                <w:szCs w:val="20"/>
              </w:rPr>
              <w:t>rotect and enforce all of these and other intellectual property rights;</w:t>
            </w:r>
          </w:p>
        </w:tc>
      </w:tr>
      <w:tr w:rsidR="00000000" w14:paraId="282EF34A" w14:textId="77777777">
        <w:tc>
          <w:tcPr>
            <w:tcW w:w="0" w:type="auto"/>
            <w:hideMark/>
          </w:tcPr>
          <w:p w14:paraId="25165E5D" w14:textId="77777777" w:rsidR="00000000" w:rsidRDefault="001826C1">
            <w:pPr>
              <w:rPr>
                <w:rFonts w:eastAsia="Times New Roman"/>
                <w:sz w:val="20"/>
                <w:szCs w:val="20"/>
              </w:rPr>
            </w:pPr>
            <w:r>
              <w:rPr>
                <w:rFonts w:eastAsia="Times New Roman"/>
                <w:sz w:val="20"/>
                <w:szCs w:val="20"/>
              </w:rPr>
              <w:t> </w:t>
            </w:r>
          </w:p>
        </w:tc>
        <w:tc>
          <w:tcPr>
            <w:tcW w:w="0" w:type="auto"/>
            <w:hideMark/>
          </w:tcPr>
          <w:p w14:paraId="662EE20F" w14:textId="77777777" w:rsidR="00000000" w:rsidRDefault="001826C1">
            <w:pPr>
              <w:rPr>
                <w:rFonts w:eastAsia="Times New Roman"/>
                <w:sz w:val="20"/>
                <w:szCs w:val="20"/>
              </w:rPr>
            </w:pPr>
            <w:r>
              <w:rPr>
                <w:rFonts w:eastAsia="Times New Roman"/>
                <w:sz w:val="20"/>
                <w:szCs w:val="20"/>
              </w:rPr>
              <w:t> </w:t>
            </w:r>
          </w:p>
        </w:tc>
        <w:tc>
          <w:tcPr>
            <w:tcW w:w="0" w:type="auto"/>
            <w:hideMark/>
          </w:tcPr>
          <w:p w14:paraId="2FA35635" w14:textId="77777777" w:rsidR="00000000" w:rsidRDefault="001826C1">
            <w:pPr>
              <w:rPr>
                <w:rFonts w:eastAsia="Times New Roman"/>
                <w:sz w:val="20"/>
                <w:szCs w:val="20"/>
              </w:rPr>
            </w:pPr>
            <w:r>
              <w:rPr>
                <w:rFonts w:eastAsia="Times New Roman"/>
                <w:sz w:val="20"/>
                <w:szCs w:val="20"/>
              </w:rPr>
              <w:t> </w:t>
            </w:r>
          </w:p>
        </w:tc>
      </w:tr>
      <w:tr w:rsidR="00000000" w14:paraId="418E92EA" w14:textId="77777777">
        <w:tc>
          <w:tcPr>
            <w:tcW w:w="0" w:type="auto"/>
            <w:hideMark/>
          </w:tcPr>
          <w:p w14:paraId="2C383507" w14:textId="77777777" w:rsidR="00000000" w:rsidRDefault="001826C1">
            <w:pPr>
              <w:rPr>
                <w:rFonts w:eastAsia="Times New Roman"/>
                <w:sz w:val="20"/>
                <w:szCs w:val="20"/>
              </w:rPr>
            </w:pPr>
            <w:r>
              <w:rPr>
                <w:rFonts w:eastAsia="Times New Roman"/>
                <w:sz w:val="20"/>
                <w:szCs w:val="20"/>
              </w:rPr>
              <w:t> </w:t>
            </w:r>
          </w:p>
        </w:tc>
        <w:tc>
          <w:tcPr>
            <w:tcW w:w="0" w:type="auto"/>
            <w:hideMark/>
          </w:tcPr>
          <w:p w14:paraId="03570A8A" w14:textId="77777777" w:rsidR="00000000" w:rsidRDefault="001826C1">
            <w:pPr>
              <w:rPr>
                <w:rFonts w:eastAsia="Times New Roman"/>
                <w:sz w:val="20"/>
                <w:szCs w:val="20"/>
              </w:rPr>
            </w:pPr>
            <w:r>
              <w:rPr>
                <w:rFonts w:eastAsia="Times New Roman"/>
                <w:sz w:val="20"/>
                <w:szCs w:val="20"/>
              </w:rPr>
              <w:t>●</w:t>
            </w:r>
          </w:p>
        </w:tc>
        <w:tc>
          <w:tcPr>
            <w:tcW w:w="0" w:type="auto"/>
            <w:hideMark/>
          </w:tcPr>
          <w:p w14:paraId="3D3BFE10" w14:textId="77777777" w:rsidR="00000000" w:rsidRDefault="001826C1">
            <w:pPr>
              <w:jc w:val="both"/>
              <w:rPr>
                <w:rFonts w:eastAsia="Times New Roman"/>
                <w:sz w:val="20"/>
                <w:szCs w:val="20"/>
              </w:rPr>
            </w:pPr>
            <w:r>
              <w:rPr>
                <w:rFonts w:eastAsia="Times New Roman"/>
                <w:sz w:val="20"/>
                <w:szCs w:val="20"/>
              </w:rPr>
              <w:t xml:space="preserve">our </w:t>
            </w:r>
            <w:r>
              <w:rPr>
                <w:rFonts w:eastAsia="Times New Roman"/>
                <w:sz w:val="20"/>
                <w:szCs w:val="20"/>
              </w:rPr>
              <w:t>ability to attract and retain key officers and employees, and the continued involvement of Mahmud Haq as Executive Chairman and Stephen Snyder as Chief Executive Officer, all of which are critical to our ongoing operations, growing our business and integra</w:t>
            </w:r>
            <w:r>
              <w:rPr>
                <w:rFonts w:eastAsia="Times New Roman"/>
                <w:sz w:val="20"/>
                <w:szCs w:val="20"/>
              </w:rPr>
              <w:t>ting of our newly acquired businesses;</w:t>
            </w:r>
          </w:p>
        </w:tc>
      </w:tr>
      <w:tr w:rsidR="00000000" w14:paraId="430A855A" w14:textId="77777777">
        <w:tc>
          <w:tcPr>
            <w:tcW w:w="0" w:type="auto"/>
            <w:hideMark/>
          </w:tcPr>
          <w:p w14:paraId="15A6F274" w14:textId="77777777" w:rsidR="00000000" w:rsidRDefault="001826C1">
            <w:pPr>
              <w:rPr>
                <w:rFonts w:eastAsia="Times New Roman"/>
                <w:sz w:val="20"/>
                <w:szCs w:val="20"/>
              </w:rPr>
            </w:pPr>
            <w:r>
              <w:rPr>
                <w:rFonts w:eastAsia="Times New Roman"/>
                <w:sz w:val="20"/>
                <w:szCs w:val="20"/>
              </w:rPr>
              <w:t> </w:t>
            </w:r>
          </w:p>
        </w:tc>
        <w:tc>
          <w:tcPr>
            <w:tcW w:w="0" w:type="auto"/>
            <w:hideMark/>
          </w:tcPr>
          <w:p w14:paraId="40AFFEA5" w14:textId="77777777" w:rsidR="00000000" w:rsidRDefault="001826C1">
            <w:pPr>
              <w:rPr>
                <w:rFonts w:eastAsia="Times New Roman"/>
                <w:sz w:val="20"/>
                <w:szCs w:val="20"/>
              </w:rPr>
            </w:pPr>
            <w:r>
              <w:rPr>
                <w:rFonts w:eastAsia="Times New Roman"/>
                <w:sz w:val="20"/>
                <w:szCs w:val="20"/>
              </w:rPr>
              <w:t> </w:t>
            </w:r>
          </w:p>
        </w:tc>
        <w:tc>
          <w:tcPr>
            <w:tcW w:w="0" w:type="auto"/>
            <w:hideMark/>
          </w:tcPr>
          <w:p w14:paraId="3AC8C3C1" w14:textId="77777777" w:rsidR="00000000" w:rsidRDefault="001826C1">
            <w:pPr>
              <w:rPr>
                <w:rFonts w:eastAsia="Times New Roman"/>
                <w:sz w:val="20"/>
                <w:szCs w:val="20"/>
              </w:rPr>
            </w:pPr>
            <w:r>
              <w:rPr>
                <w:rFonts w:eastAsia="Times New Roman"/>
                <w:sz w:val="20"/>
                <w:szCs w:val="20"/>
              </w:rPr>
              <w:t> </w:t>
            </w:r>
          </w:p>
        </w:tc>
      </w:tr>
      <w:tr w:rsidR="00000000" w14:paraId="71BB9CBD" w14:textId="77777777">
        <w:tc>
          <w:tcPr>
            <w:tcW w:w="0" w:type="auto"/>
            <w:hideMark/>
          </w:tcPr>
          <w:p w14:paraId="05AA970E" w14:textId="77777777" w:rsidR="00000000" w:rsidRDefault="001826C1">
            <w:pPr>
              <w:rPr>
                <w:rFonts w:eastAsia="Times New Roman"/>
                <w:sz w:val="20"/>
                <w:szCs w:val="20"/>
              </w:rPr>
            </w:pPr>
            <w:r>
              <w:rPr>
                <w:rFonts w:eastAsia="Times New Roman"/>
                <w:sz w:val="20"/>
                <w:szCs w:val="20"/>
              </w:rPr>
              <w:t> </w:t>
            </w:r>
          </w:p>
        </w:tc>
        <w:tc>
          <w:tcPr>
            <w:tcW w:w="0" w:type="auto"/>
            <w:hideMark/>
          </w:tcPr>
          <w:p w14:paraId="7C71A0E4" w14:textId="77777777" w:rsidR="00000000" w:rsidRDefault="001826C1">
            <w:pPr>
              <w:rPr>
                <w:rFonts w:eastAsia="Times New Roman"/>
                <w:sz w:val="20"/>
                <w:szCs w:val="20"/>
              </w:rPr>
            </w:pPr>
            <w:r>
              <w:rPr>
                <w:rFonts w:eastAsia="Times New Roman"/>
                <w:sz w:val="20"/>
                <w:szCs w:val="20"/>
              </w:rPr>
              <w:t>●</w:t>
            </w:r>
          </w:p>
        </w:tc>
        <w:tc>
          <w:tcPr>
            <w:tcW w:w="0" w:type="auto"/>
            <w:hideMark/>
          </w:tcPr>
          <w:p w14:paraId="2E363C7F" w14:textId="77777777" w:rsidR="00000000" w:rsidRDefault="001826C1">
            <w:pPr>
              <w:jc w:val="both"/>
              <w:rPr>
                <w:rFonts w:eastAsia="Times New Roman"/>
                <w:sz w:val="20"/>
                <w:szCs w:val="20"/>
              </w:rPr>
            </w:pPr>
            <w:r>
              <w:rPr>
                <w:rFonts w:eastAsia="Times New Roman"/>
                <w:sz w:val="20"/>
                <w:szCs w:val="20"/>
              </w:rPr>
              <w:t>our ability to comply with covenants contained in our credit agreement with our senior secured lender, Silicon Valley Bank and other future debt facilities;</w:t>
            </w:r>
          </w:p>
        </w:tc>
      </w:tr>
      <w:tr w:rsidR="00000000" w14:paraId="354B6EEE" w14:textId="77777777">
        <w:tc>
          <w:tcPr>
            <w:tcW w:w="0" w:type="auto"/>
            <w:hideMark/>
          </w:tcPr>
          <w:p w14:paraId="4578FF3D" w14:textId="77777777" w:rsidR="00000000" w:rsidRDefault="001826C1">
            <w:pPr>
              <w:rPr>
                <w:rFonts w:eastAsia="Times New Roman"/>
                <w:sz w:val="20"/>
                <w:szCs w:val="20"/>
              </w:rPr>
            </w:pPr>
            <w:r>
              <w:rPr>
                <w:rFonts w:eastAsia="Times New Roman"/>
                <w:sz w:val="20"/>
                <w:szCs w:val="20"/>
              </w:rPr>
              <w:t> </w:t>
            </w:r>
          </w:p>
        </w:tc>
        <w:tc>
          <w:tcPr>
            <w:tcW w:w="0" w:type="auto"/>
            <w:hideMark/>
          </w:tcPr>
          <w:p w14:paraId="4DE4954F" w14:textId="77777777" w:rsidR="00000000" w:rsidRDefault="001826C1">
            <w:pPr>
              <w:rPr>
                <w:rFonts w:eastAsia="Times New Roman"/>
                <w:sz w:val="20"/>
                <w:szCs w:val="20"/>
              </w:rPr>
            </w:pPr>
            <w:r>
              <w:rPr>
                <w:rFonts w:eastAsia="Times New Roman"/>
                <w:sz w:val="20"/>
                <w:szCs w:val="20"/>
              </w:rPr>
              <w:t> </w:t>
            </w:r>
          </w:p>
        </w:tc>
        <w:tc>
          <w:tcPr>
            <w:tcW w:w="0" w:type="auto"/>
            <w:hideMark/>
          </w:tcPr>
          <w:p w14:paraId="5540E2D8" w14:textId="77777777" w:rsidR="00000000" w:rsidRDefault="001826C1">
            <w:pPr>
              <w:rPr>
                <w:rFonts w:eastAsia="Times New Roman"/>
                <w:sz w:val="20"/>
                <w:szCs w:val="20"/>
              </w:rPr>
            </w:pPr>
            <w:r>
              <w:rPr>
                <w:rFonts w:eastAsia="Times New Roman"/>
                <w:sz w:val="20"/>
                <w:szCs w:val="20"/>
              </w:rPr>
              <w:t> </w:t>
            </w:r>
          </w:p>
        </w:tc>
      </w:tr>
      <w:tr w:rsidR="00000000" w14:paraId="2E51A927" w14:textId="77777777">
        <w:tc>
          <w:tcPr>
            <w:tcW w:w="0" w:type="auto"/>
            <w:hideMark/>
          </w:tcPr>
          <w:p w14:paraId="29EB80F8" w14:textId="77777777" w:rsidR="00000000" w:rsidRDefault="001826C1">
            <w:pPr>
              <w:rPr>
                <w:rFonts w:eastAsia="Times New Roman"/>
                <w:sz w:val="20"/>
                <w:szCs w:val="20"/>
              </w:rPr>
            </w:pPr>
            <w:r>
              <w:rPr>
                <w:rFonts w:eastAsia="Times New Roman"/>
                <w:sz w:val="20"/>
                <w:szCs w:val="20"/>
              </w:rPr>
              <w:t> </w:t>
            </w:r>
          </w:p>
        </w:tc>
        <w:tc>
          <w:tcPr>
            <w:tcW w:w="0" w:type="auto"/>
            <w:hideMark/>
          </w:tcPr>
          <w:p w14:paraId="4ABF8222" w14:textId="77777777" w:rsidR="00000000" w:rsidRDefault="001826C1">
            <w:pPr>
              <w:rPr>
                <w:rFonts w:eastAsia="Times New Roman"/>
                <w:sz w:val="20"/>
                <w:szCs w:val="20"/>
              </w:rPr>
            </w:pPr>
            <w:r>
              <w:rPr>
                <w:rFonts w:eastAsia="Times New Roman"/>
                <w:sz w:val="20"/>
                <w:szCs w:val="20"/>
              </w:rPr>
              <w:t>●</w:t>
            </w:r>
          </w:p>
        </w:tc>
        <w:tc>
          <w:tcPr>
            <w:tcW w:w="0" w:type="auto"/>
            <w:hideMark/>
          </w:tcPr>
          <w:p w14:paraId="2FF03C9A" w14:textId="77777777" w:rsidR="00000000" w:rsidRDefault="001826C1">
            <w:pPr>
              <w:jc w:val="both"/>
              <w:rPr>
                <w:rFonts w:eastAsia="Times New Roman"/>
                <w:sz w:val="20"/>
                <w:szCs w:val="20"/>
              </w:rPr>
            </w:pPr>
            <w:r>
              <w:rPr>
                <w:rFonts w:eastAsia="Times New Roman"/>
                <w:sz w:val="20"/>
                <w:szCs w:val="20"/>
              </w:rPr>
              <w:t>our ability to compete with other co</w:t>
            </w:r>
            <w:r>
              <w:rPr>
                <w:rFonts w:eastAsia="Times New Roman"/>
                <w:sz w:val="20"/>
                <w:szCs w:val="20"/>
              </w:rPr>
              <w:t>mpanies developing products and selling services competitive with ours, and who may have greater resources and name recognition than we have; and</w:t>
            </w:r>
          </w:p>
        </w:tc>
      </w:tr>
      <w:tr w:rsidR="00000000" w14:paraId="08F21708" w14:textId="77777777">
        <w:tc>
          <w:tcPr>
            <w:tcW w:w="0" w:type="auto"/>
            <w:hideMark/>
          </w:tcPr>
          <w:p w14:paraId="0DD30268" w14:textId="77777777" w:rsidR="00000000" w:rsidRDefault="001826C1">
            <w:pPr>
              <w:rPr>
                <w:rFonts w:eastAsia="Times New Roman"/>
                <w:sz w:val="20"/>
                <w:szCs w:val="20"/>
              </w:rPr>
            </w:pPr>
            <w:r>
              <w:rPr>
                <w:rFonts w:eastAsia="Times New Roman"/>
                <w:sz w:val="20"/>
                <w:szCs w:val="20"/>
              </w:rPr>
              <w:t> </w:t>
            </w:r>
          </w:p>
        </w:tc>
        <w:tc>
          <w:tcPr>
            <w:tcW w:w="0" w:type="auto"/>
            <w:hideMark/>
          </w:tcPr>
          <w:p w14:paraId="730FFCF6" w14:textId="77777777" w:rsidR="00000000" w:rsidRDefault="001826C1">
            <w:pPr>
              <w:rPr>
                <w:rFonts w:eastAsia="Times New Roman"/>
                <w:sz w:val="20"/>
                <w:szCs w:val="20"/>
              </w:rPr>
            </w:pPr>
            <w:r>
              <w:rPr>
                <w:rFonts w:eastAsia="Times New Roman"/>
                <w:sz w:val="20"/>
                <w:szCs w:val="20"/>
              </w:rPr>
              <w:t> </w:t>
            </w:r>
          </w:p>
        </w:tc>
        <w:tc>
          <w:tcPr>
            <w:tcW w:w="0" w:type="auto"/>
            <w:hideMark/>
          </w:tcPr>
          <w:p w14:paraId="47685783" w14:textId="77777777" w:rsidR="00000000" w:rsidRDefault="001826C1">
            <w:pPr>
              <w:rPr>
                <w:rFonts w:eastAsia="Times New Roman"/>
                <w:sz w:val="20"/>
                <w:szCs w:val="20"/>
              </w:rPr>
            </w:pPr>
            <w:r>
              <w:rPr>
                <w:rFonts w:eastAsia="Times New Roman"/>
                <w:sz w:val="20"/>
                <w:szCs w:val="20"/>
              </w:rPr>
              <w:t> </w:t>
            </w:r>
          </w:p>
        </w:tc>
      </w:tr>
      <w:tr w:rsidR="00000000" w14:paraId="5EC59B74" w14:textId="77777777">
        <w:tc>
          <w:tcPr>
            <w:tcW w:w="0" w:type="auto"/>
            <w:hideMark/>
          </w:tcPr>
          <w:p w14:paraId="4A6A4A99" w14:textId="77777777" w:rsidR="00000000" w:rsidRDefault="001826C1">
            <w:pPr>
              <w:rPr>
                <w:rFonts w:eastAsia="Times New Roman"/>
                <w:sz w:val="20"/>
                <w:szCs w:val="20"/>
              </w:rPr>
            </w:pPr>
            <w:r>
              <w:rPr>
                <w:rFonts w:eastAsia="Times New Roman"/>
                <w:sz w:val="20"/>
                <w:szCs w:val="20"/>
              </w:rPr>
              <w:t> </w:t>
            </w:r>
          </w:p>
        </w:tc>
        <w:tc>
          <w:tcPr>
            <w:tcW w:w="0" w:type="auto"/>
            <w:hideMark/>
          </w:tcPr>
          <w:p w14:paraId="6ABCAE5D" w14:textId="77777777" w:rsidR="00000000" w:rsidRDefault="001826C1">
            <w:pPr>
              <w:rPr>
                <w:rFonts w:eastAsia="Times New Roman"/>
                <w:sz w:val="20"/>
                <w:szCs w:val="20"/>
              </w:rPr>
            </w:pPr>
            <w:r>
              <w:rPr>
                <w:rFonts w:eastAsia="Times New Roman"/>
                <w:sz w:val="20"/>
                <w:szCs w:val="20"/>
              </w:rPr>
              <w:t>●</w:t>
            </w:r>
          </w:p>
        </w:tc>
        <w:tc>
          <w:tcPr>
            <w:tcW w:w="0" w:type="auto"/>
            <w:hideMark/>
          </w:tcPr>
          <w:p w14:paraId="637A1D5E" w14:textId="77777777" w:rsidR="00000000" w:rsidRDefault="001826C1">
            <w:pPr>
              <w:rPr>
                <w:rFonts w:eastAsia="Times New Roman"/>
                <w:sz w:val="20"/>
                <w:szCs w:val="20"/>
              </w:rPr>
            </w:pPr>
            <w:r>
              <w:rPr>
                <w:rFonts w:eastAsia="Times New Roman"/>
                <w:sz w:val="20"/>
                <w:szCs w:val="20"/>
              </w:rPr>
              <w:t>our ability to keep and increase market acceptance of our products and services.</w:t>
            </w:r>
          </w:p>
        </w:tc>
      </w:tr>
    </w:tbl>
    <w:p w14:paraId="5DE99817" w14:textId="77777777" w:rsidR="00000000" w:rsidRDefault="001826C1">
      <w:pPr>
        <w:pStyle w:val="a3"/>
        <w:spacing w:before="0" w:beforeAutospacing="0" w:after="0" w:afterAutospacing="0"/>
        <w:jc w:val="both"/>
        <w:rPr>
          <w:sz w:val="20"/>
          <w:szCs w:val="20"/>
        </w:rPr>
      </w:pPr>
      <w:r>
        <w:rPr>
          <w:sz w:val="20"/>
          <w:szCs w:val="20"/>
        </w:rPr>
        <w:t> </w:t>
      </w:r>
    </w:p>
    <w:p w14:paraId="657C9A39" w14:textId="77777777" w:rsidR="00000000" w:rsidRDefault="001826C1">
      <w:pPr>
        <w:pStyle w:val="a3"/>
        <w:spacing w:before="0" w:beforeAutospacing="0" w:after="0" w:afterAutospacing="0"/>
        <w:jc w:val="both"/>
        <w:rPr>
          <w:sz w:val="20"/>
          <w:szCs w:val="20"/>
        </w:rPr>
      </w:pPr>
      <w:r>
        <w:rPr>
          <w:i/>
          <w:iCs/>
          <w:sz w:val="20"/>
          <w:szCs w:val="20"/>
        </w:rPr>
        <w:t>Although we believe that the expectations reflected in the forward-looking statements contained in this Annual Report on Form 10-K are reasonable, we cannot guarantee future results, levels of activity, performance, or achievements. Except as required by l</w:t>
      </w:r>
      <w:r>
        <w:rPr>
          <w:i/>
          <w:iCs/>
          <w:sz w:val="20"/>
          <w:szCs w:val="20"/>
        </w:rPr>
        <w:t>aw, we are under no duty to update or revise any of such forward-looking statements, whether as a result of new information, future events, or otherwise, after the date of this Annual Report on Form 10-K.</w:t>
      </w:r>
    </w:p>
    <w:p w14:paraId="78355DD0"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FBCFC44" w14:textId="77777777">
        <w:trPr>
          <w:divId w:val="554967949"/>
        </w:trPr>
        <w:tc>
          <w:tcPr>
            <w:tcW w:w="5000" w:type="pct"/>
            <w:hideMark/>
          </w:tcPr>
          <w:p w14:paraId="325CDDFD" w14:textId="77777777" w:rsidR="00000000" w:rsidRDefault="001826C1">
            <w:pPr>
              <w:jc w:val="center"/>
              <w:rPr>
                <w:rFonts w:eastAsia="Times New Roman"/>
                <w:sz w:val="20"/>
                <w:szCs w:val="20"/>
              </w:rPr>
            </w:pP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626A4FAD" w14:textId="77777777">
        <w:tc>
          <w:tcPr>
            <w:tcW w:w="5000" w:type="pct"/>
            <w:hideMark/>
          </w:tcPr>
          <w:p w14:paraId="00268FE1" w14:textId="77777777" w:rsidR="00000000" w:rsidRDefault="001826C1">
            <w:pPr>
              <w:jc w:val="center"/>
              <w:rPr>
                <w:rFonts w:eastAsia="Times New Roman"/>
                <w:sz w:val="20"/>
                <w:szCs w:val="20"/>
              </w:rPr>
            </w:pPr>
            <w:r>
              <w:rPr>
                <w:rFonts w:eastAsia="Times New Roman"/>
                <w:sz w:val="20"/>
                <w:szCs w:val="20"/>
              </w:rPr>
              <w:t> </w:t>
            </w:r>
          </w:p>
        </w:tc>
      </w:tr>
    </w:tbl>
    <w:p w14:paraId="237F8EBF" w14:textId="77777777" w:rsidR="00000000" w:rsidRDefault="001826C1">
      <w:pPr>
        <w:pStyle w:val="a3"/>
        <w:spacing w:before="0" w:beforeAutospacing="0" w:after="0" w:afterAutospacing="0"/>
        <w:jc w:val="both"/>
        <w:rPr>
          <w:sz w:val="20"/>
          <w:szCs w:val="20"/>
        </w:rPr>
      </w:pPr>
      <w:r>
        <w:rPr>
          <w:sz w:val="20"/>
          <w:szCs w:val="20"/>
        </w:rPr>
        <w:t> </w:t>
      </w:r>
    </w:p>
    <w:p w14:paraId="6F93F0A7" w14:textId="77777777" w:rsidR="00000000" w:rsidRDefault="001826C1">
      <w:pPr>
        <w:pStyle w:val="a3"/>
        <w:spacing w:before="0" w:beforeAutospacing="0" w:after="0" w:afterAutospacing="0"/>
        <w:rPr>
          <w:sz w:val="20"/>
          <w:szCs w:val="20"/>
        </w:rPr>
      </w:pPr>
      <w:bookmarkStart w:id="1" w:name="a_002"/>
      <w:bookmarkEnd w:id="1"/>
      <w:r>
        <w:rPr>
          <w:b/>
          <w:bCs/>
          <w:sz w:val="20"/>
          <w:szCs w:val="20"/>
        </w:rPr>
        <w:t>PART I</w:t>
      </w:r>
    </w:p>
    <w:p w14:paraId="19842A83" w14:textId="77777777" w:rsidR="00000000" w:rsidRDefault="001826C1">
      <w:pPr>
        <w:pStyle w:val="a3"/>
        <w:spacing w:before="0" w:beforeAutospacing="0" w:after="0" w:afterAutospacing="0"/>
        <w:rPr>
          <w:sz w:val="20"/>
          <w:szCs w:val="20"/>
        </w:rPr>
      </w:pPr>
      <w:r>
        <w:rPr>
          <w:sz w:val="20"/>
          <w:szCs w:val="20"/>
        </w:rPr>
        <w:t> </w:t>
      </w:r>
    </w:p>
    <w:p w14:paraId="7E5F902B" w14:textId="77777777" w:rsidR="00000000" w:rsidRDefault="001826C1">
      <w:pPr>
        <w:pStyle w:val="a3"/>
        <w:spacing w:before="0" w:beforeAutospacing="0" w:after="0" w:afterAutospacing="0"/>
        <w:jc w:val="both"/>
        <w:rPr>
          <w:b/>
          <w:bCs/>
          <w:sz w:val="20"/>
          <w:szCs w:val="20"/>
        </w:rPr>
      </w:pPr>
      <w:bookmarkStart w:id="2" w:name="a_003"/>
      <w:bookmarkEnd w:id="2"/>
      <w:r>
        <w:rPr>
          <w:b/>
          <w:bCs/>
          <w:sz w:val="20"/>
          <w:szCs w:val="20"/>
        </w:rPr>
        <w:t>Item 1. Business</w:t>
      </w:r>
    </w:p>
    <w:p w14:paraId="332AC4BF" w14:textId="77777777" w:rsidR="00000000" w:rsidRDefault="001826C1">
      <w:pPr>
        <w:pStyle w:val="a3"/>
        <w:spacing w:before="0" w:beforeAutospacing="0" w:after="0" w:afterAutospacing="0"/>
        <w:jc w:val="both"/>
        <w:rPr>
          <w:sz w:val="20"/>
          <w:szCs w:val="20"/>
        </w:rPr>
      </w:pPr>
      <w:r>
        <w:rPr>
          <w:sz w:val="20"/>
          <w:szCs w:val="20"/>
        </w:rPr>
        <w:t> </w:t>
      </w:r>
    </w:p>
    <w:p w14:paraId="0ACAA86F" w14:textId="77777777" w:rsidR="00000000" w:rsidRDefault="001826C1">
      <w:pPr>
        <w:pStyle w:val="a3"/>
        <w:spacing w:before="0" w:beforeAutospacing="0" w:after="0" w:afterAutospacing="0"/>
        <w:jc w:val="both"/>
        <w:rPr>
          <w:sz w:val="20"/>
          <w:szCs w:val="20"/>
        </w:rPr>
      </w:pPr>
      <w:r>
        <w:rPr>
          <w:b/>
          <w:bCs/>
          <w:sz w:val="20"/>
          <w:szCs w:val="20"/>
        </w:rPr>
        <w:t>Our Company</w:t>
      </w:r>
    </w:p>
    <w:p w14:paraId="1BAC6406" w14:textId="77777777" w:rsidR="00000000" w:rsidRDefault="001826C1">
      <w:pPr>
        <w:pStyle w:val="a3"/>
        <w:spacing w:before="0" w:beforeAutospacing="0" w:after="0" w:afterAutospacing="0"/>
        <w:jc w:val="both"/>
        <w:rPr>
          <w:sz w:val="20"/>
          <w:szCs w:val="20"/>
        </w:rPr>
      </w:pPr>
      <w:r>
        <w:rPr>
          <w:b/>
          <w:bCs/>
          <w:sz w:val="20"/>
          <w:szCs w:val="20"/>
        </w:rPr>
        <w:t> </w:t>
      </w:r>
    </w:p>
    <w:p w14:paraId="3F85E869" w14:textId="77777777" w:rsidR="00000000" w:rsidRDefault="001826C1">
      <w:pPr>
        <w:pStyle w:val="a3"/>
        <w:spacing w:before="0" w:beforeAutospacing="0" w:after="0" w:afterAutospacing="0"/>
        <w:jc w:val="both"/>
        <w:rPr>
          <w:sz w:val="20"/>
          <w:szCs w:val="20"/>
        </w:rPr>
      </w:pPr>
      <w:r>
        <w:rPr>
          <w:sz w:val="20"/>
          <w:szCs w:val="20"/>
        </w:rPr>
        <w:t>MTBC, Inc., (and together with its consolidated subsidiaries “MTBC” or the “Company”) is a healthcare information technology company that offers an integrated suite of proprietary cloud-based electronic health records and practice management solutions, t</w:t>
      </w:r>
      <w:r>
        <w:rPr>
          <w:sz w:val="20"/>
          <w:szCs w:val="20"/>
        </w:rPr>
        <w:t xml:space="preserve">ogether with related business services, to healthcare providers. The Company’s integrated services are designed to help customers increase revenues, streamline workflows and make better business and clinical decisions, while reducing administrative </w:t>
      </w:r>
      <w:r>
        <w:rPr>
          <w:sz w:val="20"/>
          <w:szCs w:val="20"/>
        </w:rPr>
        <w:lastRenderedPageBreak/>
        <w:t>burdens</w:t>
      </w:r>
      <w:r>
        <w:rPr>
          <w:sz w:val="20"/>
          <w:szCs w:val="20"/>
        </w:rPr>
        <w:t xml:space="preserve"> and operating costs. The Company’s services include full-scale revenue cycle management, electronic health records, and other technology-driven practice management services for private and hospital-employed healthcare providers. These solutions and servic</w:t>
      </w:r>
      <w:r>
        <w:rPr>
          <w:sz w:val="20"/>
          <w:szCs w:val="20"/>
        </w:rPr>
        <w:t>es include:</w:t>
      </w:r>
    </w:p>
    <w:p w14:paraId="0F31E0C2"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6B1A0E15" w14:textId="77777777">
        <w:tc>
          <w:tcPr>
            <w:tcW w:w="360" w:type="dxa"/>
            <w:hideMark/>
          </w:tcPr>
          <w:p w14:paraId="07883970" w14:textId="77777777" w:rsidR="00000000" w:rsidRDefault="001826C1">
            <w:pPr>
              <w:rPr>
                <w:rFonts w:eastAsia="Times New Roman"/>
                <w:sz w:val="20"/>
                <w:szCs w:val="20"/>
              </w:rPr>
            </w:pPr>
            <w:r>
              <w:rPr>
                <w:rFonts w:eastAsia="Times New Roman"/>
                <w:sz w:val="20"/>
                <w:szCs w:val="20"/>
              </w:rPr>
              <w:t> </w:t>
            </w:r>
          </w:p>
        </w:tc>
        <w:tc>
          <w:tcPr>
            <w:tcW w:w="360" w:type="dxa"/>
            <w:hideMark/>
          </w:tcPr>
          <w:p w14:paraId="101031B1" w14:textId="77777777" w:rsidR="00000000" w:rsidRDefault="001826C1">
            <w:pPr>
              <w:rPr>
                <w:rFonts w:eastAsia="Times New Roman"/>
                <w:sz w:val="20"/>
                <w:szCs w:val="20"/>
              </w:rPr>
            </w:pPr>
            <w:r>
              <w:rPr>
                <w:rFonts w:eastAsia="Times New Roman"/>
                <w:sz w:val="20"/>
                <w:szCs w:val="20"/>
              </w:rPr>
              <w:t>●</w:t>
            </w:r>
          </w:p>
        </w:tc>
        <w:tc>
          <w:tcPr>
            <w:tcW w:w="0" w:type="auto"/>
            <w:hideMark/>
          </w:tcPr>
          <w:p w14:paraId="584F0906" w14:textId="77777777" w:rsidR="00000000" w:rsidRDefault="001826C1">
            <w:pPr>
              <w:jc w:val="both"/>
              <w:rPr>
                <w:rFonts w:eastAsia="Times New Roman"/>
                <w:sz w:val="20"/>
                <w:szCs w:val="20"/>
              </w:rPr>
            </w:pPr>
            <w:r>
              <w:rPr>
                <w:rFonts w:eastAsia="Times New Roman"/>
                <w:sz w:val="20"/>
                <w:szCs w:val="20"/>
              </w:rPr>
              <w:t xml:space="preserve">Revenue cycle management (“RCM”) services, which include end-to-end medical billing, eligibility, analytics, and related </w:t>
            </w:r>
            <w:r>
              <w:rPr>
                <w:rFonts w:eastAsia="Times New Roman"/>
                <w:sz w:val="20"/>
                <w:szCs w:val="20"/>
              </w:rPr>
              <w:t>services, all of which can often be provided either with our technology platform or through a third-party system;</w:t>
            </w:r>
          </w:p>
        </w:tc>
      </w:tr>
      <w:tr w:rsidR="00000000" w14:paraId="3403A052" w14:textId="77777777">
        <w:tc>
          <w:tcPr>
            <w:tcW w:w="0" w:type="auto"/>
            <w:hideMark/>
          </w:tcPr>
          <w:p w14:paraId="619B32D7" w14:textId="77777777" w:rsidR="00000000" w:rsidRDefault="001826C1">
            <w:pPr>
              <w:rPr>
                <w:rFonts w:eastAsia="Times New Roman"/>
                <w:sz w:val="20"/>
                <w:szCs w:val="20"/>
              </w:rPr>
            </w:pPr>
            <w:r>
              <w:rPr>
                <w:rFonts w:eastAsia="Times New Roman"/>
                <w:sz w:val="20"/>
                <w:szCs w:val="20"/>
              </w:rPr>
              <w:t> </w:t>
            </w:r>
          </w:p>
        </w:tc>
        <w:tc>
          <w:tcPr>
            <w:tcW w:w="0" w:type="auto"/>
            <w:hideMark/>
          </w:tcPr>
          <w:p w14:paraId="19FA3BA6" w14:textId="77777777" w:rsidR="00000000" w:rsidRDefault="001826C1">
            <w:pPr>
              <w:rPr>
                <w:rFonts w:eastAsia="Times New Roman"/>
                <w:sz w:val="20"/>
                <w:szCs w:val="20"/>
              </w:rPr>
            </w:pPr>
            <w:r>
              <w:rPr>
                <w:rFonts w:eastAsia="Times New Roman"/>
                <w:sz w:val="20"/>
                <w:szCs w:val="20"/>
              </w:rPr>
              <w:t>●</w:t>
            </w:r>
          </w:p>
        </w:tc>
        <w:tc>
          <w:tcPr>
            <w:tcW w:w="0" w:type="auto"/>
            <w:hideMark/>
          </w:tcPr>
          <w:p w14:paraId="2FCF051B" w14:textId="77777777" w:rsidR="00000000" w:rsidRDefault="001826C1">
            <w:pPr>
              <w:rPr>
                <w:rFonts w:eastAsia="Times New Roman"/>
                <w:sz w:val="20"/>
                <w:szCs w:val="20"/>
              </w:rPr>
            </w:pPr>
            <w:r>
              <w:rPr>
                <w:rFonts w:eastAsia="Times New Roman"/>
                <w:sz w:val="20"/>
                <w:szCs w:val="20"/>
              </w:rPr>
              <w:t>Proprietary healthcare IT solutions, which are bundled with our RCM services, including:</w:t>
            </w:r>
          </w:p>
        </w:tc>
      </w:tr>
    </w:tbl>
    <w:p w14:paraId="0A2A3685" w14:textId="77777777" w:rsidR="00000000" w:rsidRDefault="001826C1">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1080"/>
        <w:gridCol w:w="360"/>
        <w:gridCol w:w="6866"/>
      </w:tblGrid>
      <w:tr w:rsidR="00000000" w14:paraId="42B81291" w14:textId="77777777">
        <w:tc>
          <w:tcPr>
            <w:tcW w:w="1080" w:type="dxa"/>
            <w:hideMark/>
          </w:tcPr>
          <w:p w14:paraId="107A3FCC" w14:textId="77777777" w:rsidR="00000000" w:rsidRDefault="001826C1">
            <w:pPr>
              <w:rPr>
                <w:rFonts w:eastAsia="Times New Roman"/>
                <w:sz w:val="20"/>
                <w:szCs w:val="20"/>
              </w:rPr>
            </w:pPr>
            <w:r>
              <w:rPr>
                <w:rFonts w:eastAsia="Times New Roman"/>
                <w:sz w:val="20"/>
                <w:szCs w:val="20"/>
              </w:rPr>
              <w:t> </w:t>
            </w:r>
          </w:p>
        </w:tc>
        <w:tc>
          <w:tcPr>
            <w:tcW w:w="360" w:type="dxa"/>
            <w:hideMark/>
          </w:tcPr>
          <w:p w14:paraId="3CEE206B" w14:textId="77777777" w:rsidR="00000000" w:rsidRDefault="001826C1">
            <w:pPr>
              <w:rPr>
                <w:rFonts w:eastAsia="Times New Roman"/>
                <w:sz w:val="20"/>
                <w:szCs w:val="20"/>
              </w:rPr>
            </w:pPr>
            <w:r>
              <w:rPr>
                <w:rFonts w:eastAsia="Times New Roman"/>
                <w:sz w:val="20"/>
                <w:szCs w:val="20"/>
              </w:rPr>
              <w:t>○</w:t>
            </w:r>
          </w:p>
        </w:tc>
        <w:tc>
          <w:tcPr>
            <w:tcW w:w="0" w:type="auto"/>
            <w:hideMark/>
          </w:tcPr>
          <w:p w14:paraId="165E8243" w14:textId="77777777" w:rsidR="00000000" w:rsidRDefault="001826C1">
            <w:pPr>
              <w:jc w:val="both"/>
              <w:rPr>
                <w:rFonts w:eastAsia="Times New Roman"/>
                <w:sz w:val="20"/>
                <w:szCs w:val="20"/>
              </w:rPr>
            </w:pPr>
            <w:r>
              <w:rPr>
                <w:rFonts w:eastAsia="Times New Roman"/>
                <w:sz w:val="20"/>
                <w:szCs w:val="20"/>
              </w:rPr>
              <w:t xml:space="preserve">Electronic </w:t>
            </w:r>
            <w:r>
              <w:rPr>
                <w:rFonts w:eastAsia="Times New Roman"/>
                <w:sz w:val="20"/>
                <w:szCs w:val="20"/>
              </w:rPr>
              <w:t>health records (“EHR”), which are easy to use, integrated with our business services or offered as software as a service (“SaaS”) solutions, and allow our healthcare provider clients to reduce paperwork and qualify for incentives;</w:t>
            </w:r>
          </w:p>
        </w:tc>
      </w:tr>
      <w:tr w:rsidR="00000000" w14:paraId="56270E0F" w14:textId="77777777">
        <w:tc>
          <w:tcPr>
            <w:tcW w:w="0" w:type="auto"/>
            <w:hideMark/>
          </w:tcPr>
          <w:p w14:paraId="2AAD106E" w14:textId="77777777" w:rsidR="00000000" w:rsidRDefault="001826C1">
            <w:pPr>
              <w:rPr>
                <w:rFonts w:eastAsia="Times New Roman"/>
                <w:sz w:val="20"/>
                <w:szCs w:val="20"/>
              </w:rPr>
            </w:pPr>
            <w:r>
              <w:rPr>
                <w:rFonts w:eastAsia="Times New Roman"/>
                <w:sz w:val="20"/>
                <w:szCs w:val="20"/>
              </w:rPr>
              <w:t> </w:t>
            </w:r>
          </w:p>
        </w:tc>
        <w:tc>
          <w:tcPr>
            <w:tcW w:w="0" w:type="auto"/>
            <w:hideMark/>
          </w:tcPr>
          <w:p w14:paraId="4C5C17F0" w14:textId="77777777" w:rsidR="00000000" w:rsidRDefault="001826C1">
            <w:pPr>
              <w:rPr>
                <w:rFonts w:eastAsia="Times New Roman"/>
                <w:sz w:val="20"/>
                <w:szCs w:val="20"/>
              </w:rPr>
            </w:pPr>
            <w:r>
              <w:rPr>
                <w:rFonts w:eastAsia="Times New Roman"/>
                <w:sz w:val="20"/>
                <w:szCs w:val="20"/>
              </w:rPr>
              <w:t>○</w:t>
            </w:r>
          </w:p>
        </w:tc>
        <w:tc>
          <w:tcPr>
            <w:tcW w:w="0" w:type="auto"/>
            <w:hideMark/>
          </w:tcPr>
          <w:p w14:paraId="040F3313" w14:textId="77777777" w:rsidR="00000000" w:rsidRDefault="001826C1">
            <w:pPr>
              <w:jc w:val="both"/>
              <w:rPr>
                <w:rFonts w:eastAsia="Times New Roman"/>
                <w:sz w:val="20"/>
                <w:szCs w:val="20"/>
              </w:rPr>
            </w:pPr>
            <w:r>
              <w:rPr>
                <w:rFonts w:eastAsia="Times New Roman"/>
                <w:sz w:val="20"/>
                <w:szCs w:val="20"/>
              </w:rPr>
              <w:t xml:space="preserve">Practice management </w:t>
            </w:r>
            <w:r>
              <w:rPr>
                <w:rFonts w:eastAsia="Times New Roman"/>
                <w:sz w:val="20"/>
                <w:szCs w:val="20"/>
              </w:rPr>
              <w:t>(“PM”) software and related tools, which support our clients’ day-to-day business operations and workflows;</w:t>
            </w:r>
          </w:p>
        </w:tc>
      </w:tr>
      <w:tr w:rsidR="00000000" w14:paraId="0D0B6CB2" w14:textId="77777777">
        <w:tc>
          <w:tcPr>
            <w:tcW w:w="0" w:type="auto"/>
            <w:hideMark/>
          </w:tcPr>
          <w:p w14:paraId="33532B18" w14:textId="77777777" w:rsidR="00000000" w:rsidRDefault="001826C1">
            <w:pPr>
              <w:rPr>
                <w:rFonts w:eastAsia="Times New Roman"/>
                <w:sz w:val="20"/>
                <w:szCs w:val="20"/>
              </w:rPr>
            </w:pPr>
            <w:r>
              <w:rPr>
                <w:rFonts w:eastAsia="Times New Roman"/>
                <w:sz w:val="20"/>
                <w:szCs w:val="20"/>
              </w:rPr>
              <w:t> </w:t>
            </w:r>
          </w:p>
        </w:tc>
        <w:tc>
          <w:tcPr>
            <w:tcW w:w="0" w:type="auto"/>
            <w:hideMark/>
          </w:tcPr>
          <w:p w14:paraId="18A902CD" w14:textId="77777777" w:rsidR="00000000" w:rsidRDefault="001826C1">
            <w:pPr>
              <w:rPr>
                <w:rFonts w:eastAsia="Times New Roman"/>
                <w:sz w:val="20"/>
                <w:szCs w:val="20"/>
              </w:rPr>
            </w:pPr>
            <w:r>
              <w:rPr>
                <w:rFonts w:eastAsia="Times New Roman"/>
                <w:sz w:val="20"/>
                <w:szCs w:val="20"/>
              </w:rPr>
              <w:t>○</w:t>
            </w:r>
          </w:p>
        </w:tc>
        <w:tc>
          <w:tcPr>
            <w:tcW w:w="0" w:type="auto"/>
            <w:hideMark/>
          </w:tcPr>
          <w:p w14:paraId="26DD261A" w14:textId="77777777" w:rsidR="00000000" w:rsidRDefault="001826C1">
            <w:pPr>
              <w:jc w:val="both"/>
              <w:rPr>
                <w:rFonts w:eastAsia="Times New Roman"/>
                <w:sz w:val="20"/>
                <w:szCs w:val="20"/>
              </w:rPr>
            </w:pPr>
            <w:r>
              <w:rPr>
                <w:rFonts w:eastAsia="Times New Roman"/>
                <w:sz w:val="20"/>
                <w:szCs w:val="20"/>
              </w:rPr>
              <w:t>Mobile Health (“mHealth”</w:t>
            </w:r>
            <w:r>
              <w:rPr>
                <w:rFonts w:eastAsia="Times New Roman"/>
                <w:sz w:val="20"/>
                <w:szCs w:val="20"/>
              </w:rPr>
              <w:t>) solutions, including smartphone applications that assist patients and healthcare providers in the provision of healthcare services;</w:t>
            </w:r>
          </w:p>
        </w:tc>
      </w:tr>
      <w:tr w:rsidR="00000000" w14:paraId="4EED10C8" w14:textId="77777777">
        <w:tc>
          <w:tcPr>
            <w:tcW w:w="0" w:type="auto"/>
            <w:hideMark/>
          </w:tcPr>
          <w:p w14:paraId="0A559374" w14:textId="77777777" w:rsidR="00000000" w:rsidRDefault="001826C1">
            <w:pPr>
              <w:rPr>
                <w:rFonts w:eastAsia="Times New Roman"/>
                <w:sz w:val="20"/>
                <w:szCs w:val="20"/>
              </w:rPr>
            </w:pPr>
            <w:r>
              <w:rPr>
                <w:rFonts w:eastAsia="Times New Roman"/>
                <w:sz w:val="20"/>
                <w:szCs w:val="20"/>
              </w:rPr>
              <w:t> </w:t>
            </w:r>
          </w:p>
        </w:tc>
        <w:tc>
          <w:tcPr>
            <w:tcW w:w="0" w:type="auto"/>
            <w:hideMark/>
          </w:tcPr>
          <w:p w14:paraId="100671C1" w14:textId="77777777" w:rsidR="00000000" w:rsidRDefault="001826C1">
            <w:pPr>
              <w:rPr>
                <w:rFonts w:eastAsia="Times New Roman"/>
                <w:sz w:val="20"/>
                <w:szCs w:val="20"/>
              </w:rPr>
            </w:pPr>
            <w:r>
              <w:rPr>
                <w:rFonts w:eastAsia="Times New Roman"/>
                <w:sz w:val="20"/>
                <w:szCs w:val="20"/>
              </w:rPr>
              <w:t>○</w:t>
            </w:r>
          </w:p>
        </w:tc>
        <w:tc>
          <w:tcPr>
            <w:tcW w:w="0" w:type="auto"/>
            <w:hideMark/>
          </w:tcPr>
          <w:p w14:paraId="6246BDD2" w14:textId="77777777" w:rsidR="00000000" w:rsidRDefault="001826C1">
            <w:pPr>
              <w:jc w:val="both"/>
              <w:rPr>
                <w:rFonts w:eastAsia="Times New Roman"/>
                <w:sz w:val="20"/>
                <w:szCs w:val="20"/>
              </w:rPr>
            </w:pPr>
            <w:r>
              <w:rPr>
                <w:rFonts w:eastAsia="Times New Roman"/>
                <w:sz w:val="20"/>
                <w:szCs w:val="20"/>
              </w:rPr>
              <w:t xml:space="preserve">Healthcare claims clearinghouse, which enables our clients to electronically scrub and submit claims to, and process </w:t>
            </w:r>
            <w:r>
              <w:rPr>
                <w:rFonts w:eastAsia="Times New Roman"/>
                <w:sz w:val="20"/>
                <w:szCs w:val="20"/>
              </w:rPr>
              <w:t>payments from, insurance companies; and</w:t>
            </w:r>
          </w:p>
        </w:tc>
      </w:tr>
      <w:tr w:rsidR="00000000" w14:paraId="71107D05" w14:textId="77777777">
        <w:tc>
          <w:tcPr>
            <w:tcW w:w="0" w:type="auto"/>
            <w:hideMark/>
          </w:tcPr>
          <w:p w14:paraId="77A9AD48" w14:textId="77777777" w:rsidR="00000000" w:rsidRDefault="001826C1">
            <w:pPr>
              <w:rPr>
                <w:rFonts w:eastAsia="Times New Roman"/>
                <w:sz w:val="20"/>
                <w:szCs w:val="20"/>
              </w:rPr>
            </w:pPr>
            <w:r>
              <w:rPr>
                <w:rFonts w:eastAsia="Times New Roman"/>
                <w:sz w:val="20"/>
                <w:szCs w:val="20"/>
              </w:rPr>
              <w:t> </w:t>
            </w:r>
          </w:p>
        </w:tc>
        <w:tc>
          <w:tcPr>
            <w:tcW w:w="0" w:type="auto"/>
            <w:hideMark/>
          </w:tcPr>
          <w:p w14:paraId="4369A130" w14:textId="77777777" w:rsidR="00000000" w:rsidRDefault="001826C1">
            <w:pPr>
              <w:rPr>
                <w:rFonts w:eastAsia="Times New Roman"/>
                <w:sz w:val="20"/>
                <w:szCs w:val="20"/>
              </w:rPr>
            </w:pPr>
            <w:r>
              <w:rPr>
                <w:rFonts w:eastAsia="Times New Roman"/>
                <w:sz w:val="20"/>
                <w:szCs w:val="20"/>
              </w:rPr>
              <w:t>○</w:t>
            </w:r>
          </w:p>
        </w:tc>
        <w:tc>
          <w:tcPr>
            <w:tcW w:w="0" w:type="auto"/>
            <w:hideMark/>
          </w:tcPr>
          <w:p w14:paraId="465975FE" w14:textId="77777777" w:rsidR="00000000" w:rsidRDefault="001826C1">
            <w:pPr>
              <w:jc w:val="both"/>
              <w:rPr>
                <w:rFonts w:eastAsia="Times New Roman"/>
                <w:sz w:val="20"/>
                <w:szCs w:val="20"/>
              </w:rPr>
            </w:pPr>
            <w:r>
              <w:rPr>
                <w:rFonts w:eastAsia="Times New Roman"/>
                <w:sz w:val="20"/>
                <w:szCs w:val="20"/>
              </w:rPr>
              <w:t>Business intelligence, customized applications, interfaces and a variety of other technology solutions that support our healthcare clients;</w:t>
            </w:r>
          </w:p>
        </w:tc>
      </w:tr>
    </w:tbl>
    <w:p w14:paraId="20990A4D" w14:textId="77777777" w:rsidR="00000000" w:rsidRDefault="001826C1">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5DB331B1" w14:textId="77777777">
        <w:tc>
          <w:tcPr>
            <w:tcW w:w="360" w:type="dxa"/>
            <w:hideMark/>
          </w:tcPr>
          <w:p w14:paraId="2A2CEB97" w14:textId="77777777" w:rsidR="00000000" w:rsidRDefault="001826C1">
            <w:pPr>
              <w:rPr>
                <w:rFonts w:eastAsia="Times New Roman"/>
                <w:sz w:val="20"/>
                <w:szCs w:val="20"/>
              </w:rPr>
            </w:pPr>
            <w:r>
              <w:rPr>
                <w:rFonts w:eastAsia="Times New Roman"/>
                <w:sz w:val="20"/>
                <w:szCs w:val="20"/>
              </w:rPr>
              <w:t> </w:t>
            </w:r>
          </w:p>
        </w:tc>
        <w:tc>
          <w:tcPr>
            <w:tcW w:w="360" w:type="dxa"/>
            <w:hideMark/>
          </w:tcPr>
          <w:p w14:paraId="1856BB80" w14:textId="77777777" w:rsidR="00000000" w:rsidRDefault="001826C1">
            <w:pPr>
              <w:rPr>
                <w:rFonts w:eastAsia="Times New Roman"/>
                <w:sz w:val="20"/>
                <w:szCs w:val="20"/>
              </w:rPr>
            </w:pPr>
            <w:r>
              <w:rPr>
                <w:rFonts w:eastAsia="Times New Roman"/>
                <w:sz w:val="20"/>
                <w:szCs w:val="20"/>
              </w:rPr>
              <w:t>●</w:t>
            </w:r>
          </w:p>
        </w:tc>
        <w:tc>
          <w:tcPr>
            <w:tcW w:w="0" w:type="auto"/>
            <w:hideMark/>
          </w:tcPr>
          <w:p w14:paraId="5263E774" w14:textId="77777777" w:rsidR="00000000" w:rsidRDefault="001826C1">
            <w:pPr>
              <w:jc w:val="both"/>
              <w:rPr>
                <w:rFonts w:eastAsia="Times New Roman"/>
                <w:sz w:val="20"/>
                <w:szCs w:val="20"/>
              </w:rPr>
            </w:pPr>
            <w:r>
              <w:rPr>
                <w:rFonts w:eastAsia="Times New Roman"/>
                <w:sz w:val="20"/>
                <w:szCs w:val="20"/>
              </w:rPr>
              <w:t>Group purchasing services which include our negotiation of discou</w:t>
            </w:r>
            <w:r>
              <w:rPr>
                <w:rFonts w:eastAsia="Times New Roman"/>
                <w:sz w:val="20"/>
                <w:szCs w:val="20"/>
              </w:rPr>
              <w:t>nts with pharmaceutical manufacturers and the extension of those discounts to our physician members;</w:t>
            </w:r>
          </w:p>
        </w:tc>
      </w:tr>
      <w:tr w:rsidR="00000000" w14:paraId="4CFE6C62" w14:textId="77777777">
        <w:tc>
          <w:tcPr>
            <w:tcW w:w="0" w:type="auto"/>
            <w:hideMark/>
          </w:tcPr>
          <w:p w14:paraId="3E864A5D" w14:textId="77777777" w:rsidR="00000000" w:rsidRDefault="001826C1">
            <w:pPr>
              <w:rPr>
                <w:rFonts w:eastAsia="Times New Roman"/>
                <w:sz w:val="20"/>
                <w:szCs w:val="20"/>
              </w:rPr>
            </w:pPr>
            <w:r>
              <w:rPr>
                <w:rFonts w:eastAsia="Times New Roman"/>
                <w:sz w:val="20"/>
                <w:szCs w:val="20"/>
              </w:rPr>
              <w:t> </w:t>
            </w:r>
          </w:p>
        </w:tc>
        <w:tc>
          <w:tcPr>
            <w:tcW w:w="0" w:type="auto"/>
            <w:hideMark/>
          </w:tcPr>
          <w:p w14:paraId="40DF9D50" w14:textId="77777777" w:rsidR="00000000" w:rsidRDefault="001826C1">
            <w:pPr>
              <w:rPr>
                <w:rFonts w:eastAsia="Times New Roman"/>
                <w:sz w:val="20"/>
                <w:szCs w:val="20"/>
              </w:rPr>
            </w:pPr>
            <w:r>
              <w:rPr>
                <w:rFonts w:eastAsia="Times New Roman"/>
                <w:sz w:val="20"/>
                <w:szCs w:val="20"/>
              </w:rPr>
              <w:t>●</w:t>
            </w:r>
          </w:p>
        </w:tc>
        <w:tc>
          <w:tcPr>
            <w:tcW w:w="0" w:type="auto"/>
            <w:hideMark/>
          </w:tcPr>
          <w:p w14:paraId="5DA2E37F" w14:textId="77777777" w:rsidR="00000000" w:rsidRDefault="001826C1">
            <w:pPr>
              <w:jc w:val="both"/>
              <w:rPr>
                <w:rFonts w:eastAsia="Times New Roman"/>
                <w:sz w:val="20"/>
                <w:szCs w:val="20"/>
              </w:rPr>
            </w:pPr>
            <w:r>
              <w:rPr>
                <w:rFonts w:eastAsia="Times New Roman"/>
                <w:sz w:val="20"/>
                <w:szCs w:val="20"/>
              </w:rPr>
              <w:t>Comprehensive practice management services, which are offered under long-term management service agreements pursuant to which we provide certain pract</w:t>
            </w:r>
            <w:r>
              <w:rPr>
                <w:rFonts w:eastAsia="Times New Roman"/>
                <w:sz w:val="20"/>
                <w:szCs w:val="20"/>
              </w:rPr>
              <w:t>ices with the administrative support, facilities, supplies, equipment, marketing, RCM, accounting, and other non-clinical services required to efficiently operate their practices; and</w:t>
            </w:r>
          </w:p>
        </w:tc>
      </w:tr>
      <w:tr w:rsidR="00000000" w14:paraId="12C16D5F" w14:textId="77777777">
        <w:tc>
          <w:tcPr>
            <w:tcW w:w="0" w:type="auto"/>
            <w:hideMark/>
          </w:tcPr>
          <w:p w14:paraId="5790BEFF" w14:textId="77777777" w:rsidR="00000000" w:rsidRDefault="001826C1">
            <w:pPr>
              <w:rPr>
                <w:rFonts w:eastAsia="Times New Roman"/>
                <w:sz w:val="20"/>
                <w:szCs w:val="20"/>
              </w:rPr>
            </w:pPr>
            <w:r>
              <w:rPr>
                <w:rFonts w:eastAsia="Times New Roman"/>
                <w:sz w:val="20"/>
                <w:szCs w:val="20"/>
              </w:rPr>
              <w:t> </w:t>
            </w:r>
          </w:p>
        </w:tc>
        <w:tc>
          <w:tcPr>
            <w:tcW w:w="0" w:type="auto"/>
            <w:hideMark/>
          </w:tcPr>
          <w:p w14:paraId="66FC1CD8" w14:textId="77777777" w:rsidR="00000000" w:rsidRDefault="001826C1">
            <w:pPr>
              <w:rPr>
                <w:rFonts w:eastAsia="Times New Roman"/>
                <w:sz w:val="20"/>
                <w:szCs w:val="20"/>
              </w:rPr>
            </w:pPr>
            <w:r>
              <w:rPr>
                <w:rFonts w:eastAsia="Times New Roman"/>
                <w:sz w:val="20"/>
                <w:szCs w:val="20"/>
              </w:rPr>
              <w:t>●</w:t>
            </w:r>
          </w:p>
        </w:tc>
        <w:tc>
          <w:tcPr>
            <w:tcW w:w="0" w:type="auto"/>
            <w:hideMark/>
          </w:tcPr>
          <w:p w14:paraId="70EB6CFF" w14:textId="77777777" w:rsidR="00000000" w:rsidRDefault="001826C1">
            <w:pPr>
              <w:jc w:val="both"/>
              <w:rPr>
                <w:rFonts w:eastAsia="Times New Roman"/>
                <w:sz w:val="20"/>
                <w:szCs w:val="20"/>
              </w:rPr>
            </w:pPr>
            <w:r>
              <w:rPr>
                <w:rFonts w:eastAsia="Times New Roman"/>
                <w:sz w:val="20"/>
                <w:szCs w:val="20"/>
              </w:rPr>
              <w:t xml:space="preserve">Telemedicine, </w:t>
            </w:r>
            <w:r>
              <w:rPr>
                <w:rFonts w:eastAsia="Times New Roman"/>
                <w:sz w:val="20"/>
                <w:szCs w:val="20"/>
              </w:rPr>
              <w:t>a service which is launching in 2020, will allow our clients to conduct remote office visits with patients and bill for these visits where permissible.</w:t>
            </w:r>
          </w:p>
        </w:tc>
      </w:tr>
    </w:tbl>
    <w:p w14:paraId="218D9D5F" w14:textId="77777777" w:rsidR="00000000" w:rsidRDefault="001826C1">
      <w:pPr>
        <w:pStyle w:val="a3"/>
        <w:spacing w:before="0" w:beforeAutospacing="0" w:after="0" w:afterAutospacing="0"/>
        <w:ind w:left="720"/>
        <w:jc w:val="both"/>
        <w:rPr>
          <w:sz w:val="20"/>
          <w:szCs w:val="20"/>
        </w:rPr>
      </w:pPr>
      <w:r>
        <w:rPr>
          <w:sz w:val="20"/>
          <w:szCs w:val="20"/>
        </w:rPr>
        <w:t> </w:t>
      </w:r>
    </w:p>
    <w:p w14:paraId="50DB0068" w14:textId="77777777" w:rsidR="00000000" w:rsidRDefault="001826C1">
      <w:pPr>
        <w:pStyle w:val="a3"/>
        <w:spacing w:before="0" w:beforeAutospacing="0" w:after="0" w:afterAutospacing="0"/>
        <w:jc w:val="both"/>
        <w:rPr>
          <w:sz w:val="20"/>
          <w:szCs w:val="20"/>
        </w:rPr>
      </w:pPr>
      <w:r>
        <w:rPr>
          <w:sz w:val="20"/>
          <w:szCs w:val="20"/>
        </w:rPr>
        <w:t xml:space="preserve">We are able to deliver our industry-leading solutions at very competitive prices because we leverage </w:t>
      </w:r>
      <w:r>
        <w:rPr>
          <w:sz w:val="20"/>
          <w:szCs w:val="20"/>
        </w:rPr>
        <w:t>a combination of our proprietary software, which automates our workflows and increases efficiency, together with our team of over 300 experienced health industry experts throughout the United States. These experts are supported by our highly educated and s</w:t>
      </w:r>
      <w:r>
        <w:rPr>
          <w:sz w:val="20"/>
          <w:szCs w:val="20"/>
        </w:rPr>
        <w:t>pecialized offshore workforce of approximately 2,400 team members at labor costs that we believe are approximately one-tenth the cost of comparable U.S. employees. Our unique business model has allowed us to become a leading consolidator in our industry se</w:t>
      </w:r>
      <w:r>
        <w:rPr>
          <w:sz w:val="20"/>
          <w:szCs w:val="20"/>
        </w:rPr>
        <w:t>ctor, gaining us a reputation for acquiring and positively transforming distressed competitors into profitable operations of MTBC.</w:t>
      </w:r>
    </w:p>
    <w:p w14:paraId="7CAB66C6" w14:textId="77777777" w:rsidR="00000000" w:rsidRDefault="001826C1">
      <w:pPr>
        <w:pStyle w:val="a3"/>
        <w:spacing w:before="0" w:beforeAutospacing="0" w:after="0" w:afterAutospacing="0"/>
        <w:jc w:val="both"/>
        <w:rPr>
          <w:sz w:val="20"/>
          <w:szCs w:val="20"/>
        </w:rPr>
      </w:pPr>
      <w:r>
        <w:rPr>
          <w:sz w:val="20"/>
          <w:szCs w:val="20"/>
        </w:rPr>
        <w:t> </w:t>
      </w:r>
    </w:p>
    <w:p w14:paraId="5692C7B1" w14:textId="77777777" w:rsidR="00000000" w:rsidRDefault="001826C1">
      <w:pPr>
        <w:pStyle w:val="a3"/>
        <w:spacing w:before="0" w:beforeAutospacing="0" w:after="0" w:afterAutospacing="0"/>
        <w:jc w:val="both"/>
        <w:rPr>
          <w:sz w:val="20"/>
          <w:szCs w:val="20"/>
        </w:rPr>
      </w:pPr>
      <w:r>
        <w:rPr>
          <w:sz w:val="20"/>
          <w:szCs w:val="20"/>
        </w:rPr>
        <w:t>During January 2020, the Company, through a merger with its subsidiary, acquired CareCloud Corporation (“CareCloud”), which</w:t>
      </w:r>
      <w:r>
        <w:rPr>
          <w:sz w:val="20"/>
          <w:szCs w:val="20"/>
        </w:rPr>
        <w:t xml:space="preserve"> has developed a highly acclaimed cloud-based platform including EHR, PM and patient experience capabilities. The Company acquired CareCloud on a cash-free, debt-free basis with neutral working capital. The total consideration for the merger paid at closin</w:t>
      </w:r>
      <w:r>
        <w:rPr>
          <w:sz w:val="20"/>
          <w:szCs w:val="20"/>
        </w:rPr>
        <w:t xml:space="preserve">g was $17 million in cash and 760,000 shares of the Company’s 11% Series A Cumulative Redeemable Perpetual Preferred Stock. The merger agreement provides that if CareCloud’s 2020 revenues exceed $36 million, there will be an earn-out payment to the seller </w:t>
      </w:r>
      <w:r>
        <w:rPr>
          <w:sz w:val="20"/>
          <w:szCs w:val="20"/>
        </w:rPr>
        <w:t>equal to such excess, up to $3 million. Additional consideration included warrants to purchase 2,000,000 shares of the Company’s common stock, 1,000,000 of which has an exercise price per share of $7.50 and a term of two years, and the second million of wh</w:t>
      </w:r>
      <w:r>
        <w:rPr>
          <w:sz w:val="20"/>
          <w:szCs w:val="20"/>
        </w:rPr>
        <w:t>ich has an exercise price per share of $10.00 and a term of three years. Of the preferred stock consideration, 160,000 shares of Series A Preferred Stock will be held in escrow for up to 24 months, and an additional 100,000 shares of Series A Preferred Sto</w:t>
      </w:r>
      <w:r>
        <w:rPr>
          <w:sz w:val="20"/>
          <w:szCs w:val="20"/>
        </w:rPr>
        <w:t>ck will be held in escrow for up to 18 months, in both cases, to satisfy indemnification obligations of the seller for losses arising from certain specified contingent liabilities.</w:t>
      </w:r>
    </w:p>
    <w:p w14:paraId="5803C49D"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F7022F6" w14:textId="77777777">
        <w:trPr>
          <w:divId w:val="636691521"/>
        </w:trPr>
        <w:tc>
          <w:tcPr>
            <w:tcW w:w="5000" w:type="pct"/>
            <w:hideMark/>
          </w:tcPr>
          <w:p w14:paraId="239AA9C8" w14:textId="77777777" w:rsidR="00000000" w:rsidRDefault="001826C1">
            <w:pPr>
              <w:jc w:val="center"/>
              <w:rPr>
                <w:rFonts w:eastAsia="Times New Roman"/>
                <w:sz w:val="20"/>
                <w:szCs w:val="20"/>
              </w:rPr>
            </w:pP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194C8C8D" w14:textId="77777777">
        <w:tc>
          <w:tcPr>
            <w:tcW w:w="5000" w:type="pct"/>
            <w:hideMark/>
          </w:tcPr>
          <w:p w14:paraId="0BFA383F" w14:textId="77777777" w:rsidR="00000000" w:rsidRDefault="001826C1">
            <w:pPr>
              <w:jc w:val="center"/>
              <w:rPr>
                <w:rFonts w:eastAsia="Times New Roman"/>
                <w:sz w:val="20"/>
                <w:szCs w:val="20"/>
              </w:rPr>
            </w:pPr>
            <w:r>
              <w:rPr>
                <w:rFonts w:eastAsia="Times New Roman"/>
                <w:sz w:val="20"/>
                <w:szCs w:val="20"/>
              </w:rPr>
              <w:t> </w:t>
            </w:r>
          </w:p>
        </w:tc>
      </w:tr>
    </w:tbl>
    <w:p w14:paraId="28B8B186" w14:textId="77777777" w:rsidR="00000000" w:rsidRDefault="001826C1">
      <w:pPr>
        <w:pStyle w:val="a3"/>
        <w:spacing w:before="0" w:beforeAutospacing="0" w:after="0" w:afterAutospacing="0"/>
        <w:rPr>
          <w:sz w:val="20"/>
          <w:szCs w:val="20"/>
        </w:rPr>
      </w:pPr>
      <w:r>
        <w:rPr>
          <w:sz w:val="20"/>
          <w:szCs w:val="20"/>
        </w:rPr>
        <w:t> </w:t>
      </w:r>
    </w:p>
    <w:p w14:paraId="507F3347" w14:textId="77777777" w:rsidR="00000000" w:rsidRDefault="001826C1">
      <w:pPr>
        <w:pStyle w:val="a3"/>
        <w:spacing w:before="0" w:beforeAutospacing="0" w:after="0" w:afterAutospacing="0"/>
        <w:jc w:val="both"/>
        <w:rPr>
          <w:sz w:val="20"/>
          <w:szCs w:val="20"/>
        </w:rPr>
      </w:pPr>
      <w:r>
        <w:rPr>
          <w:sz w:val="20"/>
          <w:szCs w:val="20"/>
        </w:rPr>
        <w:t xml:space="preserve">During </w:t>
      </w:r>
      <w:r>
        <w:rPr>
          <w:sz w:val="20"/>
          <w:szCs w:val="20"/>
        </w:rPr>
        <w:t>April 2019, the Company acquired substantially all of the revenue cycle management business of Etransmedia Technology, Inc. (“ETM”) through MTBC’s wholly owned subsidiary MTBC-Med, Inc. The Company paid $1.6 million in cash for the acquisition.</w:t>
      </w:r>
    </w:p>
    <w:p w14:paraId="3ADEFD37" w14:textId="77777777" w:rsidR="00000000" w:rsidRDefault="001826C1">
      <w:pPr>
        <w:pStyle w:val="a3"/>
        <w:spacing w:before="0" w:beforeAutospacing="0" w:after="0" w:afterAutospacing="0"/>
        <w:jc w:val="both"/>
        <w:rPr>
          <w:sz w:val="20"/>
          <w:szCs w:val="20"/>
        </w:rPr>
      </w:pPr>
      <w:r>
        <w:rPr>
          <w:sz w:val="20"/>
          <w:szCs w:val="20"/>
        </w:rPr>
        <w:t> </w:t>
      </w:r>
    </w:p>
    <w:p w14:paraId="17A4F954" w14:textId="77777777" w:rsidR="00000000" w:rsidRDefault="001826C1">
      <w:pPr>
        <w:pStyle w:val="a3"/>
        <w:spacing w:before="0" w:beforeAutospacing="0" w:after="0" w:afterAutospacing="0"/>
        <w:jc w:val="both"/>
        <w:rPr>
          <w:sz w:val="20"/>
          <w:szCs w:val="20"/>
        </w:rPr>
      </w:pPr>
      <w:r>
        <w:rPr>
          <w:sz w:val="20"/>
          <w:szCs w:val="20"/>
        </w:rPr>
        <w:lastRenderedPageBreak/>
        <w:t>The ETM a</w:t>
      </w:r>
      <w:r>
        <w:rPr>
          <w:sz w:val="20"/>
          <w:szCs w:val="20"/>
        </w:rPr>
        <w:t>cquisition added additional clients to the Company’s customer base and, similar to previous acquisitions, broadened the Company’s presence in the healthcare information technology industry through geographic expansion of its customer base and by increasing</w:t>
      </w:r>
      <w:r>
        <w:rPr>
          <w:sz w:val="20"/>
          <w:szCs w:val="20"/>
        </w:rPr>
        <w:t xml:space="preserve"> available customer relationship resources and specialized trained staff.</w:t>
      </w:r>
    </w:p>
    <w:p w14:paraId="2EFDD6E5" w14:textId="77777777" w:rsidR="00000000" w:rsidRDefault="001826C1">
      <w:pPr>
        <w:pStyle w:val="a3"/>
        <w:spacing w:before="0" w:beforeAutospacing="0" w:after="0" w:afterAutospacing="0"/>
        <w:jc w:val="both"/>
        <w:rPr>
          <w:sz w:val="20"/>
          <w:szCs w:val="20"/>
        </w:rPr>
      </w:pPr>
      <w:r>
        <w:rPr>
          <w:sz w:val="20"/>
          <w:szCs w:val="20"/>
        </w:rPr>
        <w:t> </w:t>
      </w:r>
    </w:p>
    <w:p w14:paraId="5B29DEB0" w14:textId="77777777" w:rsidR="00000000" w:rsidRDefault="001826C1">
      <w:pPr>
        <w:pStyle w:val="a3"/>
        <w:spacing w:before="0" w:beforeAutospacing="0" w:after="0" w:afterAutospacing="0"/>
        <w:jc w:val="both"/>
        <w:rPr>
          <w:sz w:val="20"/>
          <w:szCs w:val="20"/>
        </w:rPr>
      </w:pPr>
      <w:r>
        <w:rPr>
          <w:sz w:val="20"/>
          <w:szCs w:val="20"/>
        </w:rPr>
        <w:t>During July 2018, the Company acquired substantially all of the revenue cycle management, practice management and group purchasing assets of Orion Healthcorp, Inc. and 13 of its af</w:t>
      </w:r>
      <w:r>
        <w:rPr>
          <w:sz w:val="20"/>
          <w:szCs w:val="20"/>
        </w:rPr>
        <w:t>filiates (together “Orion”). The acquisition was completed through MTBC’s wholly owned subsidiaries, MTBC Health, Inc. and MTBC Practice Management, Corp. The Company paid $12.6 million in cash for the acquisition. This acquisition expanded the scope of ou</w:t>
      </w:r>
      <w:r>
        <w:rPr>
          <w:sz w:val="20"/>
          <w:szCs w:val="20"/>
        </w:rPr>
        <w:t>r offerings to include additional niche hospital solutions, a service that negotiates vaccine discounts with pharmaceutical manufacturers and then extends those vaccine discounts to its physician members, and a service that provides end-to-end practice man</w:t>
      </w:r>
      <w:r>
        <w:rPr>
          <w:sz w:val="20"/>
          <w:szCs w:val="20"/>
        </w:rPr>
        <w:t>agement services to physician practices under multi-decade management service agreements.</w:t>
      </w:r>
    </w:p>
    <w:p w14:paraId="7050FB6C" w14:textId="77777777" w:rsidR="00000000" w:rsidRDefault="001826C1">
      <w:pPr>
        <w:pStyle w:val="a3"/>
        <w:spacing w:before="0" w:beforeAutospacing="0" w:after="0" w:afterAutospacing="0"/>
        <w:jc w:val="both"/>
        <w:rPr>
          <w:sz w:val="20"/>
          <w:szCs w:val="20"/>
        </w:rPr>
      </w:pPr>
      <w:r>
        <w:rPr>
          <w:sz w:val="20"/>
          <w:szCs w:val="20"/>
        </w:rPr>
        <w:t> </w:t>
      </w:r>
    </w:p>
    <w:p w14:paraId="6DCA573E"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Adoption of our RCM solutions typically requires little or no upfront expenditure by a client. Additionally, for most of our solutions and customers, our financial </w:t>
      </w:r>
      <w:r>
        <w:rPr>
          <w:sz w:val="20"/>
          <w:szCs w:val="20"/>
        </w:rPr>
        <w:t>performance is linked directly to the financial performance of our clients, as the vast majority of our revenues are based on a percentage of our clients’ collections. The standard fee for our complete, integrated, end-to-end solution is among the lowest i</w:t>
      </w:r>
      <w:r>
        <w:rPr>
          <w:sz w:val="20"/>
          <w:szCs w:val="20"/>
        </w:rPr>
        <w:t>n the industry. We estimate that as of December 31, 2019, we provided services to approximately 10,500 providers, (which we define as physicians, nurses, nurse practitioners, physician assistants and other clinical staff that render bills for their service</w:t>
      </w:r>
      <w:r>
        <w:rPr>
          <w:sz w:val="20"/>
          <w:szCs w:val="20"/>
        </w:rPr>
        <w:t>s) practicing in approximately 1,800 independent medical practices and hospitals, representing 86 specialties and subspecialties in 46 states. In addition, we served approximately 200 clients that are not medical practices, but are primarily service organi</w:t>
      </w:r>
      <w:r>
        <w:rPr>
          <w:sz w:val="20"/>
          <w:szCs w:val="20"/>
        </w:rPr>
        <w:t>zations who serve the healthcare community. The foregoing numbers include clients leveraging any of our products or services, and are based in part upon estimates where the precise number of practices or providers is unknown.</w:t>
      </w:r>
    </w:p>
    <w:p w14:paraId="0681CCD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C9C8D41" w14:textId="77777777" w:rsidR="00000000" w:rsidRDefault="001826C1">
      <w:pPr>
        <w:pStyle w:val="a3"/>
        <w:shd w:val="clear" w:color="auto" w:fill="FFFFFF"/>
        <w:spacing w:before="0" w:beforeAutospacing="0" w:after="0" w:afterAutospacing="0"/>
        <w:jc w:val="both"/>
        <w:rPr>
          <w:sz w:val="20"/>
          <w:szCs w:val="20"/>
        </w:rPr>
      </w:pPr>
      <w:r>
        <w:rPr>
          <w:sz w:val="20"/>
          <w:szCs w:val="20"/>
        </w:rPr>
        <w:t>We service clients ranging f</w:t>
      </w:r>
      <w:r>
        <w:rPr>
          <w:sz w:val="20"/>
          <w:szCs w:val="20"/>
        </w:rPr>
        <w:t>rom small practices, consisting of one to ten providers, to community hospitals. Our customer, that generates the largest revenue for us, has over 1,800 providers of physical, occupational and speech therapy services to patients in multiple states.</w:t>
      </w:r>
    </w:p>
    <w:p w14:paraId="5CE3CA1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9CC6ECF" w14:textId="77777777" w:rsidR="00000000" w:rsidRDefault="001826C1">
      <w:pPr>
        <w:pStyle w:val="a3"/>
        <w:spacing w:before="0" w:beforeAutospacing="0" w:after="0" w:afterAutospacing="0"/>
        <w:jc w:val="both"/>
        <w:rPr>
          <w:sz w:val="20"/>
          <w:szCs w:val="20"/>
        </w:rPr>
      </w:pPr>
      <w:r>
        <w:rPr>
          <w:sz w:val="20"/>
          <w:szCs w:val="20"/>
        </w:rPr>
        <w:t>On Ju</w:t>
      </w:r>
      <w:r>
        <w:rPr>
          <w:sz w:val="20"/>
          <w:szCs w:val="20"/>
        </w:rPr>
        <w:t>ly 23, 2014, the Company completed its initial public offering (“IPO”) of common stock. The Company sold approximately four million shares at a price of $5.00 per share to the public.</w:t>
      </w:r>
    </w:p>
    <w:p w14:paraId="22C3B33F" w14:textId="77777777" w:rsidR="00000000" w:rsidRDefault="001826C1">
      <w:pPr>
        <w:pStyle w:val="a3"/>
        <w:spacing w:before="0" w:beforeAutospacing="0" w:after="0" w:afterAutospacing="0"/>
        <w:jc w:val="both"/>
        <w:rPr>
          <w:sz w:val="20"/>
          <w:szCs w:val="20"/>
        </w:rPr>
      </w:pPr>
      <w:r>
        <w:rPr>
          <w:sz w:val="20"/>
          <w:szCs w:val="20"/>
        </w:rPr>
        <w:t> </w:t>
      </w:r>
    </w:p>
    <w:p w14:paraId="48C04CA1" w14:textId="77777777" w:rsidR="00000000" w:rsidRDefault="001826C1">
      <w:pPr>
        <w:pStyle w:val="a3"/>
        <w:spacing w:before="0" w:beforeAutospacing="0" w:after="0" w:afterAutospacing="0"/>
        <w:jc w:val="both"/>
        <w:rPr>
          <w:sz w:val="20"/>
          <w:szCs w:val="20"/>
        </w:rPr>
      </w:pPr>
      <w:r>
        <w:rPr>
          <w:sz w:val="20"/>
          <w:szCs w:val="20"/>
        </w:rPr>
        <w:t>In November 2015, the Company completed a public offering of its 11% S</w:t>
      </w:r>
      <w:r>
        <w:rPr>
          <w:sz w:val="20"/>
          <w:szCs w:val="20"/>
        </w:rPr>
        <w:t>eries A Cumulative Redeemable Perpetual Preferred Stock (the “Preferred Stock” or “Series A Preferred Stock”). The Company sold 231,616 shares at a price of $25.00 per share and received net proceeds of approximately $4.7 million. In July 2016, the Company</w:t>
      </w:r>
      <w:r>
        <w:rPr>
          <w:sz w:val="20"/>
          <w:szCs w:val="20"/>
        </w:rPr>
        <w:t xml:space="preserve"> sold an additional 63,040 shares of Preferred Stock and received net proceeds of approximately $1.3 million. In 2017, the Company raised a total of $16.4 million in net proceeds from a series of additional offerings totaling approximately 765,000 shares o</w:t>
      </w:r>
      <w:r>
        <w:rPr>
          <w:sz w:val="20"/>
          <w:szCs w:val="20"/>
        </w:rPr>
        <w:t>f Preferred Stock, all at $25.00 per share. In May 2017, the Company completed a registered direct offering of one million shares of its common stock at $2.30 per share, raising net proceeds of approximately $2.0 million. During 2018, the Company issued 1,</w:t>
      </w:r>
      <w:r>
        <w:rPr>
          <w:sz w:val="20"/>
          <w:szCs w:val="20"/>
        </w:rPr>
        <w:t>020,000 shares of Preferred Stock and received net proceeds of approximately $22.8 million. During 2019, the Company issued 373,000 shares of Preferred Stock and received net proceeds, after fees and expenses, of approximately $9.6 million.</w:t>
      </w:r>
    </w:p>
    <w:p w14:paraId="1448A70A" w14:textId="77777777" w:rsidR="00000000" w:rsidRDefault="001826C1">
      <w:pPr>
        <w:pStyle w:val="a3"/>
        <w:spacing w:before="0" w:beforeAutospacing="0" w:after="0" w:afterAutospacing="0"/>
        <w:jc w:val="both"/>
        <w:rPr>
          <w:sz w:val="20"/>
          <w:szCs w:val="20"/>
        </w:rPr>
      </w:pPr>
      <w:r>
        <w:rPr>
          <w:sz w:val="20"/>
          <w:szCs w:val="20"/>
        </w:rPr>
        <w:t> </w:t>
      </w:r>
    </w:p>
    <w:p w14:paraId="423CE959" w14:textId="77777777" w:rsidR="00000000" w:rsidRDefault="001826C1">
      <w:pPr>
        <w:pStyle w:val="a3"/>
        <w:spacing w:before="0" w:beforeAutospacing="0" w:after="0" w:afterAutospacing="0"/>
        <w:jc w:val="both"/>
        <w:rPr>
          <w:sz w:val="20"/>
          <w:szCs w:val="20"/>
        </w:rPr>
      </w:pPr>
      <w:r>
        <w:rPr>
          <w:sz w:val="20"/>
          <w:szCs w:val="20"/>
        </w:rPr>
        <w:t>On February 6</w:t>
      </w:r>
      <w:r>
        <w:rPr>
          <w:sz w:val="20"/>
          <w:szCs w:val="20"/>
        </w:rPr>
        <w:t>, 2019, the Company’s Board of Directors approved an amendment to our Articles of Incorporation to change the Company’s name to MTBC, Inc.</w:t>
      </w:r>
    </w:p>
    <w:p w14:paraId="35D0D672" w14:textId="77777777" w:rsidR="00000000" w:rsidRDefault="001826C1">
      <w:pPr>
        <w:pStyle w:val="a3"/>
        <w:spacing w:before="0" w:beforeAutospacing="0" w:after="0" w:afterAutospacing="0"/>
        <w:jc w:val="both"/>
        <w:rPr>
          <w:sz w:val="20"/>
          <w:szCs w:val="20"/>
        </w:rPr>
      </w:pPr>
      <w:r>
        <w:rPr>
          <w:sz w:val="20"/>
          <w:szCs w:val="20"/>
        </w:rPr>
        <w:t> </w:t>
      </w:r>
    </w:p>
    <w:p w14:paraId="27BFA876" w14:textId="77777777" w:rsidR="00000000" w:rsidRDefault="001826C1">
      <w:pPr>
        <w:pStyle w:val="a3"/>
        <w:spacing w:before="0" w:beforeAutospacing="0" w:after="0" w:afterAutospacing="0"/>
        <w:jc w:val="both"/>
        <w:rPr>
          <w:sz w:val="20"/>
          <w:szCs w:val="20"/>
        </w:rPr>
      </w:pPr>
      <w:r>
        <w:rPr>
          <w:b/>
          <w:bCs/>
          <w:sz w:val="20"/>
          <w:szCs w:val="20"/>
        </w:rPr>
        <w:t>Employees</w:t>
      </w:r>
    </w:p>
    <w:p w14:paraId="7EAE708F" w14:textId="77777777" w:rsidR="00000000" w:rsidRDefault="001826C1">
      <w:pPr>
        <w:pStyle w:val="a3"/>
        <w:spacing w:before="0" w:beforeAutospacing="0" w:after="0" w:afterAutospacing="0"/>
        <w:jc w:val="both"/>
        <w:rPr>
          <w:sz w:val="20"/>
          <w:szCs w:val="20"/>
        </w:rPr>
      </w:pPr>
      <w:r>
        <w:rPr>
          <w:b/>
          <w:bCs/>
          <w:sz w:val="20"/>
          <w:szCs w:val="20"/>
        </w:rPr>
        <w:t> </w:t>
      </w:r>
    </w:p>
    <w:p w14:paraId="052118E9" w14:textId="77777777" w:rsidR="00000000" w:rsidRDefault="001826C1">
      <w:pPr>
        <w:pStyle w:val="a3"/>
        <w:spacing w:before="0" w:beforeAutospacing="0" w:after="0" w:afterAutospacing="0"/>
        <w:jc w:val="both"/>
        <w:rPr>
          <w:sz w:val="20"/>
          <w:szCs w:val="20"/>
        </w:rPr>
      </w:pPr>
      <w:r>
        <w:rPr>
          <w:sz w:val="20"/>
          <w:szCs w:val="20"/>
        </w:rPr>
        <w:t>Including the employees of our subsidiaries, as of December 2019, the Company employed approximately 2,</w:t>
      </w:r>
      <w:r>
        <w:rPr>
          <w:sz w:val="20"/>
          <w:szCs w:val="20"/>
        </w:rPr>
        <w:t xml:space="preserve">700 people worldwide on a full-time basis. We also utilize the services of a small number of part time employees. In addition, all officers of the Company work on a full-time basis. Over the next twelve months, we anticipate increasing our total number of </w:t>
      </w:r>
      <w:r>
        <w:rPr>
          <w:sz w:val="20"/>
          <w:szCs w:val="20"/>
        </w:rPr>
        <w:t>employees only if our revenues increase, our operating requirements warrant such hiring, or we are hiring for specific functions where we place additional emphasis, such as marketing and sales.</w:t>
      </w:r>
    </w:p>
    <w:p w14:paraId="61C558F7"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4EEC610" w14:textId="77777777">
        <w:trPr>
          <w:divId w:val="1659309229"/>
        </w:trPr>
        <w:tc>
          <w:tcPr>
            <w:tcW w:w="5000" w:type="pct"/>
            <w:hideMark/>
          </w:tcPr>
          <w:p w14:paraId="6AF2F004" w14:textId="77777777" w:rsidR="00000000" w:rsidRDefault="001826C1">
            <w:pPr>
              <w:jc w:val="center"/>
              <w:rPr>
                <w:rFonts w:eastAsia="Times New Roman"/>
                <w:sz w:val="20"/>
                <w:szCs w:val="20"/>
              </w:rPr>
            </w:pP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0F58EEE7" w14:textId="77777777">
        <w:tc>
          <w:tcPr>
            <w:tcW w:w="5000" w:type="pct"/>
            <w:hideMark/>
          </w:tcPr>
          <w:p w14:paraId="573109FC" w14:textId="77777777" w:rsidR="00000000" w:rsidRDefault="001826C1">
            <w:pPr>
              <w:jc w:val="center"/>
              <w:rPr>
                <w:rFonts w:eastAsia="Times New Roman"/>
                <w:sz w:val="20"/>
                <w:szCs w:val="20"/>
              </w:rPr>
            </w:pPr>
            <w:r>
              <w:rPr>
                <w:rFonts w:eastAsia="Times New Roman"/>
                <w:sz w:val="20"/>
                <w:szCs w:val="20"/>
              </w:rPr>
              <w:t> </w:t>
            </w:r>
          </w:p>
        </w:tc>
      </w:tr>
    </w:tbl>
    <w:p w14:paraId="61D1CC0A" w14:textId="77777777" w:rsidR="00000000" w:rsidRDefault="001826C1">
      <w:pPr>
        <w:pStyle w:val="a3"/>
        <w:spacing w:before="0" w:beforeAutospacing="0" w:after="0" w:afterAutospacing="0"/>
        <w:rPr>
          <w:sz w:val="20"/>
          <w:szCs w:val="20"/>
        </w:rPr>
      </w:pPr>
      <w:r>
        <w:rPr>
          <w:sz w:val="20"/>
          <w:szCs w:val="20"/>
        </w:rPr>
        <w:t> </w:t>
      </w:r>
    </w:p>
    <w:p w14:paraId="488D7758" w14:textId="77777777" w:rsidR="00000000" w:rsidRDefault="001826C1">
      <w:pPr>
        <w:pStyle w:val="a3"/>
        <w:spacing w:before="0" w:beforeAutospacing="0" w:after="0" w:afterAutospacing="0"/>
        <w:jc w:val="both"/>
        <w:rPr>
          <w:sz w:val="20"/>
          <w:szCs w:val="20"/>
        </w:rPr>
      </w:pPr>
      <w:r>
        <w:rPr>
          <w:b/>
          <w:bCs/>
          <w:sz w:val="20"/>
          <w:szCs w:val="20"/>
        </w:rPr>
        <w:t xml:space="preserve">Our Growth Strategy </w:t>
      </w:r>
    </w:p>
    <w:p w14:paraId="76285165" w14:textId="77777777" w:rsidR="00000000" w:rsidRDefault="001826C1">
      <w:pPr>
        <w:pStyle w:val="a3"/>
        <w:spacing w:before="0" w:beforeAutospacing="0" w:after="0" w:afterAutospacing="0"/>
        <w:jc w:val="both"/>
        <w:rPr>
          <w:sz w:val="20"/>
          <w:szCs w:val="20"/>
        </w:rPr>
      </w:pPr>
      <w:r>
        <w:rPr>
          <w:sz w:val="20"/>
          <w:szCs w:val="20"/>
        </w:rPr>
        <w:t> </w:t>
      </w:r>
    </w:p>
    <w:p w14:paraId="03C77526" w14:textId="77777777" w:rsidR="00000000" w:rsidRDefault="001826C1">
      <w:pPr>
        <w:pStyle w:val="a3"/>
        <w:spacing w:before="0" w:beforeAutospacing="0" w:after="0" w:afterAutospacing="0"/>
        <w:jc w:val="both"/>
        <w:rPr>
          <w:sz w:val="20"/>
          <w:szCs w:val="20"/>
        </w:rPr>
      </w:pPr>
      <w:r>
        <w:rPr>
          <w:sz w:val="20"/>
          <w:szCs w:val="20"/>
        </w:rPr>
        <w:t xml:space="preserve">The </w:t>
      </w:r>
      <w:r>
        <w:rPr>
          <w:sz w:val="20"/>
          <w:szCs w:val="20"/>
        </w:rPr>
        <w:t>Healthcare IT service industry is highly fragmented, with many local and regional RCM companies serving small medical practices and hospitals. We believe that the industry is ripe for consolidation and that we can achieve significant growth organically and</w:t>
      </w:r>
      <w:r>
        <w:rPr>
          <w:sz w:val="20"/>
          <w:szCs w:val="20"/>
        </w:rPr>
        <w:t xml:space="preserve"> through acquisitions. We further believe that it is becoming increasingly difficult for traditional RCM companies to meet the growing technology and business service needs of healthcare providers without a significant investment in an information technolo</w:t>
      </w:r>
      <w:r>
        <w:rPr>
          <w:sz w:val="20"/>
          <w:szCs w:val="20"/>
        </w:rPr>
        <w:t>gy infrastructure. Since the Company went public in July 2014, we have acquired substantially all of the assets of 15 RCM companies. Although the specific arrangements have varied with each transaction, typical arrangements include a discounted price, cons</w:t>
      </w:r>
      <w:r>
        <w:rPr>
          <w:sz w:val="20"/>
          <w:szCs w:val="20"/>
        </w:rPr>
        <w:t>ideration which is sometimes tied to revenues from the customer relationships acquired, and structuring the acquisition as an asset purchase so as to limit our liability. We typically leverage our technology and our cost-effective offshore team to reduce c</w:t>
      </w:r>
      <w:r>
        <w:rPr>
          <w:sz w:val="20"/>
          <w:szCs w:val="20"/>
        </w:rPr>
        <w:t>osts promptly after the transaction closes, although there will be initial costs associated with the integration of the acquired business with our existing operations.</w:t>
      </w:r>
    </w:p>
    <w:p w14:paraId="15E5E42F" w14:textId="77777777" w:rsidR="00000000" w:rsidRDefault="001826C1">
      <w:pPr>
        <w:pStyle w:val="a3"/>
        <w:spacing w:before="0" w:beforeAutospacing="0" w:after="0" w:afterAutospacing="0"/>
        <w:jc w:val="both"/>
        <w:rPr>
          <w:sz w:val="20"/>
          <w:szCs w:val="20"/>
        </w:rPr>
      </w:pPr>
      <w:r>
        <w:rPr>
          <w:sz w:val="20"/>
          <w:szCs w:val="20"/>
        </w:rPr>
        <w:t> </w:t>
      </w:r>
    </w:p>
    <w:p w14:paraId="2F6FAD73" w14:textId="77777777" w:rsidR="00000000" w:rsidRDefault="001826C1">
      <w:pPr>
        <w:pStyle w:val="a3"/>
        <w:spacing w:before="0" w:beforeAutospacing="0" w:after="0" w:afterAutospacing="0"/>
        <w:jc w:val="both"/>
        <w:rPr>
          <w:sz w:val="20"/>
          <w:szCs w:val="20"/>
        </w:rPr>
      </w:pPr>
      <w:r>
        <w:rPr>
          <w:sz w:val="20"/>
          <w:szCs w:val="20"/>
        </w:rPr>
        <w:t>We believe we can further accelerate organic growth through industry participants, whe</w:t>
      </w:r>
      <w:r>
        <w:rPr>
          <w:sz w:val="20"/>
          <w:szCs w:val="20"/>
        </w:rPr>
        <w:t xml:space="preserve">reby in addition to obtaining referrals, we utilize them as channel partners to offer integrated solutions to their clients. We have entered into such arrangements with industry participants, and from which we began to derive revenue from them starting in </w:t>
      </w:r>
      <w:r>
        <w:rPr>
          <w:sz w:val="20"/>
          <w:szCs w:val="20"/>
        </w:rPr>
        <w:t>mid-2014. We have developed application interfaces with numerous EHR systems, together with device and lab integration to support these relationships.</w:t>
      </w:r>
    </w:p>
    <w:p w14:paraId="6A5DEE77" w14:textId="77777777" w:rsidR="00000000" w:rsidRDefault="001826C1">
      <w:pPr>
        <w:pStyle w:val="a3"/>
        <w:spacing w:before="0" w:beforeAutospacing="0" w:after="0" w:afterAutospacing="0"/>
        <w:jc w:val="both"/>
        <w:rPr>
          <w:sz w:val="20"/>
          <w:szCs w:val="20"/>
        </w:rPr>
      </w:pPr>
      <w:r>
        <w:rPr>
          <w:b/>
          <w:bCs/>
          <w:sz w:val="20"/>
          <w:szCs w:val="20"/>
        </w:rPr>
        <w:t> </w:t>
      </w:r>
    </w:p>
    <w:p w14:paraId="30923555"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During 2018, we completed our acquisition of Orion, adding approximately $29 million and $17.8 million </w:t>
      </w:r>
      <w:r>
        <w:rPr>
          <w:sz w:val="20"/>
          <w:szCs w:val="20"/>
        </w:rPr>
        <w:t xml:space="preserve">of revenue for the years ended December 31, 2019 and 2018, respectively. In addition to revenue cycle management, after the Orion acquisition we earned approximately 21% and 19% of our revenue from practice management services for the years ended December </w:t>
      </w:r>
      <w:r>
        <w:rPr>
          <w:sz w:val="20"/>
          <w:szCs w:val="20"/>
        </w:rPr>
        <w:t>31, 2019 and 2018, respectively, which represents fees based on our actual costs plus a percentage of the operating profit. We also earned approximately 2% of our revenue from group purchasing services for both the years ended December 31, 2019 and 2018.</w:t>
      </w:r>
    </w:p>
    <w:p w14:paraId="7414B92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A0FB447" w14:textId="77777777" w:rsidR="00000000" w:rsidRDefault="001826C1">
      <w:pPr>
        <w:pStyle w:val="a3"/>
        <w:shd w:val="clear" w:color="auto" w:fill="FFFFFF"/>
        <w:spacing w:before="0" w:beforeAutospacing="0" w:after="0" w:afterAutospacing="0"/>
        <w:jc w:val="both"/>
        <w:rPr>
          <w:sz w:val="20"/>
          <w:szCs w:val="20"/>
        </w:rPr>
      </w:pPr>
      <w:r>
        <w:rPr>
          <w:sz w:val="20"/>
          <w:szCs w:val="20"/>
        </w:rPr>
        <w:t>During January 2020, we completed our acquisition of CareCloud, which is our largest acquisition to date. CareCloud offers software services for PM, electronic health records and patient experience management on a SaaS basis and also offers RCM services t</w:t>
      </w:r>
      <w:r>
        <w:rPr>
          <w:sz w:val="20"/>
          <w:szCs w:val="20"/>
        </w:rPr>
        <w:t>o a portion of its clients.</w:t>
      </w:r>
    </w:p>
    <w:p w14:paraId="2784011B"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E2B1F36" w14:textId="77777777" w:rsidR="00000000" w:rsidRDefault="001826C1">
      <w:pPr>
        <w:pStyle w:val="a3"/>
        <w:spacing w:before="0" w:beforeAutospacing="0" w:after="0" w:afterAutospacing="0"/>
        <w:jc w:val="both"/>
        <w:rPr>
          <w:sz w:val="20"/>
          <w:szCs w:val="20"/>
        </w:rPr>
      </w:pPr>
      <w:r>
        <w:rPr>
          <w:b/>
          <w:bCs/>
          <w:sz w:val="20"/>
          <w:szCs w:val="20"/>
        </w:rPr>
        <w:t xml:space="preserve">Industry Overview </w:t>
      </w:r>
    </w:p>
    <w:p w14:paraId="27590926" w14:textId="77777777" w:rsidR="00000000" w:rsidRDefault="001826C1">
      <w:pPr>
        <w:pStyle w:val="a3"/>
        <w:spacing w:before="0" w:beforeAutospacing="0" w:after="0" w:afterAutospacing="0"/>
        <w:jc w:val="both"/>
        <w:rPr>
          <w:sz w:val="20"/>
          <w:szCs w:val="20"/>
        </w:rPr>
      </w:pPr>
      <w:r>
        <w:rPr>
          <w:b/>
          <w:bCs/>
          <w:sz w:val="20"/>
          <w:szCs w:val="20"/>
        </w:rPr>
        <w:t> </w:t>
      </w:r>
    </w:p>
    <w:p w14:paraId="1DC0C8EE" w14:textId="77777777" w:rsidR="00000000" w:rsidRDefault="001826C1">
      <w:pPr>
        <w:pStyle w:val="a3"/>
        <w:spacing w:before="0" w:beforeAutospacing="0" w:after="0" w:afterAutospacing="0"/>
        <w:jc w:val="both"/>
        <w:rPr>
          <w:sz w:val="20"/>
          <w:szCs w:val="20"/>
        </w:rPr>
      </w:pPr>
      <w:r>
        <w:rPr>
          <w:sz w:val="20"/>
          <w:szCs w:val="20"/>
        </w:rPr>
        <w:t>In December 2019, Healthcare Finance reported that healthcare spending in the U.S. hit a high-water mark of $3.6 trillion, rising at a rate of 4.6%. They reported that nearly 60% of the total cost goes tow</w:t>
      </w:r>
      <w:r>
        <w:rPr>
          <w:sz w:val="20"/>
          <w:szCs w:val="20"/>
        </w:rPr>
        <w:t xml:space="preserve">ard hospitals, physicians and clinical services. The Centers for Medicare and Medicaid Services (“CMS”) also projected that U.S healthcare spending will grow 5.7% annually on average during years 2020 through 2027, reaching $6.0 trillion by 2027. CMS also </w:t>
      </w:r>
      <w:r>
        <w:rPr>
          <w:sz w:val="20"/>
          <w:szCs w:val="20"/>
        </w:rPr>
        <w:t>projected that health spending will grow 0.8% faster than gross domestic product (“GDP”) annually during the years 2020 through 2027; and as a result, the healthcare share of GDP is expected to rise from 17.9% in 2017 to 19.4% by 2027.</w:t>
      </w:r>
    </w:p>
    <w:p w14:paraId="07E908F0" w14:textId="77777777" w:rsidR="00000000" w:rsidRDefault="001826C1">
      <w:pPr>
        <w:pStyle w:val="a3"/>
        <w:spacing w:before="0" w:beforeAutospacing="0" w:after="0" w:afterAutospacing="0"/>
        <w:jc w:val="both"/>
        <w:rPr>
          <w:sz w:val="20"/>
          <w:szCs w:val="20"/>
        </w:rPr>
      </w:pPr>
      <w:r>
        <w:rPr>
          <w:sz w:val="20"/>
          <w:szCs w:val="20"/>
        </w:rPr>
        <w:t> </w:t>
      </w:r>
    </w:p>
    <w:p w14:paraId="120894B0" w14:textId="77777777" w:rsidR="00000000" w:rsidRDefault="001826C1">
      <w:pPr>
        <w:pStyle w:val="a3"/>
        <w:spacing w:before="0" w:beforeAutospacing="0" w:after="0" w:afterAutospacing="0"/>
        <w:jc w:val="both"/>
        <w:rPr>
          <w:sz w:val="20"/>
          <w:szCs w:val="20"/>
        </w:rPr>
      </w:pPr>
      <w:r>
        <w:rPr>
          <w:b/>
          <w:bCs/>
          <w:sz w:val="20"/>
          <w:szCs w:val="20"/>
        </w:rPr>
        <w:t>Increasingly compl</w:t>
      </w:r>
      <w:r>
        <w:rPr>
          <w:b/>
          <w:bCs/>
          <w:sz w:val="20"/>
          <w:szCs w:val="20"/>
        </w:rPr>
        <w:t xml:space="preserve">ex reimbursement processes. </w:t>
      </w:r>
      <w:r>
        <w:rPr>
          <w:sz w:val="20"/>
          <w:szCs w:val="20"/>
        </w:rPr>
        <w:t>New laws and payer requirements have further complicated insurance reimbursement processes. For example, Medicare, Medicaid and commercial insurances are increasingly requiring proof of adherence to best practices and improved p</w:t>
      </w:r>
      <w:r>
        <w:rPr>
          <w:sz w:val="20"/>
          <w:szCs w:val="20"/>
        </w:rPr>
        <w:t>atient health outcomes to support full reimbursement. Moreover, the recent shift to a new generation of insurance codes has dramatically increased the complexity associated with selecting appropriate procedure and diagnosis codes needed to support proper c</w:t>
      </w:r>
      <w:r>
        <w:rPr>
          <w:sz w:val="20"/>
          <w:szCs w:val="20"/>
        </w:rPr>
        <w:t>laim submission and reimbursement.</w:t>
      </w:r>
    </w:p>
    <w:p w14:paraId="6E3CF1EF" w14:textId="77777777" w:rsidR="00000000" w:rsidRDefault="001826C1">
      <w:pPr>
        <w:pStyle w:val="a3"/>
        <w:spacing w:before="0" w:beforeAutospacing="0" w:after="0" w:afterAutospacing="0"/>
        <w:jc w:val="both"/>
        <w:rPr>
          <w:sz w:val="20"/>
          <w:szCs w:val="20"/>
        </w:rPr>
      </w:pPr>
      <w:r>
        <w:rPr>
          <w:sz w:val="20"/>
          <w:szCs w:val="20"/>
        </w:rPr>
        <w:t> </w:t>
      </w:r>
    </w:p>
    <w:p w14:paraId="331A6166" w14:textId="77777777" w:rsidR="00000000" w:rsidRDefault="001826C1">
      <w:pPr>
        <w:pStyle w:val="a3"/>
        <w:spacing w:before="0" w:beforeAutospacing="0" w:after="0" w:afterAutospacing="0"/>
        <w:jc w:val="both"/>
        <w:rPr>
          <w:sz w:val="20"/>
          <w:szCs w:val="20"/>
        </w:rPr>
      </w:pPr>
      <w:r>
        <w:rPr>
          <w:b/>
          <w:bCs/>
          <w:sz w:val="20"/>
          <w:szCs w:val="20"/>
        </w:rPr>
        <w:t xml:space="preserve">Movement toward healthcare information technology. </w:t>
      </w:r>
      <w:r>
        <w:rPr>
          <w:sz w:val="20"/>
          <w:szCs w:val="20"/>
        </w:rPr>
        <w:t xml:space="preserve">Since 2011, the federal government has offered financial incentives to eligible </w:t>
      </w:r>
      <w:r>
        <w:rPr>
          <w:sz w:val="20"/>
          <w:szCs w:val="20"/>
        </w:rPr>
        <w:t>healthcare providers who adopt and meaningfully use EHR technology. Beginning in 2015, providers who were not meaningfully using this technology began to incur penalties, which increase over time. While these incentives and penalties have encouraged many p</w:t>
      </w:r>
      <w:r>
        <w:rPr>
          <w:sz w:val="20"/>
          <w:szCs w:val="20"/>
        </w:rPr>
        <w:t>roviders to adopt and meaningfully use EHR software, we believe that most providers are not utilizing an integrated platform that combines practice management, business intelligence, and revenue cycle management. The lack of an integrated platform leaves t</w:t>
      </w:r>
      <w:r>
        <w:rPr>
          <w:sz w:val="20"/>
          <w:szCs w:val="20"/>
        </w:rPr>
        <w:t>hem ill-equipped to address the multitude of rapidly growing industry challenges and government mandates.</w:t>
      </w:r>
    </w:p>
    <w:p w14:paraId="16175E66"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755A2DC" w14:textId="77777777">
        <w:trPr>
          <w:divId w:val="748620728"/>
        </w:trPr>
        <w:tc>
          <w:tcPr>
            <w:tcW w:w="5000" w:type="pct"/>
            <w:hideMark/>
          </w:tcPr>
          <w:p w14:paraId="198D2874" w14:textId="77777777" w:rsidR="00000000" w:rsidRDefault="001826C1">
            <w:pPr>
              <w:jc w:val="center"/>
              <w:rPr>
                <w:rFonts w:eastAsia="Times New Roman"/>
                <w:sz w:val="20"/>
                <w:szCs w:val="20"/>
              </w:rPr>
            </w:pP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738DE846" w14:textId="77777777">
        <w:tc>
          <w:tcPr>
            <w:tcW w:w="5000" w:type="pct"/>
            <w:hideMark/>
          </w:tcPr>
          <w:p w14:paraId="0B55BF05" w14:textId="77777777" w:rsidR="00000000" w:rsidRDefault="001826C1">
            <w:pPr>
              <w:jc w:val="center"/>
              <w:rPr>
                <w:rFonts w:eastAsia="Times New Roman"/>
                <w:sz w:val="20"/>
                <w:szCs w:val="20"/>
              </w:rPr>
            </w:pPr>
            <w:r>
              <w:rPr>
                <w:rFonts w:eastAsia="Times New Roman"/>
                <w:sz w:val="20"/>
                <w:szCs w:val="20"/>
              </w:rPr>
              <w:t> </w:t>
            </w:r>
          </w:p>
        </w:tc>
      </w:tr>
    </w:tbl>
    <w:p w14:paraId="2614ADE2" w14:textId="77777777" w:rsidR="00000000" w:rsidRDefault="001826C1">
      <w:pPr>
        <w:pStyle w:val="a3"/>
        <w:spacing w:before="0" w:beforeAutospacing="0" w:after="0" w:afterAutospacing="0"/>
        <w:rPr>
          <w:sz w:val="20"/>
          <w:szCs w:val="20"/>
        </w:rPr>
      </w:pPr>
      <w:r>
        <w:rPr>
          <w:sz w:val="20"/>
          <w:szCs w:val="20"/>
        </w:rPr>
        <w:t> </w:t>
      </w:r>
    </w:p>
    <w:p w14:paraId="025F72AC" w14:textId="77777777" w:rsidR="00000000" w:rsidRDefault="001826C1">
      <w:pPr>
        <w:pStyle w:val="a3"/>
        <w:spacing w:before="0" w:beforeAutospacing="0" w:after="0" w:afterAutospacing="0"/>
        <w:jc w:val="both"/>
        <w:rPr>
          <w:sz w:val="20"/>
          <w:szCs w:val="20"/>
        </w:rPr>
      </w:pPr>
      <w:r>
        <w:rPr>
          <w:sz w:val="20"/>
          <w:szCs w:val="20"/>
        </w:rPr>
        <w:t xml:space="preserve">The US Healthcare IT industry market has been estimated by Markets &amp; Markets to be approximately $177 billion with its largest sub-segment </w:t>
      </w:r>
      <w:r>
        <w:rPr>
          <w:sz w:val="20"/>
          <w:szCs w:val="20"/>
        </w:rPr>
        <w:t>RCM to be approximately $87 billion in 2019, growing at a 12% compound annual growth rate (“CAGR”). The North American EHR market has been estimated to be approximately $40 billion, growing at a CAGR of 6% per year. The Analytics and AI sub-segment was est</w:t>
      </w:r>
      <w:r>
        <w:rPr>
          <w:sz w:val="20"/>
          <w:szCs w:val="20"/>
        </w:rPr>
        <w:t>imated to be approximately $30 billion, growing at a 27% CAGR and the Telehealth market is estimated to be approximately $20 billion with a CAGR of 17%. Standalone billing and practice management solutions are reported to be declining in the market today a</w:t>
      </w:r>
      <w:r>
        <w:rPr>
          <w:sz w:val="20"/>
          <w:szCs w:val="20"/>
        </w:rPr>
        <w:t>s medical practices move towards integrated, end-to-end systems that incorporate front and back office data flows, provide seamless access to clinical data from EHRs, and streamline the entire revenue cycle management process.</w:t>
      </w:r>
    </w:p>
    <w:p w14:paraId="22BEF379" w14:textId="77777777" w:rsidR="00000000" w:rsidRDefault="001826C1">
      <w:pPr>
        <w:pStyle w:val="a3"/>
        <w:spacing w:before="0" w:beforeAutospacing="0" w:after="0" w:afterAutospacing="0"/>
        <w:jc w:val="both"/>
        <w:rPr>
          <w:sz w:val="20"/>
          <w:szCs w:val="20"/>
        </w:rPr>
      </w:pPr>
      <w:r>
        <w:rPr>
          <w:sz w:val="20"/>
          <w:szCs w:val="20"/>
        </w:rPr>
        <w:t> </w:t>
      </w:r>
    </w:p>
    <w:p w14:paraId="128F2B46" w14:textId="77777777" w:rsidR="00000000" w:rsidRDefault="001826C1">
      <w:pPr>
        <w:pStyle w:val="a3"/>
        <w:spacing w:before="0" w:beforeAutospacing="0" w:after="0" w:afterAutospacing="0"/>
        <w:jc w:val="both"/>
        <w:rPr>
          <w:sz w:val="20"/>
          <w:szCs w:val="20"/>
        </w:rPr>
      </w:pPr>
      <w:r>
        <w:rPr>
          <w:b/>
          <w:bCs/>
          <w:sz w:val="20"/>
          <w:szCs w:val="20"/>
        </w:rPr>
        <w:t>Shift in focus to preventiv</w:t>
      </w:r>
      <w:r>
        <w:rPr>
          <w:b/>
          <w:bCs/>
          <w:sz w:val="20"/>
          <w:szCs w:val="20"/>
        </w:rPr>
        <w:t xml:space="preserve">e care. </w:t>
      </w:r>
      <w:r>
        <w:rPr>
          <w:sz w:val="20"/>
          <w:szCs w:val="20"/>
        </w:rPr>
        <w:t>In an effort to avoid the negative health effects and increased costs associated with undetected and untreated chronic conditions, most health insurance plans provide co-payment and deductible-free coverage for preventive health services, such as a</w:t>
      </w:r>
      <w:r>
        <w:rPr>
          <w:sz w:val="20"/>
          <w:szCs w:val="20"/>
        </w:rPr>
        <w:t>nnual well visits. Many believe that this shift in focus will, in the long-term, reduce costs and improve patient health. Effective preventative health services require access to comprehensive medical records that are readily available to primary care phys</w:t>
      </w:r>
      <w:r>
        <w:rPr>
          <w:sz w:val="20"/>
          <w:szCs w:val="20"/>
        </w:rPr>
        <w:t>icians and other physicians providing preventative healthcare.</w:t>
      </w:r>
    </w:p>
    <w:p w14:paraId="197BDD65" w14:textId="77777777" w:rsidR="00000000" w:rsidRDefault="001826C1">
      <w:pPr>
        <w:pStyle w:val="a3"/>
        <w:spacing w:before="0" w:beforeAutospacing="0" w:after="0" w:afterAutospacing="0"/>
        <w:jc w:val="both"/>
        <w:rPr>
          <w:sz w:val="20"/>
          <w:szCs w:val="20"/>
        </w:rPr>
      </w:pPr>
      <w:r>
        <w:rPr>
          <w:sz w:val="20"/>
          <w:szCs w:val="20"/>
        </w:rPr>
        <w:t> </w:t>
      </w:r>
    </w:p>
    <w:p w14:paraId="3FE931AD" w14:textId="77777777" w:rsidR="00000000" w:rsidRDefault="001826C1">
      <w:pPr>
        <w:pStyle w:val="a3"/>
        <w:spacing w:before="0" w:beforeAutospacing="0" w:after="0" w:afterAutospacing="0"/>
        <w:jc w:val="both"/>
        <w:rPr>
          <w:sz w:val="20"/>
          <w:szCs w:val="20"/>
        </w:rPr>
      </w:pPr>
      <w:r>
        <w:rPr>
          <w:b/>
          <w:bCs/>
          <w:sz w:val="20"/>
          <w:szCs w:val="20"/>
        </w:rPr>
        <w:t xml:space="preserve">Inaccessibility of critical data. </w:t>
      </w:r>
      <w:r>
        <w:rPr>
          <w:sz w:val="20"/>
          <w:szCs w:val="20"/>
        </w:rPr>
        <w:t>To thrive in the emerging healthcare landscape, healthcare practices need timely information, such as health insurance plan eligibility and coverage details,</w:t>
      </w:r>
      <w:r>
        <w:rPr>
          <w:sz w:val="20"/>
          <w:szCs w:val="20"/>
        </w:rPr>
        <w:t xml:space="preserve"> provider performance and productivity data, as well as clinical and reimbursement benchmarking. However, we believe that most small and medium size practices do not have access to this type of real-time data, business intelligence and analytical tools, an</w:t>
      </w:r>
      <w:r>
        <w:rPr>
          <w:sz w:val="20"/>
          <w:szCs w:val="20"/>
        </w:rPr>
        <w:t>d thus struggle to efficiently operate their practices and make optimal decisions.</w:t>
      </w:r>
    </w:p>
    <w:p w14:paraId="70238659" w14:textId="77777777" w:rsidR="00000000" w:rsidRDefault="001826C1">
      <w:pPr>
        <w:pStyle w:val="a3"/>
        <w:spacing w:before="0" w:beforeAutospacing="0" w:after="0" w:afterAutospacing="0"/>
        <w:jc w:val="both"/>
        <w:rPr>
          <w:sz w:val="20"/>
          <w:szCs w:val="20"/>
        </w:rPr>
      </w:pPr>
      <w:r>
        <w:rPr>
          <w:sz w:val="20"/>
          <w:szCs w:val="20"/>
        </w:rPr>
        <w:t> </w:t>
      </w:r>
    </w:p>
    <w:p w14:paraId="1DE5EFA2" w14:textId="77777777" w:rsidR="00000000" w:rsidRDefault="001826C1">
      <w:pPr>
        <w:pStyle w:val="a3"/>
        <w:spacing w:before="0" w:beforeAutospacing="0" w:after="0" w:afterAutospacing="0"/>
        <w:jc w:val="both"/>
        <w:rPr>
          <w:sz w:val="20"/>
          <w:szCs w:val="20"/>
        </w:rPr>
      </w:pPr>
      <w:r>
        <w:rPr>
          <w:b/>
          <w:bCs/>
          <w:sz w:val="20"/>
          <w:szCs w:val="20"/>
        </w:rPr>
        <w:t>Competition</w:t>
      </w:r>
    </w:p>
    <w:p w14:paraId="1926D187" w14:textId="77777777" w:rsidR="00000000" w:rsidRDefault="001826C1">
      <w:pPr>
        <w:pStyle w:val="a3"/>
        <w:spacing w:before="0" w:beforeAutospacing="0" w:after="0" w:afterAutospacing="0"/>
        <w:jc w:val="both"/>
        <w:rPr>
          <w:sz w:val="20"/>
          <w:szCs w:val="20"/>
        </w:rPr>
      </w:pPr>
      <w:r>
        <w:rPr>
          <w:b/>
          <w:bCs/>
          <w:sz w:val="20"/>
          <w:szCs w:val="20"/>
        </w:rPr>
        <w:t> </w:t>
      </w:r>
    </w:p>
    <w:p w14:paraId="0140D9F3" w14:textId="77777777" w:rsidR="00000000" w:rsidRDefault="001826C1">
      <w:pPr>
        <w:pStyle w:val="a3"/>
        <w:spacing w:before="0" w:beforeAutospacing="0" w:after="0" w:afterAutospacing="0"/>
        <w:jc w:val="both"/>
        <w:rPr>
          <w:sz w:val="20"/>
          <w:szCs w:val="20"/>
        </w:rPr>
      </w:pPr>
      <w:r>
        <w:rPr>
          <w:sz w:val="20"/>
          <w:szCs w:val="20"/>
        </w:rPr>
        <w:t>The market for practice management, EHR and RCM information solutions and related services is highly competitive, and we expect competition to increase in th</w:t>
      </w:r>
      <w:r>
        <w:rPr>
          <w:sz w:val="20"/>
          <w:szCs w:val="20"/>
        </w:rPr>
        <w:t>e future. We face competition from other providers of both integrated and stand-alone practice management, EHR and RCM solutions, including competitors who utilize a web-based platform and providers of locally installed software systems. Our competitors al</w:t>
      </w:r>
      <w:r>
        <w:rPr>
          <w:sz w:val="20"/>
          <w:szCs w:val="20"/>
        </w:rPr>
        <w:t>so include larger healthcare IT companies, such as athenahealth, Inc., Allscripts Healthcare Solutions, Inc., eClinicalWorks and Greenway Medical Technologies, Inc.</w:t>
      </w:r>
    </w:p>
    <w:p w14:paraId="2FF5F1B5" w14:textId="77777777" w:rsidR="00000000" w:rsidRDefault="001826C1">
      <w:pPr>
        <w:pStyle w:val="a3"/>
        <w:spacing w:before="0" w:beforeAutospacing="0" w:after="0" w:afterAutospacing="0"/>
        <w:jc w:val="both"/>
        <w:rPr>
          <w:sz w:val="20"/>
          <w:szCs w:val="20"/>
        </w:rPr>
      </w:pPr>
      <w:r>
        <w:rPr>
          <w:sz w:val="20"/>
          <w:szCs w:val="20"/>
        </w:rPr>
        <w:t> </w:t>
      </w:r>
    </w:p>
    <w:p w14:paraId="0946699A" w14:textId="77777777" w:rsidR="00000000" w:rsidRDefault="001826C1">
      <w:pPr>
        <w:pStyle w:val="a3"/>
        <w:spacing w:before="0" w:beforeAutospacing="0" w:after="0" w:afterAutospacing="0"/>
        <w:jc w:val="both"/>
        <w:rPr>
          <w:sz w:val="20"/>
          <w:szCs w:val="20"/>
        </w:rPr>
      </w:pPr>
      <w:r>
        <w:rPr>
          <w:sz w:val="20"/>
          <w:szCs w:val="20"/>
        </w:rPr>
        <w:t>Many of our competitors have longer operating histories, greater brand recognition and gr</w:t>
      </w:r>
      <w:r>
        <w:rPr>
          <w:sz w:val="20"/>
          <w:szCs w:val="20"/>
        </w:rPr>
        <w:t>eater financial, marketing and other resources than MTBC. We also compete with various regional RCM companies, some of which may continue to consolidate and expand into broader markets. We expect that competition will continue to increase as a result of in</w:t>
      </w:r>
      <w:r>
        <w:rPr>
          <w:sz w:val="20"/>
          <w:szCs w:val="20"/>
        </w:rPr>
        <w:t>centives provided by various governmental initiatives, and consolidation in both the information technology and healthcare industries. In addition, our competitive edge could be diminished or completely lost if our competition develops similar offshore ope</w:t>
      </w:r>
      <w:r>
        <w:rPr>
          <w:sz w:val="20"/>
          <w:szCs w:val="20"/>
        </w:rPr>
        <w:t>rations in Pakistan or other countries, such as India and the Philippines, where labor costs are lower than those in the U.S. (although higher than in Pakistan). Pricing pressures could negatively impact our margins, growth rate and market share.</w:t>
      </w:r>
    </w:p>
    <w:p w14:paraId="6D4DE470"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FD7DC5A" w14:textId="77777777">
        <w:trPr>
          <w:divId w:val="2023821644"/>
        </w:trPr>
        <w:tc>
          <w:tcPr>
            <w:tcW w:w="5000" w:type="pct"/>
            <w:hideMark/>
          </w:tcPr>
          <w:p w14:paraId="60419AAE" w14:textId="77777777" w:rsidR="00000000" w:rsidRDefault="001826C1">
            <w:pPr>
              <w:jc w:val="center"/>
              <w:rPr>
                <w:rFonts w:eastAsia="Times New Roman"/>
                <w:sz w:val="20"/>
                <w:szCs w:val="20"/>
              </w:rPr>
            </w:pP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0FCB6305" w14:textId="77777777">
        <w:tc>
          <w:tcPr>
            <w:tcW w:w="5000" w:type="pct"/>
            <w:hideMark/>
          </w:tcPr>
          <w:p w14:paraId="272D4C0D" w14:textId="77777777" w:rsidR="00000000" w:rsidRDefault="001826C1">
            <w:pPr>
              <w:jc w:val="center"/>
              <w:rPr>
                <w:rFonts w:eastAsia="Times New Roman"/>
                <w:sz w:val="20"/>
                <w:szCs w:val="20"/>
              </w:rPr>
            </w:pPr>
            <w:r>
              <w:rPr>
                <w:rFonts w:eastAsia="Times New Roman"/>
                <w:sz w:val="20"/>
                <w:szCs w:val="20"/>
              </w:rPr>
              <w:t> </w:t>
            </w:r>
          </w:p>
        </w:tc>
      </w:tr>
    </w:tbl>
    <w:p w14:paraId="08A2778F" w14:textId="77777777" w:rsidR="00000000" w:rsidRDefault="001826C1">
      <w:pPr>
        <w:pStyle w:val="a3"/>
        <w:spacing w:before="0" w:beforeAutospacing="0" w:after="0" w:afterAutospacing="0"/>
        <w:rPr>
          <w:sz w:val="20"/>
          <w:szCs w:val="20"/>
        </w:rPr>
      </w:pPr>
      <w:r>
        <w:rPr>
          <w:sz w:val="20"/>
          <w:szCs w:val="20"/>
        </w:rPr>
        <w:t> </w:t>
      </w:r>
    </w:p>
    <w:p w14:paraId="5BD15A07" w14:textId="77777777" w:rsidR="00000000" w:rsidRDefault="001826C1">
      <w:pPr>
        <w:pStyle w:val="a3"/>
        <w:spacing w:before="0" w:beforeAutospacing="0" w:after="0" w:afterAutospacing="0"/>
        <w:jc w:val="both"/>
        <w:rPr>
          <w:sz w:val="20"/>
          <w:szCs w:val="20"/>
        </w:rPr>
      </w:pPr>
      <w:r>
        <w:rPr>
          <w:b/>
          <w:bCs/>
          <w:sz w:val="20"/>
          <w:szCs w:val="20"/>
        </w:rPr>
        <w:t>Our Solution</w:t>
      </w:r>
    </w:p>
    <w:p w14:paraId="09779769" w14:textId="77777777" w:rsidR="00000000" w:rsidRDefault="001826C1">
      <w:pPr>
        <w:pStyle w:val="a3"/>
        <w:spacing w:before="0" w:beforeAutospacing="0" w:after="0" w:afterAutospacing="0"/>
        <w:jc w:val="both"/>
        <w:rPr>
          <w:sz w:val="20"/>
          <w:szCs w:val="20"/>
        </w:rPr>
      </w:pPr>
      <w:r>
        <w:rPr>
          <w:b/>
          <w:bCs/>
          <w:sz w:val="20"/>
          <w:szCs w:val="20"/>
        </w:rPr>
        <w:t> </w:t>
      </w:r>
    </w:p>
    <w:p w14:paraId="4BF85AF4" w14:textId="77777777" w:rsidR="00000000" w:rsidRDefault="001826C1">
      <w:pPr>
        <w:pStyle w:val="a3"/>
        <w:spacing w:before="0" w:beforeAutospacing="0" w:after="0" w:afterAutospacing="0"/>
        <w:jc w:val="both"/>
        <w:rPr>
          <w:sz w:val="20"/>
          <w:szCs w:val="20"/>
        </w:rPr>
      </w:pPr>
      <w:r>
        <w:rPr>
          <w:sz w:val="20"/>
          <w:szCs w:val="20"/>
        </w:rPr>
        <w:t>We believe that our fully integrated solutions uniquely address the challenges in the industry. Our solutions dramatically simplify the complexities inherent in the claim reimbursement process and thereby deliver objectively superior resu</w:t>
      </w:r>
      <w:r>
        <w:rPr>
          <w:sz w:val="20"/>
          <w:szCs w:val="20"/>
        </w:rPr>
        <w:t>lts, such as reduced claim denial rates, improved customer days in accounts receivable, reduced patient no-shows, increased well visit encounters and reimbursement. Our solutions empower our customers with the real-time data they need to be efficient and m</w:t>
      </w:r>
      <w:r>
        <w:rPr>
          <w:sz w:val="20"/>
          <w:szCs w:val="20"/>
        </w:rPr>
        <w:t>ake better decisions, such as real-time insurance eligibility and deductible details, provider productivity details and payer benchmarking.</w:t>
      </w:r>
    </w:p>
    <w:p w14:paraId="11C62B3E" w14:textId="77777777" w:rsidR="00000000" w:rsidRDefault="001826C1">
      <w:pPr>
        <w:pStyle w:val="a3"/>
        <w:spacing w:before="0" w:beforeAutospacing="0" w:after="0" w:afterAutospacing="0"/>
        <w:jc w:val="both"/>
        <w:rPr>
          <w:sz w:val="20"/>
          <w:szCs w:val="20"/>
        </w:rPr>
      </w:pPr>
      <w:r>
        <w:rPr>
          <w:sz w:val="20"/>
          <w:szCs w:val="20"/>
        </w:rPr>
        <w:t> </w:t>
      </w:r>
    </w:p>
    <w:p w14:paraId="7A75B2E0" w14:textId="77777777" w:rsidR="00000000" w:rsidRDefault="001826C1">
      <w:pPr>
        <w:pStyle w:val="a3"/>
        <w:spacing w:before="0" w:beforeAutospacing="0" w:after="0" w:afterAutospacing="0"/>
        <w:jc w:val="both"/>
        <w:rPr>
          <w:sz w:val="20"/>
          <w:szCs w:val="20"/>
        </w:rPr>
      </w:pPr>
      <w:r>
        <w:rPr>
          <w:sz w:val="20"/>
          <w:szCs w:val="20"/>
        </w:rPr>
        <w:t>Our fully integrated suite of technology and business service solutions is designed to enable healthcare practices</w:t>
      </w:r>
      <w:r>
        <w:rPr>
          <w:sz w:val="20"/>
          <w:szCs w:val="20"/>
        </w:rPr>
        <w:t xml:space="preserve"> to thrive in the midst of a rapidly changing environment in which managing reimbursement, clinical workflows and day-to-day administrative tasks are becoming increasingly complex, costly and time-consuming. Moreover, in most cases the standard fee for our</w:t>
      </w:r>
      <w:r>
        <w:rPr>
          <w:sz w:val="20"/>
          <w:szCs w:val="20"/>
        </w:rPr>
        <w:t xml:space="preserve"> complete, integrated, end-to-end solution is based upon a percentage of a practice’s healthcare-related revenues, with a monthly minimum fee, plus a nominal one-time setup fee, and is among the lowest in the industry.</w:t>
      </w:r>
    </w:p>
    <w:p w14:paraId="105C34E9" w14:textId="77777777" w:rsidR="00000000" w:rsidRDefault="001826C1">
      <w:pPr>
        <w:pStyle w:val="a3"/>
        <w:spacing w:before="0" w:beforeAutospacing="0" w:after="0" w:afterAutospacing="0"/>
        <w:jc w:val="both"/>
        <w:rPr>
          <w:sz w:val="20"/>
          <w:szCs w:val="20"/>
        </w:rPr>
      </w:pPr>
      <w:r>
        <w:rPr>
          <w:sz w:val="20"/>
          <w:szCs w:val="20"/>
        </w:rPr>
        <w:t> </w:t>
      </w:r>
    </w:p>
    <w:p w14:paraId="3C669A19" w14:textId="77777777" w:rsidR="00000000" w:rsidRDefault="001826C1">
      <w:pPr>
        <w:pStyle w:val="a3"/>
        <w:spacing w:before="0" w:beforeAutospacing="0" w:after="0" w:afterAutospacing="0"/>
        <w:jc w:val="both"/>
        <w:rPr>
          <w:sz w:val="20"/>
          <w:szCs w:val="20"/>
        </w:rPr>
      </w:pPr>
      <w:r>
        <w:rPr>
          <w:b/>
          <w:bCs/>
          <w:sz w:val="20"/>
          <w:szCs w:val="20"/>
        </w:rPr>
        <w:t xml:space="preserve">Our Business Strategy </w:t>
      </w:r>
    </w:p>
    <w:p w14:paraId="4732878D" w14:textId="77777777" w:rsidR="00000000" w:rsidRDefault="001826C1">
      <w:pPr>
        <w:pStyle w:val="a3"/>
        <w:spacing w:before="0" w:beforeAutospacing="0" w:after="0" w:afterAutospacing="0"/>
        <w:jc w:val="both"/>
        <w:rPr>
          <w:sz w:val="20"/>
          <w:szCs w:val="20"/>
        </w:rPr>
      </w:pPr>
      <w:r>
        <w:rPr>
          <w:b/>
          <w:bCs/>
          <w:sz w:val="20"/>
          <w:szCs w:val="20"/>
        </w:rPr>
        <w:t> </w:t>
      </w:r>
    </w:p>
    <w:p w14:paraId="7886F739" w14:textId="77777777" w:rsidR="00000000" w:rsidRDefault="001826C1">
      <w:pPr>
        <w:pStyle w:val="a3"/>
        <w:spacing w:before="0" w:beforeAutospacing="0" w:after="0" w:afterAutospacing="0"/>
        <w:jc w:val="both"/>
        <w:rPr>
          <w:sz w:val="20"/>
          <w:szCs w:val="20"/>
        </w:rPr>
      </w:pPr>
      <w:r>
        <w:rPr>
          <w:sz w:val="20"/>
          <w:szCs w:val="20"/>
        </w:rPr>
        <w:t>Our object</w:t>
      </w:r>
      <w:r>
        <w:rPr>
          <w:sz w:val="20"/>
          <w:szCs w:val="20"/>
        </w:rPr>
        <w:t>ive is to become the leading provider of integrated, end-to-end SaaS and business service solutions to healthcare providers practicing in an ambulatory setting. To achieve this objective, we employ the following strategies:</w:t>
      </w:r>
    </w:p>
    <w:p w14:paraId="6CC73F17"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8DEFC3C" w14:textId="77777777">
        <w:tc>
          <w:tcPr>
            <w:tcW w:w="360" w:type="dxa"/>
            <w:hideMark/>
          </w:tcPr>
          <w:p w14:paraId="32CC3916" w14:textId="77777777" w:rsidR="00000000" w:rsidRDefault="001826C1">
            <w:pPr>
              <w:rPr>
                <w:rFonts w:eastAsia="Times New Roman"/>
                <w:color w:val="00000A"/>
                <w:sz w:val="20"/>
                <w:szCs w:val="20"/>
              </w:rPr>
            </w:pPr>
            <w:r>
              <w:rPr>
                <w:rFonts w:eastAsia="Times New Roman"/>
                <w:color w:val="00000A"/>
                <w:sz w:val="20"/>
                <w:szCs w:val="20"/>
              </w:rPr>
              <w:t> </w:t>
            </w:r>
          </w:p>
        </w:tc>
        <w:tc>
          <w:tcPr>
            <w:tcW w:w="360" w:type="dxa"/>
            <w:hideMark/>
          </w:tcPr>
          <w:p w14:paraId="5FB6D1D7" w14:textId="77777777" w:rsidR="00000000" w:rsidRDefault="001826C1">
            <w:pPr>
              <w:rPr>
                <w:rFonts w:eastAsia="Times New Roman"/>
                <w:color w:val="00000A"/>
                <w:sz w:val="20"/>
                <w:szCs w:val="20"/>
              </w:rPr>
            </w:pPr>
            <w:r>
              <w:rPr>
                <w:rFonts w:eastAsia="Times New Roman"/>
                <w:color w:val="00000A"/>
                <w:sz w:val="20"/>
                <w:szCs w:val="20"/>
              </w:rPr>
              <w:t>●</w:t>
            </w:r>
          </w:p>
        </w:tc>
        <w:tc>
          <w:tcPr>
            <w:tcW w:w="0" w:type="auto"/>
            <w:hideMark/>
          </w:tcPr>
          <w:p w14:paraId="039CFE93" w14:textId="77777777" w:rsidR="00000000" w:rsidRDefault="001826C1">
            <w:pPr>
              <w:jc w:val="both"/>
              <w:rPr>
                <w:rFonts w:eastAsia="Times New Roman"/>
                <w:color w:val="00000A"/>
                <w:sz w:val="20"/>
                <w:szCs w:val="20"/>
              </w:rPr>
            </w:pPr>
            <w:r>
              <w:rPr>
                <w:rFonts w:eastAsia="Times New Roman"/>
                <w:b/>
                <w:bCs/>
                <w:i/>
                <w:iCs/>
                <w:color w:val="00000A"/>
                <w:sz w:val="20"/>
                <w:szCs w:val="20"/>
              </w:rPr>
              <w:t>Provide comprehensive prac</w:t>
            </w:r>
            <w:r>
              <w:rPr>
                <w:rFonts w:eastAsia="Times New Roman"/>
                <w:b/>
                <w:bCs/>
                <w:i/>
                <w:iCs/>
                <w:color w:val="00000A"/>
                <w:sz w:val="20"/>
                <w:szCs w:val="20"/>
              </w:rPr>
              <w:t>tice management, electronic health records, revenue cycle management and mobile health solutions to independent healthcare practices and hospitals</w:t>
            </w:r>
            <w:r>
              <w:rPr>
                <w:rFonts w:eastAsia="Times New Roman"/>
                <w:i/>
                <w:iCs/>
                <w:color w:val="00000A"/>
                <w:sz w:val="20"/>
                <w:szCs w:val="20"/>
              </w:rPr>
              <w:t xml:space="preserve">. </w:t>
            </w:r>
            <w:r>
              <w:rPr>
                <w:rFonts w:eastAsia="Times New Roman"/>
                <w:color w:val="00000A"/>
                <w:sz w:val="20"/>
                <w:szCs w:val="20"/>
              </w:rPr>
              <w:t xml:space="preserve">We believe that providers are in need of an integrated, end-to-end solution, such as the solution that MTBC </w:t>
            </w:r>
            <w:r>
              <w:rPr>
                <w:rFonts w:eastAsia="Times New Roman"/>
                <w:color w:val="00000A"/>
                <w:sz w:val="20"/>
                <w:szCs w:val="20"/>
              </w:rPr>
              <w:t>provides, to manage the different facets of their businesses, from clinical documentation to claim submission and financial reporting.</w:t>
            </w:r>
          </w:p>
        </w:tc>
      </w:tr>
      <w:tr w:rsidR="00000000" w14:paraId="516A64A9" w14:textId="77777777">
        <w:tc>
          <w:tcPr>
            <w:tcW w:w="0" w:type="auto"/>
            <w:hideMark/>
          </w:tcPr>
          <w:p w14:paraId="5D7F516D"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7863B54F"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242F9B6D" w14:textId="77777777" w:rsidR="00000000" w:rsidRDefault="001826C1">
            <w:pPr>
              <w:rPr>
                <w:rFonts w:eastAsia="Times New Roman"/>
                <w:color w:val="00000A"/>
                <w:sz w:val="20"/>
                <w:szCs w:val="20"/>
              </w:rPr>
            </w:pPr>
            <w:r>
              <w:rPr>
                <w:rFonts w:eastAsia="Times New Roman"/>
                <w:color w:val="00000A"/>
                <w:sz w:val="20"/>
                <w:szCs w:val="20"/>
              </w:rPr>
              <w:t> </w:t>
            </w:r>
          </w:p>
        </w:tc>
      </w:tr>
      <w:tr w:rsidR="00000000" w14:paraId="0F061113" w14:textId="77777777">
        <w:tc>
          <w:tcPr>
            <w:tcW w:w="0" w:type="auto"/>
            <w:hideMark/>
          </w:tcPr>
          <w:p w14:paraId="79A48CD8"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38BC386D" w14:textId="77777777" w:rsidR="00000000" w:rsidRDefault="001826C1">
            <w:pPr>
              <w:rPr>
                <w:rFonts w:eastAsia="Times New Roman"/>
                <w:color w:val="00000A"/>
                <w:sz w:val="20"/>
                <w:szCs w:val="20"/>
              </w:rPr>
            </w:pPr>
            <w:r>
              <w:rPr>
                <w:rFonts w:eastAsia="Times New Roman"/>
                <w:color w:val="00000A"/>
                <w:sz w:val="20"/>
                <w:szCs w:val="20"/>
              </w:rPr>
              <w:t>●</w:t>
            </w:r>
          </w:p>
        </w:tc>
        <w:tc>
          <w:tcPr>
            <w:tcW w:w="0" w:type="auto"/>
            <w:hideMark/>
          </w:tcPr>
          <w:p w14:paraId="27CD6E1D" w14:textId="77777777" w:rsidR="00000000" w:rsidRDefault="001826C1">
            <w:pPr>
              <w:jc w:val="both"/>
              <w:rPr>
                <w:rFonts w:eastAsia="Times New Roman"/>
                <w:color w:val="00000A"/>
                <w:sz w:val="20"/>
                <w:szCs w:val="20"/>
              </w:rPr>
            </w:pPr>
            <w:r>
              <w:rPr>
                <w:rFonts w:eastAsia="Times New Roman"/>
                <w:b/>
                <w:bCs/>
                <w:i/>
                <w:iCs/>
                <w:color w:val="00000A"/>
                <w:sz w:val="20"/>
                <w:szCs w:val="20"/>
              </w:rPr>
              <w:t>Provide exceptional customer service</w:t>
            </w:r>
            <w:r>
              <w:rPr>
                <w:rFonts w:eastAsia="Times New Roman"/>
                <w:i/>
                <w:iCs/>
                <w:color w:val="00000A"/>
                <w:sz w:val="20"/>
                <w:szCs w:val="20"/>
              </w:rPr>
              <w:t>.</w:t>
            </w:r>
            <w:r>
              <w:rPr>
                <w:rFonts w:eastAsia="Times New Roman"/>
                <w:color w:val="00000A"/>
                <w:sz w:val="20"/>
                <w:szCs w:val="20"/>
              </w:rPr>
              <w:t xml:space="preserve"> </w:t>
            </w:r>
            <w:r>
              <w:rPr>
                <w:rFonts w:eastAsia="Times New Roman"/>
                <w:color w:val="00000A"/>
                <w:sz w:val="20"/>
                <w:szCs w:val="20"/>
              </w:rPr>
              <w:t xml:space="preserve">We realize that our success is tied directly to our customers’ success. Accordingly, a substantial portion of our highly trained and educated workforce is devoted to customer service. </w:t>
            </w:r>
          </w:p>
        </w:tc>
      </w:tr>
      <w:tr w:rsidR="00000000" w14:paraId="0D3A010F" w14:textId="77777777">
        <w:tc>
          <w:tcPr>
            <w:tcW w:w="0" w:type="auto"/>
            <w:hideMark/>
          </w:tcPr>
          <w:p w14:paraId="76C9C4C4"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358E7C41"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36419691" w14:textId="77777777" w:rsidR="00000000" w:rsidRDefault="001826C1">
            <w:pPr>
              <w:rPr>
                <w:rFonts w:eastAsia="Times New Roman"/>
                <w:color w:val="00000A"/>
                <w:sz w:val="20"/>
                <w:szCs w:val="20"/>
              </w:rPr>
            </w:pPr>
            <w:r>
              <w:rPr>
                <w:rFonts w:eastAsia="Times New Roman"/>
                <w:color w:val="00000A"/>
                <w:sz w:val="20"/>
                <w:szCs w:val="20"/>
              </w:rPr>
              <w:t> </w:t>
            </w:r>
          </w:p>
        </w:tc>
      </w:tr>
      <w:tr w:rsidR="00000000" w14:paraId="344C837D" w14:textId="77777777">
        <w:tc>
          <w:tcPr>
            <w:tcW w:w="0" w:type="auto"/>
            <w:hideMark/>
          </w:tcPr>
          <w:p w14:paraId="054761C3"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1E7E29FE" w14:textId="77777777" w:rsidR="00000000" w:rsidRDefault="001826C1">
            <w:pPr>
              <w:rPr>
                <w:rFonts w:eastAsia="Times New Roman"/>
                <w:color w:val="00000A"/>
                <w:sz w:val="20"/>
                <w:szCs w:val="20"/>
              </w:rPr>
            </w:pPr>
            <w:r>
              <w:rPr>
                <w:rFonts w:eastAsia="Times New Roman"/>
                <w:color w:val="00000A"/>
                <w:sz w:val="20"/>
                <w:szCs w:val="20"/>
              </w:rPr>
              <w:t>●</w:t>
            </w:r>
          </w:p>
        </w:tc>
        <w:tc>
          <w:tcPr>
            <w:tcW w:w="0" w:type="auto"/>
            <w:hideMark/>
          </w:tcPr>
          <w:p w14:paraId="691DB8EE" w14:textId="77777777" w:rsidR="00000000" w:rsidRDefault="001826C1">
            <w:pPr>
              <w:jc w:val="both"/>
              <w:rPr>
                <w:rFonts w:eastAsia="Times New Roman"/>
                <w:color w:val="00000A"/>
                <w:sz w:val="20"/>
                <w:szCs w:val="20"/>
              </w:rPr>
            </w:pPr>
            <w:r>
              <w:rPr>
                <w:rFonts w:eastAsia="Times New Roman"/>
                <w:b/>
                <w:bCs/>
                <w:i/>
                <w:iCs/>
                <w:color w:val="00000A"/>
                <w:sz w:val="20"/>
                <w:szCs w:val="20"/>
              </w:rPr>
              <w:t>Leverage significant cost advantages provided by our techno</w:t>
            </w:r>
            <w:r>
              <w:rPr>
                <w:rFonts w:eastAsia="Times New Roman"/>
                <w:b/>
                <w:bCs/>
                <w:i/>
                <w:iCs/>
                <w:color w:val="00000A"/>
                <w:sz w:val="20"/>
                <w:szCs w:val="20"/>
              </w:rPr>
              <w:t>logy and skilled offshore workforce</w:t>
            </w:r>
            <w:r>
              <w:rPr>
                <w:rFonts w:eastAsia="Times New Roman"/>
                <w:i/>
                <w:iCs/>
                <w:color w:val="00000A"/>
                <w:sz w:val="20"/>
                <w:szCs w:val="20"/>
              </w:rPr>
              <w:t>.</w:t>
            </w:r>
            <w:r>
              <w:rPr>
                <w:rFonts w:eastAsia="Times New Roman"/>
                <w:color w:val="00000A"/>
                <w:sz w:val="20"/>
                <w:szCs w:val="20"/>
              </w:rPr>
              <w:t xml:space="preserve"> Our unique business model includes our web-based software and a cost-effective offshore workforce primarily based in Pakistan. We believe that this operating model provides us with significant cost advantages compared t</w:t>
            </w:r>
            <w:r>
              <w:rPr>
                <w:rFonts w:eastAsia="Times New Roman"/>
                <w:color w:val="00000A"/>
                <w:sz w:val="20"/>
                <w:szCs w:val="20"/>
              </w:rPr>
              <w:t xml:space="preserve">o other revenue cycle management companies and it allows us to significantly reduce the operational costs of the companies we acquire. </w:t>
            </w:r>
          </w:p>
        </w:tc>
      </w:tr>
      <w:tr w:rsidR="00000000" w14:paraId="7E86A29E" w14:textId="77777777">
        <w:tc>
          <w:tcPr>
            <w:tcW w:w="0" w:type="auto"/>
            <w:hideMark/>
          </w:tcPr>
          <w:p w14:paraId="765D2401"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6E3B3325"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70260B26" w14:textId="77777777" w:rsidR="00000000" w:rsidRDefault="001826C1">
            <w:pPr>
              <w:rPr>
                <w:rFonts w:eastAsia="Times New Roman"/>
                <w:color w:val="00000A"/>
                <w:sz w:val="20"/>
                <w:szCs w:val="20"/>
              </w:rPr>
            </w:pPr>
            <w:r>
              <w:rPr>
                <w:rFonts w:eastAsia="Times New Roman"/>
                <w:color w:val="00000A"/>
                <w:sz w:val="20"/>
                <w:szCs w:val="20"/>
              </w:rPr>
              <w:t> </w:t>
            </w:r>
          </w:p>
        </w:tc>
      </w:tr>
      <w:tr w:rsidR="00000000" w14:paraId="67B3D293" w14:textId="77777777">
        <w:tc>
          <w:tcPr>
            <w:tcW w:w="0" w:type="auto"/>
            <w:hideMark/>
          </w:tcPr>
          <w:p w14:paraId="0E19844F" w14:textId="77777777" w:rsidR="00000000" w:rsidRDefault="001826C1">
            <w:pPr>
              <w:rPr>
                <w:rFonts w:eastAsia="Times New Roman"/>
                <w:color w:val="00000A"/>
                <w:sz w:val="20"/>
                <w:szCs w:val="20"/>
              </w:rPr>
            </w:pPr>
            <w:r>
              <w:rPr>
                <w:rFonts w:eastAsia="Times New Roman"/>
                <w:color w:val="00000A"/>
                <w:sz w:val="20"/>
                <w:szCs w:val="20"/>
              </w:rPr>
              <w:t> </w:t>
            </w:r>
          </w:p>
        </w:tc>
        <w:tc>
          <w:tcPr>
            <w:tcW w:w="0" w:type="auto"/>
            <w:hideMark/>
          </w:tcPr>
          <w:p w14:paraId="03F57663" w14:textId="77777777" w:rsidR="00000000" w:rsidRDefault="001826C1">
            <w:pPr>
              <w:rPr>
                <w:rFonts w:eastAsia="Times New Roman"/>
                <w:color w:val="00000A"/>
                <w:sz w:val="20"/>
                <w:szCs w:val="20"/>
              </w:rPr>
            </w:pPr>
            <w:r>
              <w:rPr>
                <w:rFonts w:eastAsia="Times New Roman"/>
                <w:color w:val="00000A"/>
                <w:sz w:val="20"/>
                <w:szCs w:val="20"/>
              </w:rPr>
              <w:t>●</w:t>
            </w:r>
          </w:p>
        </w:tc>
        <w:tc>
          <w:tcPr>
            <w:tcW w:w="0" w:type="auto"/>
            <w:hideMark/>
          </w:tcPr>
          <w:p w14:paraId="7ACB6377" w14:textId="77777777" w:rsidR="00000000" w:rsidRDefault="001826C1">
            <w:pPr>
              <w:jc w:val="both"/>
              <w:rPr>
                <w:rFonts w:eastAsia="Times New Roman"/>
                <w:color w:val="00000A"/>
                <w:sz w:val="20"/>
                <w:szCs w:val="20"/>
              </w:rPr>
            </w:pPr>
            <w:r>
              <w:rPr>
                <w:rFonts w:eastAsia="Times New Roman"/>
                <w:b/>
                <w:bCs/>
                <w:i/>
                <w:iCs/>
                <w:color w:val="00000A"/>
                <w:sz w:val="20"/>
                <w:szCs w:val="20"/>
              </w:rPr>
              <w:t>Pursue strategic acquisitions</w:t>
            </w:r>
            <w:r>
              <w:rPr>
                <w:rFonts w:eastAsia="Times New Roman"/>
                <w:i/>
                <w:iCs/>
                <w:color w:val="00000A"/>
                <w:sz w:val="20"/>
                <w:szCs w:val="20"/>
              </w:rPr>
              <w:t xml:space="preserve">. </w:t>
            </w:r>
            <w:r>
              <w:rPr>
                <w:rFonts w:eastAsia="Times New Roman"/>
                <w:color w:val="00000A"/>
                <w:sz w:val="20"/>
                <w:szCs w:val="20"/>
              </w:rPr>
              <w:t>Approximately 58% of our current practices and 78% of the current year’s revenue were obtained through strategic transactions with revenue cycle management companies. With most of our acquisition transactions, our goal is to retain the acquired customers o</w:t>
            </w:r>
            <w:r>
              <w:rPr>
                <w:rFonts w:eastAsia="Times New Roman"/>
                <w:color w:val="00000A"/>
                <w:sz w:val="20"/>
                <w:szCs w:val="20"/>
              </w:rPr>
              <w:t>ver the long-term and migrate those customers to our platform soon after closing.</w:t>
            </w:r>
          </w:p>
        </w:tc>
      </w:tr>
    </w:tbl>
    <w:p w14:paraId="78A24577" w14:textId="77777777" w:rsidR="00000000" w:rsidRDefault="001826C1">
      <w:pPr>
        <w:pStyle w:val="a3"/>
        <w:spacing w:before="0" w:beforeAutospacing="0" w:after="0" w:afterAutospacing="0"/>
        <w:ind w:left="720" w:hanging="360"/>
        <w:jc w:val="both"/>
        <w:rPr>
          <w:sz w:val="20"/>
          <w:szCs w:val="20"/>
        </w:rPr>
      </w:pPr>
      <w:r>
        <w:rPr>
          <w:sz w:val="20"/>
          <w:szCs w:val="20"/>
        </w:rPr>
        <w:t> </w:t>
      </w:r>
    </w:p>
    <w:p w14:paraId="044FCDEF" w14:textId="77777777" w:rsidR="00000000" w:rsidRDefault="001826C1">
      <w:pPr>
        <w:pStyle w:val="a3"/>
        <w:spacing w:before="0" w:beforeAutospacing="0" w:after="0" w:afterAutospacing="0"/>
        <w:jc w:val="both"/>
        <w:rPr>
          <w:sz w:val="20"/>
          <w:szCs w:val="20"/>
        </w:rPr>
      </w:pPr>
      <w:r>
        <w:rPr>
          <w:b/>
          <w:bCs/>
          <w:sz w:val="20"/>
          <w:szCs w:val="20"/>
        </w:rPr>
        <w:t>Our Service Offerings</w:t>
      </w:r>
    </w:p>
    <w:p w14:paraId="049C0C4A" w14:textId="77777777" w:rsidR="00000000" w:rsidRDefault="001826C1">
      <w:pPr>
        <w:pStyle w:val="a3"/>
        <w:spacing w:before="0" w:beforeAutospacing="0" w:after="0" w:afterAutospacing="0"/>
        <w:jc w:val="both"/>
        <w:rPr>
          <w:sz w:val="20"/>
          <w:szCs w:val="20"/>
        </w:rPr>
      </w:pPr>
      <w:r>
        <w:rPr>
          <w:b/>
          <w:bCs/>
          <w:sz w:val="20"/>
          <w:szCs w:val="20"/>
        </w:rPr>
        <w:t> </w:t>
      </w:r>
    </w:p>
    <w:p w14:paraId="71902AC7" w14:textId="77777777" w:rsidR="00000000" w:rsidRDefault="001826C1">
      <w:pPr>
        <w:pStyle w:val="a3"/>
        <w:spacing w:before="0" w:beforeAutospacing="0" w:after="0" w:afterAutospacing="0"/>
        <w:jc w:val="both"/>
        <w:rPr>
          <w:sz w:val="20"/>
          <w:szCs w:val="20"/>
        </w:rPr>
      </w:pPr>
      <w:r>
        <w:rPr>
          <w:b/>
          <w:bCs/>
          <w:sz w:val="20"/>
          <w:szCs w:val="20"/>
        </w:rPr>
        <w:t>Healthcare IT:</w:t>
      </w:r>
    </w:p>
    <w:p w14:paraId="42C60177" w14:textId="77777777" w:rsidR="00000000" w:rsidRDefault="001826C1">
      <w:pPr>
        <w:pStyle w:val="a3"/>
        <w:spacing w:before="0" w:beforeAutospacing="0" w:after="0" w:afterAutospacing="0"/>
        <w:jc w:val="both"/>
        <w:rPr>
          <w:sz w:val="20"/>
          <w:szCs w:val="20"/>
        </w:rPr>
      </w:pPr>
      <w:r>
        <w:rPr>
          <w:b/>
          <w:bCs/>
          <w:sz w:val="20"/>
          <w:szCs w:val="20"/>
        </w:rPr>
        <w:t> </w:t>
      </w:r>
    </w:p>
    <w:p w14:paraId="4132FEBC" w14:textId="77777777" w:rsidR="00000000" w:rsidRDefault="001826C1">
      <w:pPr>
        <w:pStyle w:val="a3"/>
        <w:spacing w:before="0" w:beforeAutospacing="0" w:after="0" w:afterAutospacing="0"/>
        <w:jc w:val="both"/>
        <w:rPr>
          <w:sz w:val="20"/>
          <w:szCs w:val="20"/>
        </w:rPr>
      </w:pPr>
      <w:r>
        <w:rPr>
          <w:sz w:val="20"/>
          <w:szCs w:val="20"/>
        </w:rPr>
        <w:t>We offer fully-integrated, cloud-based SaaS solutions and business services designed for healthcare providers. Our products and se</w:t>
      </w:r>
      <w:r>
        <w:rPr>
          <w:sz w:val="20"/>
          <w:szCs w:val="20"/>
        </w:rPr>
        <w:t>rvices offer healthcare providers a unified solution designed to meet the healthcare industry’s demand for the delivery of cost-efficient, quality care with measurable outcomes. The four primary components of our proprietary web-based suite of services are</w:t>
      </w:r>
      <w:r>
        <w:rPr>
          <w:sz w:val="20"/>
          <w:szCs w:val="20"/>
        </w:rPr>
        <w:t>: (i) practice management applications, (ii) a certified electronic health records solution, (iii) revenue cycle management services, and (iv) mobile health applications. We also offer group purchasing services.</w:t>
      </w:r>
    </w:p>
    <w:p w14:paraId="5C63373B" w14:textId="77777777" w:rsidR="00000000" w:rsidRDefault="001826C1">
      <w:pPr>
        <w:pStyle w:val="a3"/>
        <w:spacing w:before="0" w:beforeAutospacing="0" w:after="0" w:afterAutospacing="0"/>
        <w:ind w:firstLine="720"/>
        <w:jc w:val="both"/>
        <w:rPr>
          <w:sz w:val="20"/>
          <w:szCs w:val="20"/>
        </w:rPr>
      </w:pPr>
      <w:r>
        <w:rPr>
          <w:sz w:val="20"/>
          <w:szCs w:val="20"/>
        </w:rPr>
        <w:t> </w:t>
      </w:r>
    </w:p>
    <w:p w14:paraId="654AB077" w14:textId="77777777" w:rsidR="00000000" w:rsidRDefault="001826C1">
      <w:pPr>
        <w:pStyle w:val="a3"/>
        <w:spacing w:before="0" w:beforeAutospacing="0" w:after="0" w:afterAutospacing="0"/>
        <w:jc w:val="both"/>
        <w:rPr>
          <w:sz w:val="20"/>
          <w:szCs w:val="20"/>
        </w:rPr>
      </w:pPr>
      <w:r>
        <w:rPr>
          <w:sz w:val="20"/>
          <w:szCs w:val="20"/>
        </w:rPr>
        <w:t>PracticePro</w:t>
      </w:r>
      <w:r>
        <w:rPr>
          <w:sz w:val="20"/>
          <w:szCs w:val="20"/>
          <w:vertAlign w:val="superscript"/>
        </w:rPr>
        <w:t>®</w:t>
      </w:r>
      <w:r>
        <w:rPr>
          <w:sz w:val="20"/>
          <w:szCs w:val="20"/>
        </w:rPr>
        <w:t>, which we have offered for se</w:t>
      </w:r>
      <w:r>
        <w:rPr>
          <w:sz w:val="20"/>
          <w:szCs w:val="20"/>
        </w:rPr>
        <w:t>veral years, provides our clients with a seamlessly integrated, end-to-end solution. TalkEHR</w:t>
      </w:r>
      <w:r>
        <w:rPr>
          <w:sz w:val="20"/>
          <w:szCs w:val="20"/>
          <w:vertAlign w:val="superscript"/>
        </w:rPr>
        <w:t>®</w:t>
      </w:r>
      <w:r>
        <w:rPr>
          <w:sz w:val="20"/>
          <w:szCs w:val="20"/>
        </w:rPr>
        <w:t>, our proprietary cloud-based EHR, is also available to customers as a standalone product. We regularly update our software platform with the goal of staying on th</w:t>
      </w:r>
      <w:r>
        <w:rPr>
          <w:sz w:val="20"/>
          <w:szCs w:val="20"/>
        </w:rPr>
        <w:t>e leading edge of industry developments, payer reimbursements trends and new regulations.</w:t>
      </w:r>
    </w:p>
    <w:p w14:paraId="7D60C3DB"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59CD466" w14:textId="77777777">
        <w:trPr>
          <w:divId w:val="839932963"/>
        </w:trPr>
        <w:tc>
          <w:tcPr>
            <w:tcW w:w="5000" w:type="pct"/>
            <w:hideMark/>
          </w:tcPr>
          <w:p w14:paraId="0446A7B7" w14:textId="77777777" w:rsidR="00000000" w:rsidRDefault="001826C1">
            <w:pPr>
              <w:jc w:val="center"/>
              <w:rPr>
                <w:rFonts w:eastAsia="Times New Roman"/>
                <w:sz w:val="20"/>
                <w:szCs w:val="20"/>
              </w:rPr>
            </w:pP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1C39E677" w14:textId="77777777">
        <w:tc>
          <w:tcPr>
            <w:tcW w:w="5000" w:type="pct"/>
            <w:hideMark/>
          </w:tcPr>
          <w:p w14:paraId="0C8D1A62" w14:textId="77777777" w:rsidR="00000000" w:rsidRDefault="001826C1">
            <w:pPr>
              <w:jc w:val="center"/>
              <w:rPr>
                <w:rFonts w:eastAsia="Times New Roman"/>
                <w:sz w:val="20"/>
                <w:szCs w:val="20"/>
              </w:rPr>
            </w:pPr>
            <w:r>
              <w:rPr>
                <w:rFonts w:eastAsia="Times New Roman"/>
                <w:sz w:val="20"/>
                <w:szCs w:val="20"/>
              </w:rPr>
              <w:t> </w:t>
            </w:r>
          </w:p>
        </w:tc>
      </w:tr>
    </w:tbl>
    <w:p w14:paraId="744B13EE" w14:textId="77777777" w:rsidR="00000000" w:rsidRDefault="001826C1">
      <w:pPr>
        <w:pStyle w:val="a3"/>
        <w:spacing w:before="0" w:beforeAutospacing="0" w:after="0" w:afterAutospacing="0"/>
        <w:rPr>
          <w:sz w:val="20"/>
          <w:szCs w:val="20"/>
        </w:rPr>
      </w:pPr>
      <w:r>
        <w:rPr>
          <w:sz w:val="20"/>
          <w:szCs w:val="20"/>
        </w:rPr>
        <w:t> </w:t>
      </w:r>
    </w:p>
    <w:p w14:paraId="7F489435" w14:textId="77777777" w:rsidR="00000000" w:rsidRDefault="001826C1">
      <w:pPr>
        <w:pStyle w:val="a3"/>
        <w:spacing w:before="0" w:beforeAutospacing="0" w:after="0" w:afterAutospacing="0"/>
        <w:jc w:val="both"/>
        <w:rPr>
          <w:sz w:val="20"/>
          <w:szCs w:val="20"/>
        </w:rPr>
      </w:pPr>
      <w:r>
        <w:rPr>
          <w:sz w:val="20"/>
          <w:szCs w:val="20"/>
        </w:rPr>
        <w:t>As of January 8, 2020, we now offer CareCloud’</w:t>
      </w:r>
      <w:r>
        <w:rPr>
          <w:sz w:val="20"/>
          <w:szCs w:val="20"/>
        </w:rPr>
        <w:t>s widely acclaimed platform to customers, both on a SaaS basis and bundled with RCM services. This platform offers additional capabilities beyond those available in talkEHR</w:t>
      </w:r>
      <w:r>
        <w:rPr>
          <w:sz w:val="20"/>
          <w:szCs w:val="20"/>
          <w:vertAlign w:val="superscript"/>
        </w:rPr>
        <w:t>®</w:t>
      </w:r>
      <w:r>
        <w:rPr>
          <w:sz w:val="20"/>
          <w:szCs w:val="20"/>
        </w:rPr>
        <w:t>. The Company anticipates integrating the CareCloud platform and its proprietary pl</w:t>
      </w:r>
      <w:r>
        <w:rPr>
          <w:sz w:val="20"/>
          <w:szCs w:val="20"/>
        </w:rPr>
        <w:t>atform in the coming years.</w:t>
      </w:r>
    </w:p>
    <w:p w14:paraId="1E6AB41C" w14:textId="77777777" w:rsidR="00000000" w:rsidRDefault="001826C1">
      <w:pPr>
        <w:pStyle w:val="a3"/>
        <w:spacing w:before="0" w:beforeAutospacing="0" w:after="0" w:afterAutospacing="0"/>
        <w:jc w:val="both"/>
        <w:rPr>
          <w:sz w:val="20"/>
          <w:szCs w:val="20"/>
        </w:rPr>
      </w:pPr>
      <w:r>
        <w:rPr>
          <w:sz w:val="20"/>
          <w:szCs w:val="20"/>
        </w:rPr>
        <w:t> </w:t>
      </w:r>
    </w:p>
    <w:p w14:paraId="7E8C5D93" w14:textId="77777777" w:rsidR="00000000" w:rsidRDefault="001826C1">
      <w:pPr>
        <w:pStyle w:val="a3"/>
        <w:spacing w:before="0" w:beforeAutospacing="0" w:after="0" w:afterAutospacing="0"/>
        <w:jc w:val="both"/>
        <w:rPr>
          <w:sz w:val="20"/>
          <w:szCs w:val="20"/>
        </w:rPr>
      </w:pPr>
      <w:r>
        <w:rPr>
          <w:b/>
          <w:bCs/>
          <w:i/>
          <w:iCs/>
          <w:sz w:val="20"/>
          <w:szCs w:val="20"/>
        </w:rPr>
        <w:t xml:space="preserve">Cloud-based practice management application </w:t>
      </w:r>
    </w:p>
    <w:p w14:paraId="69EED493" w14:textId="77777777" w:rsidR="00000000" w:rsidRDefault="001826C1">
      <w:pPr>
        <w:pStyle w:val="a3"/>
        <w:spacing w:before="0" w:beforeAutospacing="0" w:after="0" w:afterAutospacing="0"/>
        <w:jc w:val="both"/>
        <w:rPr>
          <w:sz w:val="20"/>
          <w:szCs w:val="20"/>
        </w:rPr>
      </w:pPr>
      <w:r>
        <w:rPr>
          <w:sz w:val="20"/>
          <w:szCs w:val="20"/>
        </w:rPr>
        <w:t> </w:t>
      </w:r>
    </w:p>
    <w:p w14:paraId="0A5DF521" w14:textId="77777777" w:rsidR="00000000" w:rsidRDefault="001826C1">
      <w:pPr>
        <w:pStyle w:val="a3"/>
        <w:spacing w:before="0" w:beforeAutospacing="0" w:after="0" w:afterAutospacing="0"/>
        <w:jc w:val="both"/>
        <w:rPr>
          <w:sz w:val="20"/>
          <w:szCs w:val="20"/>
        </w:rPr>
      </w:pPr>
      <w:r>
        <w:rPr>
          <w:sz w:val="20"/>
          <w:szCs w:val="20"/>
        </w:rPr>
        <w:t>Our proprietary, cloud-based practice management application automates the labor-intensive workflow of a medical office in a unified and streamlined SaaS platform. The various fun</w:t>
      </w:r>
      <w:r>
        <w:rPr>
          <w:sz w:val="20"/>
          <w:szCs w:val="20"/>
        </w:rPr>
        <w:t>ctions of the platform collectively support the entire workflow of the day-to-day operations of a medical office in an intuitive and user-friendly format. For example, our platform provides office staff with real-time insurance details to allow them to mor</w:t>
      </w:r>
      <w:r>
        <w:rPr>
          <w:sz w:val="20"/>
          <w:szCs w:val="20"/>
        </w:rPr>
        <w:t>e efficiently collect patient payments; its automated appointment reminders reduce patient no-show rates, and its scheduling functionality results in increased reimbursable patient well visit appointments. A simple, individual and secure login to our web-b</w:t>
      </w:r>
      <w:r>
        <w:rPr>
          <w:sz w:val="20"/>
          <w:szCs w:val="20"/>
        </w:rPr>
        <w:t>ased platform gives physicians, other healthcare providers and staff members’ access to a vast array of real time practice management data which they can access at the office or from any other location where they can access the Internet. Users can customiz</w:t>
      </w:r>
      <w:r>
        <w:rPr>
          <w:sz w:val="20"/>
          <w:szCs w:val="20"/>
        </w:rPr>
        <w:t xml:space="preserve">e the “Practice Dashboard” to display only the most useful and relevant information needed to carry out their particular functions. We believe that this streamlined and centralized automated workflow allows providers to focus on delivering quality patient </w:t>
      </w:r>
      <w:r>
        <w:rPr>
          <w:sz w:val="20"/>
          <w:szCs w:val="20"/>
        </w:rPr>
        <w:t>care rather than office administration.</w:t>
      </w:r>
    </w:p>
    <w:p w14:paraId="5191B1C7" w14:textId="77777777" w:rsidR="00000000" w:rsidRDefault="001826C1">
      <w:pPr>
        <w:pStyle w:val="a3"/>
        <w:spacing w:before="0" w:beforeAutospacing="0" w:after="0" w:afterAutospacing="0"/>
        <w:jc w:val="both"/>
        <w:rPr>
          <w:sz w:val="20"/>
          <w:szCs w:val="20"/>
        </w:rPr>
      </w:pPr>
      <w:r>
        <w:rPr>
          <w:sz w:val="20"/>
          <w:szCs w:val="20"/>
        </w:rPr>
        <w:t> </w:t>
      </w:r>
    </w:p>
    <w:p w14:paraId="5D5E015F" w14:textId="77777777" w:rsidR="00000000" w:rsidRDefault="001826C1">
      <w:pPr>
        <w:pStyle w:val="a3"/>
        <w:spacing w:before="0" w:beforeAutospacing="0" w:after="0" w:afterAutospacing="0"/>
        <w:jc w:val="both"/>
        <w:rPr>
          <w:sz w:val="20"/>
          <w:szCs w:val="20"/>
        </w:rPr>
      </w:pPr>
      <w:r>
        <w:rPr>
          <w:b/>
          <w:bCs/>
          <w:i/>
          <w:iCs/>
          <w:sz w:val="20"/>
          <w:szCs w:val="20"/>
        </w:rPr>
        <w:t>Electronic health records</w:t>
      </w:r>
    </w:p>
    <w:p w14:paraId="7A6790CB" w14:textId="77777777" w:rsidR="00000000" w:rsidRDefault="001826C1">
      <w:pPr>
        <w:pStyle w:val="a3"/>
        <w:spacing w:before="0" w:beforeAutospacing="0" w:after="0" w:afterAutospacing="0"/>
        <w:jc w:val="both"/>
        <w:rPr>
          <w:sz w:val="20"/>
          <w:szCs w:val="20"/>
        </w:rPr>
      </w:pPr>
      <w:r>
        <w:rPr>
          <w:b/>
          <w:bCs/>
          <w:i/>
          <w:iCs/>
          <w:sz w:val="20"/>
          <w:szCs w:val="20"/>
        </w:rPr>
        <w:t> </w:t>
      </w:r>
    </w:p>
    <w:p w14:paraId="722AC28A" w14:textId="77777777" w:rsidR="00000000" w:rsidRDefault="001826C1">
      <w:pPr>
        <w:pStyle w:val="a3"/>
        <w:shd w:val="clear" w:color="auto" w:fill="FFFFFF"/>
        <w:spacing w:before="0" w:beforeAutospacing="0" w:after="0" w:afterAutospacing="0"/>
        <w:jc w:val="both"/>
        <w:rPr>
          <w:sz w:val="20"/>
          <w:szCs w:val="20"/>
        </w:rPr>
      </w:pPr>
      <w:r>
        <w:rPr>
          <w:sz w:val="20"/>
          <w:szCs w:val="20"/>
        </w:rPr>
        <w:t>Both our cloud-based EHR solution and CareCloud’s platform have received ONC-ACB Health Information Technology certification. Moreover, in a previous study, KLAS, a leading independent i</w:t>
      </w:r>
      <w:r>
        <w:rPr>
          <w:sz w:val="20"/>
          <w:szCs w:val="20"/>
        </w:rPr>
        <w:t>ndustry assessor of healthcare information technology products, issued its annual electronic health records ranking and CareCloud’s EHR placed first in our target market of one to ten providers, outperforming most leading electronic health records. Our and</w:t>
      </w:r>
      <w:r>
        <w:rPr>
          <w:sz w:val="20"/>
          <w:szCs w:val="20"/>
        </w:rPr>
        <w:t xml:space="preserve"> CareCloud’s EHR allows a provider to view all patient information in one online location. Providers can track patients from their initial appointments; chart clinical data, history, and other personal information; enter and submit claims for medical servi</w:t>
      </w:r>
      <w:r>
        <w:rPr>
          <w:sz w:val="20"/>
          <w:szCs w:val="20"/>
        </w:rPr>
        <w:t>ces; and review and respond to queries for additional information regarding the billing process. Additionally, the EHR software delivers a robust document management system to enable providers to transition to paperless environments. The document managemen</w:t>
      </w:r>
      <w:r>
        <w:rPr>
          <w:sz w:val="20"/>
          <w:szCs w:val="20"/>
        </w:rPr>
        <w:t>t function makes available electronic connectivity between practitioners and patients, thereby streamlining patient care coordination and communications. In 2015, we introduced a tablet-based EHR, leveraging our web-based platform in a form that many provi</w:t>
      </w:r>
      <w:r>
        <w:rPr>
          <w:sz w:val="20"/>
          <w:szCs w:val="20"/>
        </w:rPr>
        <w:t>ders find more convenient. During the third quarter of 2017, the Company introduced talkEHR™, a voice enabled EHR solution.</w:t>
      </w:r>
    </w:p>
    <w:p w14:paraId="6D761FA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7A8CBFD" w14:textId="77777777" w:rsidR="00000000" w:rsidRDefault="001826C1">
      <w:pPr>
        <w:pStyle w:val="a3"/>
        <w:spacing w:before="0" w:beforeAutospacing="0" w:after="0" w:afterAutospacing="0"/>
        <w:jc w:val="both"/>
        <w:rPr>
          <w:sz w:val="20"/>
          <w:szCs w:val="20"/>
        </w:rPr>
      </w:pPr>
      <w:r>
        <w:rPr>
          <w:b/>
          <w:bCs/>
          <w:i/>
          <w:iCs/>
          <w:sz w:val="20"/>
          <w:szCs w:val="20"/>
        </w:rPr>
        <w:t>Revenue cycle management and other technology-driven business services</w:t>
      </w:r>
    </w:p>
    <w:p w14:paraId="51A69B06" w14:textId="77777777" w:rsidR="00000000" w:rsidRDefault="001826C1">
      <w:pPr>
        <w:pStyle w:val="a3"/>
        <w:spacing w:before="0" w:beforeAutospacing="0" w:after="0" w:afterAutospacing="0"/>
        <w:jc w:val="both"/>
        <w:rPr>
          <w:sz w:val="20"/>
          <w:szCs w:val="20"/>
        </w:rPr>
      </w:pPr>
      <w:r>
        <w:rPr>
          <w:sz w:val="20"/>
          <w:szCs w:val="20"/>
        </w:rPr>
        <w:t> </w:t>
      </w:r>
    </w:p>
    <w:p w14:paraId="7F962784" w14:textId="77777777" w:rsidR="00000000" w:rsidRDefault="001826C1">
      <w:pPr>
        <w:pStyle w:val="a3"/>
        <w:spacing w:before="0" w:beforeAutospacing="0" w:after="0" w:afterAutospacing="0"/>
        <w:jc w:val="both"/>
        <w:rPr>
          <w:sz w:val="20"/>
          <w:szCs w:val="20"/>
        </w:rPr>
      </w:pPr>
      <w:r>
        <w:rPr>
          <w:sz w:val="20"/>
          <w:szCs w:val="20"/>
        </w:rPr>
        <w:t>Our proprietary revenue cycle management offering is desi</w:t>
      </w:r>
      <w:r>
        <w:rPr>
          <w:sz w:val="20"/>
          <w:szCs w:val="20"/>
        </w:rPr>
        <w:t>gned to improve the medical billing reimbursement process, allowing healthcare providers to accelerate and increase collections, reduce errors in submission and streamline workflow to free up practitioners to focus on patient care. Customers using Practice</w:t>
      </w:r>
      <w:r>
        <w:rPr>
          <w:sz w:val="20"/>
          <w:szCs w:val="20"/>
        </w:rPr>
        <w:t>Pro® will generally see higher claims acceptance and resolution, and faster collections. Our revenue cycle management service employs a proprietary rules-based system designed and constantly updated by our knowledgeable workforce, who screens and scrubs cl</w:t>
      </w:r>
      <w:r>
        <w:rPr>
          <w:sz w:val="20"/>
          <w:szCs w:val="20"/>
        </w:rPr>
        <w:t>aims prior to submission for payment.</w:t>
      </w:r>
    </w:p>
    <w:p w14:paraId="3E76FA33" w14:textId="77777777" w:rsidR="00000000" w:rsidRDefault="001826C1">
      <w:pPr>
        <w:pStyle w:val="a3"/>
        <w:spacing w:before="0" w:beforeAutospacing="0" w:after="0" w:afterAutospacing="0"/>
        <w:jc w:val="both"/>
        <w:rPr>
          <w:sz w:val="20"/>
          <w:szCs w:val="20"/>
        </w:rPr>
      </w:pPr>
      <w:r>
        <w:rPr>
          <w:sz w:val="20"/>
          <w:szCs w:val="20"/>
        </w:rPr>
        <w:t> </w:t>
      </w:r>
    </w:p>
    <w:p w14:paraId="75694B1E" w14:textId="77777777" w:rsidR="00000000" w:rsidRDefault="001826C1">
      <w:pPr>
        <w:pStyle w:val="a3"/>
        <w:spacing w:before="0" w:beforeAutospacing="0" w:after="0" w:afterAutospacing="0"/>
        <w:jc w:val="both"/>
        <w:rPr>
          <w:sz w:val="20"/>
          <w:szCs w:val="20"/>
        </w:rPr>
      </w:pPr>
      <w:r>
        <w:rPr>
          <w:b/>
          <w:bCs/>
          <w:i/>
          <w:iCs/>
          <w:sz w:val="20"/>
          <w:szCs w:val="20"/>
        </w:rPr>
        <w:t xml:space="preserve">Mobile health solutions </w:t>
      </w:r>
    </w:p>
    <w:p w14:paraId="6373C0DF" w14:textId="77777777" w:rsidR="00000000" w:rsidRDefault="001826C1">
      <w:pPr>
        <w:pStyle w:val="a3"/>
        <w:spacing w:before="0" w:beforeAutospacing="0" w:after="0" w:afterAutospacing="0"/>
        <w:jc w:val="both"/>
        <w:rPr>
          <w:sz w:val="20"/>
          <w:szCs w:val="20"/>
        </w:rPr>
      </w:pPr>
      <w:r>
        <w:rPr>
          <w:b/>
          <w:bCs/>
          <w:i/>
          <w:iCs/>
          <w:sz w:val="20"/>
          <w:szCs w:val="20"/>
        </w:rPr>
        <w:t> </w:t>
      </w:r>
    </w:p>
    <w:p w14:paraId="6ABB1854" w14:textId="77777777" w:rsidR="00000000" w:rsidRDefault="001826C1">
      <w:pPr>
        <w:pStyle w:val="a3"/>
        <w:spacing w:before="0" w:beforeAutospacing="0" w:after="0" w:afterAutospacing="0"/>
        <w:jc w:val="both"/>
        <w:rPr>
          <w:sz w:val="20"/>
          <w:szCs w:val="20"/>
        </w:rPr>
      </w:pPr>
      <w:r>
        <w:rPr>
          <w:sz w:val="20"/>
          <w:szCs w:val="20"/>
        </w:rPr>
        <w:t xml:space="preserve">The </w:t>
      </w:r>
      <w:r>
        <w:rPr>
          <w:sz w:val="20"/>
          <w:szCs w:val="20"/>
        </w:rPr>
        <w:t xml:space="preserve">functionality of our cloud-based platform is extended to mobile devices through our integrated suite of mobile health applications. These mobile health applications include physician end-user tools that support, among other things, electronic prescribing, </w:t>
      </w:r>
      <w:r>
        <w:rPr>
          <w:sz w:val="20"/>
          <w:szCs w:val="20"/>
        </w:rPr>
        <w:t>the capture of billing charges in the current medical coding formats, and the creation and secure transfer of clinical audio notes that are converted into text and billing charges. In 2015, we introduced an ICD-10 mHealth app for iOS and Android, which has</w:t>
      </w:r>
      <w:r>
        <w:rPr>
          <w:sz w:val="20"/>
          <w:szCs w:val="20"/>
        </w:rPr>
        <w:t xml:space="preserve"> emerged as the most popular ICD-10 app among U.S. healthcare providers. We also offer iCheckIn, a patient check-in app for iOS and Android-based tablet devices. Our patient applications allow patients to access their medical information, securely communic</w:t>
      </w:r>
      <w:r>
        <w:rPr>
          <w:sz w:val="20"/>
          <w:szCs w:val="20"/>
        </w:rPr>
        <w:t>ate with their doctors’ office, schedule appointments, request prescription refills, pay balances and check-in for office appointments.</w:t>
      </w:r>
    </w:p>
    <w:p w14:paraId="26A14F3F" w14:textId="77777777" w:rsidR="00000000" w:rsidRDefault="001826C1">
      <w:pPr>
        <w:pStyle w:val="a3"/>
        <w:spacing w:before="0" w:beforeAutospacing="0" w:after="0" w:afterAutospacing="0"/>
        <w:jc w:val="both"/>
        <w:rPr>
          <w:sz w:val="20"/>
          <w:szCs w:val="20"/>
        </w:rPr>
      </w:pPr>
      <w:r>
        <w:rPr>
          <w:sz w:val="20"/>
          <w:szCs w:val="20"/>
        </w:rPr>
        <w:t> </w:t>
      </w:r>
    </w:p>
    <w:p w14:paraId="1569D99D" w14:textId="77777777" w:rsidR="00000000" w:rsidRDefault="001826C1">
      <w:pPr>
        <w:pStyle w:val="a3"/>
        <w:spacing w:before="0" w:beforeAutospacing="0" w:after="0" w:afterAutospacing="0"/>
        <w:jc w:val="both"/>
        <w:rPr>
          <w:sz w:val="20"/>
          <w:szCs w:val="20"/>
        </w:rPr>
      </w:pPr>
      <w:r>
        <w:rPr>
          <w:b/>
          <w:bCs/>
          <w:sz w:val="20"/>
          <w:szCs w:val="20"/>
        </w:rPr>
        <w:t xml:space="preserve">Practice management: </w:t>
      </w:r>
    </w:p>
    <w:p w14:paraId="18CE1894" w14:textId="77777777" w:rsidR="00000000" w:rsidRDefault="001826C1">
      <w:pPr>
        <w:pStyle w:val="a3"/>
        <w:spacing w:before="0" w:beforeAutospacing="0" w:after="0" w:afterAutospacing="0"/>
        <w:jc w:val="both"/>
        <w:rPr>
          <w:sz w:val="20"/>
          <w:szCs w:val="20"/>
        </w:rPr>
      </w:pPr>
      <w:r>
        <w:rPr>
          <w:b/>
          <w:bCs/>
          <w:sz w:val="20"/>
          <w:szCs w:val="20"/>
        </w:rPr>
        <w:t> </w:t>
      </w:r>
    </w:p>
    <w:p w14:paraId="3591B69D" w14:textId="77777777" w:rsidR="00000000" w:rsidRDefault="001826C1">
      <w:pPr>
        <w:pStyle w:val="a3"/>
        <w:spacing w:before="0" w:beforeAutospacing="0" w:after="0" w:afterAutospacing="0"/>
        <w:jc w:val="both"/>
        <w:rPr>
          <w:sz w:val="20"/>
          <w:szCs w:val="20"/>
        </w:rPr>
      </w:pPr>
      <w:r>
        <w:rPr>
          <w:sz w:val="20"/>
          <w:szCs w:val="20"/>
        </w:rPr>
        <w:t>Since 2018 MTBC offers comprehensive practice management services to physicians where we provi</w:t>
      </w:r>
      <w:r>
        <w:rPr>
          <w:sz w:val="20"/>
          <w:szCs w:val="20"/>
        </w:rPr>
        <w:t>de the medical practice with appropriate facilities, equipment, supplies, support services and administrative support staff. We also provide management, bill-paying and financial advisory services. The Company’s fees are based on the operating results of t</w:t>
      </w:r>
      <w:r>
        <w:rPr>
          <w:sz w:val="20"/>
          <w:szCs w:val="20"/>
        </w:rPr>
        <w:t>he practice.</w:t>
      </w:r>
    </w:p>
    <w:p w14:paraId="32177E80"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4B2794B" w14:textId="77777777">
        <w:trPr>
          <w:divId w:val="1148476033"/>
        </w:trPr>
        <w:tc>
          <w:tcPr>
            <w:tcW w:w="5000" w:type="pct"/>
            <w:hideMark/>
          </w:tcPr>
          <w:p w14:paraId="4A5CC9B1" w14:textId="77777777" w:rsidR="00000000" w:rsidRDefault="001826C1">
            <w:pPr>
              <w:jc w:val="center"/>
              <w:rPr>
                <w:rFonts w:eastAsia="Times New Roman"/>
                <w:sz w:val="20"/>
                <w:szCs w:val="20"/>
              </w:rPr>
            </w:pP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246ACEBB" w14:textId="77777777">
        <w:tc>
          <w:tcPr>
            <w:tcW w:w="5000" w:type="pct"/>
            <w:hideMark/>
          </w:tcPr>
          <w:p w14:paraId="2DE424F6" w14:textId="77777777" w:rsidR="00000000" w:rsidRDefault="001826C1">
            <w:pPr>
              <w:jc w:val="center"/>
              <w:rPr>
                <w:rFonts w:eastAsia="Times New Roman"/>
                <w:sz w:val="20"/>
                <w:szCs w:val="20"/>
              </w:rPr>
            </w:pPr>
            <w:r>
              <w:rPr>
                <w:rFonts w:eastAsia="Times New Roman"/>
                <w:sz w:val="20"/>
                <w:szCs w:val="20"/>
              </w:rPr>
              <w:t> </w:t>
            </w:r>
          </w:p>
        </w:tc>
      </w:tr>
    </w:tbl>
    <w:p w14:paraId="30899BD9" w14:textId="77777777" w:rsidR="00000000" w:rsidRDefault="001826C1">
      <w:pPr>
        <w:pStyle w:val="a3"/>
        <w:spacing w:before="0" w:beforeAutospacing="0" w:after="0" w:afterAutospacing="0"/>
        <w:rPr>
          <w:sz w:val="20"/>
          <w:szCs w:val="20"/>
        </w:rPr>
      </w:pPr>
      <w:r>
        <w:rPr>
          <w:sz w:val="20"/>
          <w:szCs w:val="20"/>
        </w:rPr>
        <w:t> </w:t>
      </w:r>
    </w:p>
    <w:p w14:paraId="2A2CAB5A" w14:textId="77777777" w:rsidR="00000000" w:rsidRDefault="001826C1">
      <w:pPr>
        <w:pStyle w:val="a3"/>
        <w:spacing w:before="0" w:beforeAutospacing="0" w:after="0" w:afterAutospacing="0"/>
        <w:jc w:val="both"/>
        <w:rPr>
          <w:sz w:val="20"/>
          <w:szCs w:val="20"/>
        </w:rPr>
      </w:pPr>
      <w:r>
        <w:rPr>
          <w:b/>
          <w:bCs/>
          <w:sz w:val="20"/>
          <w:szCs w:val="20"/>
        </w:rPr>
        <w:t>Patient experience solution:</w:t>
      </w:r>
    </w:p>
    <w:p w14:paraId="0EB6552B" w14:textId="77777777" w:rsidR="00000000" w:rsidRDefault="001826C1">
      <w:pPr>
        <w:pStyle w:val="a3"/>
        <w:spacing w:before="0" w:beforeAutospacing="0" w:after="0" w:afterAutospacing="0"/>
        <w:jc w:val="both"/>
        <w:rPr>
          <w:sz w:val="20"/>
          <w:szCs w:val="20"/>
        </w:rPr>
      </w:pPr>
      <w:r>
        <w:rPr>
          <w:b/>
          <w:bCs/>
          <w:sz w:val="20"/>
          <w:szCs w:val="20"/>
        </w:rPr>
        <w:t> </w:t>
      </w:r>
    </w:p>
    <w:p w14:paraId="03EE1250" w14:textId="77777777" w:rsidR="00000000" w:rsidRDefault="001826C1">
      <w:pPr>
        <w:pStyle w:val="a3"/>
        <w:spacing w:before="0" w:beforeAutospacing="0" w:after="0" w:afterAutospacing="0"/>
        <w:jc w:val="both"/>
        <w:rPr>
          <w:sz w:val="20"/>
          <w:szCs w:val="20"/>
        </w:rPr>
      </w:pPr>
      <w:r>
        <w:rPr>
          <w:sz w:val="20"/>
          <w:szCs w:val="20"/>
        </w:rPr>
        <w:t xml:space="preserve">Due to the January 2020 acquisition of CareCloud, we now offer their product called </w:t>
      </w:r>
      <w:r>
        <w:rPr>
          <w:i/>
          <w:iCs/>
          <w:sz w:val="20"/>
          <w:szCs w:val="20"/>
        </w:rPr>
        <w:t>Breeze.</w:t>
      </w:r>
      <w:r>
        <w:rPr>
          <w:sz w:val="20"/>
          <w:szCs w:val="20"/>
        </w:rPr>
        <w:t xml:space="preserve"> This product helps patients manage every interaction with a practice including check-in, appointments, messag</w:t>
      </w:r>
      <w:r>
        <w:rPr>
          <w:sz w:val="20"/>
          <w:szCs w:val="20"/>
        </w:rPr>
        <w:t>es, intake forms and payments on many different electronic devices thus integrating the core patient activities coordinated by the front office into one seamless digital workflow.</w:t>
      </w:r>
    </w:p>
    <w:p w14:paraId="5F4149AC" w14:textId="77777777" w:rsidR="00000000" w:rsidRDefault="001826C1">
      <w:pPr>
        <w:pStyle w:val="a3"/>
        <w:spacing w:before="0" w:beforeAutospacing="0" w:after="0" w:afterAutospacing="0"/>
        <w:jc w:val="both"/>
        <w:rPr>
          <w:sz w:val="20"/>
          <w:szCs w:val="20"/>
        </w:rPr>
      </w:pPr>
      <w:r>
        <w:rPr>
          <w:sz w:val="20"/>
          <w:szCs w:val="20"/>
        </w:rPr>
        <w:t> </w:t>
      </w:r>
    </w:p>
    <w:p w14:paraId="66B437AE" w14:textId="77777777" w:rsidR="00000000" w:rsidRDefault="001826C1">
      <w:pPr>
        <w:pStyle w:val="a3"/>
        <w:spacing w:before="0" w:beforeAutospacing="0" w:after="0" w:afterAutospacing="0"/>
        <w:jc w:val="both"/>
        <w:rPr>
          <w:sz w:val="20"/>
          <w:szCs w:val="20"/>
        </w:rPr>
      </w:pPr>
      <w:r>
        <w:rPr>
          <w:b/>
          <w:bCs/>
          <w:sz w:val="20"/>
          <w:szCs w:val="20"/>
        </w:rPr>
        <w:t>Telemedicine:</w:t>
      </w:r>
    </w:p>
    <w:p w14:paraId="2AC8F324" w14:textId="77777777" w:rsidR="00000000" w:rsidRDefault="001826C1">
      <w:pPr>
        <w:pStyle w:val="a3"/>
        <w:spacing w:before="0" w:beforeAutospacing="0" w:after="0" w:afterAutospacing="0"/>
        <w:jc w:val="both"/>
        <w:rPr>
          <w:sz w:val="20"/>
          <w:szCs w:val="20"/>
        </w:rPr>
      </w:pPr>
      <w:r>
        <w:rPr>
          <w:b/>
          <w:bCs/>
          <w:sz w:val="20"/>
          <w:szCs w:val="20"/>
        </w:rPr>
        <w:t> </w:t>
      </w:r>
    </w:p>
    <w:p w14:paraId="7A247940" w14:textId="77777777" w:rsidR="00000000" w:rsidRDefault="001826C1">
      <w:pPr>
        <w:pStyle w:val="a3"/>
        <w:spacing w:before="0" w:beforeAutospacing="0" w:after="0" w:afterAutospacing="0"/>
        <w:jc w:val="both"/>
        <w:rPr>
          <w:sz w:val="20"/>
          <w:szCs w:val="20"/>
        </w:rPr>
      </w:pPr>
      <w:r>
        <w:rPr>
          <w:sz w:val="20"/>
          <w:szCs w:val="20"/>
        </w:rPr>
        <w:t>In December 2019, MTBC introduced a Telemedicine capabilit</w:t>
      </w:r>
      <w:r>
        <w:rPr>
          <w:sz w:val="20"/>
          <w:szCs w:val="20"/>
        </w:rPr>
        <w:t>y which will allow our physician customers to conduct remote telemedicine appointments with their patients and bill for these appointments where permitted. We will offer telemedicine services as part of an integrated suite of services available to our phys</w:t>
      </w:r>
      <w:r>
        <w:rPr>
          <w:sz w:val="20"/>
          <w:szCs w:val="20"/>
        </w:rPr>
        <w:t>ician customers using our platform. We are working towards offering telemedicine on a standalone basis as well.</w:t>
      </w:r>
    </w:p>
    <w:p w14:paraId="644C8FE6" w14:textId="77777777" w:rsidR="00000000" w:rsidRDefault="001826C1">
      <w:pPr>
        <w:pStyle w:val="a3"/>
        <w:spacing w:before="0" w:beforeAutospacing="0" w:after="0" w:afterAutospacing="0"/>
        <w:jc w:val="both"/>
        <w:rPr>
          <w:sz w:val="20"/>
          <w:szCs w:val="20"/>
        </w:rPr>
      </w:pPr>
      <w:r>
        <w:rPr>
          <w:sz w:val="20"/>
          <w:szCs w:val="20"/>
        </w:rPr>
        <w:t> </w:t>
      </w:r>
    </w:p>
    <w:p w14:paraId="683949F0" w14:textId="77777777" w:rsidR="00000000" w:rsidRDefault="001826C1">
      <w:pPr>
        <w:pStyle w:val="a3"/>
        <w:spacing w:before="0" w:beforeAutospacing="0" w:after="0" w:afterAutospacing="0"/>
        <w:jc w:val="both"/>
        <w:rPr>
          <w:sz w:val="20"/>
          <w:szCs w:val="20"/>
        </w:rPr>
      </w:pPr>
      <w:r>
        <w:rPr>
          <w:b/>
          <w:bCs/>
          <w:sz w:val="20"/>
          <w:szCs w:val="20"/>
        </w:rPr>
        <w:t xml:space="preserve">Voting </w:t>
      </w:r>
      <w:r>
        <w:rPr>
          <w:b/>
          <w:bCs/>
          <w:sz w:val="20"/>
          <w:szCs w:val="20"/>
        </w:rPr>
        <w:t>Rights of Our Directors, Executive Officers, and Principal Stockholders</w:t>
      </w:r>
    </w:p>
    <w:p w14:paraId="78D65ECA" w14:textId="77777777" w:rsidR="00000000" w:rsidRDefault="001826C1">
      <w:pPr>
        <w:pStyle w:val="a3"/>
        <w:spacing w:before="0" w:beforeAutospacing="0" w:after="0" w:afterAutospacing="0"/>
        <w:jc w:val="both"/>
        <w:rPr>
          <w:sz w:val="20"/>
          <w:szCs w:val="20"/>
        </w:rPr>
      </w:pPr>
      <w:r>
        <w:rPr>
          <w:sz w:val="20"/>
          <w:szCs w:val="20"/>
        </w:rPr>
        <w:t> </w:t>
      </w:r>
    </w:p>
    <w:p w14:paraId="52FF6D15" w14:textId="77777777" w:rsidR="00000000" w:rsidRDefault="001826C1">
      <w:pPr>
        <w:pStyle w:val="a3"/>
        <w:spacing w:before="0" w:beforeAutospacing="0" w:after="0" w:afterAutospacing="0"/>
        <w:jc w:val="both"/>
        <w:rPr>
          <w:sz w:val="20"/>
          <w:szCs w:val="20"/>
        </w:rPr>
      </w:pPr>
      <w:r>
        <w:rPr>
          <w:sz w:val="20"/>
          <w:szCs w:val="20"/>
        </w:rPr>
        <w:t>As of December 31, 2019, approximately 49% of both the shares of our common stock and voting power of our common stock are held by our directors and executive officers. Therefore, th</w:t>
      </w:r>
      <w:r>
        <w:rPr>
          <w:sz w:val="20"/>
          <w:szCs w:val="20"/>
        </w:rPr>
        <w:t>ey have the ability to control the outcome of matters submitted to our stockholders for approval, including the election of our directors, as well as the overall management and direction of our company.</w:t>
      </w:r>
    </w:p>
    <w:p w14:paraId="2C08A8A7" w14:textId="77777777" w:rsidR="00000000" w:rsidRDefault="001826C1">
      <w:pPr>
        <w:pStyle w:val="a3"/>
        <w:spacing w:before="0" w:beforeAutospacing="0" w:after="0" w:afterAutospacing="0"/>
        <w:jc w:val="both"/>
        <w:rPr>
          <w:sz w:val="20"/>
          <w:szCs w:val="20"/>
        </w:rPr>
      </w:pPr>
      <w:r>
        <w:rPr>
          <w:sz w:val="20"/>
          <w:szCs w:val="20"/>
        </w:rPr>
        <w:t> </w:t>
      </w:r>
    </w:p>
    <w:p w14:paraId="633AE954" w14:textId="77777777" w:rsidR="00000000" w:rsidRDefault="001826C1">
      <w:pPr>
        <w:pStyle w:val="a3"/>
        <w:spacing w:before="0" w:beforeAutospacing="0" w:after="0" w:afterAutospacing="0"/>
        <w:jc w:val="both"/>
        <w:rPr>
          <w:sz w:val="20"/>
          <w:szCs w:val="20"/>
        </w:rPr>
      </w:pPr>
      <w:r>
        <w:rPr>
          <w:b/>
          <w:bCs/>
          <w:sz w:val="20"/>
          <w:szCs w:val="20"/>
        </w:rPr>
        <w:t>Corporate Information</w:t>
      </w:r>
    </w:p>
    <w:p w14:paraId="66163379" w14:textId="77777777" w:rsidR="00000000" w:rsidRDefault="001826C1">
      <w:pPr>
        <w:pStyle w:val="a3"/>
        <w:spacing w:before="0" w:beforeAutospacing="0" w:after="0" w:afterAutospacing="0"/>
        <w:jc w:val="both"/>
        <w:rPr>
          <w:sz w:val="20"/>
          <w:szCs w:val="20"/>
        </w:rPr>
      </w:pPr>
      <w:r>
        <w:rPr>
          <w:b/>
          <w:bCs/>
          <w:sz w:val="20"/>
          <w:szCs w:val="20"/>
        </w:rPr>
        <w:t> </w:t>
      </w:r>
    </w:p>
    <w:p w14:paraId="7CC1A1BD" w14:textId="77777777" w:rsidR="00000000" w:rsidRDefault="001826C1">
      <w:pPr>
        <w:pStyle w:val="a3"/>
        <w:spacing w:before="0" w:beforeAutospacing="0" w:after="0" w:afterAutospacing="0"/>
        <w:jc w:val="both"/>
        <w:rPr>
          <w:sz w:val="20"/>
          <w:szCs w:val="20"/>
        </w:rPr>
      </w:pPr>
      <w:r>
        <w:rPr>
          <w:sz w:val="20"/>
          <w:szCs w:val="20"/>
        </w:rPr>
        <w:t>We were incorporated in Del</w:t>
      </w:r>
      <w:r>
        <w:rPr>
          <w:sz w:val="20"/>
          <w:szCs w:val="20"/>
        </w:rPr>
        <w:t>aware on September 28, 2001 under the name Medical Transcription Billing, Corp., and legally changed our name to MTBC, Inc. on February 6, 2019. Our principal executive offices are located at 7 Clyde Road, Somerset, New Jersey 08873, and our telephone numb</w:t>
      </w:r>
      <w:r>
        <w:rPr>
          <w:sz w:val="20"/>
          <w:szCs w:val="20"/>
        </w:rPr>
        <w:t xml:space="preserve">er is (732) 873-5133. Our website address is www.mtbc.com. Information contained on, or that can be accessed through, our website is not incorporated by reference into this Annual Report on Form 10-K, and you should not consider information on our website </w:t>
      </w:r>
      <w:r>
        <w:rPr>
          <w:sz w:val="20"/>
          <w:szCs w:val="20"/>
        </w:rPr>
        <w:t>to be part of this document.</w:t>
      </w:r>
    </w:p>
    <w:p w14:paraId="2B66C85F" w14:textId="77777777" w:rsidR="00000000" w:rsidRDefault="001826C1">
      <w:pPr>
        <w:pStyle w:val="a3"/>
        <w:spacing w:before="0" w:beforeAutospacing="0" w:after="0" w:afterAutospacing="0"/>
        <w:jc w:val="both"/>
        <w:rPr>
          <w:sz w:val="20"/>
          <w:szCs w:val="20"/>
        </w:rPr>
      </w:pPr>
      <w:r>
        <w:rPr>
          <w:sz w:val="20"/>
          <w:szCs w:val="20"/>
        </w:rPr>
        <w:t> </w:t>
      </w:r>
    </w:p>
    <w:p w14:paraId="2121AFF7" w14:textId="77777777" w:rsidR="00000000" w:rsidRDefault="001826C1">
      <w:pPr>
        <w:pStyle w:val="a3"/>
        <w:spacing w:before="0" w:beforeAutospacing="0" w:after="0" w:afterAutospacing="0"/>
        <w:jc w:val="both"/>
        <w:rPr>
          <w:sz w:val="20"/>
          <w:szCs w:val="20"/>
        </w:rPr>
      </w:pPr>
      <w:r>
        <w:rPr>
          <w:sz w:val="20"/>
          <w:szCs w:val="20"/>
        </w:rPr>
        <w:t>MTBC, MTBC.com, A Unique Healthcare IT Company, CareCloud and other trademarks and service marks of MTBC appearing in this Annual Report on Form 10-K are the property of MTBC. Trade names, trademarks and service marks of othe</w:t>
      </w:r>
      <w:r>
        <w:rPr>
          <w:sz w:val="20"/>
          <w:szCs w:val="20"/>
        </w:rPr>
        <w:t>r companies appearing in this Annual Report on Form 10-K are the property of their respective holders.</w:t>
      </w:r>
    </w:p>
    <w:p w14:paraId="24686D33" w14:textId="77777777" w:rsidR="00000000" w:rsidRDefault="001826C1">
      <w:pPr>
        <w:pStyle w:val="a3"/>
        <w:spacing w:before="0" w:beforeAutospacing="0" w:after="0" w:afterAutospacing="0"/>
        <w:jc w:val="both"/>
        <w:rPr>
          <w:sz w:val="20"/>
          <w:szCs w:val="20"/>
        </w:rPr>
      </w:pPr>
      <w:r>
        <w:rPr>
          <w:sz w:val="20"/>
          <w:szCs w:val="20"/>
        </w:rPr>
        <w:t> </w:t>
      </w:r>
    </w:p>
    <w:p w14:paraId="55320888" w14:textId="77777777" w:rsidR="00000000" w:rsidRDefault="001826C1">
      <w:pPr>
        <w:pStyle w:val="a3"/>
        <w:spacing w:before="0" w:beforeAutospacing="0" w:after="0" w:afterAutospacing="0"/>
        <w:jc w:val="both"/>
        <w:rPr>
          <w:sz w:val="20"/>
          <w:szCs w:val="20"/>
        </w:rPr>
      </w:pPr>
      <w:r>
        <w:rPr>
          <w:sz w:val="20"/>
          <w:szCs w:val="20"/>
        </w:rPr>
        <w:t>We were an emerging growth company as defined in the Jumpstart Our Business Startups Act of 2012, or the JOBS Act until December 31, 2019. We note that</w:t>
      </w:r>
      <w:r>
        <w:rPr>
          <w:sz w:val="20"/>
          <w:szCs w:val="20"/>
        </w:rPr>
        <w:t>, as a smaller reporting company and a non-accelerated filer, we may take advantage of specified reduced reporting requirements and are relieved of certain other significant requirements that are otherwise generally applicable to public companies, includin</w:t>
      </w:r>
      <w:r>
        <w:rPr>
          <w:sz w:val="20"/>
          <w:szCs w:val="20"/>
        </w:rPr>
        <w:t xml:space="preserve">g </w:t>
      </w:r>
      <w:r>
        <w:rPr>
          <w:sz w:val="20"/>
          <w:szCs w:val="20"/>
          <w:shd w:val="clear" w:color="auto" w:fill="FFFFFF"/>
        </w:rPr>
        <w:t>not being required to comply with the auditor attestation requirements of Section 404 of the Sarbanes-Oxley Act of 2002, as amended, reduced disclosure obligations regarding executive compensation in our Annual Report, periodic reports and proxy statemen</w:t>
      </w:r>
      <w:r>
        <w:rPr>
          <w:sz w:val="20"/>
          <w:szCs w:val="20"/>
          <w:shd w:val="clear" w:color="auto" w:fill="FFFFFF"/>
        </w:rPr>
        <w:t>ts and providing only two years of audited financial statements in our Annual Report and our periodic reports</w:t>
      </w:r>
      <w:r>
        <w:rPr>
          <w:sz w:val="20"/>
          <w:szCs w:val="20"/>
        </w:rPr>
        <w:t>.</w:t>
      </w:r>
    </w:p>
    <w:p w14:paraId="7B7E1C6C" w14:textId="77777777" w:rsidR="00000000" w:rsidRDefault="001826C1">
      <w:pPr>
        <w:pStyle w:val="a3"/>
        <w:spacing w:before="0" w:beforeAutospacing="0" w:after="0" w:afterAutospacing="0"/>
        <w:jc w:val="both"/>
        <w:rPr>
          <w:sz w:val="20"/>
          <w:szCs w:val="20"/>
        </w:rPr>
      </w:pPr>
      <w:r>
        <w:rPr>
          <w:sz w:val="20"/>
          <w:szCs w:val="20"/>
        </w:rPr>
        <w:t> </w:t>
      </w:r>
    </w:p>
    <w:p w14:paraId="30156554" w14:textId="77777777" w:rsidR="00000000" w:rsidRDefault="001826C1">
      <w:pPr>
        <w:pStyle w:val="a3"/>
        <w:spacing w:before="0" w:beforeAutospacing="0" w:after="0" w:afterAutospacing="0"/>
        <w:jc w:val="both"/>
        <w:rPr>
          <w:sz w:val="20"/>
          <w:szCs w:val="20"/>
        </w:rPr>
      </w:pPr>
      <w:r>
        <w:rPr>
          <w:b/>
          <w:bCs/>
          <w:sz w:val="20"/>
          <w:szCs w:val="20"/>
        </w:rPr>
        <w:t>Where You Can Find More Information</w:t>
      </w:r>
    </w:p>
    <w:p w14:paraId="3FDD185D" w14:textId="77777777" w:rsidR="00000000" w:rsidRDefault="001826C1">
      <w:pPr>
        <w:pStyle w:val="a3"/>
        <w:spacing w:before="0" w:beforeAutospacing="0" w:after="0" w:afterAutospacing="0"/>
        <w:jc w:val="both"/>
        <w:rPr>
          <w:sz w:val="20"/>
          <w:szCs w:val="20"/>
        </w:rPr>
      </w:pPr>
      <w:r>
        <w:rPr>
          <w:b/>
          <w:bCs/>
          <w:sz w:val="20"/>
          <w:szCs w:val="20"/>
        </w:rPr>
        <w:t> </w:t>
      </w:r>
    </w:p>
    <w:p w14:paraId="1FFC8140" w14:textId="77777777" w:rsidR="00000000" w:rsidRDefault="001826C1">
      <w:pPr>
        <w:pStyle w:val="a3"/>
        <w:spacing w:before="0" w:beforeAutospacing="0" w:after="0" w:afterAutospacing="0"/>
        <w:jc w:val="both"/>
        <w:rPr>
          <w:sz w:val="20"/>
          <w:szCs w:val="20"/>
        </w:rPr>
      </w:pPr>
      <w:r>
        <w:rPr>
          <w:sz w:val="20"/>
          <w:szCs w:val="20"/>
        </w:rPr>
        <w:t xml:space="preserve">Our </w:t>
      </w:r>
      <w:r>
        <w:rPr>
          <w:sz w:val="20"/>
          <w:szCs w:val="20"/>
        </w:rPr>
        <w:t>website, which we use to communicate important business information, can be accessed at: www.mtbc.com. We make our Annual Reports on Form 10-K, quarterly reports on Form 10-Q, current reports on Form 8-K and all amendments to those reports available free o</w:t>
      </w:r>
      <w:r>
        <w:rPr>
          <w:sz w:val="20"/>
          <w:szCs w:val="20"/>
        </w:rPr>
        <w:t>f charge on or through our website as soon as reasonably practicable after such material is electronically filed with or furnished to the Securities and Exchange Commission (“SEC”). Materials we file with or furnish to the SEC may also be read and copied a</w:t>
      </w:r>
      <w:r>
        <w:rPr>
          <w:sz w:val="20"/>
          <w:szCs w:val="20"/>
        </w:rPr>
        <w:t>t the SEC’s Public Reference Room at 100 F Street, NE, Washington, D.C. 20549. Information on the operation of the Public Reference Room may be obtained by calling the SEC at 1-800-SEC-0330. Also, the SEC Internet website (www.sec.gov) contains reports, pr</w:t>
      </w:r>
      <w:r>
        <w:rPr>
          <w:sz w:val="20"/>
          <w:szCs w:val="20"/>
        </w:rPr>
        <w:t>oxy and information statements, and other information that we file electronically with the SEC.</w:t>
      </w:r>
    </w:p>
    <w:p w14:paraId="34F74972"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1C332B7" w14:textId="77777777">
        <w:trPr>
          <w:divId w:val="1338462853"/>
        </w:trPr>
        <w:tc>
          <w:tcPr>
            <w:tcW w:w="5000" w:type="pct"/>
            <w:hideMark/>
          </w:tcPr>
          <w:p w14:paraId="0DC9620D" w14:textId="77777777" w:rsidR="00000000" w:rsidRDefault="001826C1">
            <w:pPr>
              <w:jc w:val="center"/>
              <w:rPr>
                <w:rFonts w:eastAsia="Times New Roman"/>
                <w:sz w:val="20"/>
                <w:szCs w:val="20"/>
              </w:rPr>
            </w:pP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3A12279A" w14:textId="77777777">
        <w:tc>
          <w:tcPr>
            <w:tcW w:w="5000" w:type="pct"/>
            <w:hideMark/>
          </w:tcPr>
          <w:p w14:paraId="387D4D7B" w14:textId="77777777" w:rsidR="00000000" w:rsidRDefault="001826C1">
            <w:pPr>
              <w:jc w:val="center"/>
              <w:rPr>
                <w:rFonts w:eastAsia="Times New Roman"/>
                <w:sz w:val="20"/>
                <w:szCs w:val="20"/>
              </w:rPr>
            </w:pPr>
            <w:r>
              <w:rPr>
                <w:rFonts w:eastAsia="Times New Roman"/>
                <w:sz w:val="20"/>
                <w:szCs w:val="20"/>
              </w:rPr>
              <w:t> </w:t>
            </w:r>
          </w:p>
        </w:tc>
      </w:tr>
    </w:tbl>
    <w:p w14:paraId="65860719" w14:textId="77777777" w:rsidR="00000000" w:rsidRDefault="001826C1">
      <w:pPr>
        <w:pStyle w:val="a3"/>
        <w:spacing w:before="0" w:beforeAutospacing="0" w:after="0" w:afterAutospacing="0"/>
        <w:rPr>
          <w:sz w:val="20"/>
          <w:szCs w:val="20"/>
        </w:rPr>
      </w:pPr>
      <w:r>
        <w:rPr>
          <w:sz w:val="20"/>
          <w:szCs w:val="20"/>
        </w:rPr>
        <w:t> </w:t>
      </w:r>
    </w:p>
    <w:p w14:paraId="61CB4736" w14:textId="77777777" w:rsidR="00000000" w:rsidRDefault="001826C1">
      <w:pPr>
        <w:pStyle w:val="a3"/>
        <w:spacing w:before="0" w:beforeAutospacing="0" w:after="0" w:afterAutospacing="0"/>
        <w:jc w:val="both"/>
        <w:rPr>
          <w:b/>
          <w:bCs/>
          <w:sz w:val="20"/>
          <w:szCs w:val="20"/>
        </w:rPr>
      </w:pPr>
      <w:bookmarkStart w:id="3" w:name="a_004"/>
      <w:bookmarkEnd w:id="3"/>
      <w:r>
        <w:rPr>
          <w:b/>
          <w:bCs/>
          <w:sz w:val="20"/>
          <w:szCs w:val="20"/>
        </w:rPr>
        <w:t>Item 1A. Risk Factors</w:t>
      </w:r>
    </w:p>
    <w:p w14:paraId="4E77C97E" w14:textId="77777777" w:rsidR="00000000" w:rsidRDefault="001826C1">
      <w:pPr>
        <w:pStyle w:val="a3"/>
        <w:spacing w:before="0" w:beforeAutospacing="0" w:after="0" w:afterAutospacing="0"/>
        <w:jc w:val="both"/>
        <w:rPr>
          <w:sz w:val="20"/>
          <w:szCs w:val="20"/>
        </w:rPr>
      </w:pPr>
      <w:r>
        <w:rPr>
          <w:sz w:val="20"/>
          <w:szCs w:val="20"/>
        </w:rPr>
        <w:t> </w:t>
      </w:r>
    </w:p>
    <w:p w14:paraId="6479CFAC" w14:textId="77777777" w:rsidR="00000000" w:rsidRDefault="001826C1">
      <w:pPr>
        <w:pStyle w:val="a3"/>
        <w:shd w:val="clear" w:color="auto" w:fill="FFFFFF"/>
        <w:spacing w:before="0" w:beforeAutospacing="0" w:after="0" w:afterAutospacing="0"/>
        <w:jc w:val="both"/>
        <w:rPr>
          <w:sz w:val="20"/>
          <w:szCs w:val="20"/>
        </w:rPr>
      </w:pPr>
      <w:r>
        <w:rPr>
          <w:b/>
          <w:bCs/>
          <w:sz w:val="20"/>
          <w:szCs w:val="20"/>
        </w:rPr>
        <w:t>Risks Related to Our Acquisition Strategy</w:t>
      </w:r>
    </w:p>
    <w:p w14:paraId="3020DEB7"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 </w:t>
      </w:r>
    </w:p>
    <w:p w14:paraId="780CD52A"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 xml:space="preserve">If </w:t>
      </w:r>
      <w:r>
        <w:rPr>
          <w:b/>
          <w:bCs/>
          <w:i/>
          <w:iCs/>
          <w:sz w:val="20"/>
          <w:szCs w:val="20"/>
        </w:rPr>
        <w:t>we do not manage our growth effectively, our revenue, business and operating results may be harmed.</w:t>
      </w:r>
    </w:p>
    <w:p w14:paraId="1F5A9F6D"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2A2D31D" w14:textId="77777777" w:rsidR="00000000" w:rsidRDefault="001826C1">
      <w:pPr>
        <w:pStyle w:val="a3"/>
        <w:shd w:val="clear" w:color="auto" w:fill="FFFFFF"/>
        <w:spacing w:before="0" w:beforeAutospacing="0" w:after="0" w:afterAutospacing="0"/>
        <w:jc w:val="both"/>
        <w:rPr>
          <w:sz w:val="20"/>
          <w:szCs w:val="20"/>
        </w:rPr>
      </w:pPr>
      <w:r>
        <w:rPr>
          <w:sz w:val="20"/>
          <w:szCs w:val="20"/>
        </w:rPr>
        <w:t>Our strategy is to expand through organic growth, and through synergistic, accretive acquisitions of healthcare IT companies. Since 2006, we have acquired</w:t>
      </w:r>
      <w:r>
        <w:rPr>
          <w:sz w:val="20"/>
          <w:szCs w:val="20"/>
        </w:rPr>
        <w:t xml:space="preserve"> the assets or businesses of approximately 20 RCM companies. The majority of these transactions have occurred since we went public in July 2014. Our future acquisitions may require greater than anticipated investment of operational and financial resources </w:t>
      </w:r>
      <w:r>
        <w:rPr>
          <w:sz w:val="20"/>
          <w:szCs w:val="20"/>
        </w:rPr>
        <w:t>as we seek to migrate customers of these companies to our solutions. Acquisitions also require the integration of different software and services, assimilation of new employees, diversion of management and IT resources, and increases in administrative cost</w:t>
      </w:r>
      <w:r>
        <w:rPr>
          <w:sz w:val="20"/>
          <w:szCs w:val="20"/>
        </w:rPr>
        <w:t>s. Acquisitions may also require additional costs associated with any debt or equity financings undertaken to pay for such acquisitions. We cannot assure you that any acquisition we undertake will be successful. Future growth will also place additional dem</w:t>
      </w:r>
      <w:r>
        <w:rPr>
          <w:sz w:val="20"/>
          <w:szCs w:val="20"/>
        </w:rPr>
        <w:t>ands on our customer support, sales, and marketing resources, and may require us to hire and train additional employees. We will need to expand and upgrade our systems and infrastructure to accommodate our growth. The failure to manage our growth effective</w:t>
      </w:r>
      <w:r>
        <w:rPr>
          <w:sz w:val="20"/>
          <w:szCs w:val="20"/>
        </w:rPr>
        <w:t>ly will materially and adversely affect our business.</w:t>
      </w:r>
    </w:p>
    <w:p w14:paraId="6B89FA6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758B084"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 xml:space="preserve">We may be unable to retain customers following their acquisition, which may result in a decrease in our revenues and operating results. </w:t>
      </w:r>
    </w:p>
    <w:p w14:paraId="1078831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A4A83C3" w14:textId="77777777" w:rsidR="00000000" w:rsidRDefault="001826C1">
      <w:pPr>
        <w:pStyle w:val="a3"/>
        <w:shd w:val="clear" w:color="auto" w:fill="FFFFFF"/>
        <w:spacing w:before="0" w:beforeAutospacing="0" w:after="0" w:afterAutospacing="0"/>
        <w:jc w:val="both"/>
        <w:rPr>
          <w:sz w:val="20"/>
          <w:szCs w:val="20"/>
        </w:rPr>
      </w:pPr>
      <w:r>
        <w:rPr>
          <w:sz w:val="20"/>
          <w:szCs w:val="20"/>
        </w:rPr>
        <w:t>Customers of the businesses we acquire often have the right t</w:t>
      </w:r>
      <w:r>
        <w:rPr>
          <w:sz w:val="20"/>
          <w:szCs w:val="20"/>
        </w:rPr>
        <w:t>o terminate their service contracts for any reason at any time upon notice of 90 days or less. These customers may elect to terminate their contracts as a result of our acquisition or choose not to renew their contracts upon expiration. Legal and practical</w:t>
      </w:r>
      <w:r>
        <w:rPr>
          <w:sz w:val="20"/>
          <w:szCs w:val="20"/>
        </w:rPr>
        <w:t xml:space="preserve"> limitations on our ability to enforce non-competition and non-solicitation provisions against customer representatives and sales personnel that leave the businesses we acquire to join competitors may result in the loss of acquired customers. In the past, </w:t>
      </w:r>
      <w:r>
        <w:rPr>
          <w:sz w:val="20"/>
          <w:szCs w:val="20"/>
        </w:rPr>
        <w:t>our failure to retain acquired customers has at times resulted in decreases in our revenues. Our inability to retain customers of businesses we acquire could adversely affect our ability to benefit from those acquisitions and to grow our future revenues an</w:t>
      </w:r>
      <w:r>
        <w:rPr>
          <w:sz w:val="20"/>
          <w:szCs w:val="20"/>
        </w:rPr>
        <w:t>d operating income.</w:t>
      </w:r>
    </w:p>
    <w:p w14:paraId="17ADD1B2"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25244E7"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Acquisitions may subject us to liability with regard to the creditors, customers, and shareholders of the sellers.</w:t>
      </w:r>
    </w:p>
    <w:p w14:paraId="2929FDF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B01322B" w14:textId="77777777" w:rsidR="00000000" w:rsidRDefault="001826C1">
      <w:pPr>
        <w:pStyle w:val="a3"/>
        <w:shd w:val="clear" w:color="auto" w:fill="FFFFFF"/>
        <w:spacing w:before="0" w:beforeAutospacing="0" w:after="0" w:afterAutospacing="0"/>
        <w:jc w:val="both"/>
        <w:rPr>
          <w:sz w:val="20"/>
          <w:szCs w:val="20"/>
        </w:rPr>
      </w:pPr>
      <w:r>
        <w:rPr>
          <w:sz w:val="20"/>
          <w:szCs w:val="20"/>
        </w:rPr>
        <w:t>While we attempt to limit our exposure to the liabilities associated with the businesses we acquire, we cannot guaran</w:t>
      </w:r>
      <w:r>
        <w:rPr>
          <w:sz w:val="20"/>
          <w:szCs w:val="20"/>
        </w:rPr>
        <w:t xml:space="preserve">tee that we will be successful in avoiding all material liability. Regardless of how we structure the acquisition, whether as an asset purchase, stock purchase, merger or other business combination, creditors, customers, vendors, governmental agencies and </w:t>
      </w:r>
      <w:r>
        <w:rPr>
          <w:sz w:val="20"/>
          <w:szCs w:val="20"/>
        </w:rPr>
        <w:t>other parties at times seek to hold us accountable for unpaid debts, breach of contract claims, regulatory violations and other liabilities that relate to the business we acquired. Disaffected shareholders of the businesses we acquire have also attempted t</w:t>
      </w:r>
      <w:r>
        <w:rPr>
          <w:sz w:val="20"/>
          <w:szCs w:val="20"/>
        </w:rPr>
        <w:t>o interfere with our business acquisitions or brought claims against us. We attempt to minimize all of these risks through thorough due diligence, negotiating indemnities and holdbacks, obtaining relevant representations from sellers, procuring insurance c</w:t>
      </w:r>
      <w:r>
        <w:rPr>
          <w:sz w:val="20"/>
          <w:szCs w:val="20"/>
        </w:rPr>
        <w:t>overage and leveraging experienced professionals when appropriate.</w:t>
      </w:r>
    </w:p>
    <w:p w14:paraId="07EE7E01"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364B2CB" w14:textId="77777777" w:rsidR="00000000" w:rsidRDefault="001826C1">
      <w:pPr>
        <w:pStyle w:val="a3"/>
        <w:shd w:val="clear" w:color="auto" w:fill="FFFFFF"/>
        <w:spacing w:before="0" w:beforeAutospacing="0" w:after="0" w:afterAutospacing="0"/>
        <w:jc w:val="both"/>
        <w:rPr>
          <w:sz w:val="20"/>
          <w:szCs w:val="20"/>
        </w:rPr>
      </w:pPr>
      <w:r>
        <w:rPr>
          <w:sz w:val="20"/>
          <w:szCs w:val="20"/>
        </w:rPr>
        <w:t>Through the CareCloud transaction, we acquired its software technology and related business, of which certain elements are currently subject to a civil investigation to determine complian</w:t>
      </w:r>
      <w:r>
        <w:rPr>
          <w:sz w:val="20"/>
          <w:szCs w:val="20"/>
        </w:rPr>
        <w:t>ce with certain federal regulatory requirements. The Company will cooperate with the inquiry as CareCloud has historically done. This element was considered as part of the transaction and we believe that the continued investigation will have no material im</w:t>
      </w:r>
      <w:r>
        <w:rPr>
          <w:sz w:val="20"/>
          <w:szCs w:val="20"/>
        </w:rPr>
        <w:t xml:space="preserve">pact on our financial statements and that we have properly protected ourselves from liability through the negotiated structure of the transaction. However, the outcome of matters such as this are not necessarily predictable. In the event of an unfavorable </w:t>
      </w:r>
      <w:r>
        <w:rPr>
          <w:sz w:val="20"/>
          <w:szCs w:val="20"/>
        </w:rPr>
        <w:t>outcome, our business, reputation, and financial condition could be materially and adversely affected.</w:t>
      </w:r>
    </w:p>
    <w:p w14:paraId="292C0C0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9D76E06"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We may be unable to implement our strategy of acquiring additional companies.</w:t>
      </w:r>
    </w:p>
    <w:p w14:paraId="78A4961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D1F2694"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have no unconditional commitments with respect to any acquisition as of the date of this Form 10-K. Although we expect that one or more acquisition opportunities will become available in the future, we may not be able to acquire additional companies at all</w:t>
      </w:r>
      <w:r>
        <w:rPr>
          <w:sz w:val="20"/>
          <w:szCs w:val="20"/>
        </w:rPr>
        <w:t xml:space="preserve"> or on terms favorable to us. We will likely need additional financing for such acquisitions, but there is no assurance that we will be able to borrow funds or raise capital through the issuance of our equity on favorable terms. Certain of our larger, bett</w:t>
      </w:r>
      <w:r>
        <w:rPr>
          <w:sz w:val="20"/>
          <w:szCs w:val="20"/>
        </w:rPr>
        <w:t>er capitalized competitors may seek to acquire some of the companies we may be interested in. Competition for acquisitions would likely increase acquisition prices and result in us having fewer acquisition opportunities.</w:t>
      </w:r>
    </w:p>
    <w:p w14:paraId="0F17F261"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7828897" w14:textId="77777777">
        <w:trPr>
          <w:divId w:val="444037336"/>
        </w:trPr>
        <w:tc>
          <w:tcPr>
            <w:tcW w:w="5000" w:type="pct"/>
            <w:hideMark/>
          </w:tcPr>
          <w:p w14:paraId="24BA3B52"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03DE1CF0" w14:textId="77777777">
        <w:tc>
          <w:tcPr>
            <w:tcW w:w="5000" w:type="pct"/>
            <w:hideMark/>
          </w:tcPr>
          <w:p w14:paraId="05BECD7E" w14:textId="77777777" w:rsidR="00000000" w:rsidRDefault="001826C1">
            <w:pPr>
              <w:jc w:val="center"/>
              <w:rPr>
                <w:rFonts w:eastAsia="Times New Roman"/>
                <w:sz w:val="20"/>
                <w:szCs w:val="20"/>
              </w:rPr>
            </w:pPr>
            <w:r>
              <w:rPr>
                <w:rFonts w:eastAsia="Times New Roman"/>
                <w:sz w:val="20"/>
                <w:szCs w:val="20"/>
              </w:rPr>
              <w:t> </w:t>
            </w:r>
          </w:p>
        </w:tc>
      </w:tr>
    </w:tbl>
    <w:p w14:paraId="7B08E592" w14:textId="77777777" w:rsidR="00000000" w:rsidRDefault="001826C1">
      <w:pPr>
        <w:pStyle w:val="a3"/>
        <w:spacing w:before="0" w:beforeAutospacing="0" w:after="0" w:afterAutospacing="0"/>
        <w:rPr>
          <w:sz w:val="20"/>
          <w:szCs w:val="20"/>
        </w:rPr>
      </w:pPr>
      <w:r>
        <w:rPr>
          <w:sz w:val="20"/>
          <w:szCs w:val="20"/>
        </w:rPr>
        <w:t> </w:t>
      </w:r>
    </w:p>
    <w:p w14:paraId="1F5C0FB2" w14:textId="77777777" w:rsidR="00000000" w:rsidRDefault="001826C1">
      <w:pPr>
        <w:pStyle w:val="a3"/>
        <w:spacing w:before="0" w:beforeAutospacing="0" w:after="0" w:afterAutospacing="0"/>
        <w:jc w:val="both"/>
        <w:rPr>
          <w:sz w:val="20"/>
          <w:szCs w:val="20"/>
        </w:rPr>
      </w:pPr>
      <w:r>
        <w:rPr>
          <w:sz w:val="20"/>
          <w:szCs w:val="20"/>
        </w:rPr>
        <w:t>Depending on the type o</w:t>
      </w:r>
      <w:r>
        <w:rPr>
          <w:sz w:val="20"/>
          <w:szCs w:val="20"/>
        </w:rPr>
        <w:t xml:space="preserve">f businesses we acquire (e.g., RCM, practice management, EHR), we may have varying cost saving and/or cross-selling opportunities with the acquired business. However, there is no assurance that we will achieve anticipated cost savings and cross-selling on </w:t>
      </w:r>
      <w:r>
        <w:rPr>
          <w:sz w:val="20"/>
          <w:szCs w:val="20"/>
        </w:rPr>
        <w:t>our acquisitions, and failure to do so may mean we overpaid for such acquisitions.</w:t>
      </w:r>
    </w:p>
    <w:p w14:paraId="29D2EAAB" w14:textId="77777777" w:rsidR="00000000" w:rsidRDefault="001826C1">
      <w:pPr>
        <w:pStyle w:val="a3"/>
        <w:spacing w:before="0" w:beforeAutospacing="0" w:after="0" w:afterAutospacing="0"/>
        <w:rPr>
          <w:sz w:val="20"/>
          <w:szCs w:val="20"/>
        </w:rPr>
      </w:pPr>
      <w:r>
        <w:rPr>
          <w:sz w:val="20"/>
          <w:szCs w:val="20"/>
        </w:rPr>
        <w:t> </w:t>
      </w:r>
    </w:p>
    <w:p w14:paraId="1B817525" w14:textId="77777777" w:rsidR="00000000" w:rsidRDefault="001826C1">
      <w:pPr>
        <w:pStyle w:val="a3"/>
        <w:shd w:val="clear" w:color="auto" w:fill="FFFFFF"/>
        <w:spacing w:before="0" w:beforeAutospacing="0" w:after="0" w:afterAutospacing="0"/>
        <w:jc w:val="both"/>
        <w:rPr>
          <w:sz w:val="20"/>
          <w:szCs w:val="20"/>
        </w:rPr>
      </w:pPr>
      <w:r>
        <w:rPr>
          <w:sz w:val="20"/>
          <w:szCs w:val="20"/>
        </w:rPr>
        <w:t>In completing any future acquisitions, we will rely upon the representations, warranties and indemnities made by the sellers with respect to each acquisition as well as ou</w:t>
      </w:r>
      <w:r>
        <w:rPr>
          <w:sz w:val="20"/>
          <w:szCs w:val="20"/>
        </w:rPr>
        <w:t>r own due diligence investigation. We cannot be assured that such representations and warranties will be true and correct or that our due diligence will uncover all materially adverse facts relating to the operations and financial condition of the acquired</w:t>
      </w:r>
      <w:r>
        <w:rPr>
          <w:sz w:val="20"/>
          <w:szCs w:val="20"/>
        </w:rPr>
        <w:t xml:space="preserve"> companies or their customers. To the extent that we are required to pay for obligations of an acquired company, or if material misrepresentations exist, we may not realize the expected benefit from such acquisition and we will have overpaid in cash and/or</w:t>
      </w:r>
      <w:r>
        <w:rPr>
          <w:sz w:val="20"/>
          <w:szCs w:val="20"/>
        </w:rPr>
        <w:t xml:space="preserve"> stock for the value received in that acquisition.</w:t>
      </w:r>
    </w:p>
    <w:p w14:paraId="5077C9C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E85DAF9" w14:textId="77777777" w:rsidR="00000000" w:rsidRDefault="001826C1">
      <w:pPr>
        <w:pStyle w:val="a3"/>
        <w:spacing w:before="0" w:beforeAutospacing="0" w:after="0" w:afterAutospacing="0"/>
        <w:jc w:val="both"/>
        <w:rPr>
          <w:sz w:val="20"/>
          <w:szCs w:val="20"/>
        </w:rPr>
      </w:pPr>
      <w:r>
        <w:rPr>
          <w:b/>
          <w:bCs/>
          <w:i/>
          <w:iCs/>
          <w:sz w:val="20"/>
          <w:szCs w:val="20"/>
        </w:rPr>
        <w:t>Future acquisitions may result in potentially dilutive issuances of equity securities, the incurrence of indebtedness and increased amortization expense.</w:t>
      </w:r>
    </w:p>
    <w:p w14:paraId="102E54F5" w14:textId="77777777" w:rsidR="00000000" w:rsidRDefault="001826C1">
      <w:pPr>
        <w:pStyle w:val="a3"/>
        <w:spacing w:before="0" w:beforeAutospacing="0" w:after="0" w:afterAutospacing="0"/>
        <w:jc w:val="both"/>
        <w:rPr>
          <w:sz w:val="20"/>
          <w:szCs w:val="20"/>
        </w:rPr>
      </w:pPr>
      <w:r>
        <w:rPr>
          <w:sz w:val="20"/>
          <w:szCs w:val="20"/>
        </w:rPr>
        <w:t> </w:t>
      </w:r>
    </w:p>
    <w:p w14:paraId="5C7DEDF4" w14:textId="77777777" w:rsidR="00000000" w:rsidRDefault="001826C1">
      <w:pPr>
        <w:pStyle w:val="a3"/>
        <w:spacing w:before="0" w:beforeAutospacing="0" w:after="0" w:afterAutospacing="0"/>
        <w:jc w:val="both"/>
        <w:rPr>
          <w:sz w:val="20"/>
          <w:szCs w:val="20"/>
        </w:rPr>
      </w:pPr>
      <w:r>
        <w:rPr>
          <w:sz w:val="20"/>
          <w:szCs w:val="20"/>
        </w:rPr>
        <w:t>Future acquisitions may result in dilutive issu</w:t>
      </w:r>
      <w:r>
        <w:rPr>
          <w:sz w:val="20"/>
          <w:szCs w:val="20"/>
        </w:rPr>
        <w:t>ances of equity securities, the incurrence of debt, the assumption of known and unknown liabilities, the write-off of software development costs and the amortization of expenses related to intangible assets, all of which could have an adverse effect on our</w:t>
      </w:r>
      <w:r>
        <w:rPr>
          <w:sz w:val="20"/>
          <w:szCs w:val="20"/>
        </w:rPr>
        <w:t xml:space="preserve"> business, financial condition and results of operations.</w:t>
      </w:r>
    </w:p>
    <w:p w14:paraId="661E9742" w14:textId="77777777" w:rsidR="00000000" w:rsidRDefault="001826C1">
      <w:pPr>
        <w:pStyle w:val="a3"/>
        <w:spacing w:before="0" w:beforeAutospacing="0" w:after="0" w:afterAutospacing="0"/>
        <w:jc w:val="both"/>
        <w:rPr>
          <w:sz w:val="20"/>
          <w:szCs w:val="20"/>
        </w:rPr>
      </w:pPr>
      <w:r>
        <w:rPr>
          <w:sz w:val="20"/>
          <w:szCs w:val="20"/>
        </w:rPr>
        <w:t> </w:t>
      </w:r>
    </w:p>
    <w:p w14:paraId="3E9DB537" w14:textId="77777777" w:rsidR="00000000" w:rsidRDefault="001826C1">
      <w:pPr>
        <w:pStyle w:val="a3"/>
        <w:shd w:val="clear" w:color="auto" w:fill="FFFFFF"/>
        <w:spacing w:before="0" w:beforeAutospacing="0" w:after="0" w:afterAutospacing="0"/>
        <w:jc w:val="both"/>
        <w:rPr>
          <w:sz w:val="20"/>
          <w:szCs w:val="20"/>
        </w:rPr>
      </w:pPr>
      <w:r>
        <w:rPr>
          <w:b/>
          <w:bCs/>
          <w:sz w:val="20"/>
          <w:szCs w:val="20"/>
        </w:rPr>
        <w:t>Risks Related to Our Business</w:t>
      </w:r>
    </w:p>
    <w:p w14:paraId="433DCA9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4919A89" w14:textId="77777777" w:rsidR="00000000" w:rsidRDefault="001826C1">
      <w:pPr>
        <w:pStyle w:val="a3"/>
        <w:spacing w:before="0" w:beforeAutospacing="0" w:after="0" w:afterAutospacing="0"/>
        <w:jc w:val="both"/>
        <w:rPr>
          <w:sz w:val="20"/>
          <w:szCs w:val="20"/>
        </w:rPr>
      </w:pPr>
      <w:r>
        <w:rPr>
          <w:b/>
          <w:bCs/>
          <w:i/>
          <w:iCs/>
          <w:sz w:val="20"/>
          <w:szCs w:val="20"/>
        </w:rPr>
        <w:t xml:space="preserve">We </w:t>
      </w:r>
      <w:r>
        <w:rPr>
          <w:b/>
          <w:bCs/>
          <w:i/>
          <w:iCs/>
          <w:sz w:val="20"/>
          <w:szCs w:val="20"/>
        </w:rPr>
        <w:t>operate in a highly competitive industry, and our competitors may be able to compete more efficiently or evolve more rapidly than we do, which could have a material adverse effect on our business, revenue, growth rates and market share.</w:t>
      </w:r>
    </w:p>
    <w:p w14:paraId="50E23C88" w14:textId="77777777" w:rsidR="00000000" w:rsidRDefault="001826C1">
      <w:pPr>
        <w:pStyle w:val="a3"/>
        <w:spacing w:before="0" w:beforeAutospacing="0" w:after="0" w:afterAutospacing="0"/>
        <w:jc w:val="both"/>
        <w:rPr>
          <w:sz w:val="20"/>
          <w:szCs w:val="20"/>
        </w:rPr>
      </w:pPr>
      <w:r>
        <w:rPr>
          <w:sz w:val="20"/>
          <w:szCs w:val="20"/>
        </w:rPr>
        <w:t> </w:t>
      </w:r>
    </w:p>
    <w:p w14:paraId="1239012E" w14:textId="77777777" w:rsidR="00000000" w:rsidRDefault="001826C1">
      <w:pPr>
        <w:pStyle w:val="a3"/>
        <w:spacing w:before="0" w:beforeAutospacing="0" w:after="0" w:afterAutospacing="0"/>
        <w:jc w:val="both"/>
        <w:rPr>
          <w:sz w:val="20"/>
          <w:szCs w:val="20"/>
        </w:rPr>
      </w:pPr>
      <w:r>
        <w:rPr>
          <w:sz w:val="20"/>
          <w:szCs w:val="20"/>
        </w:rPr>
        <w:t>The market for pr</w:t>
      </w:r>
      <w:r>
        <w:rPr>
          <w:sz w:val="20"/>
          <w:szCs w:val="20"/>
        </w:rPr>
        <w:t>actice management, healthcare IT solutions and related services is highly competitive, and we expect competition to increase in the future. We face competition from other providers of both integrated and stand-alone practice management, EHR and RCM solutio</w:t>
      </w:r>
      <w:r>
        <w:rPr>
          <w:sz w:val="20"/>
          <w:szCs w:val="20"/>
        </w:rPr>
        <w:t>ns, including competitors who utilize a web-based platform and providers of locally installed software systems. Our competitors include larger healthcare IT companies, such as athenahealth, Inc., eClinicalWorks, Allscripts Healthcare Solutions, Inc. and Gr</w:t>
      </w:r>
      <w:r>
        <w:rPr>
          <w:sz w:val="20"/>
          <w:szCs w:val="20"/>
        </w:rPr>
        <w:t>eenway Medical Technologies, Inc., all of which may be able to respond more quickly and effectively than we can to new or changing opportunities, technologies, standards, regulations or customer needs and requirements. Many of our competitors have longer o</w:t>
      </w:r>
      <w:r>
        <w:rPr>
          <w:sz w:val="20"/>
          <w:szCs w:val="20"/>
        </w:rPr>
        <w:t>perating histories, greater brand recognition and greater financial, marketing and other resources than us. We also compete with various regional RCM companies, some of which may continue to consolidate and expand into broader markets. We expect that compe</w:t>
      </w:r>
      <w:r>
        <w:rPr>
          <w:sz w:val="20"/>
          <w:szCs w:val="20"/>
        </w:rPr>
        <w:t>tition will continue to increase as a result of incentives provided by the Health Information Technology for Economic and Clinical Health (“HITECH”) Act, and consolidation in both the information technology and healthcare industries. Competitors may introd</w:t>
      </w:r>
      <w:r>
        <w:rPr>
          <w:sz w:val="20"/>
          <w:szCs w:val="20"/>
        </w:rPr>
        <w:t>uce products or services that render our products or services obsolete or less marketable. Even if our products and services are more effective than the offerings of our competitors, current or potential customers might prefer competitive products or servi</w:t>
      </w:r>
      <w:r>
        <w:rPr>
          <w:sz w:val="20"/>
          <w:szCs w:val="20"/>
        </w:rPr>
        <w:t>ces to our products and services. In addition, our competitive edge could be diminished or completely lost if our competition develops similar offshore operations in Pakistan or other countries, such as India and the Philippines, where labor costs are lowe</w:t>
      </w:r>
      <w:r>
        <w:rPr>
          <w:sz w:val="20"/>
          <w:szCs w:val="20"/>
        </w:rPr>
        <w:t>r than those in the U.S. (although higher than in Pakistan). Pricing pressures could negatively impact our margins, growth rate and market share.</w:t>
      </w:r>
    </w:p>
    <w:p w14:paraId="2FEEF809" w14:textId="77777777" w:rsidR="00000000" w:rsidRDefault="001826C1">
      <w:pPr>
        <w:pStyle w:val="a3"/>
        <w:spacing w:before="0" w:beforeAutospacing="0" w:after="0" w:afterAutospacing="0"/>
        <w:jc w:val="both"/>
        <w:rPr>
          <w:sz w:val="20"/>
          <w:szCs w:val="20"/>
        </w:rPr>
      </w:pPr>
      <w:r>
        <w:rPr>
          <w:sz w:val="20"/>
          <w:szCs w:val="20"/>
        </w:rPr>
        <w:t> </w:t>
      </w:r>
    </w:p>
    <w:p w14:paraId="7DAE3F31"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If we are unable to successfully introduce new products or services or fail to keep pace with advances in te</w:t>
      </w:r>
      <w:r>
        <w:rPr>
          <w:b/>
          <w:bCs/>
          <w:i/>
          <w:iCs/>
          <w:sz w:val="20"/>
          <w:szCs w:val="20"/>
        </w:rPr>
        <w:t>chnology, we would not be able to maintain our customers or grow our business which will have a material adverse effect on our business.</w:t>
      </w:r>
    </w:p>
    <w:p w14:paraId="20BB376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9496D51" w14:textId="77777777" w:rsidR="00000000" w:rsidRDefault="001826C1">
      <w:pPr>
        <w:pStyle w:val="a3"/>
        <w:spacing w:before="0" w:beforeAutospacing="0" w:after="0" w:afterAutospacing="0"/>
        <w:jc w:val="both"/>
        <w:rPr>
          <w:sz w:val="20"/>
          <w:szCs w:val="20"/>
        </w:rPr>
      </w:pPr>
      <w:r>
        <w:rPr>
          <w:sz w:val="20"/>
          <w:szCs w:val="20"/>
        </w:rPr>
        <w:t>Our business depends on our ability to adapt to evolving technologies and industry standards and upgrade existing and</w:t>
      </w:r>
      <w:r>
        <w:rPr>
          <w:sz w:val="20"/>
          <w:szCs w:val="20"/>
        </w:rPr>
        <w:t xml:space="preserve"> introduce new products and services accordingly. If we cannot adapt to changing technologies and industry standards, including changing requirements of third party applications and software and meet the requirements of our customers, our products and serv</w:t>
      </w:r>
      <w:r>
        <w:rPr>
          <w:sz w:val="20"/>
          <w:szCs w:val="20"/>
        </w:rPr>
        <w:t>ices may become obsolete, and our business would suffer significantly. Because both the healthcare industry and the healthcare IT technology market are constantly evolving, our success will depend, in part, on our ability to continue to enhance our existin</w:t>
      </w:r>
      <w:r>
        <w:rPr>
          <w:sz w:val="20"/>
          <w:szCs w:val="20"/>
        </w:rPr>
        <w:t>g products and services, develop new technology that addresses the increasingly sophisticated and varied needs of our customers, respond to technological advances and emerging industry standards and practices on a timely and cost-effective basis, educate o</w:t>
      </w:r>
      <w:r>
        <w:rPr>
          <w:sz w:val="20"/>
          <w:szCs w:val="20"/>
        </w:rPr>
        <w:t>ur customers to adopt these new technologies, and successfully assist them in transitioning to our new products and services. The development of our proprietary technology entails significant technical and business risks. We may not be successful in develo</w:t>
      </w:r>
      <w:r>
        <w:rPr>
          <w:sz w:val="20"/>
          <w:szCs w:val="20"/>
        </w:rPr>
        <w:t>ping, using, marketing, selling, or maintaining new technologies effectively or adapting our proprietary technology to evolving customer requirements, emerging industry standards or changing third party applications, and, as a result, our business and repu</w:t>
      </w:r>
      <w:r>
        <w:rPr>
          <w:sz w:val="20"/>
          <w:szCs w:val="20"/>
        </w:rPr>
        <w:t>tation could materially suffer. We may not be able to introduce new products or services on schedule, or at all, or such products or services may not achieve market acceptance or existing products or services may cease to function properly. A failure by us</w:t>
      </w:r>
      <w:r>
        <w:rPr>
          <w:sz w:val="20"/>
          <w:szCs w:val="20"/>
        </w:rPr>
        <w:t xml:space="preserve"> to timely adapt to ever changing technologies or our failure to regularly upgrade existing or introduce new products or to introduce these products on schedule could cause us to not only lose our current customers but also fail to attract new customers.</w:t>
      </w:r>
    </w:p>
    <w:p w14:paraId="20F3A2C8"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BB0D001" w14:textId="77777777">
        <w:trPr>
          <w:divId w:val="970676424"/>
        </w:trPr>
        <w:tc>
          <w:tcPr>
            <w:tcW w:w="5000" w:type="pct"/>
            <w:hideMark/>
          </w:tcPr>
          <w:p w14:paraId="3DB88AC7"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2613D6EA" w14:textId="77777777">
        <w:tc>
          <w:tcPr>
            <w:tcW w:w="5000" w:type="pct"/>
            <w:hideMark/>
          </w:tcPr>
          <w:p w14:paraId="79289CC9" w14:textId="77777777" w:rsidR="00000000" w:rsidRDefault="001826C1">
            <w:pPr>
              <w:jc w:val="center"/>
              <w:rPr>
                <w:rFonts w:eastAsia="Times New Roman"/>
                <w:sz w:val="20"/>
                <w:szCs w:val="20"/>
              </w:rPr>
            </w:pPr>
            <w:r>
              <w:rPr>
                <w:rFonts w:eastAsia="Times New Roman"/>
                <w:sz w:val="20"/>
                <w:szCs w:val="20"/>
              </w:rPr>
              <w:t> </w:t>
            </w:r>
          </w:p>
        </w:tc>
      </w:tr>
    </w:tbl>
    <w:p w14:paraId="62288747" w14:textId="77777777" w:rsidR="00000000" w:rsidRDefault="001826C1">
      <w:pPr>
        <w:pStyle w:val="a3"/>
        <w:spacing w:before="0" w:beforeAutospacing="0" w:after="0" w:afterAutospacing="0"/>
        <w:rPr>
          <w:sz w:val="20"/>
          <w:szCs w:val="20"/>
        </w:rPr>
      </w:pPr>
      <w:r>
        <w:rPr>
          <w:sz w:val="20"/>
          <w:szCs w:val="20"/>
        </w:rPr>
        <w:t> </w:t>
      </w:r>
    </w:p>
    <w:p w14:paraId="47DA9871"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The continued success of our business model is heavily dependent upon our offshore operations, and any disruption to those operations will adversely affect us.</w:t>
      </w:r>
    </w:p>
    <w:p w14:paraId="2817053D"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630B500" w14:textId="77777777" w:rsidR="00000000" w:rsidRDefault="001826C1">
      <w:pPr>
        <w:pStyle w:val="a3"/>
        <w:spacing w:before="0" w:beforeAutospacing="0" w:after="0" w:afterAutospacing="0"/>
        <w:jc w:val="both"/>
        <w:rPr>
          <w:sz w:val="20"/>
          <w:szCs w:val="20"/>
        </w:rPr>
      </w:pPr>
      <w:r>
        <w:rPr>
          <w:sz w:val="20"/>
          <w:szCs w:val="20"/>
        </w:rPr>
        <w:t>The majority of our operations, including the development and maintenance of our we</w:t>
      </w:r>
      <w:r>
        <w:rPr>
          <w:sz w:val="20"/>
          <w:szCs w:val="20"/>
        </w:rPr>
        <w:t>b-based platform, our customer support services and medical billing activities, are performed by our highly educated workforce of approximately 2,400 employees in Pakistan and Sri Lanka. Approximately 98% of our offshore employees are in Pakistan and our r</w:t>
      </w:r>
      <w:r>
        <w:rPr>
          <w:sz w:val="20"/>
          <w:szCs w:val="20"/>
        </w:rPr>
        <w:t>emaining employees are located at our smaller offshore operation center in Sri Lanka. The performance of our operations in Pakistan, and our ability to maintain our offshore offices, is an essential element of our business model, as the labor costs in Paki</w:t>
      </w:r>
      <w:r>
        <w:rPr>
          <w:sz w:val="20"/>
          <w:szCs w:val="20"/>
        </w:rPr>
        <w:t>stan are substantially lower than the cost of comparable labor in India, the United States and other countries, and allows us to competitively price our products and services. Our competitive advantage will be greatly diminished and may disappear altogethe</w:t>
      </w:r>
      <w:r>
        <w:rPr>
          <w:sz w:val="20"/>
          <w:szCs w:val="20"/>
        </w:rPr>
        <w:t>r if our operations in Pakistan are negatively impacted.</w:t>
      </w:r>
    </w:p>
    <w:p w14:paraId="659C918C" w14:textId="77777777" w:rsidR="00000000" w:rsidRDefault="001826C1">
      <w:pPr>
        <w:pStyle w:val="a3"/>
        <w:spacing w:before="0" w:beforeAutospacing="0" w:after="0" w:afterAutospacing="0"/>
        <w:jc w:val="both"/>
        <w:rPr>
          <w:sz w:val="20"/>
          <w:szCs w:val="20"/>
        </w:rPr>
      </w:pPr>
      <w:r>
        <w:rPr>
          <w:sz w:val="20"/>
          <w:szCs w:val="20"/>
        </w:rPr>
        <w:t> </w:t>
      </w:r>
    </w:p>
    <w:p w14:paraId="42888BD0" w14:textId="77777777" w:rsidR="00000000" w:rsidRDefault="001826C1">
      <w:pPr>
        <w:pStyle w:val="a3"/>
        <w:spacing w:before="0" w:beforeAutospacing="0" w:after="0" w:afterAutospacing="0"/>
        <w:jc w:val="both"/>
        <w:rPr>
          <w:sz w:val="20"/>
          <w:szCs w:val="20"/>
        </w:rPr>
      </w:pPr>
      <w:r>
        <w:rPr>
          <w:sz w:val="20"/>
          <w:szCs w:val="20"/>
        </w:rPr>
        <w:t>Pakistan and Sri Lanka have experienced, and continue to experience, political and social unrest, war and acts of terrorism. Our operations in our offshore locations may be negatively impacted by t</w:t>
      </w:r>
      <w:r>
        <w:rPr>
          <w:sz w:val="20"/>
          <w:szCs w:val="20"/>
        </w:rPr>
        <w:t>hese and a number of other factors, including a failing power grid and infrastructure, vandalism, currency fluctuations, cost of labor and supplies, and changes in local law as well as laws within the United States relating to these countries. Client manda</w:t>
      </w:r>
      <w:r>
        <w:rPr>
          <w:sz w:val="20"/>
          <w:szCs w:val="20"/>
        </w:rPr>
        <w:t>tes or preferences for on-shore service providers may also adversely impact our business model. Our operations in Pakistan and Sri Lanka may also be affected by trade restrictions, such as tariffs or other trade controls. If we are unable to continue to le</w:t>
      </w:r>
      <w:r>
        <w:rPr>
          <w:sz w:val="20"/>
          <w:szCs w:val="20"/>
        </w:rPr>
        <w:t>verage the skills and experience of our highly educated workforce, particularly in Pakistan, we may be unable to provide our products and services at attractive prices, and our business would be materially and negatively impacted or discontinued.</w:t>
      </w:r>
    </w:p>
    <w:p w14:paraId="0B68903E" w14:textId="77777777" w:rsidR="00000000" w:rsidRDefault="001826C1">
      <w:pPr>
        <w:pStyle w:val="a3"/>
        <w:spacing w:before="0" w:beforeAutospacing="0" w:after="0" w:afterAutospacing="0"/>
        <w:jc w:val="both"/>
        <w:rPr>
          <w:sz w:val="20"/>
          <w:szCs w:val="20"/>
        </w:rPr>
      </w:pPr>
      <w:r>
        <w:rPr>
          <w:sz w:val="20"/>
          <w:szCs w:val="20"/>
        </w:rPr>
        <w:t> </w:t>
      </w:r>
    </w:p>
    <w:p w14:paraId="457260A8" w14:textId="77777777" w:rsidR="00000000" w:rsidRDefault="001826C1">
      <w:pPr>
        <w:pStyle w:val="a3"/>
        <w:spacing w:before="0" w:beforeAutospacing="0" w:after="0" w:afterAutospacing="0"/>
        <w:jc w:val="both"/>
        <w:rPr>
          <w:sz w:val="20"/>
          <w:szCs w:val="20"/>
        </w:rPr>
      </w:pPr>
      <w:r>
        <w:rPr>
          <w:sz w:val="20"/>
          <w:szCs w:val="20"/>
        </w:rPr>
        <w:t xml:space="preserve">We </w:t>
      </w:r>
      <w:r>
        <w:rPr>
          <w:sz w:val="20"/>
          <w:szCs w:val="20"/>
        </w:rPr>
        <w:t>believe that the labor costs in Pakistan and Sri Lanka are approximately 10% of the cost of comparably educated and skilled workers in the U.S. If there were potential disruptions in any of these locations, they could have a negative impact on our business</w:t>
      </w:r>
      <w:r>
        <w:rPr>
          <w:sz w:val="20"/>
          <w:szCs w:val="20"/>
        </w:rPr>
        <w:t>.</w:t>
      </w:r>
    </w:p>
    <w:p w14:paraId="4FF2E778" w14:textId="77777777" w:rsidR="00000000" w:rsidRDefault="001826C1">
      <w:pPr>
        <w:pStyle w:val="a3"/>
        <w:spacing w:before="0" w:beforeAutospacing="0" w:after="0" w:afterAutospacing="0"/>
        <w:jc w:val="both"/>
        <w:rPr>
          <w:sz w:val="20"/>
          <w:szCs w:val="20"/>
        </w:rPr>
      </w:pPr>
      <w:r>
        <w:rPr>
          <w:sz w:val="20"/>
          <w:szCs w:val="20"/>
        </w:rPr>
        <w:t> </w:t>
      </w:r>
    </w:p>
    <w:p w14:paraId="34A6C9A6"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Future changes in visa rules could prevent our offshore employees from entering the United States, which could decrease our efficiency.</w:t>
      </w:r>
    </w:p>
    <w:p w14:paraId="7D92C41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2797795" w14:textId="77777777" w:rsidR="00000000" w:rsidRDefault="001826C1">
      <w:pPr>
        <w:pStyle w:val="a3"/>
        <w:shd w:val="clear" w:color="auto" w:fill="FFFFFF"/>
        <w:spacing w:before="0" w:beforeAutospacing="0" w:after="0" w:afterAutospacing="0"/>
        <w:jc w:val="both"/>
        <w:rPr>
          <w:sz w:val="20"/>
          <w:szCs w:val="20"/>
        </w:rPr>
      </w:pPr>
      <w:r>
        <w:rPr>
          <w:sz w:val="20"/>
          <w:szCs w:val="20"/>
        </w:rPr>
        <w:t>In the ordinary course of business, we bring skilled employees from our offshore subsidiaries to the U.S. to serve</w:t>
      </w:r>
      <w:r>
        <w:rPr>
          <w:sz w:val="20"/>
          <w:szCs w:val="20"/>
        </w:rPr>
        <w:t xml:space="preserve"> as liaisons on projects and to expand the respective employees’ understanding of both the U.S. healthcare industry and the needs and expectations of our customers. These visits equip them to better understand and support our business objectives. While the</w:t>
      </w:r>
      <w:r>
        <w:rPr>
          <w:sz w:val="20"/>
          <w:szCs w:val="20"/>
        </w:rPr>
        <w:t xml:space="preserve"> current administration’s actions up to this point have not had an impact on us, we cannot predict whether the administration may in the future take actions that would prevent non-U.S. employees from visiting the U.S. If such restrictions were implemented </w:t>
      </w:r>
      <w:r>
        <w:rPr>
          <w:sz w:val="20"/>
          <w:szCs w:val="20"/>
        </w:rPr>
        <w:t>in the future, it may become more difficult or expensive for us to educate and equip the employees of our foreign subsidiaries to support our business needs. We may also have difficulty in finding employees and contractors in the U.S that can replace the f</w:t>
      </w:r>
      <w:r>
        <w:rPr>
          <w:sz w:val="20"/>
          <w:szCs w:val="20"/>
        </w:rPr>
        <w:t>unctions now performed by our offshore employees that we bring over to the U.S., which could negatively impact our business.</w:t>
      </w:r>
    </w:p>
    <w:p w14:paraId="08ED3EB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08B8CB6" w14:textId="77777777" w:rsidR="00000000" w:rsidRDefault="001826C1">
      <w:pPr>
        <w:pStyle w:val="a3"/>
        <w:spacing w:before="0" w:beforeAutospacing="0" w:after="0" w:afterAutospacing="0"/>
        <w:jc w:val="both"/>
        <w:rPr>
          <w:sz w:val="20"/>
          <w:szCs w:val="20"/>
        </w:rPr>
      </w:pPr>
      <w:r>
        <w:rPr>
          <w:b/>
          <w:bCs/>
          <w:i/>
          <w:iCs/>
          <w:sz w:val="20"/>
          <w:szCs w:val="20"/>
        </w:rPr>
        <w:t>Our offshore operations expose us to additional business and financial risks which could adversely affect us and subject us to ci</w:t>
      </w:r>
      <w:r>
        <w:rPr>
          <w:b/>
          <w:bCs/>
          <w:i/>
          <w:iCs/>
          <w:sz w:val="20"/>
          <w:szCs w:val="20"/>
        </w:rPr>
        <w:t>vil and criminal liability.</w:t>
      </w:r>
    </w:p>
    <w:p w14:paraId="54A1DC40" w14:textId="77777777" w:rsidR="00000000" w:rsidRDefault="001826C1">
      <w:pPr>
        <w:pStyle w:val="a3"/>
        <w:spacing w:before="0" w:beforeAutospacing="0" w:after="0" w:afterAutospacing="0"/>
        <w:jc w:val="both"/>
        <w:rPr>
          <w:sz w:val="20"/>
          <w:szCs w:val="20"/>
        </w:rPr>
      </w:pPr>
      <w:r>
        <w:rPr>
          <w:sz w:val="20"/>
          <w:szCs w:val="20"/>
        </w:rPr>
        <w:t> </w:t>
      </w:r>
    </w:p>
    <w:p w14:paraId="608B7268" w14:textId="77777777" w:rsidR="00000000" w:rsidRDefault="001826C1">
      <w:pPr>
        <w:pStyle w:val="a3"/>
        <w:spacing w:before="0" w:beforeAutospacing="0" w:after="0" w:afterAutospacing="0"/>
        <w:jc w:val="both"/>
        <w:rPr>
          <w:sz w:val="20"/>
          <w:szCs w:val="20"/>
        </w:rPr>
      </w:pPr>
      <w:r>
        <w:rPr>
          <w:sz w:val="20"/>
          <w:szCs w:val="20"/>
        </w:rPr>
        <w:t>The risks and challenges associated with our operations outside the United States include laws and business practices favoring local competitors; compliance with multiple, conflicting and changing governmental laws and regulat</w:t>
      </w:r>
      <w:r>
        <w:rPr>
          <w:sz w:val="20"/>
          <w:szCs w:val="20"/>
        </w:rPr>
        <w:t>ions, including employment and tax laws and regulations; and fluctuations in foreign currency exchange rates. Foreign operations subject us to numerous stringent U.S. and foreign laws, including the Foreign Corrupt Practices Act (“FCPA”), and comparable fo</w:t>
      </w:r>
      <w:r>
        <w:rPr>
          <w:sz w:val="20"/>
          <w:szCs w:val="20"/>
        </w:rPr>
        <w:t>reign laws and regulations that prohibit improper payments or offers of payments to foreign governments and their officials and political parties by U.S. and other business entities for the purpose of obtaining or retaining business. Safeguards we implemen</w:t>
      </w:r>
      <w:r>
        <w:rPr>
          <w:sz w:val="20"/>
          <w:szCs w:val="20"/>
        </w:rPr>
        <w:t xml:space="preserve">t to discourage these practices may prove to be less than effective and violations of the FCPA and other laws may result in severe criminal or civil sanctions, or other liabilities or proceedings against us, including class action lawsuits and enforcement </w:t>
      </w:r>
      <w:r>
        <w:rPr>
          <w:sz w:val="20"/>
          <w:szCs w:val="20"/>
        </w:rPr>
        <w:t>actions from the SEC, Department of Justice and overseas regulators.</w:t>
      </w:r>
    </w:p>
    <w:p w14:paraId="60B0D832"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AC0F1CB" w14:textId="77777777">
        <w:trPr>
          <w:divId w:val="949901181"/>
        </w:trPr>
        <w:tc>
          <w:tcPr>
            <w:tcW w:w="5000" w:type="pct"/>
            <w:hideMark/>
          </w:tcPr>
          <w:p w14:paraId="7B62DCE3"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25BAB63D" w14:textId="77777777">
        <w:tc>
          <w:tcPr>
            <w:tcW w:w="5000" w:type="pct"/>
            <w:hideMark/>
          </w:tcPr>
          <w:p w14:paraId="7708C000" w14:textId="77777777" w:rsidR="00000000" w:rsidRDefault="001826C1">
            <w:pPr>
              <w:jc w:val="center"/>
              <w:rPr>
                <w:rFonts w:eastAsia="Times New Roman"/>
                <w:sz w:val="20"/>
                <w:szCs w:val="20"/>
              </w:rPr>
            </w:pPr>
            <w:r>
              <w:rPr>
                <w:rFonts w:eastAsia="Times New Roman"/>
                <w:sz w:val="20"/>
                <w:szCs w:val="20"/>
              </w:rPr>
              <w:t> </w:t>
            </w:r>
          </w:p>
        </w:tc>
      </w:tr>
    </w:tbl>
    <w:p w14:paraId="06EE0DEB" w14:textId="77777777" w:rsidR="00000000" w:rsidRDefault="001826C1">
      <w:pPr>
        <w:pStyle w:val="a3"/>
        <w:spacing w:before="0" w:beforeAutospacing="0" w:after="0" w:afterAutospacing="0"/>
        <w:rPr>
          <w:sz w:val="20"/>
          <w:szCs w:val="20"/>
        </w:rPr>
      </w:pPr>
      <w:r>
        <w:rPr>
          <w:sz w:val="20"/>
          <w:szCs w:val="20"/>
        </w:rPr>
        <w:t> </w:t>
      </w:r>
    </w:p>
    <w:p w14:paraId="759895FB" w14:textId="77777777" w:rsidR="00000000" w:rsidRDefault="001826C1">
      <w:pPr>
        <w:pStyle w:val="a3"/>
        <w:spacing w:before="0" w:beforeAutospacing="0" w:after="0" w:afterAutospacing="0"/>
        <w:jc w:val="both"/>
        <w:rPr>
          <w:sz w:val="20"/>
          <w:szCs w:val="20"/>
        </w:rPr>
      </w:pPr>
      <w:r>
        <w:rPr>
          <w:b/>
          <w:bCs/>
          <w:i/>
          <w:iCs/>
          <w:sz w:val="20"/>
          <w:szCs w:val="20"/>
        </w:rPr>
        <w:t>Changes in the healthcare industry could affect the demand for our services and may result in a decrease in our revenues and market share.</w:t>
      </w:r>
    </w:p>
    <w:p w14:paraId="79BEC56D" w14:textId="77777777" w:rsidR="00000000" w:rsidRDefault="001826C1">
      <w:pPr>
        <w:pStyle w:val="a3"/>
        <w:spacing w:before="0" w:beforeAutospacing="0" w:after="0" w:afterAutospacing="0"/>
        <w:jc w:val="both"/>
        <w:rPr>
          <w:sz w:val="20"/>
          <w:szCs w:val="20"/>
        </w:rPr>
      </w:pPr>
      <w:r>
        <w:rPr>
          <w:sz w:val="20"/>
          <w:szCs w:val="20"/>
        </w:rPr>
        <w:t> </w:t>
      </w:r>
    </w:p>
    <w:p w14:paraId="26A8E18F" w14:textId="77777777" w:rsidR="00000000" w:rsidRDefault="001826C1">
      <w:pPr>
        <w:pStyle w:val="a3"/>
        <w:spacing w:before="0" w:beforeAutospacing="0" w:after="0" w:afterAutospacing="0"/>
        <w:jc w:val="both"/>
        <w:rPr>
          <w:sz w:val="20"/>
          <w:szCs w:val="20"/>
        </w:rPr>
      </w:pPr>
      <w:r>
        <w:rPr>
          <w:sz w:val="20"/>
          <w:szCs w:val="20"/>
        </w:rPr>
        <w:t xml:space="preserve">As </w:t>
      </w:r>
      <w:r>
        <w:rPr>
          <w:sz w:val="20"/>
          <w:szCs w:val="20"/>
        </w:rPr>
        <w:t>the healthcare industry evolves, changes in our customer base may reduce the demand for our services, result in the termination of existing contracts, and make it more difficult to negotiate new contracts on terms that are acceptable to us. For example, th</w:t>
      </w:r>
      <w:r>
        <w:rPr>
          <w:sz w:val="20"/>
          <w:szCs w:val="20"/>
        </w:rPr>
        <w:t>e current trend toward consolidation of healthcare providers may cause our existing customer contracts to terminate as independent practices are merged into hospital systems or other healthcare organizations. Such larger healthcare organizations may have t</w:t>
      </w:r>
      <w:r>
        <w:rPr>
          <w:sz w:val="20"/>
          <w:szCs w:val="20"/>
        </w:rPr>
        <w:t>heir own practice management, and EHR and RCM solutions, reducing demand for our services. If this trend continues, we cannot assure you that we will be able to continue to maintain or expand our customer base, negotiate contracts with acceptable terms, or</w:t>
      </w:r>
      <w:r>
        <w:rPr>
          <w:sz w:val="20"/>
          <w:szCs w:val="20"/>
        </w:rPr>
        <w:t xml:space="preserve"> maintain our current pricing structure, which would result in a decrease in our revenues and market share.</w:t>
      </w:r>
    </w:p>
    <w:p w14:paraId="37E1E146" w14:textId="77777777" w:rsidR="00000000" w:rsidRDefault="001826C1">
      <w:pPr>
        <w:pStyle w:val="a3"/>
        <w:spacing w:before="0" w:beforeAutospacing="0" w:after="0" w:afterAutospacing="0"/>
        <w:jc w:val="both"/>
        <w:rPr>
          <w:sz w:val="20"/>
          <w:szCs w:val="20"/>
        </w:rPr>
      </w:pPr>
      <w:r>
        <w:rPr>
          <w:sz w:val="20"/>
          <w:szCs w:val="20"/>
        </w:rPr>
        <w:t> </w:t>
      </w:r>
    </w:p>
    <w:p w14:paraId="6F8C085A" w14:textId="77777777" w:rsidR="00000000" w:rsidRDefault="001826C1">
      <w:pPr>
        <w:pStyle w:val="a3"/>
        <w:spacing w:before="0" w:beforeAutospacing="0" w:after="0" w:afterAutospacing="0"/>
        <w:jc w:val="both"/>
        <w:rPr>
          <w:sz w:val="20"/>
          <w:szCs w:val="20"/>
        </w:rPr>
      </w:pPr>
      <w:r>
        <w:rPr>
          <w:sz w:val="20"/>
          <w:szCs w:val="20"/>
        </w:rPr>
        <w:t>The current administration and some members of Congress have been critical of the Affordable Care Act (“ACA”) and have taken steps toward material</w:t>
      </w:r>
      <w:r>
        <w:rPr>
          <w:sz w:val="20"/>
          <w:szCs w:val="20"/>
        </w:rPr>
        <w:t>ly revising or even repealing it. On December 14, 2018, a federal judge in Texas ruled the ACA unconstitutional. The decision declared that key parts of the legislation were inconsistent with the Constitution. The decision is still making its way through t</w:t>
      </w:r>
      <w:r>
        <w:rPr>
          <w:sz w:val="20"/>
          <w:szCs w:val="20"/>
        </w:rPr>
        <w:t>he courts and has not made an impact on the exchanges which are still open. As of now, there has been no impact to the coverage plans and no final ruling. The ACA included specific reforms for the individual and small group marketplace, including an expans</w:t>
      </w:r>
      <w:r>
        <w:rPr>
          <w:sz w:val="20"/>
          <w:szCs w:val="20"/>
        </w:rPr>
        <w:t>ion of Medicaid. We can give no assurances that healthcare reform initiatives, if passed, will not have a material adverse impact on our operational results or the manner in which we operate our business.</w:t>
      </w:r>
    </w:p>
    <w:p w14:paraId="6A29614C" w14:textId="77777777" w:rsidR="00000000" w:rsidRDefault="001826C1">
      <w:pPr>
        <w:pStyle w:val="a3"/>
        <w:spacing w:before="0" w:beforeAutospacing="0" w:after="0" w:afterAutospacing="0"/>
        <w:jc w:val="both"/>
        <w:rPr>
          <w:sz w:val="20"/>
          <w:szCs w:val="20"/>
        </w:rPr>
      </w:pPr>
      <w:r>
        <w:rPr>
          <w:sz w:val="20"/>
          <w:szCs w:val="20"/>
        </w:rPr>
        <w:t> </w:t>
      </w:r>
    </w:p>
    <w:p w14:paraId="5086A382" w14:textId="77777777" w:rsidR="00000000" w:rsidRDefault="001826C1">
      <w:pPr>
        <w:pStyle w:val="a3"/>
        <w:spacing w:before="0" w:beforeAutospacing="0" w:after="0" w:afterAutospacing="0"/>
        <w:jc w:val="both"/>
        <w:rPr>
          <w:sz w:val="20"/>
          <w:szCs w:val="20"/>
        </w:rPr>
      </w:pPr>
      <w:r>
        <w:rPr>
          <w:b/>
          <w:bCs/>
          <w:i/>
          <w:iCs/>
          <w:sz w:val="20"/>
          <w:szCs w:val="20"/>
        </w:rPr>
        <w:t>If providers do not purchase our products and ser</w:t>
      </w:r>
      <w:r>
        <w:rPr>
          <w:b/>
          <w:bCs/>
          <w:i/>
          <w:iCs/>
          <w:sz w:val="20"/>
          <w:szCs w:val="20"/>
        </w:rPr>
        <w:t>vices or delay in choosing our products or services, we may not be able to grow our business.</w:t>
      </w:r>
    </w:p>
    <w:p w14:paraId="583B9894" w14:textId="77777777" w:rsidR="00000000" w:rsidRDefault="001826C1">
      <w:pPr>
        <w:pStyle w:val="a3"/>
        <w:spacing w:before="0" w:beforeAutospacing="0" w:after="0" w:afterAutospacing="0"/>
        <w:jc w:val="both"/>
        <w:rPr>
          <w:sz w:val="20"/>
          <w:szCs w:val="20"/>
        </w:rPr>
      </w:pPr>
      <w:r>
        <w:rPr>
          <w:sz w:val="20"/>
          <w:szCs w:val="20"/>
        </w:rPr>
        <w:t> </w:t>
      </w:r>
    </w:p>
    <w:p w14:paraId="01594441" w14:textId="77777777" w:rsidR="00000000" w:rsidRDefault="001826C1">
      <w:pPr>
        <w:pStyle w:val="a3"/>
        <w:spacing w:before="0" w:beforeAutospacing="0" w:after="0" w:afterAutospacing="0"/>
        <w:jc w:val="both"/>
        <w:rPr>
          <w:sz w:val="20"/>
          <w:szCs w:val="20"/>
        </w:rPr>
      </w:pPr>
      <w:r>
        <w:rPr>
          <w:sz w:val="20"/>
          <w:szCs w:val="20"/>
        </w:rPr>
        <w:t>Our business model depends on our ability to sell our products and services. Acceptance of our products and services may require providers to adopt different be</w:t>
      </w:r>
      <w:r>
        <w:rPr>
          <w:sz w:val="20"/>
          <w:szCs w:val="20"/>
        </w:rPr>
        <w:t>havior patterns and new methods of conducting business and exchanging information. Providers may not integrate our products and services into their workflow and may not accept our solutions and services as a replacement for traditional methods of practicin</w:t>
      </w:r>
      <w:r>
        <w:rPr>
          <w:sz w:val="20"/>
          <w:szCs w:val="20"/>
        </w:rPr>
        <w:t>g medicine. Providers may also choose to buy our competitors’ products and services instead of ours. Achieving market acceptance for our solutions and services will continue to require substantial sales and marketing efforts and the expenditure of signific</w:t>
      </w:r>
      <w:r>
        <w:rPr>
          <w:sz w:val="20"/>
          <w:szCs w:val="20"/>
        </w:rPr>
        <w:t>ant financial and other resources to create awareness and demand by providers. If providers fail to broadly accept our products and services, our business, financial condition and results of operations will be adversely affected.</w:t>
      </w:r>
    </w:p>
    <w:p w14:paraId="589C26F6" w14:textId="77777777" w:rsidR="00000000" w:rsidRDefault="001826C1">
      <w:pPr>
        <w:pStyle w:val="a3"/>
        <w:spacing w:before="0" w:beforeAutospacing="0" w:after="0" w:afterAutospacing="0"/>
        <w:jc w:val="both"/>
        <w:rPr>
          <w:sz w:val="20"/>
          <w:szCs w:val="20"/>
        </w:rPr>
      </w:pPr>
      <w:r>
        <w:rPr>
          <w:sz w:val="20"/>
          <w:szCs w:val="20"/>
        </w:rPr>
        <w:t> </w:t>
      </w:r>
    </w:p>
    <w:p w14:paraId="798F91CB" w14:textId="77777777" w:rsidR="00000000" w:rsidRDefault="001826C1">
      <w:pPr>
        <w:pStyle w:val="a3"/>
        <w:spacing w:before="0" w:beforeAutospacing="0" w:after="0" w:afterAutospacing="0"/>
        <w:jc w:val="both"/>
        <w:rPr>
          <w:sz w:val="20"/>
          <w:szCs w:val="20"/>
        </w:rPr>
      </w:pPr>
      <w:r>
        <w:rPr>
          <w:b/>
          <w:bCs/>
          <w:i/>
          <w:iCs/>
          <w:sz w:val="20"/>
          <w:szCs w:val="20"/>
        </w:rPr>
        <w:t>If the revenues of our c</w:t>
      </w:r>
      <w:r>
        <w:rPr>
          <w:b/>
          <w:bCs/>
          <w:i/>
          <w:iCs/>
          <w:sz w:val="20"/>
          <w:szCs w:val="20"/>
        </w:rPr>
        <w:t>ustomers decrease, or if our customers cancel or elect not to renew their contracts, our revenue will decrease.</w:t>
      </w:r>
    </w:p>
    <w:p w14:paraId="13D909AB" w14:textId="77777777" w:rsidR="00000000" w:rsidRDefault="001826C1">
      <w:pPr>
        <w:pStyle w:val="a3"/>
        <w:spacing w:before="0" w:beforeAutospacing="0" w:after="0" w:afterAutospacing="0"/>
        <w:jc w:val="both"/>
        <w:rPr>
          <w:sz w:val="20"/>
          <w:szCs w:val="20"/>
        </w:rPr>
      </w:pPr>
      <w:r>
        <w:rPr>
          <w:sz w:val="20"/>
          <w:szCs w:val="20"/>
        </w:rPr>
        <w:t> </w:t>
      </w:r>
    </w:p>
    <w:p w14:paraId="08548E69" w14:textId="77777777" w:rsidR="00000000" w:rsidRDefault="001826C1">
      <w:pPr>
        <w:pStyle w:val="a3"/>
        <w:spacing w:before="0" w:beforeAutospacing="0" w:after="0" w:afterAutospacing="0"/>
        <w:jc w:val="both"/>
        <w:rPr>
          <w:sz w:val="20"/>
          <w:szCs w:val="20"/>
        </w:rPr>
      </w:pPr>
      <w:r>
        <w:rPr>
          <w:sz w:val="20"/>
          <w:szCs w:val="20"/>
        </w:rPr>
        <w:t>Under most of our customer contracts, we base our charges on a percentage of the revenue that our customer collects through the use of our ser</w:t>
      </w:r>
      <w:r>
        <w:rPr>
          <w:sz w:val="20"/>
          <w:szCs w:val="20"/>
        </w:rPr>
        <w:t>vices. Many factors may lead to decreases in customer revenue, including:</w:t>
      </w:r>
    </w:p>
    <w:p w14:paraId="2EE808D8"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28F8086D" w14:textId="77777777">
        <w:tc>
          <w:tcPr>
            <w:tcW w:w="360" w:type="dxa"/>
            <w:hideMark/>
          </w:tcPr>
          <w:p w14:paraId="16A810E0"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489C2303" w14:textId="77777777" w:rsidR="00000000" w:rsidRDefault="001826C1">
            <w:pPr>
              <w:jc w:val="both"/>
              <w:rPr>
                <w:rFonts w:eastAsia="Times New Roman"/>
                <w:sz w:val="20"/>
                <w:szCs w:val="20"/>
              </w:rPr>
            </w:pPr>
            <w:r>
              <w:rPr>
                <w:rFonts w:eastAsia="Times New Roman"/>
                <w:sz w:val="20"/>
                <w:szCs w:val="20"/>
              </w:rPr>
              <w:t>reduction of customer revenue as a result of changes to the ACA;</w:t>
            </w:r>
          </w:p>
        </w:tc>
      </w:tr>
      <w:tr w:rsidR="00000000" w14:paraId="11240B6B" w14:textId="77777777">
        <w:tc>
          <w:tcPr>
            <w:tcW w:w="0" w:type="auto"/>
            <w:hideMark/>
          </w:tcPr>
          <w:p w14:paraId="4E680B5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8892A2F" w14:textId="77777777" w:rsidR="00000000" w:rsidRDefault="001826C1">
            <w:pPr>
              <w:jc w:val="both"/>
              <w:rPr>
                <w:rFonts w:eastAsia="Times New Roman"/>
                <w:sz w:val="20"/>
                <w:szCs w:val="20"/>
              </w:rPr>
            </w:pPr>
            <w:r>
              <w:rPr>
                <w:rFonts w:eastAsia="Times New Roman"/>
                <w:sz w:val="20"/>
                <w:szCs w:val="20"/>
              </w:rPr>
              <w:t> </w:t>
            </w:r>
          </w:p>
        </w:tc>
      </w:tr>
      <w:tr w:rsidR="00000000" w14:paraId="3ABFD3C1" w14:textId="77777777">
        <w:tc>
          <w:tcPr>
            <w:tcW w:w="0" w:type="auto"/>
            <w:hideMark/>
          </w:tcPr>
          <w:p w14:paraId="2ED6C025"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7F960EB9" w14:textId="77777777" w:rsidR="00000000" w:rsidRDefault="001826C1">
            <w:pPr>
              <w:jc w:val="both"/>
              <w:rPr>
                <w:rFonts w:eastAsia="Times New Roman"/>
                <w:sz w:val="20"/>
                <w:szCs w:val="20"/>
              </w:rPr>
            </w:pPr>
            <w:r>
              <w:rPr>
                <w:rFonts w:eastAsia="Times New Roman"/>
                <w:sz w:val="20"/>
                <w:szCs w:val="20"/>
              </w:rPr>
              <w:t xml:space="preserve">a </w:t>
            </w:r>
            <w:r>
              <w:rPr>
                <w:rFonts w:eastAsia="Times New Roman"/>
                <w:sz w:val="20"/>
                <w:szCs w:val="20"/>
              </w:rPr>
              <w:t>rollback of the expansion of Medicaid or other governmental programs;</w:t>
            </w:r>
          </w:p>
        </w:tc>
      </w:tr>
      <w:tr w:rsidR="00000000" w14:paraId="6311E64D" w14:textId="77777777">
        <w:tc>
          <w:tcPr>
            <w:tcW w:w="0" w:type="auto"/>
            <w:hideMark/>
          </w:tcPr>
          <w:p w14:paraId="6C2B796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ADCC8D8" w14:textId="77777777" w:rsidR="00000000" w:rsidRDefault="001826C1">
            <w:pPr>
              <w:jc w:val="both"/>
              <w:rPr>
                <w:rFonts w:eastAsia="Times New Roman"/>
                <w:sz w:val="20"/>
                <w:szCs w:val="20"/>
              </w:rPr>
            </w:pPr>
            <w:r>
              <w:rPr>
                <w:rFonts w:eastAsia="Times New Roman"/>
                <w:sz w:val="20"/>
                <w:szCs w:val="20"/>
              </w:rPr>
              <w:t> </w:t>
            </w:r>
          </w:p>
        </w:tc>
      </w:tr>
      <w:tr w:rsidR="00000000" w14:paraId="59BA655D" w14:textId="77777777">
        <w:tc>
          <w:tcPr>
            <w:tcW w:w="0" w:type="auto"/>
            <w:hideMark/>
          </w:tcPr>
          <w:p w14:paraId="40BCFE06"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2D6A1528" w14:textId="77777777" w:rsidR="00000000" w:rsidRDefault="001826C1">
            <w:pPr>
              <w:pStyle w:val="a3"/>
              <w:spacing w:before="0" w:beforeAutospacing="0" w:after="0" w:afterAutospacing="0"/>
              <w:jc w:val="both"/>
              <w:rPr>
                <w:sz w:val="20"/>
                <w:szCs w:val="20"/>
              </w:rPr>
            </w:pPr>
            <w:r>
              <w:rPr>
                <w:sz w:val="20"/>
                <w:szCs w:val="20"/>
              </w:rPr>
              <w:t>reduction of customer revenue resulting from increased competition or other changes in the marketplace for physician services;</w:t>
            </w:r>
          </w:p>
        </w:tc>
      </w:tr>
      <w:tr w:rsidR="00000000" w14:paraId="52592C51" w14:textId="77777777">
        <w:tc>
          <w:tcPr>
            <w:tcW w:w="0" w:type="auto"/>
            <w:hideMark/>
          </w:tcPr>
          <w:p w14:paraId="5ECF85B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A498AA8" w14:textId="77777777" w:rsidR="00000000" w:rsidRDefault="001826C1">
            <w:pPr>
              <w:jc w:val="both"/>
              <w:rPr>
                <w:rFonts w:eastAsia="Times New Roman"/>
                <w:sz w:val="20"/>
                <w:szCs w:val="20"/>
              </w:rPr>
            </w:pPr>
            <w:r>
              <w:rPr>
                <w:rFonts w:eastAsia="Times New Roman"/>
                <w:sz w:val="20"/>
                <w:szCs w:val="20"/>
              </w:rPr>
              <w:t> </w:t>
            </w:r>
          </w:p>
        </w:tc>
      </w:tr>
      <w:tr w:rsidR="00000000" w14:paraId="555CA948" w14:textId="77777777">
        <w:tc>
          <w:tcPr>
            <w:tcW w:w="0" w:type="auto"/>
            <w:hideMark/>
          </w:tcPr>
          <w:p w14:paraId="4205FEBC"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7B0A4DEE" w14:textId="77777777" w:rsidR="00000000" w:rsidRDefault="001826C1">
            <w:pPr>
              <w:jc w:val="both"/>
              <w:rPr>
                <w:rFonts w:eastAsia="Times New Roman"/>
                <w:sz w:val="20"/>
                <w:szCs w:val="20"/>
              </w:rPr>
            </w:pPr>
            <w:r>
              <w:rPr>
                <w:rFonts w:eastAsia="Times New Roman"/>
                <w:sz w:val="20"/>
                <w:szCs w:val="20"/>
              </w:rPr>
              <w:t>failure of our customers to adopt or mainta</w:t>
            </w:r>
            <w:r>
              <w:rPr>
                <w:rFonts w:eastAsia="Times New Roman"/>
                <w:sz w:val="20"/>
                <w:szCs w:val="20"/>
              </w:rPr>
              <w:t>in effective business practices;</w:t>
            </w:r>
          </w:p>
        </w:tc>
      </w:tr>
      <w:tr w:rsidR="00000000" w14:paraId="11DF90EA" w14:textId="77777777">
        <w:tc>
          <w:tcPr>
            <w:tcW w:w="0" w:type="auto"/>
            <w:hideMark/>
          </w:tcPr>
          <w:p w14:paraId="5ED718E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CE254E3" w14:textId="77777777" w:rsidR="00000000" w:rsidRDefault="001826C1">
            <w:pPr>
              <w:jc w:val="both"/>
              <w:rPr>
                <w:rFonts w:eastAsia="Times New Roman"/>
                <w:sz w:val="20"/>
                <w:szCs w:val="20"/>
              </w:rPr>
            </w:pPr>
            <w:r>
              <w:rPr>
                <w:rFonts w:eastAsia="Times New Roman"/>
                <w:sz w:val="20"/>
                <w:szCs w:val="20"/>
              </w:rPr>
              <w:t> </w:t>
            </w:r>
          </w:p>
        </w:tc>
      </w:tr>
      <w:tr w:rsidR="00000000" w14:paraId="54525F22" w14:textId="77777777">
        <w:tc>
          <w:tcPr>
            <w:tcW w:w="0" w:type="auto"/>
            <w:hideMark/>
          </w:tcPr>
          <w:p w14:paraId="48C70BA4"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171679FB" w14:textId="77777777" w:rsidR="00000000" w:rsidRDefault="001826C1">
            <w:pPr>
              <w:jc w:val="both"/>
              <w:rPr>
                <w:rFonts w:eastAsia="Times New Roman"/>
                <w:sz w:val="20"/>
                <w:szCs w:val="20"/>
              </w:rPr>
            </w:pPr>
            <w:r>
              <w:rPr>
                <w:rFonts w:eastAsia="Times New Roman"/>
                <w:sz w:val="20"/>
                <w:szCs w:val="20"/>
              </w:rPr>
              <w:t>actions by third-party payers of medical claims to reduce reimbursement;</w:t>
            </w:r>
          </w:p>
        </w:tc>
      </w:tr>
      <w:tr w:rsidR="00000000" w14:paraId="79DA24EA" w14:textId="77777777">
        <w:tc>
          <w:tcPr>
            <w:tcW w:w="0" w:type="auto"/>
            <w:hideMark/>
          </w:tcPr>
          <w:p w14:paraId="77188A1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376A665" w14:textId="77777777" w:rsidR="00000000" w:rsidRDefault="001826C1">
            <w:pPr>
              <w:jc w:val="both"/>
              <w:rPr>
                <w:rFonts w:eastAsia="Times New Roman"/>
                <w:sz w:val="20"/>
                <w:szCs w:val="20"/>
              </w:rPr>
            </w:pPr>
            <w:r>
              <w:rPr>
                <w:rFonts w:eastAsia="Times New Roman"/>
                <w:sz w:val="20"/>
                <w:szCs w:val="20"/>
              </w:rPr>
              <w:t> </w:t>
            </w:r>
          </w:p>
        </w:tc>
      </w:tr>
      <w:tr w:rsidR="00000000" w14:paraId="181DAA78" w14:textId="77777777">
        <w:tc>
          <w:tcPr>
            <w:tcW w:w="0" w:type="auto"/>
            <w:hideMark/>
          </w:tcPr>
          <w:p w14:paraId="40C71600"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30A3D48B" w14:textId="77777777" w:rsidR="00000000" w:rsidRDefault="001826C1">
            <w:pPr>
              <w:jc w:val="both"/>
              <w:rPr>
                <w:rFonts w:eastAsia="Times New Roman"/>
                <w:sz w:val="20"/>
                <w:szCs w:val="20"/>
              </w:rPr>
            </w:pPr>
            <w:r>
              <w:rPr>
                <w:rFonts w:eastAsia="Times New Roman"/>
                <w:sz w:val="20"/>
                <w:szCs w:val="20"/>
              </w:rPr>
              <w:t xml:space="preserve">government </w:t>
            </w:r>
            <w:r>
              <w:rPr>
                <w:rFonts w:eastAsia="Times New Roman"/>
                <w:sz w:val="20"/>
                <w:szCs w:val="20"/>
              </w:rPr>
              <w:t>regulations and government or other payer actions or inaction reducing or delaying reimbursement;</w:t>
            </w:r>
          </w:p>
        </w:tc>
      </w:tr>
      <w:tr w:rsidR="00000000" w14:paraId="2CAA01FE" w14:textId="77777777">
        <w:tc>
          <w:tcPr>
            <w:tcW w:w="0" w:type="auto"/>
            <w:hideMark/>
          </w:tcPr>
          <w:p w14:paraId="45218C7E"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317A1E1" w14:textId="77777777" w:rsidR="00000000" w:rsidRDefault="001826C1">
            <w:pPr>
              <w:jc w:val="both"/>
              <w:rPr>
                <w:rFonts w:eastAsia="Times New Roman"/>
                <w:sz w:val="20"/>
                <w:szCs w:val="20"/>
              </w:rPr>
            </w:pPr>
            <w:r>
              <w:rPr>
                <w:rFonts w:eastAsia="Times New Roman"/>
                <w:sz w:val="20"/>
                <w:szCs w:val="20"/>
              </w:rPr>
              <w:t> </w:t>
            </w:r>
          </w:p>
        </w:tc>
      </w:tr>
      <w:tr w:rsidR="00000000" w14:paraId="5ACA826D" w14:textId="77777777">
        <w:tc>
          <w:tcPr>
            <w:tcW w:w="0" w:type="auto"/>
            <w:hideMark/>
          </w:tcPr>
          <w:p w14:paraId="111B2B2B"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5A53C572" w14:textId="77777777" w:rsidR="00000000" w:rsidRDefault="001826C1">
            <w:pPr>
              <w:jc w:val="both"/>
              <w:rPr>
                <w:rFonts w:eastAsia="Times New Roman"/>
                <w:sz w:val="20"/>
                <w:szCs w:val="20"/>
              </w:rPr>
            </w:pPr>
            <w:r>
              <w:rPr>
                <w:rFonts w:eastAsia="Times New Roman"/>
                <w:sz w:val="20"/>
                <w:szCs w:val="20"/>
              </w:rPr>
              <w:t>interruption of customer access to our system; and</w:t>
            </w:r>
          </w:p>
        </w:tc>
      </w:tr>
      <w:tr w:rsidR="00000000" w14:paraId="718C9ABF" w14:textId="77777777">
        <w:tc>
          <w:tcPr>
            <w:tcW w:w="0" w:type="auto"/>
            <w:hideMark/>
          </w:tcPr>
          <w:p w14:paraId="25FA6B8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2FC3BBE" w14:textId="77777777" w:rsidR="00000000" w:rsidRDefault="001826C1">
            <w:pPr>
              <w:jc w:val="both"/>
              <w:rPr>
                <w:rFonts w:eastAsia="Times New Roman"/>
                <w:sz w:val="20"/>
                <w:szCs w:val="20"/>
              </w:rPr>
            </w:pPr>
            <w:r>
              <w:rPr>
                <w:rFonts w:eastAsia="Times New Roman"/>
                <w:sz w:val="20"/>
                <w:szCs w:val="20"/>
              </w:rPr>
              <w:t> </w:t>
            </w:r>
          </w:p>
        </w:tc>
      </w:tr>
      <w:tr w:rsidR="00000000" w14:paraId="70ED2312" w14:textId="77777777">
        <w:tc>
          <w:tcPr>
            <w:tcW w:w="0" w:type="auto"/>
            <w:hideMark/>
          </w:tcPr>
          <w:p w14:paraId="3A199077"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01C80179" w14:textId="77777777" w:rsidR="00000000" w:rsidRDefault="001826C1">
            <w:pPr>
              <w:jc w:val="both"/>
              <w:rPr>
                <w:rFonts w:eastAsia="Times New Roman"/>
                <w:sz w:val="20"/>
                <w:szCs w:val="20"/>
              </w:rPr>
            </w:pPr>
            <w:r>
              <w:rPr>
                <w:rFonts w:eastAsia="Times New Roman"/>
                <w:sz w:val="20"/>
                <w:szCs w:val="20"/>
              </w:rPr>
              <w:t>our failure to provide services in a timely or high-quality manner.</w:t>
            </w:r>
          </w:p>
        </w:tc>
      </w:tr>
    </w:tbl>
    <w:p w14:paraId="54675882" w14:textId="77777777" w:rsidR="00000000" w:rsidRDefault="001826C1">
      <w:pPr>
        <w:pStyle w:val="a3"/>
        <w:spacing w:before="0" w:beforeAutospacing="0" w:after="0" w:afterAutospacing="0"/>
        <w:ind w:left="360" w:hanging="36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F092E7F" w14:textId="77777777">
        <w:trPr>
          <w:divId w:val="211814853"/>
        </w:trPr>
        <w:tc>
          <w:tcPr>
            <w:tcW w:w="5000" w:type="pct"/>
            <w:hideMark/>
          </w:tcPr>
          <w:p w14:paraId="1BBB6472"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0B0FC446" w14:textId="77777777">
        <w:tc>
          <w:tcPr>
            <w:tcW w:w="5000" w:type="pct"/>
            <w:hideMark/>
          </w:tcPr>
          <w:p w14:paraId="1E49AA1C" w14:textId="77777777" w:rsidR="00000000" w:rsidRDefault="001826C1">
            <w:pPr>
              <w:jc w:val="center"/>
              <w:rPr>
                <w:rFonts w:eastAsia="Times New Roman"/>
                <w:sz w:val="20"/>
                <w:szCs w:val="20"/>
              </w:rPr>
            </w:pPr>
            <w:r>
              <w:rPr>
                <w:rFonts w:eastAsia="Times New Roman"/>
                <w:sz w:val="20"/>
                <w:szCs w:val="20"/>
              </w:rPr>
              <w:t> </w:t>
            </w:r>
          </w:p>
        </w:tc>
      </w:tr>
    </w:tbl>
    <w:p w14:paraId="76E96B92" w14:textId="77777777" w:rsidR="00000000" w:rsidRDefault="001826C1">
      <w:pPr>
        <w:pStyle w:val="a3"/>
        <w:spacing w:before="0" w:beforeAutospacing="0" w:after="0" w:afterAutospacing="0"/>
        <w:rPr>
          <w:sz w:val="20"/>
          <w:szCs w:val="20"/>
        </w:rPr>
      </w:pPr>
      <w:r>
        <w:rPr>
          <w:b/>
          <w:bCs/>
          <w:i/>
          <w:iCs/>
          <w:sz w:val="20"/>
          <w:szCs w:val="20"/>
        </w:rPr>
        <w:t> </w:t>
      </w:r>
    </w:p>
    <w:p w14:paraId="73D0BE71" w14:textId="77777777" w:rsidR="00000000" w:rsidRDefault="001826C1">
      <w:pPr>
        <w:pStyle w:val="a3"/>
        <w:spacing w:before="0" w:beforeAutospacing="0" w:after="0" w:afterAutospacing="0"/>
        <w:jc w:val="both"/>
        <w:rPr>
          <w:sz w:val="20"/>
          <w:szCs w:val="20"/>
        </w:rPr>
      </w:pPr>
      <w:r>
        <w:rPr>
          <w:b/>
          <w:bCs/>
          <w:i/>
          <w:iCs/>
          <w:sz w:val="20"/>
          <w:szCs w:val="20"/>
        </w:rPr>
        <w:t xml:space="preserve">We </w:t>
      </w:r>
      <w:r>
        <w:rPr>
          <w:b/>
          <w:bCs/>
          <w:i/>
          <w:iCs/>
          <w:sz w:val="20"/>
          <w:szCs w:val="20"/>
        </w:rPr>
        <w:t>have incurred operating losses and net losses, and we may not be able to achieve or subsequently maintain profitability in the future.</w:t>
      </w:r>
    </w:p>
    <w:p w14:paraId="2A26DF60" w14:textId="77777777" w:rsidR="00000000" w:rsidRDefault="001826C1">
      <w:pPr>
        <w:pStyle w:val="a3"/>
        <w:spacing w:before="0" w:beforeAutospacing="0" w:after="0" w:afterAutospacing="0"/>
        <w:jc w:val="both"/>
        <w:rPr>
          <w:sz w:val="20"/>
          <w:szCs w:val="20"/>
        </w:rPr>
      </w:pPr>
      <w:r>
        <w:rPr>
          <w:sz w:val="20"/>
          <w:szCs w:val="20"/>
        </w:rPr>
        <w:t> </w:t>
      </w:r>
    </w:p>
    <w:p w14:paraId="30543620" w14:textId="77777777" w:rsidR="00000000" w:rsidRDefault="001826C1">
      <w:pPr>
        <w:pStyle w:val="a3"/>
        <w:spacing w:before="0" w:beforeAutospacing="0" w:after="0" w:afterAutospacing="0"/>
        <w:jc w:val="both"/>
        <w:rPr>
          <w:sz w:val="20"/>
          <w:szCs w:val="20"/>
        </w:rPr>
      </w:pPr>
      <w:r>
        <w:rPr>
          <w:sz w:val="20"/>
          <w:szCs w:val="20"/>
        </w:rPr>
        <w:t>We incurred net losses of approximately $872,000 and $2.1 million for the years ended December 31, 2019 and 2018, respe</w:t>
      </w:r>
      <w:r>
        <w:rPr>
          <w:sz w:val="20"/>
          <w:szCs w:val="20"/>
        </w:rPr>
        <w:t>ctively. Our net loss for the years ended December 31, 2019 and 2018 includes approximately $1.9 million and $1.8 million of non-cash amortization expense of purchased intangible assets, respectively.</w:t>
      </w:r>
    </w:p>
    <w:p w14:paraId="29AD31B5" w14:textId="77777777" w:rsidR="00000000" w:rsidRDefault="001826C1">
      <w:pPr>
        <w:pStyle w:val="a3"/>
        <w:spacing w:before="0" w:beforeAutospacing="0" w:after="0" w:afterAutospacing="0"/>
        <w:jc w:val="both"/>
        <w:rPr>
          <w:sz w:val="20"/>
          <w:szCs w:val="20"/>
        </w:rPr>
      </w:pPr>
      <w:r>
        <w:rPr>
          <w:sz w:val="20"/>
          <w:szCs w:val="20"/>
        </w:rPr>
        <w:t> </w:t>
      </w:r>
    </w:p>
    <w:p w14:paraId="7458BC8D" w14:textId="77777777" w:rsidR="00000000" w:rsidRDefault="001826C1">
      <w:pPr>
        <w:pStyle w:val="a3"/>
        <w:spacing w:before="0" w:beforeAutospacing="0" w:after="0" w:afterAutospacing="0"/>
        <w:jc w:val="both"/>
        <w:rPr>
          <w:sz w:val="20"/>
          <w:szCs w:val="20"/>
        </w:rPr>
      </w:pPr>
      <w:r>
        <w:rPr>
          <w:sz w:val="20"/>
          <w:szCs w:val="20"/>
        </w:rPr>
        <w:t>We may not succeed in achieving the efficiencies we a</w:t>
      </w:r>
      <w:r>
        <w:rPr>
          <w:sz w:val="20"/>
          <w:szCs w:val="20"/>
        </w:rPr>
        <w:t>nticipate from our acquisitions and possible future acquisitions, including moving sufficient labor to our offshore locations to offset increased costs resulting from these acquisitions, and we may continue to incur losses in future periods. We expect to i</w:t>
      </w:r>
      <w:r>
        <w:rPr>
          <w:sz w:val="20"/>
          <w:szCs w:val="20"/>
        </w:rPr>
        <w:t xml:space="preserve">ncur additional operating expenses as a public company and we intend to continue to increase our operating expenses as we grow our business. We also expect to continue to make investments in our proprietary technology, sales and marketing, infrastructure, </w:t>
      </w:r>
      <w:r>
        <w:rPr>
          <w:sz w:val="20"/>
          <w:szCs w:val="20"/>
        </w:rPr>
        <w:t>facilities and other resources as we seek to grow, thereby incurring additional costs. If we are unable to generate adequate revenue growth and manage our expenses, we may continue to incur losses in the future and may not be able to achieve or maintain pr</w:t>
      </w:r>
      <w:r>
        <w:rPr>
          <w:sz w:val="20"/>
          <w:szCs w:val="20"/>
        </w:rPr>
        <w:t>ofitability.</w:t>
      </w:r>
    </w:p>
    <w:p w14:paraId="0B465839" w14:textId="77777777" w:rsidR="00000000" w:rsidRDefault="001826C1">
      <w:pPr>
        <w:pStyle w:val="a3"/>
        <w:spacing w:before="0" w:beforeAutospacing="0" w:after="0" w:afterAutospacing="0"/>
        <w:jc w:val="both"/>
        <w:rPr>
          <w:sz w:val="20"/>
          <w:szCs w:val="20"/>
        </w:rPr>
      </w:pPr>
      <w:r>
        <w:rPr>
          <w:sz w:val="20"/>
          <w:szCs w:val="20"/>
        </w:rPr>
        <w:t> </w:t>
      </w:r>
    </w:p>
    <w:p w14:paraId="24B344DF" w14:textId="77777777" w:rsidR="00000000" w:rsidRDefault="001826C1">
      <w:pPr>
        <w:pStyle w:val="a3"/>
        <w:spacing w:before="0" w:beforeAutospacing="0" w:after="0" w:afterAutospacing="0"/>
        <w:jc w:val="both"/>
        <w:rPr>
          <w:sz w:val="20"/>
          <w:szCs w:val="20"/>
        </w:rPr>
      </w:pPr>
      <w:r>
        <w:rPr>
          <w:b/>
          <w:bCs/>
          <w:i/>
          <w:iCs/>
          <w:sz w:val="20"/>
          <w:szCs w:val="20"/>
        </w:rPr>
        <w:t>Member participation in our Group Purchasing Organization (“GPO”) programs may be terminated with limited or no notice and without significant termination payments. If our members reduce activity levels or terminate or elect not to renew the</w:t>
      </w:r>
      <w:r>
        <w:rPr>
          <w:b/>
          <w:bCs/>
          <w:i/>
          <w:iCs/>
          <w:sz w:val="20"/>
          <w:szCs w:val="20"/>
        </w:rPr>
        <w:t>ir contracts, our revenue and results of operations may decrease.</w:t>
      </w:r>
    </w:p>
    <w:p w14:paraId="0C65E167" w14:textId="77777777" w:rsidR="00000000" w:rsidRDefault="001826C1">
      <w:pPr>
        <w:pStyle w:val="a3"/>
        <w:spacing w:before="0" w:beforeAutospacing="0" w:after="0" w:afterAutospacing="0"/>
        <w:jc w:val="both"/>
        <w:rPr>
          <w:sz w:val="20"/>
          <w:szCs w:val="20"/>
        </w:rPr>
      </w:pPr>
      <w:r>
        <w:rPr>
          <w:b/>
          <w:bCs/>
          <w:i/>
          <w:iCs/>
          <w:sz w:val="20"/>
          <w:szCs w:val="20"/>
        </w:rPr>
        <w:t> </w:t>
      </w:r>
    </w:p>
    <w:p w14:paraId="3B84DD59" w14:textId="77777777" w:rsidR="00000000" w:rsidRDefault="001826C1">
      <w:pPr>
        <w:pStyle w:val="a3"/>
        <w:spacing w:before="0" w:beforeAutospacing="0" w:after="0" w:afterAutospacing="0"/>
        <w:jc w:val="both"/>
        <w:rPr>
          <w:sz w:val="20"/>
          <w:szCs w:val="20"/>
        </w:rPr>
      </w:pPr>
      <w:r>
        <w:rPr>
          <w:sz w:val="20"/>
          <w:szCs w:val="20"/>
        </w:rPr>
        <w:t>As part of the Orion acquisition in 2018, we acquired GPO program relationships. The GPO participation agreements are generally for an initial two-year term, and the option to renew for ad</w:t>
      </w:r>
      <w:r>
        <w:rPr>
          <w:sz w:val="20"/>
          <w:szCs w:val="20"/>
        </w:rPr>
        <w:t>ditional one-year terms. The GPO participation agreements are generally terminable by either party by providing written notice to the other.</w:t>
      </w:r>
    </w:p>
    <w:p w14:paraId="732C6A42" w14:textId="77777777" w:rsidR="00000000" w:rsidRDefault="001826C1">
      <w:pPr>
        <w:pStyle w:val="a3"/>
        <w:spacing w:before="0" w:beforeAutospacing="0" w:after="0" w:afterAutospacing="0"/>
        <w:jc w:val="both"/>
        <w:rPr>
          <w:sz w:val="20"/>
          <w:szCs w:val="20"/>
        </w:rPr>
      </w:pPr>
      <w:r>
        <w:rPr>
          <w:sz w:val="20"/>
          <w:szCs w:val="20"/>
        </w:rPr>
        <w:t> </w:t>
      </w:r>
    </w:p>
    <w:p w14:paraId="09F55865" w14:textId="77777777" w:rsidR="00000000" w:rsidRDefault="001826C1">
      <w:pPr>
        <w:pStyle w:val="a3"/>
        <w:spacing w:before="0" w:beforeAutospacing="0" w:after="0" w:afterAutospacing="0"/>
        <w:jc w:val="both"/>
        <w:rPr>
          <w:sz w:val="20"/>
          <w:szCs w:val="20"/>
        </w:rPr>
      </w:pPr>
      <w:r>
        <w:rPr>
          <w:sz w:val="20"/>
          <w:szCs w:val="20"/>
        </w:rPr>
        <w:t>There can be no assurance that the members will extend or renew their GPO participation agreements. Failure of th</w:t>
      </w:r>
      <w:r>
        <w:rPr>
          <w:sz w:val="20"/>
          <w:szCs w:val="20"/>
        </w:rPr>
        <w:t>ese members to renew their GPO participation agreements may have a small impact on our revenue and results of operations.</w:t>
      </w:r>
    </w:p>
    <w:p w14:paraId="244CDC41" w14:textId="77777777" w:rsidR="00000000" w:rsidRDefault="001826C1">
      <w:pPr>
        <w:pStyle w:val="a3"/>
        <w:spacing w:before="0" w:beforeAutospacing="0" w:after="0" w:afterAutospacing="0"/>
        <w:jc w:val="both"/>
        <w:rPr>
          <w:sz w:val="20"/>
          <w:szCs w:val="20"/>
        </w:rPr>
      </w:pPr>
      <w:r>
        <w:rPr>
          <w:sz w:val="20"/>
          <w:szCs w:val="20"/>
        </w:rPr>
        <w:t> </w:t>
      </w:r>
    </w:p>
    <w:p w14:paraId="33AA80FB" w14:textId="77777777" w:rsidR="00000000" w:rsidRDefault="001826C1">
      <w:pPr>
        <w:pStyle w:val="a3"/>
        <w:spacing w:before="0" w:beforeAutospacing="0" w:after="0" w:afterAutospacing="0"/>
        <w:jc w:val="both"/>
        <w:rPr>
          <w:sz w:val="20"/>
          <w:szCs w:val="20"/>
        </w:rPr>
      </w:pPr>
      <w:r>
        <w:rPr>
          <w:sz w:val="20"/>
          <w:szCs w:val="20"/>
        </w:rPr>
        <w:t>Our success in retaining member participation in our GPO program depends upon our reputation, strong relationships with such members</w:t>
      </w:r>
      <w:r>
        <w:rPr>
          <w:sz w:val="20"/>
          <w:szCs w:val="20"/>
        </w:rPr>
        <w:t xml:space="preserve"> and our ability to deliver consistent, reliable and high quality products and services; a failure in any of these areas may result in the loss of members. In addition, members may seek to reduce, cancel or elect not to renew their contracts due to factors</w:t>
      </w:r>
      <w:r>
        <w:rPr>
          <w:sz w:val="20"/>
          <w:szCs w:val="20"/>
        </w:rPr>
        <w:t xml:space="preserve"> that are beyond our control and are unrelated to our performance, including their business or financial condition, changes in their strategies or business plans, their acquisition, or economic conditions in general. When contracts are reduced, canceled or</w:t>
      </w:r>
      <w:r>
        <w:rPr>
          <w:sz w:val="20"/>
          <w:szCs w:val="20"/>
        </w:rPr>
        <w:t xml:space="preserve"> not renewed for any reason, we lose the anticipated future revenue associated with such contracts and consequently, our revenue and results of operations may decrease.</w:t>
      </w:r>
    </w:p>
    <w:p w14:paraId="2F22EF15" w14:textId="77777777" w:rsidR="00000000" w:rsidRDefault="001826C1">
      <w:pPr>
        <w:pStyle w:val="a3"/>
        <w:spacing w:before="0" w:beforeAutospacing="0" w:after="0" w:afterAutospacing="0"/>
        <w:jc w:val="both"/>
        <w:rPr>
          <w:sz w:val="20"/>
          <w:szCs w:val="20"/>
        </w:rPr>
      </w:pPr>
      <w:r>
        <w:rPr>
          <w:sz w:val="20"/>
          <w:szCs w:val="20"/>
        </w:rPr>
        <w:t> </w:t>
      </w:r>
    </w:p>
    <w:p w14:paraId="6A3AC08F" w14:textId="77777777" w:rsidR="00000000" w:rsidRDefault="001826C1">
      <w:pPr>
        <w:pStyle w:val="a3"/>
        <w:spacing w:before="0" w:beforeAutospacing="0" w:after="0" w:afterAutospacing="0"/>
        <w:jc w:val="both"/>
        <w:rPr>
          <w:sz w:val="20"/>
          <w:szCs w:val="20"/>
        </w:rPr>
      </w:pPr>
      <w:r>
        <w:rPr>
          <w:b/>
          <w:bCs/>
          <w:i/>
          <w:iCs/>
          <w:sz w:val="20"/>
          <w:szCs w:val="20"/>
        </w:rPr>
        <w:t>We rely on the administrative fees we receive from our GPO suppliers, and the failure</w:t>
      </w:r>
      <w:r>
        <w:rPr>
          <w:b/>
          <w:bCs/>
          <w:i/>
          <w:iCs/>
          <w:sz w:val="20"/>
          <w:szCs w:val="20"/>
        </w:rPr>
        <w:t xml:space="preserve"> to maintain contracts with these GPO suppliers could have a generally negative effect on our relationships with our members and could affect our business, financial condition and results of operations. </w:t>
      </w:r>
    </w:p>
    <w:p w14:paraId="6AFA162C" w14:textId="77777777" w:rsidR="00000000" w:rsidRDefault="001826C1">
      <w:pPr>
        <w:pStyle w:val="a3"/>
        <w:spacing w:before="0" w:beforeAutospacing="0" w:after="0" w:afterAutospacing="0"/>
        <w:jc w:val="both"/>
        <w:rPr>
          <w:sz w:val="20"/>
          <w:szCs w:val="20"/>
        </w:rPr>
      </w:pPr>
      <w:r>
        <w:rPr>
          <w:b/>
          <w:bCs/>
          <w:i/>
          <w:iCs/>
          <w:sz w:val="20"/>
          <w:szCs w:val="20"/>
        </w:rPr>
        <w:t> </w:t>
      </w:r>
    </w:p>
    <w:p w14:paraId="1731893A" w14:textId="77777777" w:rsidR="00000000" w:rsidRDefault="001826C1">
      <w:pPr>
        <w:pStyle w:val="a3"/>
        <w:spacing w:before="0" w:beforeAutospacing="0" w:after="0" w:afterAutospacing="0"/>
        <w:jc w:val="both"/>
        <w:rPr>
          <w:sz w:val="20"/>
          <w:szCs w:val="20"/>
        </w:rPr>
      </w:pPr>
      <w:r>
        <w:rPr>
          <w:sz w:val="20"/>
          <w:szCs w:val="20"/>
        </w:rPr>
        <w:t>We derive some of our revenue from the administrat</w:t>
      </w:r>
      <w:r>
        <w:rPr>
          <w:sz w:val="20"/>
          <w:szCs w:val="20"/>
        </w:rPr>
        <w:t>ive fees that we receive from our GPO suppliers. We maintain contractual relationships with these suppliers which provide products and services to our members at reduced costs and which pay us administrative fees based on the dollars spent by our members f</w:t>
      </w:r>
      <w:r>
        <w:rPr>
          <w:sz w:val="20"/>
          <w:szCs w:val="20"/>
        </w:rPr>
        <w:t>or such products and services. Our contracts with these GPO suppliers generally may be terminated upon 90 days’ notice. A termination of any relationship or agreement with a GPO supplier would result in the loss of administrative fees. In addition, if we l</w:t>
      </w:r>
      <w:r>
        <w:rPr>
          <w:sz w:val="20"/>
          <w:szCs w:val="20"/>
        </w:rPr>
        <w:t>ose a relationship with a GPO supplier, we may not be able to negotiate similar arrangements for our members and our ability to maintain our member agreements may be impacted.</w:t>
      </w:r>
    </w:p>
    <w:p w14:paraId="626A37A1" w14:textId="77777777" w:rsidR="00000000" w:rsidRDefault="001826C1">
      <w:pPr>
        <w:pStyle w:val="a3"/>
        <w:spacing w:before="0" w:beforeAutospacing="0" w:after="0" w:afterAutospacing="0"/>
        <w:jc w:val="both"/>
        <w:rPr>
          <w:sz w:val="20"/>
          <w:szCs w:val="20"/>
        </w:rPr>
      </w:pPr>
      <w:r>
        <w:rPr>
          <w:sz w:val="20"/>
          <w:szCs w:val="20"/>
        </w:rPr>
        <w:t> </w:t>
      </w:r>
    </w:p>
    <w:p w14:paraId="1FE51938" w14:textId="77777777" w:rsidR="00000000" w:rsidRDefault="001826C1">
      <w:pPr>
        <w:pStyle w:val="a3"/>
        <w:spacing w:before="0" w:beforeAutospacing="0" w:after="0" w:afterAutospacing="0"/>
        <w:jc w:val="both"/>
        <w:rPr>
          <w:sz w:val="20"/>
          <w:szCs w:val="20"/>
        </w:rPr>
      </w:pPr>
      <w:r>
        <w:rPr>
          <w:b/>
          <w:bCs/>
          <w:i/>
          <w:iCs/>
          <w:sz w:val="20"/>
          <w:szCs w:val="20"/>
        </w:rPr>
        <w:t xml:space="preserve">As </w:t>
      </w:r>
      <w:r>
        <w:rPr>
          <w:b/>
          <w:bCs/>
          <w:i/>
          <w:iCs/>
          <w:sz w:val="20"/>
          <w:szCs w:val="20"/>
        </w:rPr>
        <w:t>a result of our variable sales and implementation cycles, we may be unable to recognize revenue from prospective customers on a timely basis and we may not be able to offset expenditures.</w:t>
      </w:r>
    </w:p>
    <w:p w14:paraId="33054B3E" w14:textId="77777777" w:rsidR="00000000" w:rsidRDefault="001826C1">
      <w:pPr>
        <w:pStyle w:val="a3"/>
        <w:spacing w:before="0" w:beforeAutospacing="0" w:after="0" w:afterAutospacing="0"/>
        <w:jc w:val="both"/>
        <w:rPr>
          <w:sz w:val="20"/>
          <w:szCs w:val="20"/>
        </w:rPr>
      </w:pPr>
      <w:r>
        <w:rPr>
          <w:sz w:val="20"/>
          <w:szCs w:val="20"/>
        </w:rPr>
        <w:t> </w:t>
      </w:r>
    </w:p>
    <w:p w14:paraId="6D245174" w14:textId="77777777" w:rsidR="00000000" w:rsidRDefault="001826C1">
      <w:pPr>
        <w:pStyle w:val="a3"/>
        <w:spacing w:before="0" w:beforeAutospacing="0" w:after="0" w:afterAutospacing="0"/>
        <w:jc w:val="both"/>
        <w:rPr>
          <w:sz w:val="20"/>
          <w:szCs w:val="20"/>
        </w:rPr>
      </w:pPr>
      <w:r>
        <w:rPr>
          <w:sz w:val="20"/>
          <w:szCs w:val="20"/>
        </w:rPr>
        <w:t>The sales cycle for our services can be variable, typically rangin</w:t>
      </w:r>
      <w:r>
        <w:rPr>
          <w:sz w:val="20"/>
          <w:szCs w:val="20"/>
        </w:rPr>
        <w:t>g from two to four months from initial contact with a potential customer to contract execution, although this period can be substantially longer. During the sales cycle, we expend time and resources in an attempt to obtain a customer without recognizing re</w:t>
      </w:r>
      <w:r>
        <w:rPr>
          <w:sz w:val="20"/>
          <w:szCs w:val="20"/>
        </w:rPr>
        <w:t>venue from that customer to offset such expenditures. Our implementation cycle is also variable, typically ranging from two to four months from contract execution to completion of implementation. Each customer’s situation is different, and unanticipated di</w:t>
      </w:r>
      <w:r>
        <w:rPr>
          <w:sz w:val="20"/>
          <w:szCs w:val="20"/>
        </w:rPr>
        <w:t>fficulties and delays may arise as a result of a failure by us or by the customer to meet our respective implementation responsibilities. During the implementation cycle, we expend substantial time, effort, and financial resources implementing our services</w:t>
      </w:r>
      <w:r>
        <w:rPr>
          <w:sz w:val="20"/>
          <w:szCs w:val="20"/>
        </w:rPr>
        <w:t xml:space="preserve"> without recognizing revenue. Even following implementation, there can be no assurance that we will recognize revenue on a timely basis or at all from our efforts. In addition, cancellation of any implementation after it has begun may involve loss to us of</w:t>
      </w:r>
      <w:r>
        <w:rPr>
          <w:sz w:val="20"/>
          <w:szCs w:val="20"/>
        </w:rPr>
        <w:t xml:space="preserve"> time, effort, and expenses invested in the canceled implementation process, and lost opportunity for implementing paying customers in that same period of time.</w:t>
      </w:r>
    </w:p>
    <w:p w14:paraId="2555B75E"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2EED3D4" w14:textId="77777777">
        <w:trPr>
          <w:divId w:val="1287810048"/>
        </w:trPr>
        <w:tc>
          <w:tcPr>
            <w:tcW w:w="5000" w:type="pct"/>
            <w:hideMark/>
          </w:tcPr>
          <w:p w14:paraId="64685E19"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330E17AB" w14:textId="77777777">
        <w:tc>
          <w:tcPr>
            <w:tcW w:w="5000" w:type="pct"/>
            <w:hideMark/>
          </w:tcPr>
          <w:p w14:paraId="6F413152" w14:textId="77777777" w:rsidR="00000000" w:rsidRDefault="001826C1">
            <w:pPr>
              <w:jc w:val="center"/>
              <w:rPr>
                <w:rFonts w:eastAsia="Times New Roman"/>
                <w:sz w:val="20"/>
                <w:szCs w:val="20"/>
              </w:rPr>
            </w:pPr>
            <w:r>
              <w:rPr>
                <w:rFonts w:eastAsia="Times New Roman"/>
                <w:sz w:val="20"/>
                <w:szCs w:val="20"/>
              </w:rPr>
              <w:t> </w:t>
            </w:r>
          </w:p>
        </w:tc>
      </w:tr>
    </w:tbl>
    <w:p w14:paraId="3EAEBEC8" w14:textId="77777777" w:rsidR="00000000" w:rsidRDefault="001826C1">
      <w:pPr>
        <w:pStyle w:val="a3"/>
        <w:spacing w:before="0" w:beforeAutospacing="0" w:after="0" w:afterAutospacing="0"/>
        <w:rPr>
          <w:sz w:val="20"/>
          <w:szCs w:val="20"/>
        </w:rPr>
      </w:pPr>
      <w:r>
        <w:rPr>
          <w:b/>
          <w:bCs/>
          <w:i/>
          <w:iCs/>
          <w:sz w:val="20"/>
          <w:szCs w:val="20"/>
        </w:rPr>
        <w:t> </w:t>
      </w:r>
    </w:p>
    <w:p w14:paraId="50D9D952" w14:textId="77777777" w:rsidR="00000000" w:rsidRDefault="001826C1">
      <w:pPr>
        <w:pStyle w:val="a3"/>
        <w:spacing w:before="0" w:beforeAutospacing="0" w:after="0" w:afterAutospacing="0"/>
        <w:jc w:val="both"/>
        <w:rPr>
          <w:sz w:val="20"/>
          <w:szCs w:val="20"/>
        </w:rPr>
      </w:pPr>
      <w:r>
        <w:rPr>
          <w:b/>
          <w:bCs/>
          <w:i/>
          <w:iCs/>
          <w:sz w:val="20"/>
          <w:szCs w:val="20"/>
        </w:rPr>
        <w:t xml:space="preserve">As </w:t>
      </w:r>
      <w:r>
        <w:rPr>
          <w:b/>
          <w:bCs/>
          <w:i/>
          <w:iCs/>
          <w:sz w:val="20"/>
          <w:szCs w:val="20"/>
        </w:rPr>
        <w:t>a result of the Wayfair decision and changes in various states’ laws, we are required to collect sales and use taxes on certain products and services we sell in certain jurisdictions. We may be subject to liability for past sales and incur additional relat</w:t>
      </w:r>
      <w:r>
        <w:rPr>
          <w:b/>
          <w:bCs/>
          <w:i/>
          <w:iCs/>
          <w:sz w:val="20"/>
          <w:szCs w:val="20"/>
        </w:rPr>
        <w:t>ed costs and expenses, and our future sales may decrease.</w:t>
      </w:r>
    </w:p>
    <w:p w14:paraId="5072F063" w14:textId="77777777" w:rsidR="00000000" w:rsidRDefault="001826C1">
      <w:pPr>
        <w:pStyle w:val="a3"/>
        <w:spacing w:before="0" w:beforeAutospacing="0" w:after="0" w:afterAutospacing="0"/>
        <w:jc w:val="both"/>
        <w:rPr>
          <w:sz w:val="20"/>
          <w:szCs w:val="20"/>
        </w:rPr>
      </w:pPr>
      <w:r>
        <w:rPr>
          <w:sz w:val="20"/>
          <w:szCs w:val="20"/>
        </w:rPr>
        <w:t> </w:t>
      </w:r>
    </w:p>
    <w:p w14:paraId="647CD862" w14:textId="77777777" w:rsidR="00000000" w:rsidRDefault="001826C1">
      <w:pPr>
        <w:pStyle w:val="a3"/>
        <w:spacing w:before="0" w:beforeAutospacing="0" w:after="0" w:afterAutospacing="0"/>
        <w:jc w:val="both"/>
        <w:rPr>
          <w:sz w:val="20"/>
          <w:szCs w:val="20"/>
        </w:rPr>
      </w:pPr>
      <w:r>
        <w:rPr>
          <w:sz w:val="20"/>
          <w:szCs w:val="20"/>
        </w:rPr>
        <w:t>We may lose sales or incur significant expenses should states be successful in imposing additional state sales and use taxes on our products and services. A successful assertion by one or more sta</w:t>
      </w:r>
      <w:r>
        <w:rPr>
          <w:sz w:val="20"/>
          <w:szCs w:val="20"/>
        </w:rPr>
        <w:t>tes that we should collect sales or other taxes on the sale of our products and services that we are currently not collecting could result in substantial tax liabilities for past sales, decrease our ability to compete with healthcare IT vendors not subject</w:t>
      </w:r>
      <w:r>
        <w:rPr>
          <w:sz w:val="20"/>
          <w:szCs w:val="20"/>
        </w:rPr>
        <w:t xml:space="preserve"> to sales and use taxes, and otherwise harm our business. Each state has different rules and regulations governing sales and use taxes, and these rules and regulations are subject to varying interpretations that may change over time. We review these rules </w:t>
      </w:r>
      <w:r>
        <w:rPr>
          <w:sz w:val="20"/>
          <w:szCs w:val="20"/>
        </w:rPr>
        <w:t>and regulations periodically and, when we believe that our products or services are subject to sales and use taxes in a particular state, we voluntarily approach state tax authorities in order to determine how to comply with their rules and regulations. We</w:t>
      </w:r>
      <w:r>
        <w:rPr>
          <w:sz w:val="20"/>
          <w:szCs w:val="20"/>
        </w:rPr>
        <w:t xml:space="preserve"> cannot assure you that we will not be subject to sales and use taxes or related penalties for past sales in states where we believe no compliance is necessary.</w:t>
      </w:r>
    </w:p>
    <w:p w14:paraId="24862050" w14:textId="77777777" w:rsidR="00000000" w:rsidRDefault="001826C1">
      <w:pPr>
        <w:pStyle w:val="a3"/>
        <w:spacing w:before="0" w:beforeAutospacing="0" w:after="0" w:afterAutospacing="0"/>
        <w:jc w:val="both"/>
        <w:rPr>
          <w:sz w:val="20"/>
          <w:szCs w:val="20"/>
        </w:rPr>
      </w:pPr>
      <w:r>
        <w:rPr>
          <w:sz w:val="20"/>
          <w:szCs w:val="20"/>
        </w:rPr>
        <w:t> </w:t>
      </w:r>
    </w:p>
    <w:p w14:paraId="48926871" w14:textId="77777777" w:rsidR="00000000" w:rsidRDefault="001826C1">
      <w:pPr>
        <w:pStyle w:val="a3"/>
        <w:spacing w:before="0" w:beforeAutospacing="0" w:after="0" w:afterAutospacing="0"/>
        <w:jc w:val="both"/>
        <w:rPr>
          <w:sz w:val="20"/>
          <w:szCs w:val="20"/>
        </w:rPr>
      </w:pPr>
      <w:r>
        <w:rPr>
          <w:sz w:val="20"/>
          <w:szCs w:val="20"/>
        </w:rPr>
        <w:t>If the federal government were to impose a tax on imports or services performed abroad, we mi</w:t>
      </w:r>
      <w:r>
        <w:rPr>
          <w:sz w:val="20"/>
          <w:szCs w:val="20"/>
        </w:rPr>
        <w:t>ght be subject to additional liabilities. At this time, there is no way to predict whether this will occur or estimate the impact on our business.</w:t>
      </w:r>
    </w:p>
    <w:p w14:paraId="33BD868D" w14:textId="77777777" w:rsidR="00000000" w:rsidRDefault="001826C1">
      <w:pPr>
        <w:pStyle w:val="a3"/>
        <w:spacing w:before="0" w:beforeAutospacing="0" w:after="0" w:afterAutospacing="0"/>
        <w:jc w:val="both"/>
        <w:rPr>
          <w:sz w:val="20"/>
          <w:szCs w:val="20"/>
        </w:rPr>
      </w:pPr>
      <w:r>
        <w:rPr>
          <w:sz w:val="20"/>
          <w:szCs w:val="20"/>
        </w:rPr>
        <w:t> </w:t>
      </w:r>
    </w:p>
    <w:p w14:paraId="08DF9E5A" w14:textId="77777777" w:rsidR="00000000" w:rsidRDefault="001826C1">
      <w:pPr>
        <w:pStyle w:val="a3"/>
        <w:spacing w:before="0" w:beforeAutospacing="0" w:after="0" w:afterAutospacing="0"/>
        <w:jc w:val="both"/>
        <w:rPr>
          <w:sz w:val="20"/>
          <w:szCs w:val="20"/>
        </w:rPr>
      </w:pPr>
      <w:r>
        <w:rPr>
          <w:sz w:val="20"/>
          <w:szCs w:val="20"/>
        </w:rPr>
        <w:t>Vendors of products and services like us are typically held responsible by taxing authorities for the colle</w:t>
      </w:r>
      <w:r>
        <w:rPr>
          <w:sz w:val="20"/>
          <w:szCs w:val="20"/>
        </w:rPr>
        <w:t>ction and payment of any applicable sales and similar taxes. If one or more taxing authorities determines that taxes should have, but have not, been paid with respect to our products or services, we may be liable for past taxes in addition to taxes going f</w:t>
      </w:r>
      <w:r>
        <w:rPr>
          <w:sz w:val="20"/>
          <w:szCs w:val="20"/>
        </w:rPr>
        <w:t>orward. Liability for past taxes may also include very substantial interest and penalty charges. Nevertheless, customers may be reluctant to pay back taxes and may refuse responsibility for interest or penalties associated with those taxes. If we are requi</w:t>
      </w:r>
      <w:r>
        <w:rPr>
          <w:sz w:val="20"/>
          <w:szCs w:val="20"/>
        </w:rPr>
        <w:t>red to collect and pay back taxes and the associated interest and penalties, and if our customers fail or refuse to reimburse us for all or a portion of these amounts, we will have incurred unplanned expenses that may be substantial. Moreover, imposition o</w:t>
      </w:r>
      <w:r>
        <w:rPr>
          <w:sz w:val="20"/>
          <w:szCs w:val="20"/>
        </w:rPr>
        <w:t>f such taxes on our products and services going forward will effectively increase the cost of those products and services to our customers and may adversely affect our ability to retain existing customers or to gain new customers in the states in which suc</w:t>
      </w:r>
      <w:r>
        <w:rPr>
          <w:sz w:val="20"/>
          <w:szCs w:val="20"/>
        </w:rPr>
        <w:t>h taxes are imposed.</w:t>
      </w:r>
    </w:p>
    <w:p w14:paraId="05CA8EFB" w14:textId="77777777" w:rsidR="00000000" w:rsidRDefault="001826C1">
      <w:pPr>
        <w:pStyle w:val="a3"/>
        <w:spacing w:before="0" w:beforeAutospacing="0" w:after="0" w:afterAutospacing="0"/>
        <w:jc w:val="both"/>
        <w:rPr>
          <w:sz w:val="20"/>
          <w:szCs w:val="20"/>
        </w:rPr>
      </w:pPr>
      <w:r>
        <w:rPr>
          <w:sz w:val="20"/>
          <w:szCs w:val="20"/>
        </w:rPr>
        <w:t> </w:t>
      </w:r>
    </w:p>
    <w:p w14:paraId="46DBF412" w14:textId="77777777" w:rsidR="00000000" w:rsidRDefault="001826C1">
      <w:pPr>
        <w:pStyle w:val="a3"/>
        <w:spacing w:before="0" w:beforeAutospacing="0" w:after="0" w:afterAutospacing="0"/>
        <w:jc w:val="both"/>
        <w:rPr>
          <w:sz w:val="20"/>
          <w:szCs w:val="20"/>
        </w:rPr>
      </w:pPr>
      <w:r>
        <w:rPr>
          <w:sz w:val="20"/>
          <w:szCs w:val="20"/>
        </w:rPr>
        <w:t>We may also become subject to tax audits or similar procedures in states where we already pay sales and use taxes. The incurrence of additional accounting and legal costs and related expenses in connection with, and the assessment of</w:t>
      </w:r>
      <w:r>
        <w:rPr>
          <w:sz w:val="20"/>
          <w:szCs w:val="20"/>
        </w:rPr>
        <w:t>, taxes, interest, and penalties as a result of audits, litigation, or otherwise could be materially adverse to our current and future results of operations and financial condition.</w:t>
      </w:r>
    </w:p>
    <w:p w14:paraId="7F2F3BEA" w14:textId="77777777" w:rsidR="00000000" w:rsidRDefault="001826C1">
      <w:pPr>
        <w:pStyle w:val="a3"/>
        <w:spacing w:before="0" w:beforeAutospacing="0" w:after="0" w:afterAutospacing="0"/>
        <w:jc w:val="both"/>
        <w:rPr>
          <w:sz w:val="20"/>
          <w:szCs w:val="20"/>
        </w:rPr>
      </w:pPr>
      <w:r>
        <w:rPr>
          <w:sz w:val="20"/>
          <w:szCs w:val="20"/>
        </w:rPr>
        <w:t> </w:t>
      </w:r>
    </w:p>
    <w:p w14:paraId="521A76FE"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 xml:space="preserve">If </w:t>
      </w:r>
      <w:r>
        <w:rPr>
          <w:b/>
          <w:bCs/>
          <w:i/>
          <w:iCs/>
          <w:sz w:val="20"/>
          <w:szCs w:val="20"/>
        </w:rPr>
        <w:t>we lose the services of Mahmud Haq or other members of our management team, or if we are unable to attract, hire, integrate and retain other necessary employees, our business would be harmed.</w:t>
      </w:r>
    </w:p>
    <w:p w14:paraId="5C53D932"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7C034B9" w14:textId="77777777" w:rsidR="00000000" w:rsidRDefault="001826C1">
      <w:pPr>
        <w:pStyle w:val="a3"/>
        <w:spacing w:before="0" w:beforeAutospacing="0" w:after="0" w:afterAutospacing="0"/>
        <w:jc w:val="both"/>
        <w:rPr>
          <w:sz w:val="20"/>
          <w:szCs w:val="20"/>
        </w:rPr>
      </w:pPr>
      <w:r>
        <w:rPr>
          <w:sz w:val="20"/>
          <w:szCs w:val="20"/>
        </w:rPr>
        <w:t xml:space="preserve">Our future success depends in part on our ability to attract, </w:t>
      </w:r>
      <w:r>
        <w:rPr>
          <w:sz w:val="20"/>
          <w:szCs w:val="20"/>
        </w:rPr>
        <w:t>hire, integrate and retain the members of our management team and other qualified personnel. In particular, we are dependent on the services of Mahmud Haq, our founder, principal stockholder and Executive Chairman, Stephen Snyder, our Chief Executive Offic</w:t>
      </w:r>
      <w:r>
        <w:rPr>
          <w:sz w:val="20"/>
          <w:szCs w:val="20"/>
        </w:rPr>
        <w:t>er and A. Hadi Chaudhry, our President. Mr. Haq is instrumental in managing our offshore operations in Pakistan and coordinating those operations with our U.S. activities. The loss of Mr. Haq, who would be particularly difficult to replace, could negativel</w:t>
      </w:r>
      <w:r>
        <w:rPr>
          <w:sz w:val="20"/>
          <w:szCs w:val="20"/>
        </w:rPr>
        <w:t>y impact our ability to effectively manage our cost-effective workforce in Pakistan, which enables us to provide our products and solutions at attractive prices. Our future success also depends on the continued contributions of our other executive officers</w:t>
      </w:r>
      <w:r>
        <w:rPr>
          <w:sz w:val="20"/>
          <w:szCs w:val="20"/>
        </w:rPr>
        <w:t xml:space="preserve"> and certain key employees, each of whom may be difficult to replace, and upon our ability to attract and retain additional management personnel. Competition for such personnel is intense, and we compete for qualified personnel with other employers. We may</w:t>
      </w:r>
      <w:r>
        <w:rPr>
          <w:sz w:val="20"/>
          <w:szCs w:val="20"/>
        </w:rPr>
        <w:t xml:space="preserve"> face difficulty identifying and hiring qualified personnel at compensation levels consistent with our existing compensation and salary structure. If we fail to retain our employees, we could incur significant expenses in hiring, integrating and training t</w:t>
      </w:r>
      <w:r>
        <w:rPr>
          <w:sz w:val="20"/>
          <w:szCs w:val="20"/>
        </w:rPr>
        <w:t>heir replacements, and the quality of our services and our ability to serve our customers could diminish, resulting in a material adverse effect on our business.</w:t>
      </w:r>
    </w:p>
    <w:p w14:paraId="43B363B7"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79E2981" w14:textId="77777777">
        <w:trPr>
          <w:divId w:val="1678926780"/>
        </w:trPr>
        <w:tc>
          <w:tcPr>
            <w:tcW w:w="5000" w:type="pct"/>
            <w:hideMark/>
          </w:tcPr>
          <w:p w14:paraId="54053A65"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7425464A" w14:textId="77777777">
        <w:tc>
          <w:tcPr>
            <w:tcW w:w="5000" w:type="pct"/>
            <w:hideMark/>
          </w:tcPr>
          <w:p w14:paraId="39AB1A86" w14:textId="77777777" w:rsidR="00000000" w:rsidRDefault="001826C1">
            <w:pPr>
              <w:jc w:val="center"/>
              <w:rPr>
                <w:rFonts w:eastAsia="Times New Roman"/>
                <w:sz w:val="20"/>
                <w:szCs w:val="20"/>
              </w:rPr>
            </w:pPr>
            <w:r>
              <w:rPr>
                <w:rFonts w:eastAsia="Times New Roman"/>
                <w:sz w:val="20"/>
                <w:szCs w:val="20"/>
              </w:rPr>
              <w:t> </w:t>
            </w:r>
          </w:p>
        </w:tc>
      </w:tr>
    </w:tbl>
    <w:p w14:paraId="55068D40" w14:textId="77777777" w:rsidR="00000000" w:rsidRDefault="001826C1">
      <w:pPr>
        <w:pStyle w:val="a3"/>
        <w:spacing w:before="0" w:beforeAutospacing="0" w:after="0" w:afterAutospacing="0"/>
        <w:rPr>
          <w:sz w:val="20"/>
          <w:szCs w:val="20"/>
        </w:rPr>
      </w:pPr>
      <w:r>
        <w:rPr>
          <w:b/>
          <w:bCs/>
          <w:i/>
          <w:iCs/>
          <w:sz w:val="20"/>
          <w:szCs w:val="20"/>
        </w:rPr>
        <w:t> </w:t>
      </w:r>
    </w:p>
    <w:p w14:paraId="7765C090" w14:textId="77777777" w:rsidR="00000000" w:rsidRDefault="001826C1">
      <w:pPr>
        <w:pStyle w:val="a3"/>
        <w:spacing w:before="0" w:beforeAutospacing="0" w:after="0" w:afterAutospacing="0"/>
        <w:jc w:val="both"/>
        <w:rPr>
          <w:sz w:val="20"/>
          <w:szCs w:val="20"/>
        </w:rPr>
      </w:pPr>
      <w:r>
        <w:rPr>
          <w:b/>
          <w:bCs/>
          <w:i/>
          <w:iCs/>
          <w:sz w:val="20"/>
          <w:szCs w:val="20"/>
        </w:rPr>
        <w:t>We may be unable to adequately establish, protect or enforce our patents, trade se</w:t>
      </w:r>
      <w:r>
        <w:rPr>
          <w:b/>
          <w:bCs/>
          <w:i/>
          <w:iCs/>
          <w:sz w:val="20"/>
          <w:szCs w:val="20"/>
        </w:rPr>
        <w:t>crets and other intellectual property rights.</w:t>
      </w:r>
    </w:p>
    <w:p w14:paraId="15995F3C" w14:textId="77777777" w:rsidR="00000000" w:rsidRDefault="001826C1">
      <w:pPr>
        <w:pStyle w:val="a3"/>
        <w:spacing w:before="0" w:beforeAutospacing="0" w:after="0" w:afterAutospacing="0"/>
        <w:jc w:val="both"/>
        <w:rPr>
          <w:sz w:val="20"/>
          <w:szCs w:val="20"/>
        </w:rPr>
      </w:pPr>
      <w:r>
        <w:rPr>
          <w:sz w:val="20"/>
          <w:szCs w:val="20"/>
        </w:rPr>
        <w:t> </w:t>
      </w:r>
    </w:p>
    <w:p w14:paraId="37E72B48" w14:textId="77777777" w:rsidR="00000000" w:rsidRDefault="001826C1">
      <w:pPr>
        <w:pStyle w:val="a3"/>
        <w:spacing w:before="0" w:beforeAutospacing="0" w:after="0" w:afterAutospacing="0"/>
        <w:jc w:val="both"/>
        <w:rPr>
          <w:sz w:val="20"/>
          <w:szCs w:val="20"/>
        </w:rPr>
      </w:pPr>
      <w:r>
        <w:rPr>
          <w:sz w:val="20"/>
          <w:szCs w:val="20"/>
        </w:rPr>
        <w:t>Our success depends in part upon our ability to establish, protect and enforce our patents, trade secrets and other intellectual property and proprietary rights. If we fail to establish, protect or enforce th</w:t>
      </w:r>
      <w:r>
        <w:rPr>
          <w:sz w:val="20"/>
          <w:szCs w:val="20"/>
        </w:rPr>
        <w:t xml:space="preserve">ese rights, we may lose customers and important advantages in the market in which we compete. We rely on a combination of patent, trademark, copyright and trade secret law and contractual obligations to protect our key intellectual property rights, all of </w:t>
      </w:r>
      <w:r>
        <w:rPr>
          <w:sz w:val="20"/>
          <w:szCs w:val="20"/>
        </w:rPr>
        <w:t>which provide only limited protection. Our intellectual property rights may not be sufficient to help us maintain our position in the market and our competitive advantages.</w:t>
      </w:r>
    </w:p>
    <w:p w14:paraId="3A74429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92CA2F5" w14:textId="77777777" w:rsidR="00000000" w:rsidRDefault="001826C1">
      <w:pPr>
        <w:pStyle w:val="a3"/>
        <w:spacing w:before="0" w:beforeAutospacing="0" w:after="0" w:afterAutospacing="0"/>
        <w:jc w:val="both"/>
        <w:rPr>
          <w:sz w:val="20"/>
          <w:szCs w:val="20"/>
        </w:rPr>
      </w:pPr>
      <w:r>
        <w:rPr>
          <w:sz w:val="20"/>
          <w:szCs w:val="20"/>
        </w:rPr>
        <w:t>Trade secrets may not be protectable if not properly kept confidential. We strive</w:t>
      </w:r>
      <w:r>
        <w:rPr>
          <w:sz w:val="20"/>
          <w:szCs w:val="20"/>
        </w:rPr>
        <w:t xml:space="preserve"> to enter into non-disclosure agreements with our employees, customers, contractors and business partners to limit access to and disclosure of our proprietary information. However, the steps we have taken may not be sufficient to prevent unauthorized use o</w:t>
      </w:r>
      <w:r>
        <w:rPr>
          <w:sz w:val="20"/>
          <w:szCs w:val="20"/>
        </w:rPr>
        <w:t>f our customer information, technology, and adequate remedies may not be available in the event of unauthorized use or disclosure of our trade secrets and proprietary information. Our ability to protect the trade secrets of our acquired companies from disc</w:t>
      </w:r>
      <w:r>
        <w:rPr>
          <w:sz w:val="20"/>
          <w:szCs w:val="20"/>
        </w:rPr>
        <w:t>losure by the former employees of these acquired entities may be limited by law in the jurisdiction in which the acquired company and/or former employee resides, and/or where the disclosure occurred, and this leaves us vulnerable to the solicitation of the</w:t>
      </w:r>
      <w:r>
        <w:rPr>
          <w:sz w:val="20"/>
          <w:szCs w:val="20"/>
        </w:rPr>
        <w:t xml:space="preserve"> customers we acquire by former employees of the acquired business that join our competitors.</w:t>
      </w:r>
    </w:p>
    <w:p w14:paraId="607458A2" w14:textId="77777777" w:rsidR="00000000" w:rsidRDefault="001826C1">
      <w:pPr>
        <w:pStyle w:val="a3"/>
        <w:spacing w:before="0" w:beforeAutospacing="0" w:after="0" w:afterAutospacing="0"/>
        <w:jc w:val="both"/>
        <w:rPr>
          <w:sz w:val="20"/>
          <w:szCs w:val="20"/>
        </w:rPr>
      </w:pPr>
      <w:r>
        <w:rPr>
          <w:sz w:val="20"/>
          <w:szCs w:val="20"/>
        </w:rPr>
        <w:t> </w:t>
      </w:r>
    </w:p>
    <w:p w14:paraId="6A793191" w14:textId="77777777" w:rsidR="00000000" w:rsidRDefault="001826C1">
      <w:pPr>
        <w:pStyle w:val="a3"/>
        <w:shd w:val="clear" w:color="auto" w:fill="FFFFFF"/>
        <w:spacing w:before="0" w:beforeAutospacing="0" w:after="0" w:afterAutospacing="0"/>
        <w:jc w:val="both"/>
        <w:rPr>
          <w:sz w:val="20"/>
          <w:szCs w:val="20"/>
        </w:rPr>
      </w:pPr>
      <w:r>
        <w:rPr>
          <w:sz w:val="20"/>
          <w:szCs w:val="20"/>
        </w:rPr>
        <w:t>Accordingly, despite our efforts, we may be unable to prevent third-parties from using our intellectual property for their competitive advantage. Any such use c</w:t>
      </w:r>
      <w:r>
        <w:rPr>
          <w:sz w:val="20"/>
          <w:szCs w:val="20"/>
        </w:rPr>
        <w:t>ould have a material adverse effect on our business, results of operations and financial condition. Monitoring unauthorized uses of and enforcing our intellectual property rights can be difficult and costly. Legal intellectual property actions are inherent</w:t>
      </w:r>
      <w:r>
        <w:rPr>
          <w:sz w:val="20"/>
          <w:szCs w:val="20"/>
        </w:rPr>
        <w:t>ly uncertain and may not be successful, and may require a substantial amount of resources and divert our management’s attention.</w:t>
      </w:r>
    </w:p>
    <w:p w14:paraId="466F650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A83F08C" w14:textId="77777777" w:rsidR="00000000" w:rsidRDefault="001826C1">
      <w:pPr>
        <w:pStyle w:val="a3"/>
        <w:spacing w:before="0" w:beforeAutospacing="0" w:after="0" w:afterAutospacing="0"/>
        <w:jc w:val="both"/>
        <w:rPr>
          <w:sz w:val="20"/>
          <w:szCs w:val="20"/>
        </w:rPr>
      </w:pPr>
      <w:r>
        <w:rPr>
          <w:b/>
          <w:bCs/>
          <w:i/>
          <w:iCs/>
          <w:sz w:val="20"/>
          <w:szCs w:val="20"/>
        </w:rPr>
        <w:t xml:space="preserve">Claims by others that we infringe their intellectual property could force us to incur significant costs or revise the way we </w:t>
      </w:r>
      <w:r>
        <w:rPr>
          <w:b/>
          <w:bCs/>
          <w:i/>
          <w:iCs/>
          <w:sz w:val="20"/>
          <w:szCs w:val="20"/>
        </w:rPr>
        <w:t>conduct our business.</w:t>
      </w:r>
    </w:p>
    <w:p w14:paraId="72B0025F" w14:textId="77777777" w:rsidR="00000000" w:rsidRDefault="001826C1">
      <w:pPr>
        <w:pStyle w:val="a3"/>
        <w:spacing w:before="0" w:beforeAutospacing="0" w:after="0" w:afterAutospacing="0"/>
        <w:jc w:val="both"/>
        <w:rPr>
          <w:sz w:val="20"/>
          <w:szCs w:val="20"/>
        </w:rPr>
      </w:pPr>
      <w:r>
        <w:rPr>
          <w:sz w:val="20"/>
          <w:szCs w:val="20"/>
        </w:rPr>
        <w:t> </w:t>
      </w:r>
    </w:p>
    <w:p w14:paraId="6557FCB5" w14:textId="77777777" w:rsidR="00000000" w:rsidRDefault="001826C1">
      <w:pPr>
        <w:pStyle w:val="a3"/>
        <w:spacing w:before="0" w:beforeAutospacing="0" w:after="0" w:afterAutospacing="0"/>
        <w:jc w:val="both"/>
        <w:rPr>
          <w:sz w:val="20"/>
          <w:szCs w:val="20"/>
        </w:rPr>
      </w:pPr>
      <w:r>
        <w:rPr>
          <w:sz w:val="20"/>
          <w:szCs w:val="20"/>
        </w:rPr>
        <w:t xml:space="preserve">Our </w:t>
      </w:r>
      <w:r>
        <w:rPr>
          <w:sz w:val="20"/>
          <w:szCs w:val="20"/>
        </w:rPr>
        <w:t>competitors protect their proprietary rights by means of patents, trade secrets, copyrights, trademarks and other intellectual property. We have not conducted an independent review of patents and other intellectual property issued to third-parties, who may</w:t>
      </w:r>
      <w:r>
        <w:rPr>
          <w:sz w:val="20"/>
          <w:szCs w:val="20"/>
        </w:rPr>
        <w:t xml:space="preserve"> have patents or patent applications relating to our proprietary technology. We may receive letters from third parties alleging, or inquiring about, possible infringement, misappropriation or violation of their intellectual property rights. Any party asser</w:t>
      </w:r>
      <w:r>
        <w:rPr>
          <w:sz w:val="20"/>
          <w:szCs w:val="20"/>
        </w:rPr>
        <w:t>ting that we infringe, misappropriate or violate proprietary rights may force us to defend ourselves, and potentially our customers, against the alleged claim. These claims and any resulting lawsuit, if successful, could subject us to significant liability</w:t>
      </w:r>
      <w:r>
        <w:rPr>
          <w:sz w:val="20"/>
          <w:szCs w:val="20"/>
        </w:rPr>
        <w:t xml:space="preserve"> for damages and/or invalidation of our proprietary rights or interruption or cessation of our operations. Any such claims or lawsuit could:</w:t>
      </w:r>
    </w:p>
    <w:p w14:paraId="7B8691E1"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0"/>
        <w:gridCol w:w="360"/>
        <w:gridCol w:w="7226"/>
      </w:tblGrid>
      <w:tr w:rsidR="00000000" w14:paraId="73813408" w14:textId="77777777">
        <w:tc>
          <w:tcPr>
            <w:tcW w:w="720" w:type="dxa"/>
            <w:hideMark/>
          </w:tcPr>
          <w:p w14:paraId="749754AE" w14:textId="77777777" w:rsidR="00000000" w:rsidRDefault="001826C1">
            <w:pPr>
              <w:rPr>
                <w:rFonts w:eastAsia="Times New Roman"/>
                <w:sz w:val="20"/>
                <w:szCs w:val="20"/>
              </w:rPr>
            </w:pPr>
            <w:r>
              <w:rPr>
                <w:rFonts w:eastAsia="Times New Roman"/>
                <w:sz w:val="20"/>
                <w:szCs w:val="20"/>
              </w:rPr>
              <w:t> </w:t>
            </w:r>
          </w:p>
        </w:tc>
        <w:tc>
          <w:tcPr>
            <w:tcW w:w="360" w:type="dxa"/>
            <w:hideMark/>
          </w:tcPr>
          <w:p w14:paraId="6C987F6F" w14:textId="77777777" w:rsidR="00000000" w:rsidRDefault="001826C1">
            <w:pPr>
              <w:rPr>
                <w:rFonts w:eastAsia="Times New Roman"/>
                <w:sz w:val="20"/>
                <w:szCs w:val="20"/>
              </w:rPr>
            </w:pPr>
            <w:r>
              <w:rPr>
                <w:rFonts w:eastAsia="Times New Roman"/>
                <w:sz w:val="20"/>
                <w:szCs w:val="20"/>
              </w:rPr>
              <w:t>●</w:t>
            </w:r>
          </w:p>
        </w:tc>
        <w:tc>
          <w:tcPr>
            <w:tcW w:w="0" w:type="auto"/>
            <w:hideMark/>
          </w:tcPr>
          <w:p w14:paraId="315DB8A4" w14:textId="77777777" w:rsidR="00000000" w:rsidRDefault="001826C1">
            <w:pPr>
              <w:jc w:val="both"/>
              <w:rPr>
                <w:rFonts w:eastAsia="Times New Roman"/>
                <w:sz w:val="20"/>
                <w:szCs w:val="20"/>
              </w:rPr>
            </w:pPr>
            <w:r>
              <w:rPr>
                <w:rFonts w:eastAsia="Times New Roman"/>
                <w:sz w:val="20"/>
                <w:szCs w:val="20"/>
              </w:rPr>
              <w:t>be time-consuming and expensive to defend, whether meritorious or not;</w:t>
            </w:r>
          </w:p>
        </w:tc>
      </w:tr>
      <w:tr w:rsidR="00000000" w14:paraId="3575AE3B" w14:textId="77777777">
        <w:tc>
          <w:tcPr>
            <w:tcW w:w="0" w:type="auto"/>
            <w:hideMark/>
          </w:tcPr>
          <w:p w14:paraId="3EB6098C" w14:textId="77777777" w:rsidR="00000000" w:rsidRDefault="001826C1">
            <w:pPr>
              <w:rPr>
                <w:rFonts w:eastAsia="Times New Roman"/>
                <w:sz w:val="20"/>
                <w:szCs w:val="20"/>
              </w:rPr>
            </w:pPr>
            <w:r>
              <w:rPr>
                <w:rFonts w:eastAsia="Times New Roman"/>
                <w:sz w:val="20"/>
                <w:szCs w:val="20"/>
              </w:rPr>
              <w:t> </w:t>
            </w:r>
          </w:p>
        </w:tc>
        <w:tc>
          <w:tcPr>
            <w:tcW w:w="0" w:type="auto"/>
            <w:hideMark/>
          </w:tcPr>
          <w:p w14:paraId="68991666" w14:textId="77777777" w:rsidR="00000000" w:rsidRDefault="001826C1">
            <w:pPr>
              <w:rPr>
                <w:rFonts w:eastAsia="Times New Roman"/>
                <w:sz w:val="20"/>
                <w:szCs w:val="20"/>
              </w:rPr>
            </w:pPr>
            <w:r>
              <w:rPr>
                <w:rFonts w:eastAsia="Times New Roman"/>
                <w:sz w:val="20"/>
                <w:szCs w:val="20"/>
              </w:rPr>
              <w:t> </w:t>
            </w:r>
          </w:p>
        </w:tc>
        <w:tc>
          <w:tcPr>
            <w:tcW w:w="0" w:type="auto"/>
            <w:hideMark/>
          </w:tcPr>
          <w:p w14:paraId="53FD3F63" w14:textId="77777777" w:rsidR="00000000" w:rsidRDefault="001826C1">
            <w:pPr>
              <w:jc w:val="both"/>
              <w:rPr>
                <w:rFonts w:eastAsia="Times New Roman"/>
                <w:sz w:val="20"/>
                <w:szCs w:val="20"/>
              </w:rPr>
            </w:pPr>
            <w:r>
              <w:rPr>
                <w:rFonts w:eastAsia="Times New Roman"/>
                <w:sz w:val="20"/>
                <w:szCs w:val="20"/>
              </w:rPr>
              <w:t> </w:t>
            </w:r>
          </w:p>
        </w:tc>
      </w:tr>
      <w:tr w:rsidR="00000000" w14:paraId="1E18D3CE" w14:textId="77777777">
        <w:tc>
          <w:tcPr>
            <w:tcW w:w="0" w:type="auto"/>
            <w:hideMark/>
          </w:tcPr>
          <w:p w14:paraId="7EA9CB2C" w14:textId="77777777" w:rsidR="00000000" w:rsidRDefault="001826C1">
            <w:pPr>
              <w:rPr>
                <w:rFonts w:eastAsia="Times New Roman"/>
                <w:sz w:val="20"/>
                <w:szCs w:val="20"/>
              </w:rPr>
            </w:pPr>
            <w:r>
              <w:rPr>
                <w:rFonts w:eastAsia="Times New Roman"/>
                <w:sz w:val="20"/>
                <w:szCs w:val="20"/>
              </w:rPr>
              <w:t> </w:t>
            </w:r>
          </w:p>
        </w:tc>
        <w:tc>
          <w:tcPr>
            <w:tcW w:w="0" w:type="auto"/>
            <w:hideMark/>
          </w:tcPr>
          <w:p w14:paraId="52E44A99" w14:textId="77777777" w:rsidR="00000000" w:rsidRDefault="001826C1">
            <w:pPr>
              <w:rPr>
                <w:rFonts w:eastAsia="Times New Roman"/>
                <w:sz w:val="20"/>
                <w:szCs w:val="20"/>
              </w:rPr>
            </w:pPr>
            <w:r>
              <w:rPr>
                <w:rFonts w:eastAsia="Times New Roman"/>
                <w:sz w:val="20"/>
                <w:szCs w:val="20"/>
              </w:rPr>
              <w:t>●</w:t>
            </w:r>
          </w:p>
        </w:tc>
        <w:tc>
          <w:tcPr>
            <w:tcW w:w="0" w:type="auto"/>
            <w:hideMark/>
          </w:tcPr>
          <w:p w14:paraId="1B0EB3EA" w14:textId="77777777" w:rsidR="00000000" w:rsidRDefault="001826C1">
            <w:pPr>
              <w:rPr>
                <w:rFonts w:eastAsia="Times New Roman"/>
                <w:sz w:val="20"/>
                <w:szCs w:val="20"/>
              </w:rPr>
            </w:pPr>
            <w:r>
              <w:rPr>
                <w:rFonts w:eastAsia="Times New Roman"/>
                <w:sz w:val="20"/>
                <w:szCs w:val="20"/>
              </w:rPr>
              <w:t>require us to stop providi</w:t>
            </w:r>
            <w:r>
              <w:rPr>
                <w:rFonts w:eastAsia="Times New Roman"/>
                <w:sz w:val="20"/>
                <w:szCs w:val="20"/>
              </w:rPr>
              <w:t>ng products or services that use the technology that allegedly infringes the other party’s intellectual property;</w:t>
            </w:r>
          </w:p>
        </w:tc>
      </w:tr>
      <w:tr w:rsidR="00000000" w14:paraId="59AEB4E4" w14:textId="77777777">
        <w:tc>
          <w:tcPr>
            <w:tcW w:w="0" w:type="auto"/>
            <w:hideMark/>
          </w:tcPr>
          <w:p w14:paraId="3982375D" w14:textId="77777777" w:rsidR="00000000" w:rsidRDefault="001826C1">
            <w:pPr>
              <w:rPr>
                <w:rFonts w:eastAsia="Times New Roman"/>
                <w:sz w:val="20"/>
                <w:szCs w:val="20"/>
              </w:rPr>
            </w:pPr>
            <w:r>
              <w:rPr>
                <w:rFonts w:eastAsia="Times New Roman"/>
                <w:sz w:val="20"/>
                <w:szCs w:val="20"/>
              </w:rPr>
              <w:t> </w:t>
            </w:r>
          </w:p>
        </w:tc>
        <w:tc>
          <w:tcPr>
            <w:tcW w:w="0" w:type="auto"/>
            <w:hideMark/>
          </w:tcPr>
          <w:p w14:paraId="5392C719" w14:textId="77777777" w:rsidR="00000000" w:rsidRDefault="001826C1">
            <w:pPr>
              <w:rPr>
                <w:rFonts w:eastAsia="Times New Roman"/>
                <w:sz w:val="20"/>
                <w:szCs w:val="20"/>
              </w:rPr>
            </w:pPr>
            <w:r>
              <w:rPr>
                <w:rFonts w:eastAsia="Times New Roman"/>
                <w:sz w:val="20"/>
                <w:szCs w:val="20"/>
              </w:rPr>
              <w:t> </w:t>
            </w:r>
          </w:p>
        </w:tc>
        <w:tc>
          <w:tcPr>
            <w:tcW w:w="0" w:type="auto"/>
            <w:hideMark/>
          </w:tcPr>
          <w:p w14:paraId="40ECDB88" w14:textId="77777777" w:rsidR="00000000" w:rsidRDefault="001826C1">
            <w:pPr>
              <w:jc w:val="both"/>
              <w:rPr>
                <w:rFonts w:eastAsia="Times New Roman"/>
                <w:sz w:val="20"/>
                <w:szCs w:val="20"/>
              </w:rPr>
            </w:pPr>
            <w:r>
              <w:rPr>
                <w:rFonts w:eastAsia="Times New Roman"/>
                <w:sz w:val="20"/>
                <w:szCs w:val="20"/>
              </w:rPr>
              <w:t> </w:t>
            </w:r>
          </w:p>
        </w:tc>
      </w:tr>
      <w:tr w:rsidR="00000000" w14:paraId="19B700F8" w14:textId="77777777">
        <w:tc>
          <w:tcPr>
            <w:tcW w:w="0" w:type="auto"/>
            <w:hideMark/>
          </w:tcPr>
          <w:p w14:paraId="1E5E696B" w14:textId="77777777" w:rsidR="00000000" w:rsidRDefault="001826C1">
            <w:pPr>
              <w:rPr>
                <w:rFonts w:eastAsia="Times New Roman"/>
                <w:sz w:val="20"/>
                <w:szCs w:val="20"/>
              </w:rPr>
            </w:pPr>
            <w:r>
              <w:rPr>
                <w:rFonts w:eastAsia="Times New Roman"/>
                <w:sz w:val="20"/>
                <w:szCs w:val="20"/>
              </w:rPr>
              <w:t> </w:t>
            </w:r>
          </w:p>
        </w:tc>
        <w:tc>
          <w:tcPr>
            <w:tcW w:w="0" w:type="auto"/>
            <w:hideMark/>
          </w:tcPr>
          <w:p w14:paraId="26FEF880" w14:textId="77777777" w:rsidR="00000000" w:rsidRDefault="001826C1">
            <w:pPr>
              <w:rPr>
                <w:rFonts w:eastAsia="Times New Roman"/>
                <w:sz w:val="20"/>
                <w:szCs w:val="20"/>
              </w:rPr>
            </w:pPr>
            <w:r>
              <w:rPr>
                <w:rFonts w:eastAsia="Times New Roman"/>
                <w:sz w:val="20"/>
                <w:szCs w:val="20"/>
              </w:rPr>
              <w:t>●</w:t>
            </w:r>
          </w:p>
        </w:tc>
        <w:tc>
          <w:tcPr>
            <w:tcW w:w="0" w:type="auto"/>
            <w:hideMark/>
          </w:tcPr>
          <w:p w14:paraId="1E901D0B" w14:textId="77777777" w:rsidR="00000000" w:rsidRDefault="001826C1">
            <w:pPr>
              <w:jc w:val="both"/>
              <w:rPr>
                <w:rFonts w:eastAsia="Times New Roman"/>
                <w:sz w:val="20"/>
                <w:szCs w:val="20"/>
              </w:rPr>
            </w:pPr>
            <w:r>
              <w:rPr>
                <w:rFonts w:eastAsia="Times New Roman"/>
                <w:sz w:val="20"/>
                <w:szCs w:val="20"/>
              </w:rPr>
              <w:t>divert the attention of our technical and managerial resources;</w:t>
            </w:r>
          </w:p>
        </w:tc>
      </w:tr>
      <w:tr w:rsidR="00000000" w14:paraId="211849AB" w14:textId="77777777">
        <w:tc>
          <w:tcPr>
            <w:tcW w:w="0" w:type="auto"/>
            <w:hideMark/>
          </w:tcPr>
          <w:p w14:paraId="1CACF8FF" w14:textId="77777777" w:rsidR="00000000" w:rsidRDefault="001826C1">
            <w:pPr>
              <w:rPr>
                <w:rFonts w:eastAsia="Times New Roman"/>
                <w:sz w:val="20"/>
                <w:szCs w:val="20"/>
              </w:rPr>
            </w:pPr>
            <w:r>
              <w:rPr>
                <w:rFonts w:eastAsia="Times New Roman"/>
                <w:sz w:val="20"/>
                <w:szCs w:val="20"/>
              </w:rPr>
              <w:t> </w:t>
            </w:r>
          </w:p>
        </w:tc>
        <w:tc>
          <w:tcPr>
            <w:tcW w:w="0" w:type="auto"/>
            <w:hideMark/>
          </w:tcPr>
          <w:p w14:paraId="32D90C61" w14:textId="77777777" w:rsidR="00000000" w:rsidRDefault="001826C1">
            <w:pPr>
              <w:rPr>
                <w:rFonts w:eastAsia="Times New Roman"/>
                <w:sz w:val="20"/>
                <w:szCs w:val="20"/>
              </w:rPr>
            </w:pPr>
            <w:r>
              <w:rPr>
                <w:rFonts w:eastAsia="Times New Roman"/>
                <w:sz w:val="20"/>
                <w:szCs w:val="20"/>
              </w:rPr>
              <w:t> </w:t>
            </w:r>
          </w:p>
        </w:tc>
        <w:tc>
          <w:tcPr>
            <w:tcW w:w="0" w:type="auto"/>
            <w:hideMark/>
          </w:tcPr>
          <w:p w14:paraId="4BBCB27D" w14:textId="77777777" w:rsidR="00000000" w:rsidRDefault="001826C1">
            <w:pPr>
              <w:jc w:val="both"/>
              <w:rPr>
                <w:rFonts w:eastAsia="Times New Roman"/>
                <w:sz w:val="20"/>
                <w:szCs w:val="20"/>
              </w:rPr>
            </w:pPr>
            <w:r>
              <w:rPr>
                <w:rFonts w:eastAsia="Times New Roman"/>
                <w:sz w:val="20"/>
                <w:szCs w:val="20"/>
              </w:rPr>
              <w:t> </w:t>
            </w:r>
          </w:p>
        </w:tc>
      </w:tr>
      <w:tr w:rsidR="00000000" w14:paraId="07E7A23E" w14:textId="77777777">
        <w:tc>
          <w:tcPr>
            <w:tcW w:w="0" w:type="auto"/>
            <w:hideMark/>
          </w:tcPr>
          <w:p w14:paraId="3BCED9F2" w14:textId="77777777" w:rsidR="00000000" w:rsidRDefault="001826C1">
            <w:pPr>
              <w:rPr>
                <w:rFonts w:eastAsia="Times New Roman"/>
                <w:sz w:val="20"/>
                <w:szCs w:val="20"/>
              </w:rPr>
            </w:pPr>
            <w:r>
              <w:rPr>
                <w:rFonts w:eastAsia="Times New Roman"/>
                <w:sz w:val="20"/>
                <w:szCs w:val="20"/>
              </w:rPr>
              <w:t> </w:t>
            </w:r>
          </w:p>
        </w:tc>
        <w:tc>
          <w:tcPr>
            <w:tcW w:w="0" w:type="auto"/>
            <w:hideMark/>
          </w:tcPr>
          <w:p w14:paraId="098BF4EE" w14:textId="77777777" w:rsidR="00000000" w:rsidRDefault="001826C1">
            <w:pPr>
              <w:rPr>
                <w:rFonts w:eastAsia="Times New Roman"/>
                <w:sz w:val="20"/>
                <w:szCs w:val="20"/>
              </w:rPr>
            </w:pPr>
            <w:r>
              <w:rPr>
                <w:rFonts w:eastAsia="Times New Roman"/>
                <w:sz w:val="20"/>
                <w:szCs w:val="20"/>
              </w:rPr>
              <w:t>●</w:t>
            </w:r>
          </w:p>
        </w:tc>
        <w:tc>
          <w:tcPr>
            <w:tcW w:w="0" w:type="auto"/>
            <w:hideMark/>
          </w:tcPr>
          <w:p w14:paraId="59400409" w14:textId="77777777" w:rsidR="00000000" w:rsidRDefault="001826C1">
            <w:pPr>
              <w:jc w:val="both"/>
              <w:rPr>
                <w:rFonts w:eastAsia="Times New Roman"/>
                <w:sz w:val="20"/>
                <w:szCs w:val="20"/>
              </w:rPr>
            </w:pPr>
            <w:r>
              <w:rPr>
                <w:rFonts w:eastAsia="Times New Roman"/>
                <w:sz w:val="20"/>
                <w:szCs w:val="20"/>
              </w:rPr>
              <w:t xml:space="preserve">require </w:t>
            </w:r>
            <w:r>
              <w:rPr>
                <w:rFonts w:eastAsia="Times New Roman"/>
                <w:sz w:val="20"/>
                <w:szCs w:val="20"/>
              </w:rPr>
              <w:t>us to enter into royalty or licensing agreements with third-parties, which may not be available on terms that we deem acceptable;</w:t>
            </w:r>
          </w:p>
        </w:tc>
      </w:tr>
      <w:tr w:rsidR="00000000" w14:paraId="2B595193" w14:textId="77777777">
        <w:tc>
          <w:tcPr>
            <w:tcW w:w="0" w:type="auto"/>
            <w:hideMark/>
          </w:tcPr>
          <w:p w14:paraId="5C47D740" w14:textId="77777777" w:rsidR="00000000" w:rsidRDefault="001826C1">
            <w:pPr>
              <w:rPr>
                <w:rFonts w:eastAsia="Times New Roman"/>
                <w:sz w:val="20"/>
                <w:szCs w:val="20"/>
              </w:rPr>
            </w:pPr>
            <w:r>
              <w:rPr>
                <w:rFonts w:eastAsia="Times New Roman"/>
                <w:sz w:val="20"/>
                <w:szCs w:val="20"/>
              </w:rPr>
              <w:t> </w:t>
            </w:r>
          </w:p>
        </w:tc>
        <w:tc>
          <w:tcPr>
            <w:tcW w:w="0" w:type="auto"/>
            <w:hideMark/>
          </w:tcPr>
          <w:p w14:paraId="4B198AF7" w14:textId="77777777" w:rsidR="00000000" w:rsidRDefault="001826C1">
            <w:pPr>
              <w:rPr>
                <w:rFonts w:eastAsia="Times New Roman"/>
                <w:sz w:val="20"/>
                <w:szCs w:val="20"/>
              </w:rPr>
            </w:pPr>
            <w:r>
              <w:rPr>
                <w:rFonts w:eastAsia="Times New Roman"/>
                <w:sz w:val="20"/>
                <w:szCs w:val="20"/>
              </w:rPr>
              <w:t> </w:t>
            </w:r>
          </w:p>
        </w:tc>
        <w:tc>
          <w:tcPr>
            <w:tcW w:w="0" w:type="auto"/>
            <w:hideMark/>
          </w:tcPr>
          <w:p w14:paraId="2DF501F8" w14:textId="77777777" w:rsidR="00000000" w:rsidRDefault="001826C1">
            <w:pPr>
              <w:jc w:val="both"/>
              <w:rPr>
                <w:rFonts w:eastAsia="Times New Roman"/>
                <w:sz w:val="20"/>
                <w:szCs w:val="20"/>
              </w:rPr>
            </w:pPr>
            <w:r>
              <w:rPr>
                <w:rFonts w:eastAsia="Times New Roman"/>
                <w:sz w:val="20"/>
                <w:szCs w:val="20"/>
              </w:rPr>
              <w:t> </w:t>
            </w:r>
          </w:p>
        </w:tc>
      </w:tr>
      <w:tr w:rsidR="00000000" w14:paraId="28E0242D" w14:textId="77777777">
        <w:tc>
          <w:tcPr>
            <w:tcW w:w="0" w:type="auto"/>
            <w:hideMark/>
          </w:tcPr>
          <w:p w14:paraId="1C9B3D03" w14:textId="77777777" w:rsidR="00000000" w:rsidRDefault="001826C1">
            <w:pPr>
              <w:rPr>
                <w:rFonts w:eastAsia="Times New Roman"/>
                <w:sz w:val="20"/>
                <w:szCs w:val="20"/>
              </w:rPr>
            </w:pPr>
            <w:r>
              <w:rPr>
                <w:rFonts w:eastAsia="Times New Roman"/>
                <w:sz w:val="20"/>
                <w:szCs w:val="20"/>
              </w:rPr>
              <w:t> </w:t>
            </w:r>
          </w:p>
        </w:tc>
        <w:tc>
          <w:tcPr>
            <w:tcW w:w="0" w:type="auto"/>
            <w:hideMark/>
          </w:tcPr>
          <w:p w14:paraId="0A804FF2" w14:textId="77777777" w:rsidR="00000000" w:rsidRDefault="001826C1">
            <w:pPr>
              <w:rPr>
                <w:rFonts w:eastAsia="Times New Roman"/>
                <w:sz w:val="20"/>
                <w:szCs w:val="20"/>
              </w:rPr>
            </w:pPr>
            <w:r>
              <w:rPr>
                <w:rFonts w:eastAsia="Times New Roman"/>
                <w:sz w:val="20"/>
                <w:szCs w:val="20"/>
              </w:rPr>
              <w:t>●</w:t>
            </w:r>
          </w:p>
        </w:tc>
        <w:tc>
          <w:tcPr>
            <w:tcW w:w="0" w:type="auto"/>
            <w:hideMark/>
          </w:tcPr>
          <w:p w14:paraId="77879EB3" w14:textId="77777777" w:rsidR="00000000" w:rsidRDefault="001826C1">
            <w:pPr>
              <w:jc w:val="both"/>
              <w:rPr>
                <w:rFonts w:eastAsia="Times New Roman"/>
                <w:sz w:val="20"/>
                <w:szCs w:val="20"/>
              </w:rPr>
            </w:pPr>
            <w:r>
              <w:rPr>
                <w:rFonts w:eastAsia="Times New Roman"/>
                <w:sz w:val="20"/>
                <w:szCs w:val="20"/>
              </w:rPr>
              <w:t>prevent us from operating all or a portion of our business or force us to redesign our products, services or techn</w:t>
            </w:r>
            <w:r>
              <w:rPr>
                <w:rFonts w:eastAsia="Times New Roman"/>
                <w:sz w:val="20"/>
                <w:szCs w:val="20"/>
              </w:rPr>
              <w:t>ology platforms, which could be difficult and expensive and may make the performance or value of our product or service offerings less attractive;</w:t>
            </w:r>
          </w:p>
        </w:tc>
      </w:tr>
      <w:tr w:rsidR="00000000" w14:paraId="4355FE95" w14:textId="77777777">
        <w:tc>
          <w:tcPr>
            <w:tcW w:w="0" w:type="auto"/>
            <w:hideMark/>
          </w:tcPr>
          <w:p w14:paraId="39D8A299" w14:textId="77777777" w:rsidR="00000000" w:rsidRDefault="001826C1">
            <w:pPr>
              <w:rPr>
                <w:rFonts w:eastAsia="Times New Roman"/>
                <w:sz w:val="20"/>
                <w:szCs w:val="20"/>
              </w:rPr>
            </w:pPr>
            <w:r>
              <w:rPr>
                <w:rFonts w:eastAsia="Times New Roman"/>
                <w:sz w:val="20"/>
                <w:szCs w:val="20"/>
              </w:rPr>
              <w:t> </w:t>
            </w:r>
          </w:p>
        </w:tc>
        <w:tc>
          <w:tcPr>
            <w:tcW w:w="0" w:type="auto"/>
            <w:hideMark/>
          </w:tcPr>
          <w:p w14:paraId="46E28FAA" w14:textId="77777777" w:rsidR="00000000" w:rsidRDefault="001826C1">
            <w:pPr>
              <w:rPr>
                <w:rFonts w:eastAsia="Times New Roman"/>
                <w:sz w:val="20"/>
                <w:szCs w:val="20"/>
              </w:rPr>
            </w:pPr>
            <w:r>
              <w:rPr>
                <w:rFonts w:eastAsia="Times New Roman"/>
                <w:sz w:val="20"/>
                <w:szCs w:val="20"/>
              </w:rPr>
              <w:t> </w:t>
            </w:r>
          </w:p>
        </w:tc>
        <w:tc>
          <w:tcPr>
            <w:tcW w:w="0" w:type="auto"/>
            <w:hideMark/>
          </w:tcPr>
          <w:p w14:paraId="7CAE3C8E" w14:textId="77777777" w:rsidR="00000000" w:rsidRDefault="001826C1">
            <w:pPr>
              <w:jc w:val="both"/>
              <w:rPr>
                <w:rFonts w:eastAsia="Times New Roman"/>
                <w:sz w:val="20"/>
                <w:szCs w:val="20"/>
              </w:rPr>
            </w:pPr>
            <w:r>
              <w:rPr>
                <w:rFonts w:eastAsia="Times New Roman"/>
                <w:sz w:val="20"/>
                <w:szCs w:val="20"/>
              </w:rPr>
              <w:t> </w:t>
            </w:r>
          </w:p>
        </w:tc>
      </w:tr>
      <w:tr w:rsidR="00000000" w14:paraId="3602A730" w14:textId="77777777">
        <w:tc>
          <w:tcPr>
            <w:tcW w:w="0" w:type="auto"/>
            <w:hideMark/>
          </w:tcPr>
          <w:p w14:paraId="551482A7" w14:textId="77777777" w:rsidR="00000000" w:rsidRDefault="001826C1">
            <w:pPr>
              <w:rPr>
                <w:rFonts w:eastAsia="Times New Roman"/>
                <w:sz w:val="20"/>
                <w:szCs w:val="20"/>
              </w:rPr>
            </w:pPr>
            <w:r>
              <w:rPr>
                <w:rFonts w:eastAsia="Times New Roman"/>
                <w:sz w:val="20"/>
                <w:szCs w:val="20"/>
              </w:rPr>
              <w:t> </w:t>
            </w:r>
          </w:p>
        </w:tc>
        <w:tc>
          <w:tcPr>
            <w:tcW w:w="0" w:type="auto"/>
            <w:hideMark/>
          </w:tcPr>
          <w:p w14:paraId="0EE5296C" w14:textId="77777777" w:rsidR="00000000" w:rsidRDefault="001826C1">
            <w:pPr>
              <w:rPr>
                <w:rFonts w:eastAsia="Times New Roman"/>
                <w:sz w:val="20"/>
                <w:szCs w:val="20"/>
              </w:rPr>
            </w:pPr>
            <w:r>
              <w:rPr>
                <w:rFonts w:eastAsia="Times New Roman"/>
                <w:sz w:val="20"/>
                <w:szCs w:val="20"/>
              </w:rPr>
              <w:t>●</w:t>
            </w:r>
          </w:p>
        </w:tc>
        <w:tc>
          <w:tcPr>
            <w:tcW w:w="0" w:type="auto"/>
            <w:hideMark/>
          </w:tcPr>
          <w:p w14:paraId="0872C52B" w14:textId="77777777" w:rsidR="00000000" w:rsidRDefault="001826C1">
            <w:pPr>
              <w:jc w:val="both"/>
              <w:rPr>
                <w:rFonts w:eastAsia="Times New Roman"/>
                <w:sz w:val="20"/>
                <w:szCs w:val="20"/>
              </w:rPr>
            </w:pPr>
            <w:r>
              <w:rPr>
                <w:rFonts w:eastAsia="Times New Roman"/>
                <w:sz w:val="20"/>
                <w:szCs w:val="20"/>
              </w:rPr>
              <w:t xml:space="preserve">subject </w:t>
            </w:r>
            <w:r>
              <w:rPr>
                <w:rFonts w:eastAsia="Times New Roman"/>
                <w:sz w:val="20"/>
                <w:szCs w:val="20"/>
              </w:rPr>
              <w:t>us to significant liability for damages or result in significant settlement payments; and/or</w:t>
            </w:r>
          </w:p>
        </w:tc>
      </w:tr>
      <w:tr w:rsidR="00000000" w14:paraId="50679DAD" w14:textId="77777777">
        <w:tc>
          <w:tcPr>
            <w:tcW w:w="0" w:type="auto"/>
            <w:hideMark/>
          </w:tcPr>
          <w:p w14:paraId="1ED4A87E" w14:textId="77777777" w:rsidR="00000000" w:rsidRDefault="001826C1">
            <w:pPr>
              <w:rPr>
                <w:rFonts w:eastAsia="Times New Roman"/>
                <w:sz w:val="20"/>
                <w:szCs w:val="20"/>
              </w:rPr>
            </w:pPr>
            <w:r>
              <w:rPr>
                <w:rFonts w:eastAsia="Times New Roman"/>
                <w:sz w:val="20"/>
                <w:szCs w:val="20"/>
              </w:rPr>
              <w:t> </w:t>
            </w:r>
          </w:p>
        </w:tc>
        <w:tc>
          <w:tcPr>
            <w:tcW w:w="0" w:type="auto"/>
            <w:hideMark/>
          </w:tcPr>
          <w:p w14:paraId="5F50AB42" w14:textId="77777777" w:rsidR="00000000" w:rsidRDefault="001826C1">
            <w:pPr>
              <w:rPr>
                <w:rFonts w:eastAsia="Times New Roman"/>
                <w:sz w:val="20"/>
                <w:szCs w:val="20"/>
              </w:rPr>
            </w:pPr>
            <w:r>
              <w:rPr>
                <w:rFonts w:eastAsia="Times New Roman"/>
                <w:sz w:val="20"/>
                <w:szCs w:val="20"/>
              </w:rPr>
              <w:t> </w:t>
            </w:r>
          </w:p>
        </w:tc>
        <w:tc>
          <w:tcPr>
            <w:tcW w:w="0" w:type="auto"/>
            <w:hideMark/>
          </w:tcPr>
          <w:p w14:paraId="34C6F9BD" w14:textId="77777777" w:rsidR="00000000" w:rsidRDefault="001826C1">
            <w:pPr>
              <w:jc w:val="both"/>
              <w:rPr>
                <w:rFonts w:eastAsia="Times New Roman"/>
                <w:sz w:val="20"/>
                <w:szCs w:val="20"/>
              </w:rPr>
            </w:pPr>
            <w:r>
              <w:rPr>
                <w:rFonts w:eastAsia="Times New Roman"/>
                <w:sz w:val="20"/>
                <w:szCs w:val="20"/>
              </w:rPr>
              <w:t> </w:t>
            </w:r>
          </w:p>
        </w:tc>
      </w:tr>
      <w:tr w:rsidR="00000000" w14:paraId="14DEC075" w14:textId="77777777">
        <w:tc>
          <w:tcPr>
            <w:tcW w:w="0" w:type="auto"/>
            <w:hideMark/>
          </w:tcPr>
          <w:p w14:paraId="3218E3C5" w14:textId="77777777" w:rsidR="00000000" w:rsidRDefault="001826C1">
            <w:pPr>
              <w:rPr>
                <w:rFonts w:eastAsia="Times New Roman"/>
                <w:sz w:val="20"/>
                <w:szCs w:val="20"/>
              </w:rPr>
            </w:pPr>
            <w:r>
              <w:rPr>
                <w:rFonts w:eastAsia="Times New Roman"/>
                <w:sz w:val="20"/>
                <w:szCs w:val="20"/>
              </w:rPr>
              <w:t> </w:t>
            </w:r>
          </w:p>
        </w:tc>
        <w:tc>
          <w:tcPr>
            <w:tcW w:w="0" w:type="auto"/>
            <w:hideMark/>
          </w:tcPr>
          <w:p w14:paraId="7FE6C1F2" w14:textId="77777777" w:rsidR="00000000" w:rsidRDefault="001826C1">
            <w:pPr>
              <w:rPr>
                <w:rFonts w:eastAsia="Times New Roman"/>
                <w:sz w:val="20"/>
                <w:szCs w:val="20"/>
              </w:rPr>
            </w:pPr>
            <w:r>
              <w:rPr>
                <w:rFonts w:eastAsia="Times New Roman"/>
                <w:sz w:val="20"/>
                <w:szCs w:val="20"/>
              </w:rPr>
              <w:t>●</w:t>
            </w:r>
          </w:p>
        </w:tc>
        <w:tc>
          <w:tcPr>
            <w:tcW w:w="0" w:type="auto"/>
            <w:hideMark/>
          </w:tcPr>
          <w:p w14:paraId="52AB68C2" w14:textId="77777777" w:rsidR="00000000" w:rsidRDefault="001826C1">
            <w:pPr>
              <w:jc w:val="both"/>
              <w:rPr>
                <w:rFonts w:eastAsia="Times New Roman"/>
                <w:sz w:val="20"/>
                <w:szCs w:val="20"/>
              </w:rPr>
            </w:pPr>
            <w:r>
              <w:rPr>
                <w:rFonts w:eastAsia="Times New Roman"/>
                <w:sz w:val="20"/>
                <w:szCs w:val="20"/>
              </w:rPr>
              <w:t>require us to indemnify our customers.</w:t>
            </w:r>
          </w:p>
        </w:tc>
      </w:tr>
    </w:tbl>
    <w:p w14:paraId="408A0426" w14:textId="77777777" w:rsidR="00000000" w:rsidRDefault="001826C1">
      <w:pPr>
        <w:pStyle w:val="a3"/>
        <w:spacing w:before="0" w:beforeAutospacing="0" w:after="0" w:afterAutospacing="0"/>
        <w:ind w:hanging="360"/>
        <w:jc w:val="both"/>
        <w:rPr>
          <w:sz w:val="20"/>
          <w:szCs w:val="20"/>
        </w:rPr>
      </w:pPr>
      <w:r>
        <w:rPr>
          <w:sz w:val="20"/>
          <w:szCs w:val="20"/>
        </w:rPr>
        <w:t> </w:t>
      </w:r>
    </w:p>
    <w:p w14:paraId="09CDEFC3" w14:textId="77777777" w:rsidR="00000000" w:rsidRDefault="001826C1">
      <w:pPr>
        <w:pStyle w:val="a3"/>
        <w:spacing w:before="0" w:beforeAutospacing="0" w:after="0" w:afterAutospacing="0"/>
        <w:jc w:val="both"/>
        <w:rPr>
          <w:sz w:val="20"/>
          <w:szCs w:val="20"/>
        </w:rPr>
      </w:pPr>
      <w:r>
        <w:rPr>
          <w:sz w:val="20"/>
          <w:szCs w:val="20"/>
        </w:rPr>
        <w:t>Furthermore, during the course of litigation, confidential information may be disclosed in the form of docume</w:t>
      </w:r>
      <w:r>
        <w:rPr>
          <w:sz w:val="20"/>
          <w:szCs w:val="20"/>
        </w:rPr>
        <w:t>nts or testimony in connection with discovery requests, depositions or trial testimony. Disclosure of our confidential information and our involvement in intellectual property litigation could materially adversely affect our business. Some of our competito</w:t>
      </w:r>
      <w:r>
        <w:rPr>
          <w:sz w:val="20"/>
          <w:szCs w:val="20"/>
        </w:rPr>
        <w:t>rs may be able to sustain the costs of intellectual property litigation more effectively than we can because they have substantially greater resources. In addition, any litigation could significantly harm our relationships with current and prospective cust</w:t>
      </w:r>
      <w:r>
        <w:rPr>
          <w:sz w:val="20"/>
          <w:szCs w:val="20"/>
        </w:rPr>
        <w:t>omers. Any of the foregoing could disrupt our business and have a material adverse effect on our business, operating results and financial condition.</w:t>
      </w:r>
    </w:p>
    <w:p w14:paraId="3C73CA08"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CB8B6D6" w14:textId="77777777">
        <w:trPr>
          <w:divId w:val="669600648"/>
        </w:trPr>
        <w:tc>
          <w:tcPr>
            <w:tcW w:w="5000" w:type="pct"/>
            <w:hideMark/>
          </w:tcPr>
          <w:p w14:paraId="411A659B"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6B456497" w14:textId="77777777">
        <w:tc>
          <w:tcPr>
            <w:tcW w:w="5000" w:type="pct"/>
            <w:hideMark/>
          </w:tcPr>
          <w:p w14:paraId="454B0D2E" w14:textId="77777777" w:rsidR="00000000" w:rsidRDefault="001826C1">
            <w:pPr>
              <w:jc w:val="center"/>
              <w:rPr>
                <w:rFonts w:eastAsia="Times New Roman"/>
                <w:sz w:val="20"/>
                <w:szCs w:val="20"/>
              </w:rPr>
            </w:pPr>
            <w:r>
              <w:rPr>
                <w:rFonts w:eastAsia="Times New Roman"/>
                <w:sz w:val="20"/>
                <w:szCs w:val="20"/>
              </w:rPr>
              <w:t> </w:t>
            </w:r>
          </w:p>
        </w:tc>
      </w:tr>
    </w:tbl>
    <w:p w14:paraId="6030EE9D" w14:textId="77777777" w:rsidR="00000000" w:rsidRDefault="001826C1">
      <w:pPr>
        <w:pStyle w:val="a3"/>
        <w:spacing w:before="0" w:beforeAutospacing="0" w:after="0" w:afterAutospacing="0"/>
        <w:rPr>
          <w:sz w:val="20"/>
          <w:szCs w:val="20"/>
        </w:rPr>
      </w:pPr>
      <w:r>
        <w:rPr>
          <w:b/>
          <w:bCs/>
          <w:i/>
          <w:iCs/>
          <w:sz w:val="20"/>
          <w:szCs w:val="20"/>
        </w:rPr>
        <w:t> </w:t>
      </w:r>
    </w:p>
    <w:p w14:paraId="503EDD51" w14:textId="77777777" w:rsidR="00000000" w:rsidRDefault="001826C1">
      <w:pPr>
        <w:pStyle w:val="a3"/>
        <w:spacing w:before="0" w:beforeAutospacing="0" w:after="0" w:afterAutospacing="0"/>
        <w:jc w:val="both"/>
        <w:rPr>
          <w:sz w:val="20"/>
          <w:szCs w:val="20"/>
        </w:rPr>
      </w:pPr>
      <w:r>
        <w:rPr>
          <w:b/>
          <w:bCs/>
          <w:i/>
          <w:iCs/>
          <w:sz w:val="20"/>
          <w:szCs w:val="20"/>
        </w:rPr>
        <w:t xml:space="preserve">We </w:t>
      </w:r>
      <w:r>
        <w:rPr>
          <w:b/>
          <w:bCs/>
          <w:i/>
          <w:iCs/>
          <w:sz w:val="20"/>
          <w:szCs w:val="20"/>
        </w:rPr>
        <w:t xml:space="preserve">may be unable to protect, and we may incur significant costs in enforcing, our intellectual property rights. </w:t>
      </w:r>
    </w:p>
    <w:p w14:paraId="16BD55ED" w14:textId="77777777" w:rsidR="00000000" w:rsidRDefault="001826C1">
      <w:pPr>
        <w:pStyle w:val="a3"/>
        <w:spacing w:before="0" w:beforeAutospacing="0" w:after="0" w:afterAutospacing="0"/>
        <w:jc w:val="both"/>
        <w:rPr>
          <w:sz w:val="20"/>
          <w:szCs w:val="20"/>
        </w:rPr>
      </w:pPr>
      <w:r>
        <w:rPr>
          <w:b/>
          <w:bCs/>
          <w:i/>
          <w:iCs/>
          <w:sz w:val="20"/>
          <w:szCs w:val="20"/>
        </w:rPr>
        <w:t> </w:t>
      </w:r>
    </w:p>
    <w:p w14:paraId="78963558" w14:textId="77777777" w:rsidR="00000000" w:rsidRDefault="001826C1">
      <w:pPr>
        <w:pStyle w:val="a3"/>
        <w:spacing w:before="0" w:beforeAutospacing="0" w:after="0" w:afterAutospacing="0"/>
        <w:jc w:val="both"/>
        <w:rPr>
          <w:sz w:val="20"/>
          <w:szCs w:val="20"/>
        </w:rPr>
      </w:pPr>
      <w:r>
        <w:rPr>
          <w:sz w:val="20"/>
          <w:szCs w:val="20"/>
        </w:rPr>
        <w:t>Our patents, trademarks, trade secrets, copyrights, and other intellectual property rights are important assets to us. Various events outside of</w:t>
      </w:r>
      <w:r>
        <w:rPr>
          <w:sz w:val="20"/>
          <w:szCs w:val="20"/>
        </w:rPr>
        <w:t xml:space="preserve"> our control pose a threat to our intellectual property rights, as well as to our products, services, and technologies. For instance, any of our current or future intellectual property rights may be challenged by others or invalidated through administrativ</w:t>
      </w:r>
      <w:r>
        <w:rPr>
          <w:sz w:val="20"/>
          <w:szCs w:val="20"/>
        </w:rPr>
        <w:t>e process or litigation. Any of our pending or future patent applications, whether or not being currently challenged, may not be issued with the scope of the claims we seek, if at all.</w:t>
      </w:r>
    </w:p>
    <w:p w14:paraId="35895F6A" w14:textId="77777777" w:rsidR="00000000" w:rsidRDefault="001826C1">
      <w:pPr>
        <w:pStyle w:val="a3"/>
        <w:spacing w:before="0" w:beforeAutospacing="0" w:after="0" w:afterAutospacing="0"/>
        <w:jc w:val="both"/>
        <w:rPr>
          <w:sz w:val="20"/>
          <w:szCs w:val="20"/>
        </w:rPr>
      </w:pPr>
      <w:r>
        <w:rPr>
          <w:sz w:val="20"/>
          <w:szCs w:val="20"/>
        </w:rPr>
        <w:t> </w:t>
      </w:r>
    </w:p>
    <w:p w14:paraId="721E3574" w14:textId="77777777" w:rsidR="00000000" w:rsidRDefault="001826C1">
      <w:pPr>
        <w:pStyle w:val="a3"/>
        <w:spacing w:before="0" w:beforeAutospacing="0" w:after="0" w:afterAutospacing="0"/>
        <w:jc w:val="both"/>
        <w:rPr>
          <w:sz w:val="20"/>
          <w:szCs w:val="20"/>
        </w:rPr>
      </w:pPr>
      <w:r>
        <w:rPr>
          <w:sz w:val="20"/>
          <w:szCs w:val="20"/>
        </w:rPr>
        <w:t xml:space="preserve">We have taken efforts to protect our proprietary rights, including a </w:t>
      </w:r>
      <w:r>
        <w:rPr>
          <w:sz w:val="20"/>
          <w:szCs w:val="20"/>
        </w:rPr>
        <w:t>combination of license agreements, confidentiality policies and procedures, confidentiality provisions in employment agreements, confidentiality agreements with third parties, and technical security measures, as well as our reliance on copyright, patent, t</w:t>
      </w:r>
      <w:r>
        <w:rPr>
          <w:sz w:val="20"/>
          <w:szCs w:val="20"/>
        </w:rPr>
        <w:t>rademark, trade secret and unfair competition laws. These efforts may not be sufficient or effective. For example, the secrecy of our trade secrets or other confidential information could be compromised by our employees or by third parties, which could cau</w:t>
      </w:r>
      <w:r>
        <w:rPr>
          <w:sz w:val="20"/>
          <w:szCs w:val="20"/>
        </w:rPr>
        <w:t>se us to lose the competitive advantage resulting from those trade secrets or confidential information. Unauthorized third parties may try to copy or reverse engineer portions of our products or otherwise infringe upon, misappropriate or use our intellectu</w:t>
      </w:r>
      <w:r>
        <w:rPr>
          <w:sz w:val="20"/>
          <w:szCs w:val="20"/>
        </w:rPr>
        <w:t>al property. We may not be able to discover or determine the extent of any unauthorized use of our proprietary rights. We may also conclude that, in some instances, the benefits of protecting our intellectual property rights may be outweighed by the expens</w:t>
      </w:r>
      <w:r>
        <w:rPr>
          <w:sz w:val="20"/>
          <w:szCs w:val="20"/>
        </w:rPr>
        <w:t>e.</w:t>
      </w:r>
    </w:p>
    <w:p w14:paraId="0BF59C14" w14:textId="77777777" w:rsidR="00000000" w:rsidRDefault="001826C1">
      <w:pPr>
        <w:pStyle w:val="a3"/>
        <w:spacing w:before="0" w:beforeAutospacing="0" w:after="0" w:afterAutospacing="0"/>
        <w:jc w:val="both"/>
        <w:rPr>
          <w:sz w:val="20"/>
          <w:szCs w:val="20"/>
        </w:rPr>
      </w:pPr>
      <w:r>
        <w:rPr>
          <w:sz w:val="20"/>
          <w:szCs w:val="20"/>
        </w:rPr>
        <w:t> </w:t>
      </w:r>
    </w:p>
    <w:p w14:paraId="68716555" w14:textId="77777777" w:rsidR="00000000" w:rsidRDefault="001826C1">
      <w:pPr>
        <w:pStyle w:val="a3"/>
        <w:spacing w:before="0" w:beforeAutospacing="0" w:after="0" w:afterAutospacing="0"/>
        <w:jc w:val="both"/>
        <w:rPr>
          <w:sz w:val="20"/>
          <w:szCs w:val="20"/>
        </w:rPr>
      </w:pPr>
      <w:r>
        <w:rPr>
          <w:sz w:val="20"/>
          <w:szCs w:val="20"/>
        </w:rPr>
        <w:t>In addition, our platforms incorporate “open source” software components that are licensed to us under various public domain licenses. Open source license terms are often ambiguous, and there is little or no legal precedent governing the interpretatio</w:t>
      </w:r>
      <w:r>
        <w:rPr>
          <w:sz w:val="20"/>
          <w:szCs w:val="20"/>
        </w:rPr>
        <w:t>n of many of the terms of certain of these licenses. Therefore, the potential impact of such terms on our business is somewhat unknown. Further, some enterprises may be reluctant or unwilling to use cloud-based services, because they have concerns regardin</w:t>
      </w:r>
      <w:r>
        <w:rPr>
          <w:sz w:val="20"/>
          <w:szCs w:val="20"/>
        </w:rPr>
        <w:t>g the risks associated with the security and reliability, among other things, of the technology delivery model associated with these services. If enterprises do not perceive the benefits of our services, then the market for these services may not expand as</w:t>
      </w:r>
      <w:r>
        <w:rPr>
          <w:sz w:val="20"/>
          <w:szCs w:val="20"/>
        </w:rPr>
        <w:t xml:space="preserve"> much or develop as quickly as we expect, either of which would adversely affect our business, financial condition, or operating results.</w:t>
      </w:r>
    </w:p>
    <w:p w14:paraId="61496550" w14:textId="77777777" w:rsidR="00000000" w:rsidRDefault="001826C1">
      <w:pPr>
        <w:pStyle w:val="a3"/>
        <w:spacing w:before="0" w:beforeAutospacing="0" w:after="0" w:afterAutospacing="0"/>
        <w:jc w:val="both"/>
        <w:rPr>
          <w:sz w:val="20"/>
          <w:szCs w:val="20"/>
        </w:rPr>
      </w:pPr>
      <w:r>
        <w:rPr>
          <w:sz w:val="20"/>
          <w:szCs w:val="20"/>
        </w:rPr>
        <w:t> </w:t>
      </w:r>
    </w:p>
    <w:p w14:paraId="57C09C6E" w14:textId="77777777" w:rsidR="00000000" w:rsidRDefault="001826C1">
      <w:pPr>
        <w:pStyle w:val="a3"/>
        <w:spacing w:before="0" w:beforeAutospacing="0" w:after="0" w:afterAutospacing="0"/>
        <w:jc w:val="both"/>
        <w:rPr>
          <w:sz w:val="20"/>
          <w:szCs w:val="20"/>
        </w:rPr>
      </w:pPr>
      <w:r>
        <w:rPr>
          <w:sz w:val="20"/>
          <w:szCs w:val="20"/>
        </w:rPr>
        <w:t>Legal standards relating to the validity, enforceability and scope of protection of intellectual property rights are</w:t>
      </w:r>
      <w:r>
        <w:rPr>
          <w:sz w:val="20"/>
          <w:szCs w:val="20"/>
        </w:rPr>
        <w:t xml:space="preserve"> uncertain and still evolving. The laws of some foreign countries may not be as protective of intellectual property rights as those in the United States, and effective intellectual property protection may not be available in every country in which our prod</w:t>
      </w:r>
      <w:r>
        <w:rPr>
          <w:sz w:val="20"/>
          <w:szCs w:val="20"/>
        </w:rPr>
        <w:t>ucts and services are distributed.</w:t>
      </w:r>
    </w:p>
    <w:p w14:paraId="133E1728" w14:textId="77777777" w:rsidR="00000000" w:rsidRDefault="001826C1">
      <w:pPr>
        <w:pStyle w:val="a3"/>
        <w:spacing w:before="0" w:beforeAutospacing="0" w:after="0" w:afterAutospacing="0"/>
        <w:jc w:val="both"/>
        <w:rPr>
          <w:sz w:val="20"/>
          <w:szCs w:val="20"/>
        </w:rPr>
      </w:pPr>
      <w:r>
        <w:rPr>
          <w:sz w:val="20"/>
          <w:szCs w:val="20"/>
        </w:rPr>
        <w:t> </w:t>
      </w:r>
    </w:p>
    <w:p w14:paraId="500B2249" w14:textId="77777777" w:rsidR="00000000" w:rsidRDefault="001826C1">
      <w:pPr>
        <w:pStyle w:val="a3"/>
        <w:spacing w:before="0" w:beforeAutospacing="0" w:after="0" w:afterAutospacing="0"/>
        <w:jc w:val="both"/>
        <w:rPr>
          <w:sz w:val="20"/>
          <w:szCs w:val="20"/>
        </w:rPr>
      </w:pPr>
      <w:r>
        <w:rPr>
          <w:sz w:val="20"/>
          <w:szCs w:val="20"/>
        </w:rPr>
        <w:t>Any impairment of our intellectual property rights, or our failure to protect our intellectual property rights adequately, could give our competitors’ access to our technology and could materially and adversely impact o</w:t>
      </w:r>
      <w:r>
        <w:rPr>
          <w:sz w:val="20"/>
          <w:szCs w:val="20"/>
        </w:rPr>
        <w:t>ur business and operating results. Any increase in the unauthorized use of our intellectual property could also divert the efforts of our technical and management personnel and result in significant additional expense to us, which could materially and adve</w:t>
      </w:r>
      <w:r>
        <w:rPr>
          <w:sz w:val="20"/>
          <w:szCs w:val="20"/>
        </w:rPr>
        <w:t>rsely impact our operating results. Finally, we may be required to spend significant resources to monitor and protect our intellectual property rights, including with respect to legal proceedings, which could result in substantial costs and diversion of re</w:t>
      </w:r>
      <w:r>
        <w:rPr>
          <w:sz w:val="20"/>
          <w:szCs w:val="20"/>
        </w:rPr>
        <w:t>sources and could materially and adversely impact our business, financial condition and operating results.</w:t>
      </w:r>
    </w:p>
    <w:p w14:paraId="562F32AB" w14:textId="77777777" w:rsidR="00000000" w:rsidRDefault="001826C1">
      <w:pPr>
        <w:pStyle w:val="a3"/>
        <w:spacing w:before="0" w:beforeAutospacing="0" w:after="0" w:afterAutospacing="0"/>
        <w:rPr>
          <w:sz w:val="20"/>
          <w:szCs w:val="20"/>
        </w:rPr>
      </w:pPr>
      <w:r>
        <w:rPr>
          <w:sz w:val="20"/>
          <w:szCs w:val="20"/>
        </w:rPr>
        <w:t> </w:t>
      </w:r>
    </w:p>
    <w:p w14:paraId="6BB7B664"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Current and future litigation against us could be costly and time-consuming to defend and could result in additional liabilities.</w:t>
      </w:r>
    </w:p>
    <w:p w14:paraId="01DD063B"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744A821" w14:textId="77777777" w:rsidR="00000000" w:rsidRDefault="001826C1">
      <w:pPr>
        <w:pStyle w:val="a3"/>
        <w:spacing w:before="0" w:beforeAutospacing="0" w:after="0" w:afterAutospacing="0"/>
        <w:jc w:val="both"/>
        <w:rPr>
          <w:sz w:val="20"/>
          <w:szCs w:val="20"/>
        </w:rPr>
      </w:pPr>
      <w:r>
        <w:rPr>
          <w:sz w:val="20"/>
          <w:szCs w:val="20"/>
        </w:rPr>
        <w:t>We may from tim</w:t>
      </w:r>
      <w:r>
        <w:rPr>
          <w:sz w:val="20"/>
          <w:szCs w:val="20"/>
        </w:rPr>
        <w:t>e to time be subject to legal proceedings and claims that arise in the ordinary course of business, such as claims brought by current and former clients in connection with commercial disputes and employment claims made by our current or former employees. C</w:t>
      </w:r>
      <w:r>
        <w:rPr>
          <w:sz w:val="20"/>
          <w:szCs w:val="20"/>
        </w:rPr>
        <w:t>laims may also be asserted by or on behalf of a variety of other parties, including government agencies, patients of our physician clients, stockholders, the sellers of the businesses that we acquire, or the creditors of the businesses we acquire. Any liti</w:t>
      </w:r>
      <w:r>
        <w:rPr>
          <w:sz w:val="20"/>
          <w:szCs w:val="20"/>
        </w:rPr>
        <w:t>gation involving us may result in substantial costs and may divert management’s attention and resources, which may seriously harm our business, overall financial condition, and operating results. Insurance may not cover existing or future claims, be suffic</w:t>
      </w:r>
      <w:r>
        <w:rPr>
          <w:sz w:val="20"/>
          <w:szCs w:val="20"/>
        </w:rPr>
        <w:t xml:space="preserve">ient to fully compensate us for one or more of such claims, or continue to be available on terms acceptable to us. A claim brought against us that is uninsured or underinsured could result in unanticipated costs, thereby reducing our operating results and </w:t>
      </w:r>
      <w:r>
        <w:rPr>
          <w:sz w:val="20"/>
          <w:szCs w:val="20"/>
        </w:rPr>
        <w:t>leading analysts or potential investors to reduce their expectations of our performance resulting in a reduction in the trading price of our stock.</w:t>
      </w:r>
    </w:p>
    <w:p w14:paraId="3FF2B14A"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FB22B07" w14:textId="77777777">
        <w:trPr>
          <w:divId w:val="520120849"/>
        </w:trPr>
        <w:tc>
          <w:tcPr>
            <w:tcW w:w="5000" w:type="pct"/>
            <w:hideMark/>
          </w:tcPr>
          <w:p w14:paraId="5C88304F"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522DE411" w14:textId="77777777">
        <w:tc>
          <w:tcPr>
            <w:tcW w:w="5000" w:type="pct"/>
            <w:hideMark/>
          </w:tcPr>
          <w:p w14:paraId="21298DB4" w14:textId="77777777" w:rsidR="00000000" w:rsidRDefault="001826C1">
            <w:pPr>
              <w:jc w:val="center"/>
              <w:rPr>
                <w:rFonts w:eastAsia="Times New Roman"/>
                <w:sz w:val="20"/>
                <w:szCs w:val="20"/>
              </w:rPr>
            </w:pPr>
            <w:r>
              <w:rPr>
                <w:rFonts w:eastAsia="Times New Roman"/>
                <w:sz w:val="20"/>
                <w:szCs w:val="20"/>
              </w:rPr>
              <w:t> </w:t>
            </w:r>
          </w:p>
        </w:tc>
      </w:tr>
    </w:tbl>
    <w:p w14:paraId="45934A6D" w14:textId="77777777" w:rsidR="00000000" w:rsidRDefault="001826C1">
      <w:pPr>
        <w:pStyle w:val="a3"/>
        <w:spacing w:before="0" w:beforeAutospacing="0" w:after="0" w:afterAutospacing="0"/>
        <w:rPr>
          <w:sz w:val="20"/>
          <w:szCs w:val="20"/>
        </w:rPr>
      </w:pPr>
      <w:r>
        <w:rPr>
          <w:b/>
          <w:bCs/>
          <w:i/>
          <w:iCs/>
          <w:sz w:val="20"/>
          <w:szCs w:val="20"/>
        </w:rPr>
        <w:t> </w:t>
      </w:r>
    </w:p>
    <w:p w14:paraId="3E9B00CE" w14:textId="77777777" w:rsidR="00000000" w:rsidRDefault="001826C1">
      <w:pPr>
        <w:pStyle w:val="a3"/>
        <w:spacing w:before="0" w:beforeAutospacing="0" w:after="0" w:afterAutospacing="0"/>
        <w:jc w:val="both"/>
        <w:rPr>
          <w:sz w:val="20"/>
          <w:szCs w:val="20"/>
        </w:rPr>
      </w:pPr>
      <w:r>
        <w:rPr>
          <w:b/>
          <w:bCs/>
          <w:i/>
          <w:iCs/>
          <w:sz w:val="20"/>
          <w:szCs w:val="20"/>
        </w:rPr>
        <w:t xml:space="preserve">Our </w:t>
      </w:r>
      <w:r>
        <w:rPr>
          <w:b/>
          <w:bCs/>
          <w:i/>
          <w:iCs/>
          <w:sz w:val="20"/>
          <w:szCs w:val="20"/>
        </w:rPr>
        <w:t>proprietary software or service delivery platform (including the platform we acquired through CareCloud) may not operate properly, which could damage our reputation, give rise to claims against us, or divert application of our resources from other purposes</w:t>
      </w:r>
      <w:r>
        <w:rPr>
          <w:b/>
          <w:bCs/>
          <w:i/>
          <w:iCs/>
          <w:sz w:val="20"/>
          <w:szCs w:val="20"/>
        </w:rPr>
        <w:t>, any of which could harm our business and operating results.</w:t>
      </w:r>
    </w:p>
    <w:p w14:paraId="5B7AA411" w14:textId="77777777" w:rsidR="00000000" w:rsidRDefault="001826C1">
      <w:pPr>
        <w:pStyle w:val="a3"/>
        <w:spacing w:before="0" w:beforeAutospacing="0" w:after="0" w:afterAutospacing="0"/>
        <w:jc w:val="both"/>
        <w:rPr>
          <w:sz w:val="20"/>
          <w:szCs w:val="20"/>
        </w:rPr>
      </w:pPr>
      <w:r>
        <w:rPr>
          <w:sz w:val="20"/>
          <w:szCs w:val="20"/>
        </w:rPr>
        <w:t> </w:t>
      </w:r>
    </w:p>
    <w:p w14:paraId="0AF51A16" w14:textId="77777777" w:rsidR="00000000" w:rsidRDefault="001826C1">
      <w:pPr>
        <w:pStyle w:val="a3"/>
        <w:spacing w:before="0" w:beforeAutospacing="0" w:after="0" w:afterAutospacing="0"/>
        <w:jc w:val="both"/>
        <w:rPr>
          <w:sz w:val="20"/>
          <w:szCs w:val="20"/>
        </w:rPr>
      </w:pPr>
      <w:r>
        <w:rPr>
          <w:sz w:val="20"/>
          <w:szCs w:val="20"/>
        </w:rPr>
        <w:t>We may encounter human or technical obstacles that prevent our proprietary or acquired applications from operating properly. If our applications do not function reliably or fail to achieve cus</w:t>
      </w:r>
      <w:r>
        <w:rPr>
          <w:sz w:val="20"/>
          <w:szCs w:val="20"/>
        </w:rPr>
        <w:t>tomer expectations in terms of performance, customers could assert liability claims against us or attempt to cancel their contracts with us. This could damage our reputation and impair our ability to attract or maintain customers.</w:t>
      </w:r>
    </w:p>
    <w:p w14:paraId="77F685C5" w14:textId="77777777" w:rsidR="00000000" w:rsidRDefault="001826C1">
      <w:pPr>
        <w:pStyle w:val="a3"/>
        <w:spacing w:before="0" w:beforeAutospacing="0" w:after="0" w:afterAutospacing="0"/>
        <w:jc w:val="both"/>
        <w:rPr>
          <w:sz w:val="20"/>
          <w:szCs w:val="20"/>
        </w:rPr>
      </w:pPr>
      <w:r>
        <w:rPr>
          <w:sz w:val="20"/>
          <w:szCs w:val="20"/>
        </w:rPr>
        <w:t> </w:t>
      </w:r>
    </w:p>
    <w:p w14:paraId="4776D738" w14:textId="77777777" w:rsidR="00000000" w:rsidRDefault="001826C1">
      <w:pPr>
        <w:pStyle w:val="a3"/>
        <w:spacing w:before="0" w:beforeAutospacing="0" w:after="0" w:afterAutospacing="0"/>
        <w:jc w:val="both"/>
        <w:rPr>
          <w:sz w:val="20"/>
          <w:szCs w:val="20"/>
        </w:rPr>
      </w:pPr>
      <w:r>
        <w:rPr>
          <w:sz w:val="20"/>
          <w:szCs w:val="20"/>
        </w:rPr>
        <w:t>There are particular ri</w:t>
      </w:r>
      <w:r>
        <w:rPr>
          <w:sz w:val="20"/>
          <w:szCs w:val="20"/>
        </w:rPr>
        <w:t>sks when we inherit technologies through the companies we acquire. These technologies, often developed by distressed companies, were not created under our direct supervision and control and therefore may not have been developed in accordance with our stand</w:t>
      </w:r>
      <w:r>
        <w:rPr>
          <w:sz w:val="20"/>
          <w:szCs w:val="20"/>
        </w:rPr>
        <w:t>ards. Such acquired technologies could, and at times do, contain operational deficiencies, defects, glitches or bugs that may not be discovered immediately or otherwise could have been avoided had we built the technology ourselves. Whether technology we de</w:t>
      </w:r>
      <w:r>
        <w:rPr>
          <w:sz w:val="20"/>
          <w:szCs w:val="20"/>
        </w:rPr>
        <w:t>velop or technology we acquire, we will need to replace certain components and remediate software defects or bugs from time to time. There can be no assurance that such defects or bugs, or the process of remediating them, will not have a material impact on</w:t>
      </w:r>
      <w:r>
        <w:rPr>
          <w:sz w:val="20"/>
          <w:szCs w:val="20"/>
        </w:rPr>
        <w:t xml:space="preserve"> our business. Our inability to promptly and cost-effectively correct a product defect could result in the Company having to withdraw an important product from market, damage to our reputation, and result in material costs and expenses, any of which could </w:t>
      </w:r>
      <w:r>
        <w:rPr>
          <w:sz w:val="20"/>
          <w:szCs w:val="20"/>
        </w:rPr>
        <w:t>have a material impact on our revenue, margins, and operating results.</w:t>
      </w:r>
    </w:p>
    <w:p w14:paraId="352B548A" w14:textId="77777777" w:rsidR="00000000" w:rsidRDefault="001826C1">
      <w:pPr>
        <w:pStyle w:val="a3"/>
        <w:spacing w:before="0" w:beforeAutospacing="0" w:after="0" w:afterAutospacing="0"/>
        <w:jc w:val="both"/>
        <w:rPr>
          <w:sz w:val="20"/>
          <w:szCs w:val="20"/>
        </w:rPr>
      </w:pPr>
      <w:r>
        <w:rPr>
          <w:sz w:val="20"/>
          <w:szCs w:val="20"/>
        </w:rPr>
        <w:t> </w:t>
      </w:r>
    </w:p>
    <w:p w14:paraId="5A56F9C3" w14:textId="77777777" w:rsidR="00000000" w:rsidRDefault="001826C1">
      <w:pPr>
        <w:pStyle w:val="a3"/>
        <w:spacing w:before="0" w:beforeAutospacing="0" w:after="0" w:afterAutospacing="0"/>
        <w:jc w:val="both"/>
        <w:rPr>
          <w:sz w:val="20"/>
          <w:szCs w:val="20"/>
        </w:rPr>
      </w:pPr>
      <w:r>
        <w:rPr>
          <w:sz w:val="20"/>
          <w:szCs w:val="20"/>
        </w:rPr>
        <w:t>Moreover, information services as complex as those we offer have in the past contained, and may in the future develop or contain, undetected defects or errors. We cannot assure you th</w:t>
      </w:r>
      <w:r>
        <w:rPr>
          <w:sz w:val="20"/>
          <w:szCs w:val="20"/>
        </w:rPr>
        <w:t>at material performance problems or defects in our products or services will not arise in the future. Errors may result from receipt, entry, or interpretation of patient information or from interface of our services with legacy systems and data that we did</w:t>
      </w:r>
      <w:r>
        <w:rPr>
          <w:sz w:val="20"/>
          <w:szCs w:val="20"/>
        </w:rPr>
        <w:t xml:space="preserve"> not develop and the function of which is outside of our control. Despite testing, defects or errors may arise in our existing or new software or service processes. Because changes in payer requirements and practices are frequent and sometimes difficult to</w:t>
      </w:r>
      <w:r>
        <w:rPr>
          <w:sz w:val="20"/>
          <w:szCs w:val="20"/>
        </w:rPr>
        <w:t xml:space="preserve"> determine except through trial and error, we are continuously discovering defects and errors in our software and service processes compared against these requirements and practices. These defects and errors and any failure by us to identify and address th</w:t>
      </w:r>
      <w:r>
        <w:rPr>
          <w:sz w:val="20"/>
          <w:szCs w:val="20"/>
        </w:rPr>
        <w:t>em could result in loss of revenue or market share, liability to customers or others, failure to achieve market acceptance or expansion, diversion of development resources, injury to our reputation, and increased service and maintenance costs. Defects or e</w:t>
      </w:r>
      <w:r>
        <w:rPr>
          <w:sz w:val="20"/>
          <w:szCs w:val="20"/>
        </w:rPr>
        <w:t>rrors in our software might discourage existing or potential customers from purchasing our products and services. Correction of defects or errors could prove to be impossible or impracticable. The costs incurred in correcting any defects or errors or in re</w:t>
      </w:r>
      <w:r>
        <w:rPr>
          <w:sz w:val="20"/>
          <w:szCs w:val="20"/>
        </w:rPr>
        <w:t>sponding to resulting claims or liability may be substantial and could adversely affect our operating results.</w:t>
      </w:r>
    </w:p>
    <w:p w14:paraId="55B8A08E" w14:textId="77777777" w:rsidR="00000000" w:rsidRDefault="001826C1">
      <w:pPr>
        <w:pStyle w:val="a3"/>
        <w:spacing w:before="0" w:beforeAutospacing="0" w:after="0" w:afterAutospacing="0"/>
        <w:jc w:val="both"/>
        <w:rPr>
          <w:sz w:val="20"/>
          <w:szCs w:val="20"/>
        </w:rPr>
      </w:pPr>
      <w:r>
        <w:rPr>
          <w:sz w:val="20"/>
          <w:szCs w:val="20"/>
        </w:rPr>
        <w:t> </w:t>
      </w:r>
    </w:p>
    <w:p w14:paraId="26F444F3" w14:textId="77777777" w:rsidR="00000000" w:rsidRDefault="001826C1">
      <w:pPr>
        <w:pStyle w:val="a3"/>
        <w:spacing w:before="0" w:beforeAutospacing="0" w:after="0" w:afterAutospacing="0"/>
        <w:jc w:val="both"/>
        <w:rPr>
          <w:sz w:val="20"/>
          <w:szCs w:val="20"/>
        </w:rPr>
      </w:pPr>
      <w:r>
        <w:rPr>
          <w:sz w:val="20"/>
          <w:szCs w:val="20"/>
        </w:rPr>
        <w:t>In addition, customers relying on our services to collect, manage, and report clinical, business, and administrative data may have a greater se</w:t>
      </w:r>
      <w:r>
        <w:rPr>
          <w:sz w:val="20"/>
          <w:szCs w:val="20"/>
        </w:rPr>
        <w:t>nsitivity to service errors and security vulnerabilities than customers of software products in general. We market and sell services that, among other things, provide information to assist healthcare providers in tracking and treating patients. Any operati</w:t>
      </w:r>
      <w:r>
        <w:rPr>
          <w:sz w:val="20"/>
          <w:szCs w:val="20"/>
        </w:rPr>
        <w:t>onal delay in or failure of our technology or service processes may result in the disruption of patient care and could cause harm to patients and thereby create unforeseen liabilities for our business.</w:t>
      </w:r>
    </w:p>
    <w:p w14:paraId="0405DE32" w14:textId="77777777" w:rsidR="00000000" w:rsidRDefault="001826C1">
      <w:pPr>
        <w:pStyle w:val="a3"/>
        <w:spacing w:before="0" w:beforeAutospacing="0" w:after="0" w:afterAutospacing="0"/>
        <w:jc w:val="both"/>
        <w:rPr>
          <w:sz w:val="20"/>
          <w:szCs w:val="20"/>
        </w:rPr>
      </w:pPr>
      <w:r>
        <w:rPr>
          <w:sz w:val="20"/>
          <w:szCs w:val="20"/>
        </w:rPr>
        <w:t> </w:t>
      </w:r>
    </w:p>
    <w:p w14:paraId="7029D550" w14:textId="77777777" w:rsidR="00000000" w:rsidRDefault="001826C1">
      <w:pPr>
        <w:pStyle w:val="a3"/>
        <w:spacing w:before="0" w:beforeAutospacing="0" w:after="0" w:afterAutospacing="0"/>
        <w:jc w:val="both"/>
        <w:rPr>
          <w:sz w:val="20"/>
          <w:szCs w:val="20"/>
        </w:rPr>
      </w:pPr>
      <w:r>
        <w:rPr>
          <w:sz w:val="20"/>
          <w:szCs w:val="20"/>
        </w:rPr>
        <w:t>Our customers or their patients may assert claims ag</w:t>
      </w:r>
      <w:r>
        <w:rPr>
          <w:sz w:val="20"/>
          <w:szCs w:val="20"/>
        </w:rPr>
        <w:t>ainst us alleging that they suffered damages due to a defect, error, or other failure of our software or service processes. A product liability claim or errors or omissions claim could subject us to significant legal defense costs and adverse publicity, re</w:t>
      </w:r>
      <w:r>
        <w:rPr>
          <w:sz w:val="20"/>
          <w:szCs w:val="20"/>
        </w:rPr>
        <w:t>gardless of the merits or eventual outcome of such a claim.</w:t>
      </w:r>
    </w:p>
    <w:p w14:paraId="0FE96443"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D67BB63" w14:textId="77777777">
        <w:trPr>
          <w:divId w:val="1680619970"/>
        </w:trPr>
        <w:tc>
          <w:tcPr>
            <w:tcW w:w="5000" w:type="pct"/>
            <w:hideMark/>
          </w:tcPr>
          <w:p w14:paraId="07B81E1C"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62D73DEF" w14:textId="77777777">
        <w:tc>
          <w:tcPr>
            <w:tcW w:w="5000" w:type="pct"/>
            <w:hideMark/>
          </w:tcPr>
          <w:p w14:paraId="4F8CAD0A" w14:textId="77777777" w:rsidR="00000000" w:rsidRDefault="001826C1">
            <w:pPr>
              <w:jc w:val="center"/>
              <w:rPr>
                <w:rFonts w:eastAsia="Times New Roman"/>
                <w:sz w:val="20"/>
                <w:szCs w:val="20"/>
              </w:rPr>
            </w:pPr>
            <w:r>
              <w:rPr>
                <w:rFonts w:eastAsia="Times New Roman"/>
                <w:sz w:val="20"/>
                <w:szCs w:val="20"/>
              </w:rPr>
              <w:t> </w:t>
            </w:r>
          </w:p>
        </w:tc>
      </w:tr>
    </w:tbl>
    <w:p w14:paraId="766FE9D7" w14:textId="77777777" w:rsidR="00000000" w:rsidRDefault="001826C1">
      <w:pPr>
        <w:pStyle w:val="a3"/>
        <w:spacing w:before="0" w:beforeAutospacing="0" w:after="0" w:afterAutospacing="0"/>
        <w:rPr>
          <w:sz w:val="20"/>
          <w:szCs w:val="20"/>
        </w:rPr>
      </w:pPr>
      <w:r>
        <w:rPr>
          <w:sz w:val="20"/>
          <w:szCs w:val="20"/>
        </w:rPr>
        <w:t> </w:t>
      </w:r>
    </w:p>
    <w:p w14:paraId="3E6ACC26" w14:textId="77777777" w:rsidR="00000000" w:rsidRDefault="001826C1">
      <w:pPr>
        <w:pStyle w:val="a3"/>
        <w:spacing w:before="0" w:beforeAutospacing="0" w:after="0" w:afterAutospacing="0"/>
        <w:jc w:val="both"/>
        <w:rPr>
          <w:sz w:val="20"/>
          <w:szCs w:val="20"/>
        </w:rPr>
      </w:pPr>
      <w:r>
        <w:rPr>
          <w:sz w:val="20"/>
          <w:szCs w:val="20"/>
        </w:rPr>
        <w:t xml:space="preserve">Our </w:t>
      </w:r>
      <w:r>
        <w:rPr>
          <w:sz w:val="20"/>
          <w:szCs w:val="20"/>
        </w:rPr>
        <w:t>physicians have relied on our platforms (including the platform we acquired through CareCloud) as being certified by the office of the National Coordinator for Health Information Technology (“ONC”). If this certification were to be challenged, we might fac</w:t>
      </w:r>
      <w:r>
        <w:rPr>
          <w:sz w:val="20"/>
          <w:szCs w:val="20"/>
        </w:rPr>
        <w:t>e liability related to any incentive that the physicians received in reliance upon such certification.</w:t>
      </w:r>
    </w:p>
    <w:p w14:paraId="2226AF24" w14:textId="77777777" w:rsidR="00000000" w:rsidRDefault="001826C1">
      <w:pPr>
        <w:pStyle w:val="a3"/>
        <w:spacing w:before="0" w:beforeAutospacing="0" w:after="0" w:afterAutospacing="0"/>
        <w:rPr>
          <w:sz w:val="20"/>
          <w:szCs w:val="20"/>
        </w:rPr>
      </w:pPr>
      <w:r>
        <w:rPr>
          <w:sz w:val="20"/>
          <w:szCs w:val="20"/>
        </w:rPr>
        <w:t> </w:t>
      </w:r>
    </w:p>
    <w:p w14:paraId="4119A9AE" w14:textId="77777777" w:rsidR="00000000" w:rsidRDefault="001826C1">
      <w:pPr>
        <w:pStyle w:val="a3"/>
        <w:spacing w:before="0" w:beforeAutospacing="0" w:after="0" w:afterAutospacing="0"/>
        <w:jc w:val="both"/>
        <w:rPr>
          <w:sz w:val="20"/>
          <w:szCs w:val="20"/>
        </w:rPr>
      </w:pPr>
      <w:r>
        <w:rPr>
          <w:b/>
          <w:bCs/>
          <w:i/>
          <w:iCs/>
          <w:sz w:val="20"/>
          <w:szCs w:val="20"/>
        </w:rPr>
        <w:t>If our security measures are breached or fail and unauthorized access is obtained to a customer’s data, our service may be perceived as insecure, the a</w:t>
      </w:r>
      <w:r>
        <w:rPr>
          <w:b/>
          <w:bCs/>
          <w:i/>
          <w:iCs/>
          <w:sz w:val="20"/>
          <w:szCs w:val="20"/>
        </w:rPr>
        <w:t>ttractiveness of our services to current or potential customers may be reduced, and we may incur significant liabilities.</w:t>
      </w:r>
    </w:p>
    <w:p w14:paraId="108F5B7F" w14:textId="77777777" w:rsidR="00000000" w:rsidRDefault="001826C1">
      <w:pPr>
        <w:pStyle w:val="a3"/>
        <w:spacing w:before="0" w:beforeAutospacing="0" w:after="0" w:afterAutospacing="0"/>
        <w:jc w:val="both"/>
        <w:rPr>
          <w:sz w:val="20"/>
          <w:szCs w:val="20"/>
        </w:rPr>
      </w:pPr>
      <w:r>
        <w:rPr>
          <w:sz w:val="20"/>
          <w:szCs w:val="20"/>
        </w:rPr>
        <w:t> </w:t>
      </w:r>
    </w:p>
    <w:p w14:paraId="66B5BE19" w14:textId="77777777" w:rsidR="00000000" w:rsidRDefault="001826C1">
      <w:pPr>
        <w:pStyle w:val="a3"/>
        <w:spacing w:before="0" w:beforeAutospacing="0" w:after="0" w:afterAutospacing="0"/>
        <w:jc w:val="both"/>
        <w:rPr>
          <w:sz w:val="20"/>
          <w:szCs w:val="20"/>
        </w:rPr>
      </w:pPr>
      <w:r>
        <w:rPr>
          <w:sz w:val="20"/>
          <w:szCs w:val="20"/>
        </w:rPr>
        <w:t>Our services involve the web-based storage and transmission of customers’ proprietary information and patient information, including</w:t>
      </w:r>
      <w:r>
        <w:rPr>
          <w:sz w:val="20"/>
          <w:szCs w:val="20"/>
        </w:rPr>
        <w:t xml:space="preserve"> health, financial, payment and other personal or confidential information. We rely on proprietary and commercially available systems, software, tools and monitoring, as well as other processes, to provide security for processing, transmission and storage </w:t>
      </w:r>
      <w:r>
        <w:rPr>
          <w:sz w:val="20"/>
          <w:szCs w:val="20"/>
        </w:rPr>
        <w:t>of such information. Because of the sensitivity of this information and due to requirements under applicable laws and regulations, the effectiveness of our security efforts is very important. We maintain servers, which store customers’ data, including pati</w:t>
      </w:r>
      <w:r>
        <w:rPr>
          <w:sz w:val="20"/>
          <w:szCs w:val="20"/>
        </w:rPr>
        <w:t>ent health records, in the U.S. and offshore. We also process, transmit and store some data of our customers on servers and networks that are owned and controlled by third-party contractors in India and elsewhere. If our security measures are breached or f</w:t>
      </w:r>
      <w:r>
        <w:rPr>
          <w:sz w:val="20"/>
          <w:szCs w:val="20"/>
        </w:rPr>
        <w:t>ail as a result of third-party action, acts of terror, social unrest, employee error, malfeasance or for any other reasons, someone may be able to obtain unauthorized access to customer or patient data. Improper activities by third-parties, advances in com</w:t>
      </w:r>
      <w:r>
        <w:rPr>
          <w:sz w:val="20"/>
          <w:szCs w:val="20"/>
        </w:rPr>
        <w:t>puter and software capabilities and encryption technology, new tools and discoveries and other events or developments may facilitate or result in a compromise or breach of our security systems. Our security measures may not be effective in preventing unaut</w:t>
      </w:r>
      <w:r>
        <w:rPr>
          <w:sz w:val="20"/>
          <w:szCs w:val="20"/>
        </w:rPr>
        <w:t>horized access to the customer and patient data stored on our servers. If a breach of our security occurs, we could face damages for contract breach, penalties for violation of applicable laws or regulations, possible lawsuits by individuals affected by th</w:t>
      </w:r>
      <w:r>
        <w:rPr>
          <w:sz w:val="20"/>
          <w:szCs w:val="20"/>
        </w:rPr>
        <w:t xml:space="preserve">e breach and significant remediation costs and efforts to prevent future occurrences. In addition, whether there is an actual or a perceived breach of our security, the market perception of the effectiveness of our security measures could be harmed and we </w:t>
      </w:r>
      <w:r>
        <w:rPr>
          <w:sz w:val="20"/>
          <w:szCs w:val="20"/>
        </w:rPr>
        <w:t>could lose current or potential customers.</w:t>
      </w:r>
    </w:p>
    <w:p w14:paraId="654AB04D" w14:textId="77777777" w:rsidR="00000000" w:rsidRDefault="001826C1">
      <w:pPr>
        <w:pStyle w:val="a3"/>
        <w:spacing w:before="0" w:beforeAutospacing="0" w:after="0" w:afterAutospacing="0"/>
        <w:jc w:val="both"/>
        <w:rPr>
          <w:sz w:val="20"/>
          <w:szCs w:val="20"/>
        </w:rPr>
      </w:pPr>
      <w:r>
        <w:rPr>
          <w:sz w:val="20"/>
          <w:szCs w:val="20"/>
        </w:rPr>
        <w:t> </w:t>
      </w:r>
    </w:p>
    <w:p w14:paraId="7D5A7766" w14:textId="77777777" w:rsidR="00000000" w:rsidRDefault="001826C1">
      <w:pPr>
        <w:pStyle w:val="a3"/>
        <w:spacing w:before="0" w:beforeAutospacing="0" w:after="0" w:afterAutospacing="0"/>
        <w:jc w:val="both"/>
        <w:rPr>
          <w:sz w:val="20"/>
          <w:szCs w:val="20"/>
        </w:rPr>
      </w:pPr>
      <w:r>
        <w:rPr>
          <w:b/>
          <w:bCs/>
          <w:i/>
          <w:iCs/>
          <w:sz w:val="20"/>
          <w:szCs w:val="20"/>
        </w:rPr>
        <w:t>Our products and services are required to meet the interoperability standards, which could require us to incur substantial additional development costs or result in a decrease in revenue.</w:t>
      </w:r>
    </w:p>
    <w:p w14:paraId="12A386CF" w14:textId="77777777" w:rsidR="00000000" w:rsidRDefault="001826C1">
      <w:pPr>
        <w:pStyle w:val="a3"/>
        <w:spacing w:before="0" w:beforeAutospacing="0" w:after="0" w:afterAutospacing="0"/>
        <w:jc w:val="both"/>
        <w:rPr>
          <w:sz w:val="20"/>
          <w:szCs w:val="20"/>
        </w:rPr>
      </w:pPr>
      <w:r>
        <w:rPr>
          <w:sz w:val="20"/>
          <w:szCs w:val="20"/>
        </w:rPr>
        <w:t> </w:t>
      </w:r>
    </w:p>
    <w:p w14:paraId="26776554" w14:textId="77777777" w:rsidR="00000000" w:rsidRDefault="001826C1">
      <w:pPr>
        <w:pStyle w:val="a3"/>
        <w:shd w:val="clear" w:color="auto" w:fill="FFFFFF"/>
        <w:spacing w:before="0" w:beforeAutospacing="0" w:after="0" w:afterAutospacing="0"/>
        <w:jc w:val="both"/>
        <w:rPr>
          <w:sz w:val="20"/>
          <w:szCs w:val="20"/>
        </w:rPr>
      </w:pPr>
      <w:r>
        <w:rPr>
          <w:sz w:val="20"/>
          <w:szCs w:val="20"/>
        </w:rPr>
        <w:t>Our customers and the</w:t>
      </w:r>
      <w:r>
        <w:rPr>
          <w:sz w:val="20"/>
          <w:szCs w:val="20"/>
        </w:rPr>
        <w:t xml:space="preserve"> industry leaders enacting regulatory requirements are concerned with and often require that our products and services be interoperable with other third-party healthcare information technology suppliers. Market forces or regulatory authorities could create</w:t>
      </w:r>
      <w:r>
        <w:rPr>
          <w:sz w:val="20"/>
          <w:szCs w:val="20"/>
        </w:rPr>
        <w:t xml:space="preserve"> software interoperability standards that would apply to our solutions, and if our products and services are not consistent with those standards, we could be forced to incur substantial additional development costs. There currently exists a comprehensive s</w:t>
      </w:r>
      <w:r>
        <w:rPr>
          <w:sz w:val="20"/>
          <w:szCs w:val="20"/>
        </w:rPr>
        <w:t>et of criteria for the functionality, interoperability and security of various software modules in the healthcare information technology industry. However, those standards are subject to continuous modification and refinement. Achieving and maintaining com</w:t>
      </w:r>
      <w:r>
        <w:rPr>
          <w:sz w:val="20"/>
          <w:szCs w:val="20"/>
        </w:rPr>
        <w:t>pliance with industry interoperability standards and related requirements could result in larger than expected software development expenses and administrative expenses in order to conform to these requirements. These standards and specifications, once fin</w:t>
      </w:r>
      <w:r>
        <w:rPr>
          <w:sz w:val="20"/>
          <w:szCs w:val="20"/>
        </w:rPr>
        <w:t>alized, will be subject to interpretation by the entities designated to certify such technology. We will incur increased development costs in delivering solutions if we need to change or enhance our products and services to be in compliance with these vary</w:t>
      </w:r>
      <w:r>
        <w:rPr>
          <w:sz w:val="20"/>
          <w:szCs w:val="20"/>
        </w:rPr>
        <w:t>ing and evolving standards. If our products and services are not consistent with these evolving standards, our market position and sales could be impaired and we may have to invest significantly in changes to our solutions.</w:t>
      </w:r>
    </w:p>
    <w:p w14:paraId="4D770ED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B8171AC" w14:textId="77777777" w:rsidR="00000000" w:rsidRDefault="001826C1">
      <w:pPr>
        <w:pStyle w:val="a3"/>
        <w:spacing w:before="0" w:beforeAutospacing="0" w:after="0" w:afterAutospacing="0"/>
        <w:jc w:val="both"/>
        <w:rPr>
          <w:sz w:val="20"/>
          <w:szCs w:val="20"/>
        </w:rPr>
      </w:pPr>
      <w:r>
        <w:rPr>
          <w:b/>
          <w:bCs/>
          <w:i/>
          <w:iCs/>
          <w:sz w:val="20"/>
          <w:szCs w:val="20"/>
        </w:rPr>
        <w:t>Disruptions in Internet or tel</w:t>
      </w:r>
      <w:r>
        <w:rPr>
          <w:b/>
          <w:bCs/>
          <w:i/>
          <w:iCs/>
          <w:sz w:val="20"/>
          <w:szCs w:val="20"/>
        </w:rPr>
        <w:t>ecommunication service or damage to our data centers could adversely affect our business by reducing our customers’ confidence in the reliability of our services and products.</w:t>
      </w:r>
    </w:p>
    <w:p w14:paraId="5FF2C154" w14:textId="77777777" w:rsidR="00000000" w:rsidRDefault="001826C1">
      <w:pPr>
        <w:pStyle w:val="a3"/>
        <w:spacing w:before="0" w:beforeAutospacing="0" w:after="0" w:afterAutospacing="0"/>
        <w:jc w:val="both"/>
        <w:rPr>
          <w:sz w:val="20"/>
          <w:szCs w:val="20"/>
        </w:rPr>
      </w:pPr>
      <w:r>
        <w:rPr>
          <w:sz w:val="20"/>
          <w:szCs w:val="20"/>
        </w:rPr>
        <w:t> </w:t>
      </w:r>
    </w:p>
    <w:p w14:paraId="7EEF9871" w14:textId="77777777" w:rsidR="00000000" w:rsidRDefault="001826C1">
      <w:pPr>
        <w:pStyle w:val="a3"/>
        <w:shd w:val="clear" w:color="auto" w:fill="FFFFFF"/>
        <w:spacing w:before="0" w:beforeAutospacing="0" w:after="0" w:afterAutospacing="0"/>
        <w:jc w:val="both"/>
        <w:rPr>
          <w:sz w:val="20"/>
          <w:szCs w:val="20"/>
        </w:rPr>
      </w:pPr>
      <w:r>
        <w:rPr>
          <w:sz w:val="20"/>
          <w:szCs w:val="20"/>
        </w:rPr>
        <w:t>Our information technologies and systems are vulnerable to damage or interrupt</w:t>
      </w:r>
      <w:r>
        <w:rPr>
          <w:sz w:val="20"/>
          <w:szCs w:val="20"/>
        </w:rPr>
        <w:t>ion from various causes, including acts of God and other natural disasters, war and acts of terrorism and power losses, computer systems failures, internet and telecommunications or data network failures, operator error, losses of and corruption of data an</w:t>
      </w:r>
      <w:r>
        <w:rPr>
          <w:sz w:val="20"/>
          <w:szCs w:val="20"/>
        </w:rPr>
        <w:t>d similar events. Our customers’ data, including patient health records, reside on our own servers located in the U.S., Pakistan and Sri Lanka. Although we conduct business continuity planning to protect against fires, floods, other natural disasters and g</w:t>
      </w:r>
      <w:r>
        <w:rPr>
          <w:sz w:val="20"/>
          <w:szCs w:val="20"/>
        </w:rPr>
        <w:t>eneral business interruptions to mitigate the adverse effects of a disruption, relocation or change in operating environment at our data centers, the situations we plan for and the amount of insurance coverage we maintain may not be adequate in any particu</w:t>
      </w:r>
      <w:r>
        <w:rPr>
          <w:sz w:val="20"/>
          <w:szCs w:val="20"/>
        </w:rPr>
        <w:t>lar case. In addition, the occurrence of any of these events could result in interruptions, delays or cessations in service to our customers. Any of these events could impair or prohibit our ability to provide our services, reduce the attractiveness of our</w:t>
      </w:r>
      <w:r>
        <w:rPr>
          <w:sz w:val="20"/>
          <w:szCs w:val="20"/>
        </w:rPr>
        <w:t xml:space="preserve"> services to current or potential customers and adversely impact our financial condition and results of operations.</w:t>
      </w:r>
    </w:p>
    <w:p w14:paraId="48B81A97"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56F3421" w14:textId="77777777">
        <w:trPr>
          <w:divId w:val="151877025"/>
        </w:trPr>
        <w:tc>
          <w:tcPr>
            <w:tcW w:w="5000" w:type="pct"/>
            <w:hideMark/>
          </w:tcPr>
          <w:p w14:paraId="59E0F04A" w14:textId="77777777" w:rsidR="00000000" w:rsidRDefault="001826C1">
            <w:pPr>
              <w:jc w:val="center"/>
              <w:rPr>
                <w:rFonts w:eastAsia="Times New Roman"/>
                <w:sz w:val="20"/>
                <w:szCs w:val="20"/>
              </w:rPr>
            </w:pP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5D81F4CF" w14:textId="77777777">
        <w:tc>
          <w:tcPr>
            <w:tcW w:w="5000" w:type="pct"/>
            <w:hideMark/>
          </w:tcPr>
          <w:p w14:paraId="362FA962" w14:textId="77777777" w:rsidR="00000000" w:rsidRDefault="001826C1">
            <w:pPr>
              <w:jc w:val="center"/>
              <w:rPr>
                <w:rFonts w:eastAsia="Times New Roman"/>
                <w:sz w:val="20"/>
                <w:szCs w:val="20"/>
              </w:rPr>
            </w:pPr>
            <w:r>
              <w:rPr>
                <w:rFonts w:eastAsia="Times New Roman"/>
                <w:sz w:val="20"/>
                <w:szCs w:val="20"/>
              </w:rPr>
              <w:t> </w:t>
            </w:r>
          </w:p>
        </w:tc>
      </w:tr>
    </w:tbl>
    <w:p w14:paraId="5D998BBA" w14:textId="77777777" w:rsidR="00000000" w:rsidRDefault="001826C1">
      <w:pPr>
        <w:pStyle w:val="a3"/>
        <w:spacing w:before="0" w:beforeAutospacing="0" w:after="0" w:afterAutospacing="0"/>
        <w:rPr>
          <w:sz w:val="20"/>
          <w:szCs w:val="20"/>
        </w:rPr>
      </w:pPr>
      <w:r>
        <w:rPr>
          <w:sz w:val="20"/>
          <w:szCs w:val="20"/>
        </w:rPr>
        <w:t> </w:t>
      </w:r>
    </w:p>
    <w:p w14:paraId="6692594D"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despite the implementation of security measures, our infrastructure, data centers, or systems that we interface with or utilize, including the internet and related systems, may be vulnerable to physical break-ins, hackers, improper employee or co</w:t>
      </w:r>
      <w:r>
        <w:rPr>
          <w:sz w:val="20"/>
          <w:szCs w:val="20"/>
        </w:rPr>
        <w:t>ntractor access, computer viruses, programming errors, denial-of-service attacks or other attacks by third-parties seeking to disrupt operations or misappropriate information or similar physical or electronic breaches of security. Any of these can cause sy</w:t>
      </w:r>
      <w:r>
        <w:rPr>
          <w:sz w:val="20"/>
          <w:szCs w:val="20"/>
        </w:rPr>
        <w:t>stem failure, including network, software or hardware failure, which can result in service disruptions. As a result, we may be required to expend significant capital and other resources to protect against security breaches and hackers or to alleviate probl</w:t>
      </w:r>
      <w:r>
        <w:rPr>
          <w:sz w:val="20"/>
          <w:szCs w:val="20"/>
        </w:rPr>
        <w:t>ems caused by such breaches.</w:t>
      </w:r>
    </w:p>
    <w:p w14:paraId="1778CD0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05EF252" w14:textId="77777777" w:rsidR="00000000" w:rsidRDefault="001826C1">
      <w:pPr>
        <w:pStyle w:val="a3"/>
        <w:spacing w:before="0" w:beforeAutospacing="0" w:after="0" w:afterAutospacing="0"/>
        <w:jc w:val="both"/>
        <w:rPr>
          <w:sz w:val="20"/>
          <w:szCs w:val="20"/>
        </w:rPr>
      </w:pPr>
      <w:r>
        <w:rPr>
          <w:b/>
          <w:bCs/>
          <w:i/>
          <w:iCs/>
          <w:sz w:val="20"/>
          <w:szCs w:val="20"/>
        </w:rPr>
        <w:t>We may be subject to liability for the content we provide to our customers and their patients.</w:t>
      </w:r>
    </w:p>
    <w:p w14:paraId="2582E6AB" w14:textId="77777777" w:rsidR="00000000" w:rsidRDefault="001826C1">
      <w:pPr>
        <w:pStyle w:val="a3"/>
        <w:spacing w:before="0" w:beforeAutospacing="0" w:after="0" w:afterAutospacing="0"/>
        <w:jc w:val="both"/>
        <w:rPr>
          <w:sz w:val="20"/>
          <w:szCs w:val="20"/>
        </w:rPr>
      </w:pPr>
      <w:r>
        <w:rPr>
          <w:sz w:val="20"/>
          <w:szCs w:val="20"/>
        </w:rPr>
        <w:t> </w:t>
      </w:r>
    </w:p>
    <w:p w14:paraId="29D7EE69" w14:textId="77777777" w:rsidR="00000000" w:rsidRDefault="001826C1">
      <w:pPr>
        <w:pStyle w:val="a3"/>
        <w:shd w:val="clear" w:color="auto" w:fill="FFFFFF"/>
        <w:spacing w:before="0" w:beforeAutospacing="0" w:after="0" w:afterAutospacing="0"/>
        <w:jc w:val="both"/>
        <w:rPr>
          <w:sz w:val="20"/>
          <w:szCs w:val="20"/>
        </w:rPr>
      </w:pPr>
      <w:r>
        <w:rPr>
          <w:sz w:val="20"/>
          <w:szCs w:val="20"/>
        </w:rPr>
        <w:t>We provide content for use by healthcare providers in treating patients. This content includes, among other things, patient educ</w:t>
      </w:r>
      <w:r>
        <w:rPr>
          <w:sz w:val="20"/>
          <w:szCs w:val="20"/>
        </w:rPr>
        <w:t>ation materials, coding and drug databases developed by third-parties, and prepopulated templates providers can use to document as visits and record patient health information. If content in the third-party databases we use is incorrect or incomplete, adve</w:t>
      </w:r>
      <w:r>
        <w:rPr>
          <w:sz w:val="20"/>
          <w:szCs w:val="20"/>
        </w:rPr>
        <w:t>rse consequences, including death, may give rise to product liability and other claims against us. A court or government agency may take the position that our delivery of health information directly, including through licensed practitioners, or delivery of</w:t>
      </w:r>
      <w:r>
        <w:rPr>
          <w:sz w:val="20"/>
          <w:szCs w:val="20"/>
        </w:rPr>
        <w:t xml:space="preserve"> information by a third-party site that a consumer accesses through our solutions, exposes us to personal injury liability, or other liability for wrongful delivery or handling of healthcare services or erroneous health information. Our liability insurance</w:t>
      </w:r>
      <w:r>
        <w:rPr>
          <w:sz w:val="20"/>
          <w:szCs w:val="20"/>
        </w:rPr>
        <w:t xml:space="preserve"> coverage may not be adequate or continue to be available on acceptable terms, if at all. A claim brought against us that is uninsured or under-insured could harm our business. Even unsuccessful claims could result in substantial costs and diversion of man</w:t>
      </w:r>
      <w:r>
        <w:rPr>
          <w:sz w:val="20"/>
          <w:szCs w:val="20"/>
        </w:rPr>
        <w:t>agement resources.</w:t>
      </w:r>
    </w:p>
    <w:p w14:paraId="5BE20623"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9125E4F" w14:textId="77777777" w:rsidR="00000000" w:rsidRDefault="001826C1">
      <w:pPr>
        <w:pStyle w:val="a3"/>
        <w:spacing w:before="0" w:beforeAutospacing="0" w:after="0" w:afterAutospacing="0"/>
        <w:jc w:val="both"/>
        <w:rPr>
          <w:sz w:val="20"/>
          <w:szCs w:val="20"/>
        </w:rPr>
      </w:pPr>
      <w:r>
        <w:rPr>
          <w:b/>
          <w:bCs/>
          <w:i/>
          <w:iCs/>
          <w:sz w:val="20"/>
          <w:szCs w:val="20"/>
        </w:rPr>
        <w:t>We are subject to the effect of payer and provider conduct that we cannot control and that could damage our reputation with customers and result in liability claims that increase our expenses.</w:t>
      </w:r>
    </w:p>
    <w:p w14:paraId="20B8BE44" w14:textId="77777777" w:rsidR="00000000" w:rsidRDefault="001826C1">
      <w:pPr>
        <w:pStyle w:val="a3"/>
        <w:spacing w:before="0" w:beforeAutospacing="0" w:after="0" w:afterAutospacing="0"/>
        <w:jc w:val="both"/>
        <w:rPr>
          <w:sz w:val="20"/>
          <w:szCs w:val="20"/>
        </w:rPr>
      </w:pPr>
      <w:r>
        <w:rPr>
          <w:sz w:val="20"/>
          <w:szCs w:val="20"/>
        </w:rPr>
        <w:t> </w:t>
      </w:r>
    </w:p>
    <w:p w14:paraId="6A67E7B4" w14:textId="77777777" w:rsidR="00000000" w:rsidRDefault="001826C1">
      <w:pPr>
        <w:pStyle w:val="a3"/>
        <w:shd w:val="clear" w:color="auto" w:fill="FFFFFF"/>
        <w:spacing w:before="0" w:beforeAutospacing="0" w:after="0" w:afterAutospacing="0"/>
        <w:jc w:val="both"/>
        <w:rPr>
          <w:sz w:val="20"/>
          <w:szCs w:val="20"/>
        </w:rPr>
      </w:pPr>
      <w:r>
        <w:rPr>
          <w:sz w:val="20"/>
          <w:szCs w:val="20"/>
        </w:rPr>
        <w:t>We offer electronic claims submission se</w:t>
      </w:r>
      <w:r>
        <w:rPr>
          <w:sz w:val="20"/>
          <w:szCs w:val="20"/>
        </w:rPr>
        <w:t>rvices for which we rely on content from customers, payers, and others. While we have implemented features and safeguards designed to maximize the accuracy and completeness of claims content, these features and safeguards may not be sufficient to prevent i</w:t>
      </w:r>
      <w:r>
        <w:rPr>
          <w:sz w:val="20"/>
          <w:szCs w:val="20"/>
        </w:rPr>
        <w:t>naccurate claims data from being submitted to payers. Should inaccurate claims data be submitted to payers, we may experience poor operational results and be subject to liability claims, which could damage our reputation with customers and result in liabil</w:t>
      </w:r>
      <w:r>
        <w:rPr>
          <w:sz w:val="20"/>
          <w:szCs w:val="20"/>
        </w:rPr>
        <w:t>ity claims that increase our expenses.</w:t>
      </w:r>
    </w:p>
    <w:p w14:paraId="2F30DCA7"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08DBA9A"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Failure by our clients to obtain proper permissions and waivers may result in claims against us or may limit or prevent our use of data, which could harm our business.</w:t>
      </w:r>
    </w:p>
    <w:p w14:paraId="583C67CE"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0673D14" w14:textId="77777777" w:rsidR="00000000" w:rsidRDefault="001826C1">
      <w:pPr>
        <w:pStyle w:val="a3"/>
        <w:shd w:val="clear" w:color="auto" w:fill="FFFFFF"/>
        <w:spacing w:before="0" w:beforeAutospacing="0" w:after="0" w:afterAutospacing="0"/>
        <w:jc w:val="both"/>
        <w:rPr>
          <w:sz w:val="20"/>
          <w:szCs w:val="20"/>
        </w:rPr>
      </w:pPr>
      <w:r>
        <w:rPr>
          <w:sz w:val="20"/>
          <w:szCs w:val="20"/>
        </w:rPr>
        <w:t>Our clients are obligated by applicable law t</w:t>
      </w:r>
      <w:r>
        <w:rPr>
          <w:sz w:val="20"/>
          <w:szCs w:val="20"/>
        </w:rPr>
        <w:t xml:space="preserve">o provide necessary notices and to obtain necessary permission waivers for use and disclosure of the information that we receive. If they do not obtain necessary permissions and waivers, then our use and disclosure of information that we receive from them </w:t>
      </w:r>
      <w:r>
        <w:rPr>
          <w:sz w:val="20"/>
          <w:szCs w:val="20"/>
        </w:rPr>
        <w:t>or on their behalf may be limited or prohibited by state or federal privacy laws or other laws. This could impair our functions, processes, and databases that reflect, contain, or are based upon such data and may prevent use of such data. In addition, this</w:t>
      </w:r>
      <w:r>
        <w:rPr>
          <w:sz w:val="20"/>
          <w:szCs w:val="20"/>
        </w:rPr>
        <w:t xml:space="preserve"> could interfere with or prevent creation or use of rules, and analyses or limit other data-driven activities that benefit us. Moreover, we may be subject to claims or liability for use or disclosure of information by reason of lack of valid notice, permis</w:t>
      </w:r>
      <w:r>
        <w:rPr>
          <w:sz w:val="20"/>
          <w:szCs w:val="20"/>
        </w:rPr>
        <w:t>sion, or waiver. These claims or liabilities could subject us to unexpected costs and adversely affect our operating results.</w:t>
      </w:r>
    </w:p>
    <w:p w14:paraId="339EF52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42F4DDA" w14:textId="77777777" w:rsidR="00000000" w:rsidRDefault="001826C1">
      <w:pPr>
        <w:pStyle w:val="a3"/>
        <w:spacing w:before="0" w:beforeAutospacing="0" w:after="0" w:afterAutospacing="0"/>
        <w:jc w:val="both"/>
        <w:rPr>
          <w:sz w:val="20"/>
          <w:szCs w:val="20"/>
        </w:rPr>
      </w:pPr>
      <w:r>
        <w:rPr>
          <w:b/>
          <w:bCs/>
          <w:i/>
          <w:iCs/>
          <w:sz w:val="20"/>
          <w:szCs w:val="20"/>
        </w:rPr>
        <w:t xml:space="preserve">Any </w:t>
      </w:r>
      <w:r>
        <w:rPr>
          <w:b/>
          <w:bCs/>
          <w:i/>
          <w:iCs/>
          <w:sz w:val="20"/>
          <w:szCs w:val="20"/>
        </w:rPr>
        <w:t>deficiencies in our financial reporting or internal controls could adversely affect our business and the trading price of our securities.</w:t>
      </w:r>
    </w:p>
    <w:p w14:paraId="55CA93FD" w14:textId="77777777" w:rsidR="00000000" w:rsidRDefault="001826C1">
      <w:pPr>
        <w:pStyle w:val="a3"/>
        <w:spacing w:before="0" w:beforeAutospacing="0" w:after="0" w:afterAutospacing="0"/>
        <w:jc w:val="both"/>
        <w:rPr>
          <w:sz w:val="20"/>
          <w:szCs w:val="20"/>
        </w:rPr>
      </w:pPr>
      <w:r>
        <w:rPr>
          <w:sz w:val="20"/>
          <w:szCs w:val="20"/>
        </w:rPr>
        <w:t> </w:t>
      </w:r>
    </w:p>
    <w:p w14:paraId="579C2B0C" w14:textId="77777777" w:rsidR="00000000" w:rsidRDefault="001826C1">
      <w:pPr>
        <w:pStyle w:val="a3"/>
        <w:shd w:val="clear" w:color="auto" w:fill="FFFFFF"/>
        <w:spacing w:before="0" w:beforeAutospacing="0" w:after="0" w:afterAutospacing="0"/>
        <w:jc w:val="both"/>
        <w:rPr>
          <w:sz w:val="20"/>
          <w:szCs w:val="20"/>
        </w:rPr>
      </w:pPr>
      <w:r>
        <w:rPr>
          <w:sz w:val="20"/>
          <w:szCs w:val="20"/>
        </w:rPr>
        <w:t>As a public company, we are required to maintain internal control over financial reporting and to report any materia</w:t>
      </w:r>
      <w:r>
        <w:rPr>
          <w:sz w:val="20"/>
          <w:szCs w:val="20"/>
        </w:rPr>
        <w:t>l weaknesses in such internal controls. Section 404 of the Sarbanes-Oxley Act requires that we evaluate and determine the effectiveness of our internal control over financial reporting.</w:t>
      </w:r>
    </w:p>
    <w:p w14:paraId="1D2C58E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95B8530" w14:textId="77777777" w:rsidR="00000000" w:rsidRDefault="001826C1">
      <w:pPr>
        <w:pStyle w:val="a3"/>
        <w:shd w:val="clear" w:color="auto" w:fill="FFFFFF"/>
        <w:spacing w:before="0" w:beforeAutospacing="0" w:after="0" w:afterAutospacing="0"/>
        <w:jc w:val="both"/>
        <w:rPr>
          <w:sz w:val="20"/>
          <w:szCs w:val="20"/>
        </w:rPr>
      </w:pPr>
      <w:r>
        <w:rPr>
          <w:sz w:val="20"/>
          <w:szCs w:val="20"/>
        </w:rPr>
        <w:t>In the future, if we have a material weakness in our internal contro</w:t>
      </w:r>
      <w:r>
        <w:rPr>
          <w:sz w:val="20"/>
          <w:szCs w:val="20"/>
        </w:rPr>
        <w:t>l over financial reporting, we may not detect errors on a timely basis and our financial statements may be materially misstated. In addition, our internal control over financial reporting would not prevent or detect all errors and fraud. Because of the inh</w:t>
      </w:r>
      <w:r>
        <w:rPr>
          <w:sz w:val="20"/>
          <w:szCs w:val="20"/>
        </w:rPr>
        <w:t>erent limitations in all control systems, no evaluation of controls can provide absolute assurance that misstatements due to error or fraud will not occur or that all control issues and instances of fraud will be detected.</w:t>
      </w:r>
    </w:p>
    <w:p w14:paraId="5711522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86D9462" w14:textId="77777777">
        <w:trPr>
          <w:divId w:val="178354459"/>
        </w:trPr>
        <w:tc>
          <w:tcPr>
            <w:tcW w:w="5000" w:type="pct"/>
            <w:hideMark/>
          </w:tcPr>
          <w:p w14:paraId="4E89D2EC"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072FA2DA" w14:textId="77777777">
        <w:tc>
          <w:tcPr>
            <w:tcW w:w="5000" w:type="pct"/>
            <w:hideMark/>
          </w:tcPr>
          <w:p w14:paraId="3EE2359D" w14:textId="77777777" w:rsidR="00000000" w:rsidRDefault="001826C1">
            <w:pPr>
              <w:jc w:val="center"/>
              <w:rPr>
                <w:rFonts w:eastAsia="Times New Roman"/>
                <w:sz w:val="20"/>
                <w:szCs w:val="20"/>
              </w:rPr>
            </w:pPr>
            <w:r>
              <w:rPr>
                <w:rFonts w:eastAsia="Times New Roman"/>
                <w:sz w:val="20"/>
                <w:szCs w:val="20"/>
              </w:rPr>
              <w:t> </w:t>
            </w:r>
          </w:p>
        </w:tc>
      </w:tr>
    </w:tbl>
    <w:p w14:paraId="49873E5E" w14:textId="77777777" w:rsidR="00000000" w:rsidRDefault="001826C1">
      <w:pPr>
        <w:pStyle w:val="a3"/>
        <w:spacing w:before="0" w:beforeAutospacing="0" w:after="0" w:afterAutospacing="0"/>
        <w:rPr>
          <w:sz w:val="20"/>
          <w:szCs w:val="20"/>
        </w:rPr>
      </w:pPr>
      <w:r>
        <w:rPr>
          <w:sz w:val="20"/>
          <w:szCs w:val="20"/>
        </w:rPr>
        <w:t> </w:t>
      </w:r>
    </w:p>
    <w:p w14:paraId="64706653" w14:textId="77777777" w:rsidR="00000000" w:rsidRDefault="001826C1">
      <w:pPr>
        <w:pStyle w:val="a3"/>
        <w:shd w:val="clear" w:color="auto" w:fill="FFFFFF"/>
        <w:spacing w:before="0" w:beforeAutospacing="0" w:after="0" w:afterAutospacing="0"/>
        <w:jc w:val="both"/>
        <w:rPr>
          <w:sz w:val="20"/>
          <w:szCs w:val="20"/>
        </w:rPr>
      </w:pPr>
      <w:r>
        <w:rPr>
          <w:sz w:val="20"/>
          <w:szCs w:val="20"/>
        </w:rPr>
        <w:t>If there are material</w:t>
      </w:r>
      <w:r>
        <w:rPr>
          <w:sz w:val="20"/>
          <w:szCs w:val="20"/>
        </w:rPr>
        <w:t xml:space="preserve"> weaknesses or failures in our ability to meet any of the requirements related to the maintenance and reporting of our internal controls, investors may lose confidence in the accuracy and completeness of our financial reports, which in turn could cause the</w:t>
      </w:r>
      <w:r>
        <w:rPr>
          <w:sz w:val="20"/>
          <w:szCs w:val="20"/>
        </w:rPr>
        <w:t xml:space="preserve"> price of our common stock and Series A Preferred Stock to decline. Moreover, effective internal controls are necessary to produce reliable financial reports and to prevent fraud. If we have deficiencies in our internal controls, it may negatively impact o</w:t>
      </w:r>
      <w:r>
        <w:rPr>
          <w:sz w:val="20"/>
          <w:szCs w:val="20"/>
        </w:rPr>
        <w:t>ur business, results of operations and reputation. In addition, we could become subject to investigations by Nasdaq, the SEC or other regulatory authorities, which could require additional management attention and which could adversely affect our business.</w:t>
      </w:r>
    </w:p>
    <w:p w14:paraId="4712779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A83865F" w14:textId="77777777" w:rsidR="00000000" w:rsidRDefault="001826C1">
      <w:pPr>
        <w:pStyle w:val="a3"/>
        <w:spacing w:before="0" w:beforeAutospacing="0" w:after="0" w:afterAutospacing="0"/>
        <w:jc w:val="both"/>
        <w:rPr>
          <w:sz w:val="20"/>
          <w:szCs w:val="20"/>
        </w:rPr>
      </w:pPr>
      <w:r>
        <w:rPr>
          <w:b/>
          <w:bCs/>
          <w:i/>
          <w:iCs/>
          <w:sz w:val="20"/>
          <w:szCs w:val="20"/>
        </w:rPr>
        <w:t>We are a party to several related-party agreements with our founder and Executive Chairman, Mahmud Haq, which have significant contractual obligations. These agreements are reviewed by our Audit Committee on an annual basis.</w:t>
      </w:r>
    </w:p>
    <w:p w14:paraId="12C6B72B" w14:textId="77777777" w:rsidR="00000000" w:rsidRDefault="001826C1">
      <w:pPr>
        <w:pStyle w:val="a3"/>
        <w:spacing w:before="0" w:beforeAutospacing="0" w:after="0" w:afterAutospacing="0"/>
        <w:jc w:val="both"/>
        <w:rPr>
          <w:sz w:val="20"/>
          <w:szCs w:val="20"/>
        </w:rPr>
      </w:pPr>
      <w:r>
        <w:rPr>
          <w:sz w:val="20"/>
          <w:szCs w:val="20"/>
        </w:rPr>
        <w:t> </w:t>
      </w:r>
    </w:p>
    <w:p w14:paraId="6C6D9920" w14:textId="77777777" w:rsidR="00000000" w:rsidRDefault="001826C1">
      <w:pPr>
        <w:pStyle w:val="a3"/>
        <w:spacing w:before="0" w:beforeAutospacing="0" w:after="0" w:afterAutospacing="0"/>
        <w:jc w:val="both"/>
        <w:rPr>
          <w:sz w:val="20"/>
          <w:szCs w:val="20"/>
        </w:rPr>
      </w:pPr>
      <w:r>
        <w:rPr>
          <w:sz w:val="20"/>
          <w:szCs w:val="20"/>
        </w:rPr>
        <w:t>Since inception, we have e</w:t>
      </w:r>
      <w:r>
        <w:rPr>
          <w:sz w:val="20"/>
          <w:szCs w:val="20"/>
        </w:rPr>
        <w:t xml:space="preserve">ntered into several related-party transactions with our founder and Executive Chairman, Mahmud Haq, which subject us to significant contractual obligations. We believe these transactions reflect terms comparable to those that would be available from third </w:t>
      </w:r>
      <w:r>
        <w:rPr>
          <w:sz w:val="20"/>
          <w:szCs w:val="20"/>
        </w:rPr>
        <w:t>parties. Our independent audit committee has reviewed these arrangements and continues to do so on an annual basis.</w:t>
      </w:r>
    </w:p>
    <w:p w14:paraId="43985CC8" w14:textId="77777777" w:rsidR="00000000" w:rsidRDefault="001826C1">
      <w:pPr>
        <w:pStyle w:val="a3"/>
        <w:spacing w:before="0" w:beforeAutospacing="0" w:after="0" w:afterAutospacing="0"/>
        <w:rPr>
          <w:sz w:val="20"/>
          <w:szCs w:val="20"/>
        </w:rPr>
      </w:pPr>
      <w:r>
        <w:rPr>
          <w:b/>
          <w:bCs/>
          <w:i/>
          <w:iCs/>
          <w:sz w:val="20"/>
          <w:szCs w:val="20"/>
        </w:rPr>
        <w:t> </w:t>
      </w:r>
    </w:p>
    <w:p w14:paraId="472C3DBF" w14:textId="77777777" w:rsidR="00000000" w:rsidRDefault="001826C1">
      <w:pPr>
        <w:pStyle w:val="a3"/>
        <w:spacing w:before="0" w:beforeAutospacing="0" w:after="0" w:afterAutospacing="0"/>
        <w:rPr>
          <w:sz w:val="20"/>
          <w:szCs w:val="20"/>
        </w:rPr>
      </w:pPr>
      <w:r>
        <w:rPr>
          <w:b/>
          <w:bCs/>
          <w:i/>
          <w:iCs/>
          <w:sz w:val="20"/>
          <w:szCs w:val="20"/>
        </w:rPr>
        <w:t>We depend on key information systems and third party service providers.</w:t>
      </w:r>
    </w:p>
    <w:p w14:paraId="0749A11B" w14:textId="77777777" w:rsidR="00000000" w:rsidRDefault="001826C1">
      <w:pPr>
        <w:pStyle w:val="a3"/>
        <w:spacing w:before="0" w:beforeAutospacing="0" w:after="0" w:afterAutospacing="0"/>
        <w:rPr>
          <w:sz w:val="20"/>
          <w:szCs w:val="20"/>
        </w:rPr>
      </w:pPr>
      <w:r>
        <w:rPr>
          <w:sz w:val="20"/>
          <w:szCs w:val="20"/>
        </w:rPr>
        <w:t> </w:t>
      </w:r>
    </w:p>
    <w:p w14:paraId="2EB63EAF" w14:textId="77777777" w:rsidR="00000000" w:rsidRDefault="001826C1">
      <w:pPr>
        <w:pStyle w:val="a3"/>
        <w:spacing w:before="0" w:beforeAutospacing="0" w:after="0" w:afterAutospacing="0"/>
        <w:jc w:val="both"/>
        <w:rPr>
          <w:sz w:val="20"/>
          <w:szCs w:val="20"/>
        </w:rPr>
      </w:pPr>
      <w:r>
        <w:rPr>
          <w:sz w:val="20"/>
          <w:szCs w:val="20"/>
        </w:rPr>
        <w:t xml:space="preserve">We </w:t>
      </w:r>
      <w:r>
        <w:rPr>
          <w:sz w:val="20"/>
          <w:szCs w:val="20"/>
        </w:rPr>
        <w:t>depend on key information systems to accurately and efficiently transact our business, provide information to management and prepare financial reports. These systems and services are vulnerable to interruptions or other failures resulting from, among other</w:t>
      </w:r>
      <w:r>
        <w:rPr>
          <w:sz w:val="20"/>
          <w:szCs w:val="20"/>
        </w:rPr>
        <w:t xml:space="preserve"> things, natural disasters, terrorist attacks, software, equipment or telecommunications failures, processing errors, computer viruses, other security issues or supplier defaults. Security, backup and disaster recovery measures may not be adequate or imple</w:t>
      </w:r>
      <w:r>
        <w:rPr>
          <w:sz w:val="20"/>
          <w:szCs w:val="20"/>
        </w:rPr>
        <w:t>mented properly to avoid such disruptions or failures. Any disruption or failure of these systems or services could cause substantial errors, processing inefficiencies, security breaches, inability to use the systems or process transactions, loss of custom</w:t>
      </w:r>
      <w:r>
        <w:rPr>
          <w:sz w:val="20"/>
          <w:szCs w:val="20"/>
        </w:rPr>
        <w:t>ers or other business disruptions, all of which could negatively affect our business and financial performance.</w:t>
      </w:r>
    </w:p>
    <w:p w14:paraId="208F8A0E" w14:textId="77777777" w:rsidR="00000000" w:rsidRDefault="001826C1">
      <w:pPr>
        <w:pStyle w:val="a3"/>
        <w:spacing w:before="0" w:beforeAutospacing="0" w:after="0" w:afterAutospacing="0"/>
        <w:rPr>
          <w:sz w:val="20"/>
          <w:szCs w:val="20"/>
        </w:rPr>
      </w:pPr>
      <w:r>
        <w:rPr>
          <w:sz w:val="20"/>
          <w:szCs w:val="20"/>
        </w:rPr>
        <w:t> </w:t>
      </w:r>
    </w:p>
    <w:p w14:paraId="3DB003B1" w14:textId="77777777" w:rsidR="00000000" w:rsidRDefault="001826C1">
      <w:pPr>
        <w:pStyle w:val="a3"/>
        <w:spacing w:before="0" w:beforeAutospacing="0" w:after="0" w:afterAutospacing="0"/>
        <w:jc w:val="both"/>
        <w:rPr>
          <w:sz w:val="20"/>
          <w:szCs w:val="20"/>
        </w:rPr>
      </w:pPr>
      <w:r>
        <w:rPr>
          <w:b/>
          <w:bCs/>
          <w:i/>
          <w:iCs/>
          <w:sz w:val="20"/>
          <w:szCs w:val="20"/>
        </w:rPr>
        <w:t>Systems failures or cyberattacks and resulting interruptions in the availability of or degradation in the performance of our websites, applica</w:t>
      </w:r>
      <w:r>
        <w:rPr>
          <w:b/>
          <w:bCs/>
          <w:i/>
          <w:iCs/>
          <w:sz w:val="20"/>
          <w:szCs w:val="20"/>
        </w:rPr>
        <w:t>tions, products or services could harm our business.</w:t>
      </w:r>
    </w:p>
    <w:p w14:paraId="248A7784" w14:textId="77777777" w:rsidR="00000000" w:rsidRDefault="001826C1">
      <w:pPr>
        <w:pStyle w:val="a3"/>
        <w:spacing w:before="0" w:beforeAutospacing="0" w:after="0" w:afterAutospacing="0"/>
        <w:jc w:val="both"/>
        <w:rPr>
          <w:sz w:val="20"/>
          <w:szCs w:val="20"/>
        </w:rPr>
      </w:pPr>
      <w:r>
        <w:rPr>
          <w:sz w:val="20"/>
          <w:szCs w:val="20"/>
        </w:rPr>
        <w:t> </w:t>
      </w:r>
    </w:p>
    <w:p w14:paraId="6F17D11A" w14:textId="77777777" w:rsidR="00000000" w:rsidRDefault="001826C1">
      <w:pPr>
        <w:pStyle w:val="a3"/>
        <w:spacing w:before="0" w:beforeAutospacing="0" w:after="0" w:afterAutospacing="0"/>
        <w:jc w:val="both"/>
        <w:rPr>
          <w:sz w:val="20"/>
          <w:szCs w:val="20"/>
        </w:rPr>
      </w:pPr>
      <w:r>
        <w:rPr>
          <w:sz w:val="20"/>
          <w:szCs w:val="20"/>
        </w:rPr>
        <w:t>As cybersecurity attacks continue to evolve and increase, our information systems could also be penetrated or compromised by internal and external parties’ intent on extracting confidential information</w:t>
      </w:r>
      <w:r>
        <w:rPr>
          <w:sz w:val="20"/>
          <w:szCs w:val="20"/>
        </w:rPr>
        <w:t>, disrupting business processes or corrupting information. Our systems may experience service interruptions or degradation due to hardware and software defects or malfunctions, computer denial-of-service and other cyberattacks, human error, earthquakes, hu</w:t>
      </w:r>
      <w:r>
        <w:rPr>
          <w:sz w:val="20"/>
          <w:szCs w:val="20"/>
        </w:rPr>
        <w:t>rricanes, floods, fires, natural disasters, power losses, disruptions in telecommunications services, fraud, military or political conflicts, terrorist attacks, computer viruses, or other events. Our systems are also subject to break-ins, sabotage and inte</w:t>
      </w:r>
      <w:r>
        <w:rPr>
          <w:sz w:val="20"/>
          <w:szCs w:val="20"/>
        </w:rPr>
        <w:t>ntional acts of vandalism. Some of our systems are not fully redundant and our disaster recovery planning is not sufficient for all eventualities. We have experienced and will likely continue to experience system failures, denial of service attacks and oth</w:t>
      </w:r>
      <w:r>
        <w:rPr>
          <w:sz w:val="20"/>
          <w:szCs w:val="20"/>
        </w:rPr>
        <w:t>er events or conditions from time to time that interrupt the availability or reduce the speed or functionality of our websites and mobile applications. These events likely will result in loss of revenue. A prolonged interruption in the availability or redu</w:t>
      </w:r>
      <w:r>
        <w:rPr>
          <w:sz w:val="20"/>
          <w:szCs w:val="20"/>
        </w:rPr>
        <w:t>ction in the speed or other functionality of our websites and mobile applications could materially harm our business. Frequent or persistent interruptions in our services could cause current or potential users to believe that our systems are unreliable, le</w:t>
      </w:r>
      <w:r>
        <w:rPr>
          <w:sz w:val="20"/>
          <w:szCs w:val="20"/>
        </w:rPr>
        <w:t>ading them to switch to our competitors or to avoid our sites, and could permanently harm our reputation and brands. Moreover, to the extent that any system failure or similar event results in damages to our customers or their businesses, these customers c</w:t>
      </w:r>
      <w:r>
        <w:rPr>
          <w:sz w:val="20"/>
          <w:szCs w:val="20"/>
        </w:rPr>
        <w:t xml:space="preserve">ould seek significant compensation from us for their losses and those claims, even if unsuccessful, would likely be time-consuming and costly for us to address. These risks could arise from external parties or from acts or omissions of internal or service </w:t>
      </w:r>
      <w:r>
        <w:rPr>
          <w:sz w:val="20"/>
          <w:szCs w:val="20"/>
        </w:rPr>
        <w:t>provider personnel. Such unauthorized access could disrupt our business and could result in the loss of assets, litigation, remediation costs, damage to our reputation and failure to retain or attract customers following such an event, which could adversel</w:t>
      </w:r>
      <w:r>
        <w:rPr>
          <w:sz w:val="20"/>
          <w:szCs w:val="20"/>
        </w:rPr>
        <w:t>y affect our business.</w:t>
      </w:r>
    </w:p>
    <w:p w14:paraId="7FBDBD97" w14:textId="77777777" w:rsidR="00000000" w:rsidRDefault="001826C1">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2F903C0" w14:textId="77777777">
        <w:trPr>
          <w:divId w:val="2009095064"/>
        </w:trPr>
        <w:tc>
          <w:tcPr>
            <w:tcW w:w="5000" w:type="pct"/>
            <w:hideMark/>
          </w:tcPr>
          <w:p w14:paraId="2D1F4078"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3020B5D5" w14:textId="77777777">
        <w:tc>
          <w:tcPr>
            <w:tcW w:w="5000" w:type="pct"/>
            <w:hideMark/>
          </w:tcPr>
          <w:p w14:paraId="4611B384" w14:textId="77777777" w:rsidR="00000000" w:rsidRDefault="001826C1">
            <w:pPr>
              <w:jc w:val="center"/>
              <w:rPr>
                <w:rFonts w:eastAsia="Times New Roman"/>
                <w:sz w:val="20"/>
                <w:szCs w:val="20"/>
              </w:rPr>
            </w:pPr>
            <w:r>
              <w:rPr>
                <w:rFonts w:eastAsia="Times New Roman"/>
                <w:sz w:val="20"/>
                <w:szCs w:val="20"/>
              </w:rPr>
              <w:t> </w:t>
            </w:r>
          </w:p>
        </w:tc>
      </w:tr>
    </w:tbl>
    <w:p w14:paraId="71EC6EEA" w14:textId="77777777" w:rsidR="00000000" w:rsidRDefault="001826C1">
      <w:pPr>
        <w:pStyle w:val="a3"/>
        <w:spacing w:before="0" w:beforeAutospacing="0" w:after="0" w:afterAutospacing="0"/>
        <w:rPr>
          <w:sz w:val="20"/>
          <w:szCs w:val="20"/>
        </w:rPr>
      </w:pPr>
      <w:r>
        <w:rPr>
          <w:b/>
          <w:bCs/>
          <w:sz w:val="20"/>
          <w:szCs w:val="20"/>
        </w:rPr>
        <w:t> </w:t>
      </w:r>
    </w:p>
    <w:p w14:paraId="1667EC3D" w14:textId="77777777" w:rsidR="00000000" w:rsidRDefault="001826C1">
      <w:pPr>
        <w:pStyle w:val="a3"/>
        <w:spacing w:before="0" w:beforeAutospacing="0" w:after="0" w:afterAutospacing="0"/>
        <w:rPr>
          <w:sz w:val="20"/>
          <w:szCs w:val="20"/>
        </w:rPr>
      </w:pPr>
      <w:r>
        <w:rPr>
          <w:b/>
          <w:bCs/>
          <w:sz w:val="20"/>
          <w:szCs w:val="20"/>
        </w:rPr>
        <w:t>Regulatory Risks</w:t>
      </w:r>
    </w:p>
    <w:p w14:paraId="2BDEA2EC" w14:textId="77777777" w:rsidR="00000000" w:rsidRDefault="001826C1">
      <w:pPr>
        <w:pStyle w:val="a3"/>
        <w:spacing w:before="0" w:beforeAutospacing="0" w:after="0" w:afterAutospacing="0"/>
        <w:rPr>
          <w:sz w:val="20"/>
          <w:szCs w:val="20"/>
        </w:rPr>
      </w:pPr>
      <w:r>
        <w:rPr>
          <w:sz w:val="20"/>
          <w:szCs w:val="20"/>
        </w:rPr>
        <w:t> </w:t>
      </w:r>
    </w:p>
    <w:p w14:paraId="171D0B82" w14:textId="77777777" w:rsidR="00000000" w:rsidRDefault="001826C1">
      <w:pPr>
        <w:pStyle w:val="a3"/>
        <w:spacing w:before="0" w:beforeAutospacing="0" w:after="0" w:afterAutospacing="0"/>
        <w:jc w:val="both"/>
        <w:rPr>
          <w:sz w:val="20"/>
          <w:szCs w:val="20"/>
        </w:rPr>
      </w:pPr>
      <w:r>
        <w:rPr>
          <w:b/>
          <w:bCs/>
          <w:i/>
          <w:iCs/>
          <w:sz w:val="20"/>
          <w:szCs w:val="20"/>
        </w:rPr>
        <w:t>The healthcare industry is heavily regulated. Our failure to comply with regulatory requirements could create liability for us, result in adverse publicity and negatively affect our business.</w:t>
      </w:r>
    </w:p>
    <w:p w14:paraId="504F308D" w14:textId="77777777" w:rsidR="00000000" w:rsidRDefault="001826C1">
      <w:pPr>
        <w:pStyle w:val="a3"/>
        <w:spacing w:before="0" w:beforeAutospacing="0" w:after="0" w:afterAutospacing="0"/>
        <w:jc w:val="both"/>
        <w:rPr>
          <w:sz w:val="20"/>
          <w:szCs w:val="20"/>
        </w:rPr>
      </w:pPr>
      <w:r>
        <w:rPr>
          <w:sz w:val="20"/>
          <w:szCs w:val="20"/>
        </w:rPr>
        <w:t> </w:t>
      </w:r>
    </w:p>
    <w:p w14:paraId="09065F27" w14:textId="77777777" w:rsidR="00000000" w:rsidRDefault="001826C1">
      <w:pPr>
        <w:pStyle w:val="a3"/>
        <w:spacing w:before="0" w:beforeAutospacing="0" w:after="0" w:afterAutospacing="0"/>
        <w:jc w:val="both"/>
        <w:rPr>
          <w:sz w:val="20"/>
          <w:szCs w:val="20"/>
        </w:rPr>
      </w:pPr>
      <w:r>
        <w:rPr>
          <w:sz w:val="20"/>
          <w:szCs w:val="20"/>
        </w:rPr>
        <w:t>The heal</w:t>
      </w:r>
      <w:r>
        <w:rPr>
          <w:sz w:val="20"/>
          <w:szCs w:val="20"/>
        </w:rPr>
        <w:t>thcare industry is heavily regulated and is constantly evolving due to the changing political, legislative, regulatory landscape and other factors. Many healthcare laws are complex, and their application to specific services and relationships may not be cl</w:t>
      </w:r>
      <w:r>
        <w:rPr>
          <w:sz w:val="20"/>
          <w:szCs w:val="20"/>
        </w:rPr>
        <w:t>ear. In particular, many existing healthcare laws and regulations, when enacted, did not anticipate or address the services that we provide. Further, healthcare laws differ from state to state and it is difficult to ensure that our business, products and s</w:t>
      </w:r>
      <w:r>
        <w:rPr>
          <w:sz w:val="20"/>
          <w:szCs w:val="20"/>
        </w:rPr>
        <w:t>ervices comply with evolving laws in all states. By way of example, certain federal and state laws forbid billing based on referrals between individuals or entities that have various financial, ownership, or other business relationships with healthcare pro</w:t>
      </w:r>
      <w:r>
        <w:rPr>
          <w:sz w:val="20"/>
          <w:szCs w:val="20"/>
        </w:rPr>
        <w:t>viders. These laws vary widely from state to state, and one of the federal laws governing these relationships, known as the Stark Law, is very complex in its application. Similarly, many states have laws forbidding physicians from practicing medicine in pa</w:t>
      </w:r>
      <w:r>
        <w:rPr>
          <w:sz w:val="20"/>
          <w:szCs w:val="20"/>
        </w:rPr>
        <w:t>rtnership with non-physicians, such as business corporations, as well as laws or regulations forbidding splitting of physician fees with non-physicians or others. Other federal and state laws restrict assignment of claims for reimbursement from government-</w:t>
      </w:r>
      <w:r>
        <w:rPr>
          <w:sz w:val="20"/>
          <w:szCs w:val="20"/>
        </w:rPr>
        <w:t>funded programs, the manner in which business service companies may handle payments for such claims and the methodology under which business services companies may be compensated for such services.</w:t>
      </w:r>
    </w:p>
    <w:p w14:paraId="547D0B0C" w14:textId="77777777" w:rsidR="00000000" w:rsidRDefault="001826C1">
      <w:pPr>
        <w:pStyle w:val="a3"/>
        <w:spacing w:before="0" w:beforeAutospacing="0" w:after="0" w:afterAutospacing="0"/>
        <w:jc w:val="both"/>
        <w:rPr>
          <w:sz w:val="20"/>
          <w:szCs w:val="20"/>
        </w:rPr>
      </w:pPr>
      <w:r>
        <w:rPr>
          <w:sz w:val="20"/>
          <w:szCs w:val="20"/>
        </w:rPr>
        <w:t> </w:t>
      </w:r>
    </w:p>
    <w:p w14:paraId="5C1DA7D2" w14:textId="77777777" w:rsidR="00000000" w:rsidRDefault="001826C1">
      <w:pPr>
        <w:pStyle w:val="a3"/>
        <w:spacing w:before="0" w:beforeAutospacing="0" w:after="0" w:afterAutospacing="0"/>
        <w:jc w:val="both"/>
        <w:rPr>
          <w:sz w:val="20"/>
          <w:szCs w:val="20"/>
        </w:rPr>
      </w:pPr>
      <w:r>
        <w:rPr>
          <w:sz w:val="20"/>
          <w:szCs w:val="20"/>
        </w:rPr>
        <w:t>The Office of Inspector General (“OIG”) of the Departmen</w:t>
      </w:r>
      <w:r>
        <w:rPr>
          <w:sz w:val="20"/>
          <w:szCs w:val="20"/>
        </w:rPr>
        <w:t>t of Health and Human Services (“HHS”) has a longstanding concern that percentage-based billing arrangements may increase the risk of improper billing practices. In addition, certain states have adopted laws or regulations forbidding splitting of fees with</w:t>
      </w:r>
      <w:r>
        <w:rPr>
          <w:sz w:val="20"/>
          <w:szCs w:val="20"/>
        </w:rPr>
        <w:t xml:space="preserve"> non-physicians which may be interpreted to prevent business service providers, including medical billing providers, from using a percentage-based billing arrangement. The OIG and HHS recommend that medical billing companies develop and implement comprehen</w:t>
      </w:r>
      <w:r>
        <w:rPr>
          <w:sz w:val="20"/>
          <w:szCs w:val="20"/>
        </w:rPr>
        <w:t>sive compliance programs to mitigate this risk. While we have developed and implemented a comprehensive billing compliance program that we believe is consistent with these recommendations, our failure to ensure compliance with controlling legal requirement</w:t>
      </w:r>
      <w:r>
        <w:rPr>
          <w:sz w:val="20"/>
          <w:szCs w:val="20"/>
        </w:rPr>
        <w:t>s, accurately anticipate the application of these laws and regulations to our business and contracting model, or other failure to comply with regulatory requirements, could create liability for us, result in adverse publicity and negatively affect our busi</w:t>
      </w:r>
      <w:r>
        <w:rPr>
          <w:sz w:val="20"/>
          <w:szCs w:val="20"/>
        </w:rPr>
        <w:t>ness.</w:t>
      </w:r>
    </w:p>
    <w:p w14:paraId="78BC02AB" w14:textId="77777777" w:rsidR="00000000" w:rsidRDefault="001826C1">
      <w:pPr>
        <w:pStyle w:val="a3"/>
        <w:spacing w:before="0" w:beforeAutospacing="0" w:after="0" w:afterAutospacing="0"/>
        <w:jc w:val="both"/>
        <w:rPr>
          <w:sz w:val="20"/>
          <w:szCs w:val="20"/>
        </w:rPr>
      </w:pPr>
      <w:r>
        <w:rPr>
          <w:sz w:val="20"/>
          <w:szCs w:val="20"/>
        </w:rPr>
        <w:t> </w:t>
      </w:r>
    </w:p>
    <w:p w14:paraId="5FBF6317" w14:textId="77777777" w:rsidR="00000000" w:rsidRDefault="001826C1">
      <w:pPr>
        <w:pStyle w:val="a3"/>
        <w:spacing w:before="0" w:beforeAutospacing="0" w:after="0" w:afterAutospacing="0"/>
        <w:jc w:val="both"/>
        <w:rPr>
          <w:sz w:val="20"/>
          <w:szCs w:val="20"/>
        </w:rPr>
      </w:pPr>
      <w:r>
        <w:rPr>
          <w:sz w:val="20"/>
          <w:szCs w:val="20"/>
        </w:rPr>
        <w:t xml:space="preserve">The federal Anti-Kickback Statute (“AKS”) prohibits </w:t>
      </w:r>
      <w:r>
        <w:rPr>
          <w:sz w:val="20"/>
          <w:szCs w:val="20"/>
        </w:rPr>
        <w:t>us from knowingly and willfully soliciting, receiving, offering or providing remuneration in exchange for referrals or recommendations for purposes of selling products or services which are paid for by federal healthcare programs such as Medicare and Medic</w:t>
      </w:r>
      <w:r>
        <w:rPr>
          <w:sz w:val="20"/>
          <w:szCs w:val="20"/>
        </w:rPr>
        <w:t>aid. In addition, a claim including products or services resulting from a violation of AKS constitutes a violation of the federal False Claims Act (“FCA”). If we are determined to have violated the FCA, we may be required to pay up to three times the actua</w:t>
      </w:r>
      <w:r>
        <w:rPr>
          <w:sz w:val="20"/>
          <w:szCs w:val="20"/>
        </w:rPr>
        <w:t>l damages sustained by the government, plus mandatory civil penalties for each separate false claim. If we are found to be in violation of the FCA, AKS, ACA, or any other applicable state or any federal fraud and abuse laws, whether by our current practice</w:t>
      </w:r>
      <w:r>
        <w:rPr>
          <w:sz w:val="20"/>
          <w:szCs w:val="20"/>
        </w:rPr>
        <w:t>s or for the past practices of a company we acquire, we may be subject to substantial civil damages and criminal penalties and fines that could have a material adverse impact on our business.</w:t>
      </w:r>
    </w:p>
    <w:p w14:paraId="4C4944B1" w14:textId="77777777" w:rsidR="00000000" w:rsidRDefault="001826C1">
      <w:pPr>
        <w:pStyle w:val="a3"/>
        <w:spacing w:before="0" w:beforeAutospacing="0" w:after="0" w:afterAutospacing="0"/>
        <w:jc w:val="both"/>
        <w:rPr>
          <w:sz w:val="20"/>
          <w:szCs w:val="20"/>
        </w:rPr>
      </w:pPr>
      <w:r>
        <w:rPr>
          <w:sz w:val="20"/>
          <w:szCs w:val="20"/>
        </w:rPr>
        <w:t> </w:t>
      </w:r>
    </w:p>
    <w:p w14:paraId="31DD2440" w14:textId="77777777" w:rsidR="00000000" w:rsidRDefault="001826C1">
      <w:pPr>
        <w:pStyle w:val="a3"/>
        <w:spacing w:before="0" w:beforeAutospacing="0" w:after="0" w:afterAutospacing="0"/>
        <w:jc w:val="both"/>
        <w:rPr>
          <w:sz w:val="20"/>
          <w:szCs w:val="20"/>
        </w:rPr>
      </w:pPr>
      <w:r>
        <w:rPr>
          <w:sz w:val="20"/>
          <w:szCs w:val="20"/>
        </w:rPr>
        <w:t>In addition, federal and state legislatures and agencies perio</w:t>
      </w:r>
      <w:r>
        <w:rPr>
          <w:sz w:val="20"/>
          <w:szCs w:val="20"/>
        </w:rPr>
        <w:t>dically consider proposals to revise aspects of the healthcare industry or to revise or create additional statutory and regulatory requirements. For instance, the current administration may make changes to the ACA, the nature and scope of which are present</w:t>
      </w:r>
      <w:r>
        <w:rPr>
          <w:sz w:val="20"/>
          <w:szCs w:val="20"/>
        </w:rPr>
        <w:t>ly unknown. Similarly, certain computer software products are regulated as medical devices under the Federal Food, Drug, and Cosmetic Act. While the Food and Drug Administration (“FDA”) has sometimes chosen to disclaim authority to, or to refrain from acti</w:t>
      </w:r>
      <w:r>
        <w:rPr>
          <w:sz w:val="20"/>
          <w:szCs w:val="20"/>
        </w:rPr>
        <w:t xml:space="preserve">vely regulating certain software products which are similar to our products, this area of medical device regulation remains in flux. We expect that the FDA will continue to be active in exploring legal regimes for regulating computer software intended for </w:t>
      </w:r>
      <w:r>
        <w:rPr>
          <w:sz w:val="20"/>
          <w:szCs w:val="20"/>
        </w:rPr>
        <w:t>use in healthcare settings. Any additional regulation can be expected to impose additional overhead costs on us and should we fail to adequately meet these legal obligations, we could face potential regulatory action. Regulatory authorities such as the Cen</w:t>
      </w:r>
      <w:r>
        <w:rPr>
          <w:sz w:val="20"/>
          <w:szCs w:val="20"/>
        </w:rPr>
        <w:t>ters for Medicare and Medicaid Services may also impose functionality standards with regard to electronic prescribing technologies. If implemented, proposals like these could impact our operations, the use of our services and our ability to market new serv</w:t>
      </w:r>
      <w:r>
        <w:rPr>
          <w:sz w:val="20"/>
          <w:szCs w:val="20"/>
        </w:rPr>
        <w:t>ices, or could create unexpected liabilities for us. We cannot predict what changes to laws or regulations might be made in the future or how those changes could affect our business or our operating costs.</w:t>
      </w:r>
    </w:p>
    <w:p w14:paraId="0BC47EF3"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5FE1BE7" w14:textId="77777777">
        <w:trPr>
          <w:divId w:val="1686134139"/>
        </w:trPr>
        <w:tc>
          <w:tcPr>
            <w:tcW w:w="5000" w:type="pct"/>
            <w:hideMark/>
          </w:tcPr>
          <w:p w14:paraId="0C46DFA3"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042C3B39" w14:textId="77777777">
        <w:tc>
          <w:tcPr>
            <w:tcW w:w="5000" w:type="pct"/>
            <w:hideMark/>
          </w:tcPr>
          <w:p w14:paraId="50811C6C" w14:textId="77777777" w:rsidR="00000000" w:rsidRDefault="001826C1">
            <w:pPr>
              <w:jc w:val="center"/>
              <w:rPr>
                <w:rFonts w:eastAsia="Times New Roman"/>
                <w:sz w:val="20"/>
                <w:szCs w:val="20"/>
              </w:rPr>
            </w:pPr>
            <w:r>
              <w:rPr>
                <w:rFonts w:eastAsia="Times New Roman"/>
                <w:sz w:val="20"/>
                <w:szCs w:val="20"/>
              </w:rPr>
              <w:t> </w:t>
            </w:r>
          </w:p>
        </w:tc>
      </w:tr>
    </w:tbl>
    <w:p w14:paraId="2FE8A0F9" w14:textId="77777777" w:rsidR="00000000" w:rsidRDefault="001826C1">
      <w:pPr>
        <w:pStyle w:val="a3"/>
        <w:spacing w:before="0" w:beforeAutospacing="0" w:after="0" w:afterAutospacing="0"/>
        <w:rPr>
          <w:sz w:val="20"/>
          <w:szCs w:val="20"/>
        </w:rPr>
      </w:pPr>
      <w:r>
        <w:rPr>
          <w:b/>
          <w:bCs/>
          <w:i/>
          <w:iCs/>
          <w:sz w:val="20"/>
          <w:szCs w:val="20"/>
        </w:rPr>
        <w:t> </w:t>
      </w:r>
    </w:p>
    <w:p w14:paraId="0A742AD4" w14:textId="77777777" w:rsidR="00000000" w:rsidRDefault="001826C1">
      <w:pPr>
        <w:pStyle w:val="a3"/>
        <w:spacing w:before="0" w:beforeAutospacing="0" w:after="0" w:afterAutospacing="0"/>
        <w:jc w:val="both"/>
        <w:rPr>
          <w:sz w:val="20"/>
          <w:szCs w:val="20"/>
        </w:rPr>
      </w:pPr>
      <w:r>
        <w:rPr>
          <w:b/>
          <w:bCs/>
          <w:i/>
          <w:iCs/>
          <w:sz w:val="20"/>
          <w:szCs w:val="20"/>
        </w:rPr>
        <w:t>If we do not maintain the certificatio</w:t>
      </w:r>
      <w:r>
        <w:rPr>
          <w:b/>
          <w:bCs/>
          <w:i/>
          <w:iCs/>
          <w:sz w:val="20"/>
          <w:szCs w:val="20"/>
        </w:rPr>
        <w:t>n of our EHR solution pursuant to the HITECH Act, our business, financial condition and results of operations will be adversely affected.</w:t>
      </w:r>
    </w:p>
    <w:p w14:paraId="259BCD9A" w14:textId="77777777" w:rsidR="00000000" w:rsidRDefault="001826C1">
      <w:pPr>
        <w:pStyle w:val="a3"/>
        <w:spacing w:before="0" w:beforeAutospacing="0" w:after="0" w:afterAutospacing="0"/>
        <w:jc w:val="both"/>
        <w:rPr>
          <w:sz w:val="20"/>
          <w:szCs w:val="20"/>
        </w:rPr>
      </w:pPr>
      <w:r>
        <w:rPr>
          <w:sz w:val="20"/>
          <w:szCs w:val="20"/>
        </w:rPr>
        <w:t> </w:t>
      </w:r>
    </w:p>
    <w:p w14:paraId="652B4477" w14:textId="77777777" w:rsidR="00000000" w:rsidRDefault="001826C1">
      <w:pPr>
        <w:pStyle w:val="a3"/>
        <w:spacing w:before="0" w:beforeAutospacing="0" w:after="0" w:afterAutospacing="0"/>
        <w:jc w:val="both"/>
        <w:rPr>
          <w:sz w:val="20"/>
          <w:szCs w:val="20"/>
        </w:rPr>
      </w:pPr>
      <w:r>
        <w:rPr>
          <w:sz w:val="20"/>
          <w:szCs w:val="20"/>
        </w:rPr>
        <w:t>The HITECH Act provides financial incentives for healthcare providers that demonstrate “meaningful use” of EHR and m</w:t>
      </w:r>
      <w:r>
        <w:rPr>
          <w:sz w:val="20"/>
          <w:szCs w:val="20"/>
        </w:rPr>
        <w:t>andates use of health information technology systems that are certified according to technical standards developed under the supervision of the U.S. Department of Health and Human Services (“HHS”). The HITECH Act also imposes certain requirements upon gove</w:t>
      </w:r>
      <w:r>
        <w:rPr>
          <w:sz w:val="20"/>
          <w:szCs w:val="20"/>
        </w:rPr>
        <w:t>rnmental agencies to use, and requires healthcare providers, health plans, and insurers contracting with such agencies to use, systems that are certified according to such standards. Such standards and implementation specifications that are being developed</w:t>
      </w:r>
      <w:r>
        <w:rPr>
          <w:sz w:val="20"/>
          <w:szCs w:val="20"/>
        </w:rPr>
        <w:t xml:space="preserve"> under the HITECH Act includes named standards, architectures, and software schemes for the authentication and security of individually identifiable health information and the creation of common solutions across disparate entities.</w:t>
      </w:r>
    </w:p>
    <w:p w14:paraId="47EE79EC" w14:textId="77777777" w:rsidR="00000000" w:rsidRDefault="001826C1">
      <w:pPr>
        <w:pStyle w:val="a3"/>
        <w:spacing w:before="0" w:beforeAutospacing="0" w:after="0" w:afterAutospacing="0"/>
        <w:jc w:val="both"/>
        <w:rPr>
          <w:sz w:val="20"/>
          <w:szCs w:val="20"/>
        </w:rPr>
      </w:pPr>
      <w:r>
        <w:rPr>
          <w:sz w:val="20"/>
          <w:szCs w:val="20"/>
        </w:rPr>
        <w:t> </w:t>
      </w:r>
    </w:p>
    <w:p w14:paraId="22C833C5" w14:textId="77777777" w:rsidR="00000000" w:rsidRDefault="001826C1">
      <w:pPr>
        <w:pStyle w:val="a3"/>
        <w:spacing w:before="0" w:beforeAutospacing="0" w:after="0" w:afterAutospacing="0"/>
        <w:jc w:val="both"/>
        <w:rPr>
          <w:sz w:val="20"/>
          <w:szCs w:val="20"/>
        </w:rPr>
      </w:pPr>
      <w:r>
        <w:rPr>
          <w:sz w:val="20"/>
          <w:szCs w:val="20"/>
        </w:rPr>
        <w:t>The HITECH Act’s certi</w:t>
      </w:r>
      <w:r>
        <w:rPr>
          <w:sz w:val="20"/>
          <w:szCs w:val="20"/>
        </w:rPr>
        <w:t>fication requirements affect our business because we have invested and continue to invest in conforming our products and services to these standards. HHS has developed certification programs for electronic health records and health information exchanges. O</w:t>
      </w:r>
      <w:r>
        <w:rPr>
          <w:sz w:val="20"/>
          <w:szCs w:val="20"/>
        </w:rPr>
        <w:t xml:space="preserve">ur web-based EHR solution has been certified as a complete EHR by ICSA Labs, a non-governmental, independent certifying body. We must ensure that our EHR solutions continue to be certified according to applicable HITECH Act technical standards so that our </w:t>
      </w:r>
      <w:r>
        <w:rPr>
          <w:sz w:val="20"/>
          <w:szCs w:val="20"/>
        </w:rPr>
        <w:t>customers qualify for any “meaningful use” incentive payments and are not subject to penalties for non-compliance. Failure to maintain this certification under the HITECH Act could jeopardize our relationships with customers who are relying upon us to prov</w:t>
      </w:r>
      <w:r>
        <w:rPr>
          <w:sz w:val="20"/>
          <w:szCs w:val="20"/>
        </w:rPr>
        <w:t>ide certified software, and will make our products and services less attractive to customers than the offerings of other EHR vendors who maintain certification of their products.</w:t>
      </w:r>
    </w:p>
    <w:p w14:paraId="7576C8A8" w14:textId="77777777" w:rsidR="00000000" w:rsidRDefault="001826C1">
      <w:pPr>
        <w:pStyle w:val="a3"/>
        <w:spacing w:before="0" w:beforeAutospacing="0" w:after="0" w:afterAutospacing="0"/>
        <w:rPr>
          <w:sz w:val="20"/>
          <w:szCs w:val="20"/>
        </w:rPr>
      </w:pPr>
      <w:r>
        <w:rPr>
          <w:sz w:val="20"/>
          <w:szCs w:val="20"/>
        </w:rPr>
        <w:t> </w:t>
      </w:r>
    </w:p>
    <w:p w14:paraId="68FCC8CB" w14:textId="77777777" w:rsidR="00000000" w:rsidRDefault="001826C1">
      <w:pPr>
        <w:pStyle w:val="a3"/>
        <w:spacing w:before="0" w:beforeAutospacing="0" w:after="0" w:afterAutospacing="0"/>
        <w:jc w:val="both"/>
        <w:rPr>
          <w:sz w:val="20"/>
          <w:szCs w:val="20"/>
        </w:rPr>
      </w:pPr>
      <w:r>
        <w:rPr>
          <w:b/>
          <w:bCs/>
          <w:i/>
          <w:iCs/>
          <w:sz w:val="20"/>
          <w:szCs w:val="20"/>
        </w:rPr>
        <w:t xml:space="preserve">If </w:t>
      </w:r>
      <w:r>
        <w:rPr>
          <w:b/>
          <w:bCs/>
          <w:i/>
          <w:iCs/>
          <w:sz w:val="20"/>
          <w:szCs w:val="20"/>
        </w:rPr>
        <w:t>a breach of our measures protecting personal data covered by HIPAA or the HITECH Act occurs, we may incur significant liabilities.</w:t>
      </w:r>
    </w:p>
    <w:p w14:paraId="44B00603" w14:textId="77777777" w:rsidR="00000000" w:rsidRDefault="001826C1">
      <w:pPr>
        <w:pStyle w:val="a3"/>
        <w:spacing w:before="0" w:beforeAutospacing="0" w:after="0" w:afterAutospacing="0"/>
        <w:jc w:val="both"/>
        <w:rPr>
          <w:sz w:val="20"/>
          <w:szCs w:val="20"/>
        </w:rPr>
      </w:pPr>
      <w:r>
        <w:rPr>
          <w:sz w:val="20"/>
          <w:szCs w:val="20"/>
        </w:rPr>
        <w:t> </w:t>
      </w:r>
    </w:p>
    <w:p w14:paraId="2FE37B01" w14:textId="77777777" w:rsidR="00000000" w:rsidRDefault="001826C1">
      <w:pPr>
        <w:pStyle w:val="a3"/>
        <w:spacing w:before="0" w:beforeAutospacing="0" w:after="0" w:afterAutospacing="0"/>
        <w:jc w:val="both"/>
        <w:rPr>
          <w:sz w:val="20"/>
          <w:szCs w:val="20"/>
        </w:rPr>
      </w:pPr>
      <w:r>
        <w:rPr>
          <w:sz w:val="20"/>
          <w:szCs w:val="20"/>
        </w:rPr>
        <w:t>The Health Insurance Portability and Accountability Act of 1996, as amended (“HIPAA”), and the regulations that have been i</w:t>
      </w:r>
      <w:r>
        <w:rPr>
          <w:sz w:val="20"/>
          <w:szCs w:val="20"/>
        </w:rPr>
        <w:t>ssued under it contain substantial restrictions and requirements with respect to the use, collection, storage and disclosure of individuals’ protected health information. Under HIPAA, covered entities must establish administrative, physical and technical s</w:t>
      </w:r>
      <w:r>
        <w:rPr>
          <w:sz w:val="20"/>
          <w:szCs w:val="20"/>
        </w:rPr>
        <w:t>afeguards to protect the confidentiality, integrity and availability of electronic protected health information maintained or transmitted by them or by others on their behalf. In February 2009, HIPAA was amended by the HITECH Act to add provisions that imp</w:t>
      </w:r>
      <w:r>
        <w:rPr>
          <w:sz w:val="20"/>
          <w:szCs w:val="20"/>
        </w:rPr>
        <w:t>ose certain of HIPAA’s privacy and security requirements directly upon business associates of covered entities. Under HIPAA and the HITECH Act, our customers are covered entities and we are a business associate of our customers as a result of our contractu</w:t>
      </w:r>
      <w:r>
        <w:rPr>
          <w:sz w:val="20"/>
          <w:szCs w:val="20"/>
        </w:rPr>
        <w:t xml:space="preserve">al obligations to perform certain services for those customers. The HITECH Act transferred enforcement authority of the security rule from CMS to the Office for Civil Rights of HHS, thereby consolidating authority over the privacy and security rules under </w:t>
      </w:r>
      <w:r>
        <w:rPr>
          <w:sz w:val="20"/>
          <w:szCs w:val="20"/>
        </w:rPr>
        <w:t>a single office within HHS. Further, HITECH empowered state attorneys’ general to enforce HIPAA.</w:t>
      </w:r>
    </w:p>
    <w:p w14:paraId="44F2AE01" w14:textId="77777777" w:rsidR="00000000" w:rsidRDefault="001826C1">
      <w:pPr>
        <w:pStyle w:val="a3"/>
        <w:spacing w:before="0" w:beforeAutospacing="0" w:after="0" w:afterAutospacing="0"/>
        <w:jc w:val="both"/>
        <w:rPr>
          <w:sz w:val="20"/>
          <w:szCs w:val="20"/>
        </w:rPr>
      </w:pPr>
      <w:r>
        <w:rPr>
          <w:sz w:val="20"/>
          <w:szCs w:val="20"/>
        </w:rPr>
        <w:t> </w:t>
      </w:r>
    </w:p>
    <w:p w14:paraId="2D0A31A2" w14:textId="77777777" w:rsidR="00000000" w:rsidRDefault="001826C1">
      <w:pPr>
        <w:pStyle w:val="a3"/>
        <w:spacing w:before="0" w:beforeAutospacing="0" w:after="0" w:afterAutospacing="0"/>
        <w:jc w:val="both"/>
        <w:rPr>
          <w:sz w:val="20"/>
          <w:szCs w:val="20"/>
        </w:rPr>
      </w:pPr>
      <w:r>
        <w:rPr>
          <w:sz w:val="20"/>
          <w:szCs w:val="20"/>
        </w:rPr>
        <w:t>The HITECH Act heightened enforcement of privacy and security rules, indicating that the imposition of penalties will be more common in the future and such p</w:t>
      </w:r>
      <w:r>
        <w:rPr>
          <w:sz w:val="20"/>
          <w:szCs w:val="20"/>
        </w:rPr>
        <w:t>enalties will be more severe. For example, the HITECH Act requires that the HHS fully investigate all complaints if a preliminary investigation of the facts indicates a possible violation due to “willful neglect” and imposes penalties if such neglect is fo</w:t>
      </w:r>
      <w:r>
        <w:rPr>
          <w:sz w:val="20"/>
          <w:szCs w:val="20"/>
        </w:rPr>
        <w:t>und. Further, where our liability as a business associate to our customers was previously merely contractual in nature, the HITECH Act now treats the breach of duty under an agreement by a business associate to carry the same liability as if the covered en</w:t>
      </w:r>
      <w:r>
        <w:rPr>
          <w:sz w:val="20"/>
          <w:szCs w:val="20"/>
        </w:rPr>
        <w:t>tity engaged in the breach. In other words, as a business associate, we are now directly responsible for complying with HIPAA. We may find ourselves subject to increased liability as a possible liable party and we may incur increased costs as we perform ou</w:t>
      </w:r>
      <w:r>
        <w:rPr>
          <w:sz w:val="20"/>
          <w:szCs w:val="20"/>
        </w:rPr>
        <w:t>r obligations to our customers under our agreements with them.</w:t>
      </w:r>
    </w:p>
    <w:p w14:paraId="7B1EE273" w14:textId="77777777" w:rsidR="00000000" w:rsidRDefault="001826C1">
      <w:pPr>
        <w:pStyle w:val="a3"/>
        <w:spacing w:before="0" w:beforeAutospacing="0" w:after="0" w:afterAutospacing="0"/>
        <w:jc w:val="both"/>
        <w:rPr>
          <w:sz w:val="20"/>
          <w:szCs w:val="20"/>
        </w:rPr>
      </w:pPr>
      <w:r>
        <w:rPr>
          <w:sz w:val="20"/>
          <w:szCs w:val="20"/>
        </w:rPr>
        <w:t> </w:t>
      </w:r>
    </w:p>
    <w:p w14:paraId="6AE2445F" w14:textId="77777777" w:rsidR="00000000" w:rsidRDefault="001826C1">
      <w:pPr>
        <w:pStyle w:val="a3"/>
        <w:spacing w:before="0" w:beforeAutospacing="0" w:after="0" w:afterAutospacing="0"/>
        <w:jc w:val="both"/>
        <w:rPr>
          <w:sz w:val="20"/>
          <w:szCs w:val="20"/>
        </w:rPr>
      </w:pPr>
      <w:r>
        <w:rPr>
          <w:sz w:val="20"/>
          <w:szCs w:val="20"/>
        </w:rPr>
        <w:t xml:space="preserve">Finally, </w:t>
      </w:r>
      <w:r>
        <w:rPr>
          <w:sz w:val="20"/>
          <w:szCs w:val="20"/>
        </w:rPr>
        <w:t xml:space="preserve">regulations also require business associates to notify covered entities, who in turn must notify affected individuals and government authorities of data security breaches involving unsecured protected health information. We have performed an assessment of </w:t>
      </w:r>
      <w:r>
        <w:rPr>
          <w:sz w:val="20"/>
          <w:szCs w:val="20"/>
        </w:rPr>
        <w:t>the potential risks and vulnerabilities to the confidentiality, integrity and availability of electronic health information. In response to this risk analysis, we implemented and maintain physical, technical and administrative safeguards intended to protec</w:t>
      </w:r>
      <w:r>
        <w:rPr>
          <w:sz w:val="20"/>
          <w:szCs w:val="20"/>
        </w:rPr>
        <w:t>t all personal data and have processes in place to assist us in complying with applicable laws and regulations regarding the protection of this data and properly responding to any security incidents. If we knowingly breach the HITECH Act’s requirements, we</w:t>
      </w:r>
      <w:r>
        <w:rPr>
          <w:sz w:val="20"/>
          <w:szCs w:val="20"/>
        </w:rPr>
        <w:t xml:space="preserve"> could be exposed to criminal liability. A breach of our safeguards and processes could expose us to civil penalties of up to $1.5 million for each incident and the possibility of civil litigation.</w:t>
      </w:r>
    </w:p>
    <w:p w14:paraId="0565CE40"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A9B41B9" w14:textId="77777777">
        <w:trPr>
          <w:divId w:val="878510934"/>
        </w:trPr>
        <w:tc>
          <w:tcPr>
            <w:tcW w:w="5000" w:type="pct"/>
            <w:hideMark/>
          </w:tcPr>
          <w:p w14:paraId="2DA629B8"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4110C791" w14:textId="77777777">
        <w:tc>
          <w:tcPr>
            <w:tcW w:w="5000" w:type="pct"/>
            <w:hideMark/>
          </w:tcPr>
          <w:p w14:paraId="113533CC" w14:textId="77777777" w:rsidR="00000000" w:rsidRDefault="001826C1">
            <w:pPr>
              <w:jc w:val="center"/>
              <w:rPr>
                <w:rFonts w:eastAsia="Times New Roman"/>
                <w:sz w:val="20"/>
                <w:szCs w:val="20"/>
              </w:rPr>
            </w:pPr>
            <w:r>
              <w:rPr>
                <w:rFonts w:eastAsia="Times New Roman"/>
                <w:sz w:val="20"/>
                <w:szCs w:val="20"/>
              </w:rPr>
              <w:t> </w:t>
            </w:r>
          </w:p>
        </w:tc>
      </w:tr>
    </w:tbl>
    <w:p w14:paraId="3BC4D0D4" w14:textId="77777777" w:rsidR="00000000" w:rsidRDefault="001826C1">
      <w:pPr>
        <w:pStyle w:val="a3"/>
        <w:spacing w:before="0" w:beforeAutospacing="0" w:after="0" w:afterAutospacing="0"/>
        <w:rPr>
          <w:sz w:val="20"/>
          <w:szCs w:val="20"/>
        </w:rPr>
      </w:pPr>
      <w:r>
        <w:rPr>
          <w:b/>
          <w:bCs/>
          <w:i/>
          <w:iCs/>
          <w:sz w:val="20"/>
          <w:szCs w:val="20"/>
        </w:rPr>
        <w:t> </w:t>
      </w:r>
    </w:p>
    <w:p w14:paraId="088C35FA" w14:textId="77777777" w:rsidR="00000000" w:rsidRDefault="001826C1">
      <w:pPr>
        <w:pStyle w:val="a3"/>
        <w:spacing w:before="0" w:beforeAutospacing="0" w:after="0" w:afterAutospacing="0"/>
        <w:jc w:val="both"/>
        <w:rPr>
          <w:sz w:val="20"/>
          <w:szCs w:val="20"/>
        </w:rPr>
      </w:pPr>
      <w:r>
        <w:rPr>
          <w:b/>
          <w:bCs/>
          <w:i/>
          <w:iCs/>
          <w:sz w:val="20"/>
          <w:szCs w:val="20"/>
        </w:rPr>
        <w:t>If we or our customers fail to comply with fed</w:t>
      </w:r>
      <w:r>
        <w:rPr>
          <w:b/>
          <w:bCs/>
          <w:i/>
          <w:iCs/>
          <w:sz w:val="20"/>
          <w:szCs w:val="20"/>
        </w:rPr>
        <w:t>eral and state laws governing submission of false or fraudulent claims to government healthcare programs and financial relationships among healthcare providers, we or our customers may be subject to civil and criminal penalties or loss of eligibility to pa</w:t>
      </w:r>
      <w:r>
        <w:rPr>
          <w:b/>
          <w:bCs/>
          <w:i/>
          <w:iCs/>
          <w:sz w:val="20"/>
          <w:szCs w:val="20"/>
        </w:rPr>
        <w:t>rticipate in government healthcare programs.</w:t>
      </w:r>
    </w:p>
    <w:p w14:paraId="05FF6CF3" w14:textId="77777777" w:rsidR="00000000" w:rsidRDefault="001826C1">
      <w:pPr>
        <w:pStyle w:val="a3"/>
        <w:spacing w:before="0" w:beforeAutospacing="0" w:after="0" w:afterAutospacing="0"/>
        <w:jc w:val="both"/>
        <w:rPr>
          <w:sz w:val="20"/>
          <w:szCs w:val="20"/>
        </w:rPr>
      </w:pPr>
      <w:r>
        <w:rPr>
          <w:sz w:val="20"/>
          <w:szCs w:val="20"/>
        </w:rPr>
        <w:t> </w:t>
      </w:r>
    </w:p>
    <w:p w14:paraId="33035170" w14:textId="77777777" w:rsidR="00000000" w:rsidRDefault="001826C1">
      <w:pPr>
        <w:pStyle w:val="a3"/>
        <w:spacing w:before="0" w:beforeAutospacing="0" w:after="0" w:afterAutospacing="0"/>
        <w:jc w:val="both"/>
        <w:rPr>
          <w:sz w:val="20"/>
          <w:szCs w:val="20"/>
        </w:rPr>
      </w:pPr>
      <w:r>
        <w:rPr>
          <w:sz w:val="20"/>
          <w:szCs w:val="20"/>
        </w:rPr>
        <w:t>As a participant in the healthcare industry, our operations and relationships, and those of our customers, are regulated by a number of federal, state and local governmental entities. The impact of these regul</w:t>
      </w:r>
      <w:r>
        <w:rPr>
          <w:sz w:val="20"/>
          <w:szCs w:val="20"/>
        </w:rPr>
        <w:t>ations can adversely affect us even though we may not be directly regulated by specific healthcare laws and regulations. We must ensure that our products and services can be used by our customers in a manner that complies with those laws and regulations. I</w:t>
      </w:r>
      <w:r>
        <w:rPr>
          <w:sz w:val="20"/>
          <w:szCs w:val="20"/>
        </w:rPr>
        <w:t>nability of our customers to do so could affect the marketability of our products and services or our compliance with our customer contracts, or even expose us to direct liability under the theory that we had assisted our customers in a violation of health</w:t>
      </w:r>
      <w:r>
        <w:rPr>
          <w:sz w:val="20"/>
          <w:szCs w:val="20"/>
        </w:rPr>
        <w:t>care laws or regulations. A number of federal and state laws, including anti-kickback restrictions and laws prohibiting the submission of false or fraudulent claims, apply to healthcare providers and others that make, offer, seek or receive referrals or pa</w:t>
      </w:r>
      <w:r>
        <w:rPr>
          <w:sz w:val="20"/>
          <w:szCs w:val="20"/>
        </w:rPr>
        <w:t>yments for products or services that may be paid for through any federal or state healthcare program and, in some instances, any private program. These laws are complex and their application to our specific services and relationships may not be clear and m</w:t>
      </w:r>
      <w:r>
        <w:rPr>
          <w:sz w:val="20"/>
          <w:szCs w:val="20"/>
        </w:rPr>
        <w:t>ay be applied to our business in ways that we do not anticipate. Federal and state regulatory and law enforcement authorities have recently increased enforcement activities with respect to Medicare and Medicaid fraud and abuse regulations and other healthc</w:t>
      </w:r>
      <w:r>
        <w:rPr>
          <w:sz w:val="20"/>
          <w:szCs w:val="20"/>
        </w:rPr>
        <w:t xml:space="preserve">are reimbursement laws and rules. From time to time, participants in the healthcare industry receive inquiries or subpoenas to produce documents in connection with government investigations. We could be required to expend significant time and resources to </w:t>
      </w:r>
      <w:r>
        <w:rPr>
          <w:sz w:val="20"/>
          <w:szCs w:val="20"/>
        </w:rPr>
        <w:t>comply with these requests, and the attention of our management team could be diverted by these efforts. The occurrence of any of these events could give our customers the right to terminate our contracts with us and result in significant harm to our busin</w:t>
      </w:r>
      <w:r>
        <w:rPr>
          <w:sz w:val="20"/>
          <w:szCs w:val="20"/>
        </w:rPr>
        <w:t>ess and financial condition.</w:t>
      </w:r>
    </w:p>
    <w:p w14:paraId="21580124" w14:textId="77777777" w:rsidR="00000000" w:rsidRDefault="001826C1">
      <w:pPr>
        <w:pStyle w:val="a3"/>
        <w:spacing w:before="0" w:beforeAutospacing="0" w:after="0" w:afterAutospacing="0"/>
        <w:jc w:val="both"/>
        <w:rPr>
          <w:sz w:val="20"/>
          <w:szCs w:val="20"/>
        </w:rPr>
      </w:pPr>
      <w:r>
        <w:rPr>
          <w:sz w:val="20"/>
          <w:szCs w:val="20"/>
        </w:rPr>
        <w:t> </w:t>
      </w:r>
    </w:p>
    <w:p w14:paraId="4830988C" w14:textId="77777777" w:rsidR="00000000" w:rsidRDefault="001826C1">
      <w:pPr>
        <w:pStyle w:val="a3"/>
        <w:spacing w:before="0" w:beforeAutospacing="0" w:after="0" w:afterAutospacing="0"/>
        <w:jc w:val="both"/>
        <w:rPr>
          <w:sz w:val="20"/>
          <w:szCs w:val="20"/>
        </w:rPr>
      </w:pPr>
      <w:r>
        <w:rPr>
          <w:sz w:val="20"/>
          <w:szCs w:val="20"/>
        </w:rPr>
        <w:t>These laws and regulations may change rapidly, and it is frequently unclear how they apply to our business. Any failure of our products or services to comply with these laws and regulations could result in substantial civil o</w:t>
      </w:r>
      <w:r>
        <w:rPr>
          <w:sz w:val="20"/>
          <w:szCs w:val="20"/>
        </w:rPr>
        <w:t>r criminal liability and could, among other things, adversely affect demand for our services, invalidate all or portions of some of our contracts with our customers, require us to change or terminate some portions of our business, require us to refund port</w:t>
      </w:r>
      <w:r>
        <w:rPr>
          <w:sz w:val="20"/>
          <w:szCs w:val="20"/>
        </w:rPr>
        <w:t>ions of our revenue, cause us to be disqualified from serving customers doing business with government payers, and give our customers the right to terminate our contracts with them, any one of which could have an adverse effect on our business.</w:t>
      </w:r>
    </w:p>
    <w:p w14:paraId="0B58FDDE" w14:textId="77777777" w:rsidR="00000000" w:rsidRDefault="001826C1">
      <w:pPr>
        <w:pStyle w:val="a3"/>
        <w:spacing w:before="0" w:beforeAutospacing="0" w:after="0" w:afterAutospacing="0"/>
        <w:jc w:val="both"/>
        <w:rPr>
          <w:sz w:val="20"/>
          <w:szCs w:val="20"/>
        </w:rPr>
      </w:pPr>
      <w:r>
        <w:rPr>
          <w:sz w:val="20"/>
          <w:szCs w:val="20"/>
        </w:rPr>
        <w:t> </w:t>
      </w:r>
    </w:p>
    <w:p w14:paraId="700FDA4E" w14:textId="77777777" w:rsidR="00000000" w:rsidRDefault="001826C1">
      <w:pPr>
        <w:pStyle w:val="a3"/>
        <w:spacing w:before="0" w:beforeAutospacing="0" w:after="0" w:afterAutospacing="0"/>
        <w:jc w:val="both"/>
        <w:rPr>
          <w:sz w:val="20"/>
          <w:szCs w:val="20"/>
        </w:rPr>
      </w:pPr>
      <w:r>
        <w:rPr>
          <w:b/>
          <w:bCs/>
          <w:i/>
          <w:iCs/>
          <w:sz w:val="20"/>
          <w:szCs w:val="20"/>
        </w:rPr>
        <w:t>Potential</w:t>
      </w:r>
      <w:r>
        <w:rPr>
          <w:b/>
          <w:bCs/>
          <w:i/>
          <w:iCs/>
          <w:sz w:val="20"/>
          <w:szCs w:val="20"/>
        </w:rPr>
        <w:t xml:space="preserve"> healthcare reform and new regulatory requirements placed on our products and services could increase our costs, delay or prevent our introduction of new products or services, and impair the function or value of our existing products and services.</w:t>
      </w:r>
    </w:p>
    <w:p w14:paraId="2B36C611" w14:textId="77777777" w:rsidR="00000000" w:rsidRDefault="001826C1">
      <w:pPr>
        <w:pStyle w:val="a3"/>
        <w:spacing w:before="0" w:beforeAutospacing="0" w:after="0" w:afterAutospacing="0"/>
        <w:jc w:val="both"/>
        <w:rPr>
          <w:sz w:val="20"/>
          <w:szCs w:val="20"/>
        </w:rPr>
      </w:pPr>
      <w:r>
        <w:rPr>
          <w:sz w:val="20"/>
          <w:szCs w:val="20"/>
        </w:rPr>
        <w:t> </w:t>
      </w:r>
    </w:p>
    <w:p w14:paraId="6F594B05" w14:textId="77777777" w:rsidR="00000000" w:rsidRDefault="001826C1">
      <w:pPr>
        <w:pStyle w:val="a3"/>
        <w:spacing w:before="0" w:beforeAutospacing="0" w:after="0" w:afterAutospacing="0"/>
        <w:jc w:val="both"/>
        <w:rPr>
          <w:sz w:val="20"/>
          <w:szCs w:val="20"/>
        </w:rPr>
      </w:pPr>
      <w:r>
        <w:rPr>
          <w:sz w:val="20"/>
          <w:szCs w:val="20"/>
        </w:rPr>
        <w:t>Our pr</w:t>
      </w:r>
      <w:r>
        <w:rPr>
          <w:sz w:val="20"/>
          <w:szCs w:val="20"/>
        </w:rPr>
        <w:t>oducts and services may be significantly impacted by healthcare reform initiatives and will be subject to increasing regulatory requirements, either of which could negatively impact our business in a multitude of ways. If substantive healthcare reform or a</w:t>
      </w:r>
      <w:r>
        <w:rPr>
          <w:sz w:val="20"/>
          <w:szCs w:val="20"/>
        </w:rPr>
        <w:t>pplicable regulatory requirements are adopted, we may have to change or adapt our products and services to comply. Reform or changing regulatory requirements may also render our products or services obsolete or may block us from accomplishing our work or f</w:t>
      </w:r>
      <w:r>
        <w:rPr>
          <w:sz w:val="20"/>
          <w:szCs w:val="20"/>
        </w:rPr>
        <w:t>rom developing new products or services. This may in turn impose additional costs upon us to adapt to the new operating environment or to further develop or modify our products and services. Such reforms may also make introduction of new products and servi</w:t>
      </w:r>
      <w:r>
        <w:rPr>
          <w:sz w:val="20"/>
          <w:szCs w:val="20"/>
        </w:rPr>
        <w:t>ce more costly or more time-consuming than we currently anticipate. These changes may also prevent our introduction of new products and services or make the continuation or maintenance of our existing products and services unprofitable or impossible.</w:t>
      </w:r>
    </w:p>
    <w:p w14:paraId="4F9FFEA5" w14:textId="77777777" w:rsidR="00000000" w:rsidRDefault="001826C1">
      <w:pPr>
        <w:pStyle w:val="a3"/>
        <w:spacing w:before="0" w:beforeAutospacing="0" w:after="0" w:afterAutospacing="0"/>
        <w:jc w:val="both"/>
        <w:rPr>
          <w:sz w:val="20"/>
          <w:szCs w:val="20"/>
        </w:rPr>
      </w:pPr>
      <w:r>
        <w:rPr>
          <w:sz w:val="20"/>
          <w:szCs w:val="20"/>
        </w:rPr>
        <w:t> </w:t>
      </w:r>
    </w:p>
    <w:p w14:paraId="47F8D549" w14:textId="77777777" w:rsidR="00000000" w:rsidRDefault="001826C1">
      <w:pPr>
        <w:pStyle w:val="a3"/>
        <w:spacing w:before="0" w:beforeAutospacing="0" w:after="0" w:afterAutospacing="0"/>
        <w:jc w:val="both"/>
        <w:rPr>
          <w:sz w:val="20"/>
          <w:szCs w:val="20"/>
        </w:rPr>
      </w:pPr>
      <w:r>
        <w:rPr>
          <w:b/>
          <w:bCs/>
          <w:i/>
          <w:iCs/>
          <w:sz w:val="20"/>
          <w:szCs w:val="20"/>
        </w:rPr>
        <w:t>Add</w:t>
      </w:r>
      <w:r>
        <w:rPr>
          <w:b/>
          <w:bCs/>
          <w:i/>
          <w:iCs/>
          <w:sz w:val="20"/>
          <w:szCs w:val="20"/>
        </w:rPr>
        <w:t>itional regulation of the disclosure of medical information outside the United States may adversely affect our operations and may increase our costs.</w:t>
      </w:r>
    </w:p>
    <w:p w14:paraId="301B2717" w14:textId="77777777" w:rsidR="00000000" w:rsidRDefault="001826C1">
      <w:pPr>
        <w:pStyle w:val="a3"/>
        <w:spacing w:before="0" w:beforeAutospacing="0" w:after="0" w:afterAutospacing="0"/>
        <w:jc w:val="both"/>
        <w:rPr>
          <w:sz w:val="20"/>
          <w:szCs w:val="20"/>
        </w:rPr>
      </w:pPr>
      <w:r>
        <w:rPr>
          <w:sz w:val="20"/>
          <w:szCs w:val="20"/>
        </w:rPr>
        <w:t> </w:t>
      </w:r>
    </w:p>
    <w:p w14:paraId="1CB76178" w14:textId="77777777" w:rsidR="00000000" w:rsidRDefault="001826C1">
      <w:pPr>
        <w:pStyle w:val="a3"/>
        <w:spacing w:before="0" w:beforeAutospacing="0" w:after="0" w:afterAutospacing="0"/>
        <w:jc w:val="both"/>
        <w:rPr>
          <w:sz w:val="20"/>
          <w:szCs w:val="20"/>
        </w:rPr>
      </w:pPr>
      <w:r>
        <w:rPr>
          <w:sz w:val="20"/>
          <w:szCs w:val="20"/>
        </w:rPr>
        <w:t xml:space="preserve">Federal </w:t>
      </w:r>
      <w:r>
        <w:rPr>
          <w:sz w:val="20"/>
          <w:szCs w:val="20"/>
        </w:rPr>
        <w:t>or state governmental authorities may impose additional data security standards or additional privacy or other restrictions on the collection, use, transmission, and other disclosures of medical information. Legislation has been proposed at various times a</w:t>
      </w:r>
      <w:r>
        <w:rPr>
          <w:sz w:val="20"/>
          <w:szCs w:val="20"/>
        </w:rPr>
        <w:t>t both the federal and the state level that would limit, forbid, or regulate the use or transmission of medical information outside of the United States. Such legislation, if adopted, may render our use of our servers in offshore offices for work related t</w:t>
      </w:r>
      <w:r>
        <w:rPr>
          <w:sz w:val="20"/>
          <w:szCs w:val="20"/>
        </w:rPr>
        <w:t>o such data impracticable or substantially more expensive. Alternative processing of such information within the United States may involve substantial delay in implementation and increased cost.</w:t>
      </w:r>
    </w:p>
    <w:p w14:paraId="4222F057"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4A4C4C7" w14:textId="77777777">
        <w:trPr>
          <w:divId w:val="1026713748"/>
        </w:trPr>
        <w:tc>
          <w:tcPr>
            <w:tcW w:w="5000" w:type="pct"/>
            <w:hideMark/>
          </w:tcPr>
          <w:p w14:paraId="516B18D7"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60E23B6D" w14:textId="77777777">
        <w:tc>
          <w:tcPr>
            <w:tcW w:w="5000" w:type="pct"/>
            <w:hideMark/>
          </w:tcPr>
          <w:p w14:paraId="101DC383" w14:textId="77777777" w:rsidR="00000000" w:rsidRDefault="001826C1">
            <w:pPr>
              <w:jc w:val="center"/>
              <w:rPr>
                <w:rFonts w:eastAsia="Times New Roman"/>
                <w:sz w:val="20"/>
                <w:szCs w:val="20"/>
              </w:rPr>
            </w:pPr>
            <w:r>
              <w:rPr>
                <w:rFonts w:eastAsia="Times New Roman"/>
                <w:sz w:val="20"/>
                <w:szCs w:val="20"/>
              </w:rPr>
              <w:t> </w:t>
            </w:r>
          </w:p>
        </w:tc>
      </w:tr>
    </w:tbl>
    <w:p w14:paraId="620E9F56" w14:textId="77777777" w:rsidR="00000000" w:rsidRDefault="001826C1">
      <w:pPr>
        <w:pStyle w:val="a3"/>
        <w:spacing w:before="0" w:beforeAutospacing="0" w:after="0" w:afterAutospacing="0"/>
        <w:rPr>
          <w:sz w:val="20"/>
          <w:szCs w:val="20"/>
        </w:rPr>
      </w:pPr>
      <w:r>
        <w:rPr>
          <w:b/>
          <w:bCs/>
          <w:i/>
          <w:iCs/>
          <w:sz w:val="20"/>
          <w:szCs w:val="20"/>
        </w:rPr>
        <w:t> </w:t>
      </w:r>
    </w:p>
    <w:p w14:paraId="66037ECE" w14:textId="77777777" w:rsidR="00000000" w:rsidRDefault="001826C1">
      <w:pPr>
        <w:pStyle w:val="a3"/>
        <w:spacing w:before="0" w:beforeAutospacing="0" w:after="0" w:afterAutospacing="0"/>
        <w:jc w:val="both"/>
        <w:rPr>
          <w:sz w:val="20"/>
          <w:szCs w:val="20"/>
        </w:rPr>
      </w:pPr>
      <w:r>
        <w:rPr>
          <w:b/>
          <w:bCs/>
          <w:i/>
          <w:iCs/>
          <w:sz w:val="20"/>
          <w:szCs w:val="20"/>
        </w:rPr>
        <w:t>Our services present the potential for embezzleme</w:t>
      </w:r>
      <w:r>
        <w:rPr>
          <w:b/>
          <w:bCs/>
          <w:i/>
          <w:iCs/>
          <w:sz w:val="20"/>
          <w:szCs w:val="20"/>
        </w:rPr>
        <w:t>nt, identity theft, or other similar illegal behavior by our employees.</w:t>
      </w:r>
    </w:p>
    <w:p w14:paraId="2F249980" w14:textId="77777777" w:rsidR="00000000" w:rsidRDefault="001826C1">
      <w:pPr>
        <w:pStyle w:val="a3"/>
        <w:spacing w:before="0" w:beforeAutospacing="0" w:after="0" w:afterAutospacing="0"/>
        <w:jc w:val="both"/>
        <w:rPr>
          <w:sz w:val="20"/>
          <w:szCs w:val="20"/>
        </w:rPr>
      </w:pPr>
      <w:r>
        <w:rPr>
          <w:sz w:val="20"/>
          <w:szCs w:val="20"/>
        </w:rPr>
        <w:t> </w:t>
      </w:r>
    </w:p>
    <w:p w14:paraId="2A219639" w14:textId="77777777" w:rsidR="00000000" w:rsidRDefault="001826C1">
      <w:pPr>
        <w:pStyle w:val="a3"/>
        <w:spacing w:before="0" w:beforeAutospacing="0" w:after="0" w:afterAutospacing="0"/>
        <w:jc w:val="both"/>
        <w:rPr>
          <w:sz w:val="20"/>
          <w:szCs w:val="20"/>
        </w:rPr>
      </w:pPr>
      <w:r>
        <w:rPr>
          <w:sz w:val="20"/>
          <w:szCs w:val="20"/>
        </w:rPr>
        <w:t>Among other things, our services from time to time involve handling mail from payers and payments from patients for our customers, and this mail frequently includes original checks a</w:t>
      </w:r>
      <w:r>
        <w:rPr>
          <w:sz w:val="20"/>
          <w:szCs w:val="20"/>
        </w:rPr>
        <w:t xml:space="preserve">nd credit card information and occasionally includes currency. Where requested, we deposit payments and process credit card transactions from patients on behalf of customers and then forward these payments to the customers. Even in those cases in which we </w:t>
      </w:r>
      <w:r>
        <w:rPr>
          <w:sz w:val="20"/>
          <w:szCs w:val="20"/>
        </w:rPr>
        <w:t>do not handle original documents or mail, our services also involve the use and disclosure of personal and business information that could be used to impersonate third parties or otherwise gain access to their data or funds. The manner in which we store an</w:t>
      </w:r>
      <w:r>
        <w:rPr>
          <w:sz w:val="20"/>
          <w:szCs w:val="20"/>
        </w:rPr>
        <w:t>d use certain financial information is governed by various federal and state laws. If any of our employees takes, converts, or misuses such funds, documents, or data, we could be liable for damages, subject to regulatory actions and penalties, and our busi</w:t>
      </w:r>
      <w:r>
        <w:rPr>
          <w:sz w:val="20"/>
          <w:szCs w:val="20"/>
        </w:rPr>
        <w:t>ness reputation could be damaged or destroyed. In addition, we could be perceived to have facilitated or participated in illegal misappropriation of funds, documents, or data and therefore be subject to civil or criminal liability.</w:t>
      </w:r>
    </w:p>
    <w:p w14:paraId="658CD090" w14:textId="77777777" w:rsidR="00000000" w:rsidRDefault="001826C1">
      <w:pPr>
        <w:pStyle w:val="a3"/>
        <w:spacing w:before="0" w:beforeAutospacing="0" w:after="0" w:afterAutospacing="0"/>
        <w:jc w:val="both"/>
        <w:rPr>
          <w:sz w:val="20"/>
          <w:szCs w:val="20"/>
        </w:rPr>
      </w:pPr>
      <w:r>
        <w:rPr>
          <w:sz w:val="20"/>
          <w:szCs w:val="20"/>
        </w:rPr>
        <w:t> </w:t>
      </w:r>
    </w:p>
    <w:p w14:paraId="662A0591" w14:textId="77777777" w:rsidR="00000000" w:rsidRDefault="001826C1">
      <w:pPr>
        <w:pStyle w:val="a3"/>
        <w:spacing w:before="0" w:beforeAutospacing="0" w:after="0" w:afterAutospacing="0"/>
        <w:jc w:val="both"/>
        <w:rPr>
          <w:sz w:val="20"/>
          <w:szCs w:val="20"/>
        </w:rPr>
      </w:pPr>
      <w:r>
        <w:rPr>
          <w:b/>
          <w:bCs/>
          <w:sz w:val="20"/>
          <w:szCs w:val="20"/>
        </w:rPr>
        <w:t>Risks Related to Owner</w:t>
      </w:r>
      <w:r>
        <w:rPr>
          <w:b/>
          <w:bCs/>
          <w:sz w:val="20"/>
          <w:szCs w:val="20"/>
        </w:rPr>
        <w:t>ship of Shares of Our Common Stock</w:t>
      </w:r>
    </w:p>
    <w:p w14:paraId="75248309" w14:textId="77777777" w:rsidR="00000000" w:rsidRDefault="001826C1">
      <w:pPr>
        <w:pStyle w:val="a3"/>
        <w:spacing w:before="0" w:beforeAutospacing="0" w:after="0" w:afterAutospacing="0"/>
        <w:jc w:val="both"/>
        <w:rPr>
          <w:sz w:val="20"/>
          <w:szCs w:val="20"/>
        </w:rPr>
      </w:pPr>
      <w:r>
        <w:rPr>
          <w:b/>
          <w:bCs/>
          <w:sz w:val="20"/>
          <w:szCs w:val="20"/>
        </w:rPr>
        <w:t> </w:t>
      </w:r>
    </w:p>
    <w:p w14:paraId="14C3D7AC" w14:textId="77777777" w:rsidR="00000000" w:rsidRDefault="001826C1">
      <w:pPr>
        <w:pStyle w:val="a3"/>
        <w:spacing w:before="0" w:beforeAutospacing="0" w:after="0" w:afterAutospacing="0"/>
        <w:jc w:val="both"/>
        <w:rPr>
          <w:sz w:val="20"/>
          <w:szCs w:val="20"/>
        </w:rPr>
      </w:pPr>
      <w:r>
        <w:rPr>
          <w:b/>
          <w:bCs/>
          <w:i/>
          <w:iCs/>
          <w:sz w:val="20"/>
          <w:szCs w:val="20"/>
        </w:rPr>
        <w:t>Our revenues, operating results and cash flows may fluctuate in future periods and we may fail to meet investor expectations, which may cause the price of our common stock to decline.</w:t>
      </w:r>
    </w:p>
    <w:p w14:paraId="3835AE70" w14:textId="77777777" w:rsidR="00000000" w:rsidRDefault="001826C1">
      <w:pPr>
        <w:pStyle w:val="a3"/>
        <w:spacing w:before="0" w:beforeAutospacing="0" w:after="0" w:afterAutospacing="0"/>
        <w:jc w:val="both"/>
        <w:rPr>
          <w:sz w:val="20"/>
          <w:szCs w:val="20"/>
        </w:rPr>
      </w:pPr>
      <w:r>
        <w:rPr>
          <w:sz w:val="20"/>
          <w:szCs w:val="20"/>
        </w:rPr>
        <w:t> </w:t>
      </w:r>
    </w:p>
    <w:p w14:paraId="7E71C711" w14:textId="77777777" w:rsidR="00000000" w:rsidRDefault="001826C1">
      <w:pPr>
        <w:pStyle w:val="a3"/>
        <w:spacing w:before="0" w:beforeAutospacing="0" w:after="0" w:afterAutospacing="0"/>
        <w:jc w:val="both"/>
        <w:rPr>
          <w:sz w:val="20"/>
          <w:szCs w:val="20"/>
        </w:rPr>
      </w:pPr>
      <w:r>
        <w:rPr>
          <w:sz w:val="20"/>
          <w:szCs w:val="20"/>
        </w:rPr>
        <w:t>Variations in our quarterly and y</w:t>
      </w:r>
      <w:r>
        <w:rPr>
          <w:sz w:val="20"/>
          <w:szCs w:val="20"/>
        </w:rPr>
        <w:t>ear-end operating results are difficult to predict and may fluctuate significantly from period to period. If our sales or operating results fall below the expectations of investors or securities analysts, the price of our common stock could decline substan</w:t>
      </w:r>
      <w:r>
        <w:rPr>
          <w:sz w:val="20"/>
          <w:szCs w:val="20"/>
        </w:rPr>
        <w:t>tially. Specific factors that may cause fluctuations in our operating results include:</w:t>
      </w:r>
    </w:p>
    <w:p w14:paraId="6DEEC2D8"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0BA9AAC7" w14:textId="77777777">
        <w:tc>
          <w:tcPr>
            <w:tcW w:w="360" w:type="dxa"/>
            <w:hideMark/>
          </w:tcPr>
          <w:p w14:paraId="7BB5D96B" w14:textId="77777777" w:rsidR="00000000" w:rsidRDefault="001826C1">
            <w:pPr>
              <w:rPr>
                <w:rFonts w:eastAsia="Times New Roman"/>
                <w:sz w:val="20"/>
                <w:szCs w:val="20"/>
              </w:rPr>
            </w:pPr>
            <w:r>
              <w:rPr>
                <w:rFonts w:eastAsia="Times New Roman"/>
                <w:sz w:val="20"/>
                <w:szCs w:val="20"/>
              </w:rPr>
              <w:t>●</w:t>
            </w:r>
          </w:p>
        </w:tc>
        <w:tc>
          <w:tcPr>
            <w:tcW w:w="0" w:type="auto"/>
            <w:hideMark/>
          </w:tcPr>
          <w:p w14:paraId="0A62CEF1" w14:textId="77777777" w:rsidR="00000000" w:rsidRDefault="001826C1">
            <w:pPr>
              <w:rPr>
                <w:rFonts w:eastAsia="Times New Roman"/>
                <w:sz w:val="20"/>
                <w:szCs w:val="20"/>
              </w:rPr>
            </w:pPr>
            <w:r>
              <w:rPr>
                <w:rFonts w:eastAsia="Times New Roman"/>
                <w:sz w:val="20"/>
                <w:szCs w:val="20"/>
              </w:rPr>
              <w:t>demand and pricing for our products and services;</w:t>
            </w:r>
          </w:p>
        </w:tc>
      </w:tr>
      <w:tr w:rsidR="00000000" w14:paraId="3EA7A0E0" w14:textId="77777777">
        <w:tc>
          <w:tcPr>
            <w:tcW w:w="0" w:type="auto"/>
            <w:hideMark/>
          </w:tcPr>
          <w:p w14:paraId="070942C1" w14:textId="77777777" w:rsidR="00000000" w:rsidRDefault="001826C1">
            <w:pPr>
              <w:rPr>
                <w:rFonts w:eastAsia="Times New Roman"/>
                <w:sz w:val="20"/>
                <w:szCs w:val="20"/>
              </w:rPr>
            </w:pPr>
            <w:r>
              <w:rPr>
                <w:rFonts w:eastAsia="Times New Roman"/>
                <w:sz w:val="20"/>
                <w:szCs w:val="20"/>
              </w:rPr>
              <w:t> </w:t>
            </w:r>
          </w:p>
        </w:tc>
        <w:tc>
          <w:tcPr>
            <w:tcW w:w="0" w:type="auto"/>
            <w:hideMark/>
          </w:tcPr>
          <w:p w14:paraId="09528AE8" w14:textId="77777777" w:rsidR="00000000" w:rsidRDefault="001826C1">
            <w:pPr>
              <w:rPr>
                <w:rFonts w:eastAsia="Times New Roman"/>
                <w:sz w:val="20"/>
                <w:szCs w:val="20"/>
              </w:rPr>
            </w:pPr>
            <w:r>
              <w:rPr>
                <w:rFonts w:eastAsia="Times New Roman"/>
                <w:sz w:val="20"/>
                <w:szCs w:val="20"/>
              </w:rPr>
              <w:t> </w:t>
            </w:r>
          </w:p>
        </w:tc>
      </w:tr>
      <w:tr w:rsidR="00000000" w14:paraId="0BCA8FA8" w14:textId="77777777">
        <w:tc>
          <w:tcPr>
            <w:tcW w:w="0" w:type="auto"/>
            <w:hideMark/>
          </w:tcPr>
          <w:p w14:paraId="3FD38CDD" w14:textId="77777777" w:rsidR="00000000" w:rsidRDefault="001826C1">
            <w:pPr>
              <w:rPr>
                <w:rFonts w:eastAsia="Times New Roman"/>
                <w:sz w:val="20"/>
                <w:szCs w:val="20"/>
              </w:rPr>
            </w:pPr>
            <w:r>
              <w:rPr>
                <w:rFonts w:eastAsia="Times New Roman"/>
                <w:sz w:val="20"/>
                <w:szCs w:val="20"/>
              </w:rPr>
              <w:t>●</w:t>
            </w:r>
          </w:p>
        </w:tc>
        <w:tc>
          <w:tcPr>
            <w:tcW w:w="0" w:type="auto"/>
            <w:hideMark/>
          </w:tcPr>
          <w:p w14:paraId="31CFCBCF" w14:textId="77777777" w:rsidR="00000000" w:rsidRDefault="001826C1">
            <w:pPr>
              <w:rPr>
                <w:rFonts w:eastAsia="Times New Roman"/>
                <w:sz w:val="20"/>
                <w:szCs w:val="20"/>
              </w:rPr>
            </w:pPr>
            <w:r>
              <w:rPr>
                <w:rFonts w:eastAsia="Times New Roman"/>
                <w:sz w:val="20"/>
                <w:szCs w:val="20"/>
              </w:rPr>
              <w:t>government or commercial healthcare reimbursement policies;</w:t>
            </w:r>
          </w:p>
        </w:tc>
      </w:tr>
      <w:tr w:rsidR="00000000" w14:paraId="1D9BFAF1" w14:textId="77777777">
        <w:tc>
          <w:tcPr>
            <w:tcW w:w="0" w:type="auto"/>
            <w:hideMark/>
          </w:tcPr>
          <w:p w14:paraId="74F5D022" w14:textId="77777777" w:rsidR="00000000" w:rsidRDefault="001826C1">
            <w:pPr>
              <w:rPr>
                <w:rFonts w:eastAsia="Times New Roman"/>
                <w:sz w:val="20"/>
                <w:szCs w:val="20"/>
              </w:rPr>
            </w:pPr>
            <w:r>
              <w:rPr>
                <w:rFonts w:eastAsia="Times New Roman"/>
                <w:sz w:val="20"/>
                <w:szCs w:val="20"/>
              </w:rPr>
              <w:t> </w:t>
            </w:r>
          </w:p>
        </w:tc>
        <w:tc>
          <w:tcPr>
            <w:tcW w:w="0" w:type="auto"/>
            <w:hideMark/>
          </w:tcPr>
          <w:p w14:paraId="153E99B9" w14:textId="77777777" w:rsidR="00000000" w:rsidRDefault="001826C1">
            <w:pPr>
              <w:rPr>
                <w:rFonts w:eastAsia="Times New Roman"/>
                <w:sz w:val="20"/>
                <w:szCs w:val="20"/>
              </w:rPr>
            </w:pPr>
            <w:r>
              <w:rPr>
                <w:rFonts w:eastAsia="Times New Roman"/>
                <w:sz w:val="20"/>
                <w:szCs w:val="20"/>
              </w:rPr>
              <w:t> </w:t>
            </w:r>
          </w:p>
        </w:tc>
      </w:tr>
      <w:tr w:rsidR="00000000" w14:paraId="39F2C9C5" w14:textId="77777777">
        <w:tc>
          <w:tcPr>
            <w:tcW w:w="0" w:type="auto"/>
            <w:hideMark/>
          </w:tcPr>
          <w:p w14:paraId="03F6B3E4" w14:textId="77777777" w:rsidR="00000000" w:rsidRDefault="001826C1">
            <w:pPr>
              <w:rPr>
                <w:rFonts w:eastAsia="Times New Roman"/>
                <w:sz w:val="20"/>
                <w:szCs w:val="20"/>
              </w:rPr>
            </w:pPr>
            <w:r>
              <w:rPr>
                <w:rFonts w:eastAsia="Times New Roman"/>
                <w:sz w:val="20"/>
                <w:szCs w:val="20"/>
              </w:rPr>
              <w:t>●</w:t>
            </w:r>
          </w:p>
        </w:tc>
        <w:tc>
          <w:tcPr>
            <w:tcW w:w="0" w:type="auto"/>
            <w:hideMark/>
          </w:tcPr>
          <w:p w14:paraId="2A5FD81E" w14:textId="77777777" w:rsidR="00000000" w:rsidRDefault="001826C1">
            <w:pPr>
              <w:rPr>
                <w:rFonts w:eastAsia="Times New Roman"/>
                <w:sz w:val="20"/>
                <w:szCs w:val="20"/>
              </w:rPr>
            </w:pPr>
            <w:r>
              <w:rPr>
                <w:rFonts w:eastAsia="Times New Roman"/>
                <w:sz w:val="20"/>
                <w:szCs w:val="20"/>
              </w:rPr>
              <w:t xml:space="preserve">physician </w:t>
            </w:r>
            <w:r>
              <w:rPr>
                <w:rFonts w:eastAsia="Times New Roman"/>
                <w:sz w:val="20"/>
                <w:szCs w:val="20"/>
              </w:rPr>
              <w:t>and patient acceptance of any of our current or future products;</w:t>
            </w:r>
          </w:p>
        </w:tc>
      </w:tr>
      <w:tr w:rsidR="00000000" w14:paraId="600CD46F" w14:textId="77777777">
        <w:tc>
          <w:tcPr>
            <w:tcW w:w="0" w:type="auto"/>
            <w:hideMark/>
          </w:tcPr>
          <w:p w14:paraId="3233605C" w14:textId="77777777" w:rsidR="00000000" w:rsidRDefault="001826C1">
            <w:pPr>
              <w:rPr>
                <w:rFonts w:eastAsia="Times New Roman"/>
                <w:sz w:val="20"/>
                <w:szCs w:val="20"/>
              </w:rPr>
            </w:pPr>
            <w:r>
              <w:rPr>
                <w:rFonts w:eastAsia="Times New Roman"/>
                <w:sz w:val="20"/>
                <w:szCs w:val="20"/>
              </w:rPr>
              <w:t> </w:t>
            </w:r>
          </w:p>
        </w:tc>
        <w:tc>
          <w:tcPr>
            <w:tcW w:w="0" w:type="auto"/>
            <w:hideMark/>
          </w:tcPr>
          <w:p w14:paraId="7804826F" w14:textId="77777777" w:rsidR="00000000" w:rsidRDefault="001826C1">
            <w:pPr>
              <w:rPr>
                <w:rFonts w:eastAsia="Times New Roman"/>
                <w:sz w:val="20"/>
                <w:szCs w:val="20"/>
              </w:rPr>
            </w:pPr>
            <w:r>
              <w:rPr>
                <w:rFonts w:eastAsia="Times New Roman"/>
                <w:sz w:val="20"/>
                <w:szCs w:val="20"/>
              </w:rPr>
              <w:t> </w:t>
            </w:r>
          </w:p>
        </w:tc>
      </w:tr>
      <w:tr w:rsidR="00000000" w14:paraId="6410963A" w14:textId="77777777">
        <w:tc>
          <w:tcPr>
            <w:tcW w:w="0" w:type="auto"/>
            <w:hideMark/>
          </w:tcPr>
          <w:p w14:paraId="673E86C1" w14:textId="77777777" w:rsidR="00000000" w:rsidRDefault="001826C1">
            <w:pPr>
              <w:rPr>
                <w:rFonts w:eastAsia="Times New Roman"/>
                <w:sz w:val="20"/>
                <w:szCs w:val="20"/>
              </w:rPr>
            </w:pPr>
            <w:r>
              <w:rPr>
                <w:rFonts w:eastAsia="Times New Roman"/>
                <w:sz w:val="20"/>
                <w:szCs w:val="20"/>
              </w:rPr>
              <w:t>●</w:t>
            </w:r>
          </w:p>
        </w:tc>
        <w:tc>
          <w:tcPr>
            <w:tcW w:w="0" w:type="auto"/>
            <w:hideMark/>
          </w:tcPr>
          <w:p w14:paraId="64C4918C" w14:textId="77777777" w:rsidR="00000000" w:rsidRDefault="001826C1">
            <w:pPr>
              <w:rPr>
                <w:rFonts w:eastAsia="Times New Roman"/>
                <w:sz w:val="20"/>
                <w:szCs w:val="20"/>
              </w:rPr>
            </w:pPr>
            <w:r>
              <w:rPr>
                <w:rFonts w:eastAsia="Times New Roman"/>
                <w:sz w:val="20"/>
                <w:szCs w:val="20"/>
              </w:rPr>
              <w:t>introduction of competing products;</w:t>
            </w:r>
          </w:p>
        </w:tc>
      </w:tr>
      <w:tr w:rsidR="00000000" w14:paraId="020A73BC" w14:textId="77777777">
        <w:tc>
          <w:tcPr>
            <w:tcW w:w="0" w:type="auto"/>
            <w:hideMark/>
          </w:tcPr>
          <w:p w14:paraId="6B601E43" w14:textId="77777777" w:rsidR="00000000" w:rsidRDefault="001826C1">
            <w:pPr>
              <w:rPr>
                <w:rFonts w:eastAsia="Times New Roman"/>
                <w:sz w:val="20"/>
                <w:szCs w:val="20"/>
              </w:rPr>
            </w:pPr>
            <w:r>
              <w:rPr>
                <w:rFonts w:eastAsia="Times New Roman"/>
                <w:sz w:val="20"/>
                <w:szCs w:val="20"/>
              </w:rPr>
              <w:t> </w:t>
            </w:r>
          </w:p>
        </w:tc>
        <w:tc>
          <w:tcPr>
            <w:tcW w:w="0" w:type="auto"/>
            <w:hideMark/>
          </w:tcPr>
          <w:p w14:paraId="6175DF75" w14:textId="77777777" w:rsidR="00000000" w:rsidRDefault="001826C1">
            <w:pPr>
              <w:rPr>
                <w:rFonts w:eastAsia="Times New Roman"/>
                <w:sz w:val="20"/>
                <w:szCs w:val="20"/>
              </w:rPr>
            </w:pPr>
            <w:r>
              <w:rPr>
                <w:rFonts w:eastAsia="Times New Roman"/>
                <w:sz w:val="20"/>
                <w:szCs w:val="20"/>
              </w:rPr>
              <w:t> </w:t>
            </w:r>
          </w:p>
        </w:tc>
      </w:tr>
      <w:tr w:rsidR="00000000" w14:paraId="20523441" w14:textId="77777777">
        <w:tc>
          <w:tcPr>
            <w:tcW w:w="0" w:type="auto"/>
            <w:hideMark/>
          </w:tcPr>
          <w:p w14:paraId="660699CF" w14:textId="77777777" w:rsidR="00000000" w:rsidRDefault="001826C1">
            <w:pPr>
              <w:rPr>
                <w:rFonts w:eastAsia="Times New Roman"/>
                <w:sz w:val="20"/>
                <w:szCs w:val="20"/>
              </w:rPr>
            </w:pPr>
            <w:r>
              <w:rPr>
                <w:rFonts w:eastAsia="Times New Roman"/>
                <w:sz w:val="20"/>
                <w:szCs w:val="20"/>
              </w:rPr>
              <w:t>●</w:t>
            </w:r>
          </w:p>
        </w:tc>
        <w:tc>
          <w:tcPr>
            <w:tcW w:w="0" w:type="auto"/>
            <w:hideMark/>
          </w:tcPr>
          <w:p w14:paraId="264781FB" w14:textId="77777777" w:rsidR="00000000" w:rsidRDefault="001826C1">
            <w:pPr>
              <w:rPr>
                <w:rFonts w:eastAsia="Times New Roman"/>
                <w:sz w:val="20"/>
                <w:szCs w:val="20"/>
              </w:rPr>
            </w:pPr>
            <w:r>
              <w:rPr>
                <w:rFonts w:eastAsia="Times New Roman"/>
                <w:sz w:val="20"/>
                <w:szCs w:val="20"/>
              </w:rPr>
              <w:t>our operating expenses which fluctuate due to growth of our business;</w:t>
            </w:r>
          </w:p>
        </w:tc>
      </w:tr>
      <w:tr w:rsidR="00000000" w14:paraId="5BFAB9BE" w14:textId="77777777">
        <w:tc>
          <w:tcPr>
            <w:tcW w:w="0" w:type="auto"/>
            <w:hideMark/>
          </w:tcPr>
          <w:p w14:paraId="0CAB72B0" w14:textId="77777777" w:rsidR="00000000" w:rsidRDefault="001826C1">
            <w:pPr>
              <w:rPr>
                <w:rFonts w:eastAsia="Times New Roman"/>
                <w:sz w:val="20"/>
                <w:szCs w:val="20"/>
              </w:rPr>
            </w:pPr>
            <w:r>
              <w:rPr>
                <w:rFonts w:eastAsia="Times New Roman"/>
                <w:sz w:val="20"/>
                <w:szCs w:val="20"/>
              </w:rPr>
              <w:t> </w:t>
            </w:r>
          </w:p>
        </w:tc>
        <w:tc>
          <w:tcPr>
            <w:tcW w:w="0" w:type="auto"/>
            <w:hideMark/>
          </w:tcPr>
          <w:p w14:paraId="285B91F2" w14:textId="77777777" w:rsidR="00000000" w:rsidRDefault="001826C1">
            <w:pPr>
              <w:rPr>
                <w:rFonts w:eastAsia="Times New Roman"/>
                <w:sz w:val="20"/>
                <w:szCs w:val="20"/>
              </w:rPr>
            </w:pPr>
            <w:r>
              <w:rPr>
                <w:rFonts w:eastAsia="Times New Roman"/>
                <w:sz w:val="20"/>
                <w:szCs w:val="20"/>
              </w:rPr>
              <w:t> </w:t>
            </w:r>
          </w:p>
        </w:tc>
      </w:tr>
      <w:tr w:rsidR="00000000" w14:paraId="4CE1DB57" w14:textId="77777777">
        <w:tc>
          <w:tcPr>
            <w:tcW w:w="0" w:type="auto"/>
            <w:hideMark/>
          </w:tcPr>
          <w:p w14:paraId="3CB49D25" w14:textId="77777777" w:rsidR="00000000" w:rsidRDefault="001826C1">
            <w:pPr>
              <w:rPr>
                <w:rFonts w:eastAsia="Times New Roman"/>
                <w:sz w:val="20"/>
                <w:szCs w:val="20"/>
              </w:rPr>
            </w:pPr>
            <w:r>
              <w:rPr>
                <w:rFonts w:eastAsia="Times New Roman"/>
                <w:sz w:val="20"/>
                <w:szCs w:val="20"/>
              </w:rPr>
              <w:t>●</w:t>
            </w:r>
          </w:p>
        </w:tc>
        <w:tc>
          <w:tcPr>
            <w:tcW w:w="0" w:type="auto"/>
            <w:hideMark/>
          </w:tcPr>
          <w:p w14:paraId="77FD563A" w14:textId="77777777" w:rsidR="00000000" w:rsidRDefault="001826C1">
            <w:pPr>
              <w:rPr>
                <w:rFonts w:eastAsia="Times New Roman"/>
                <w:sz w:val="20"/>
                <w:szCs w:val="20"/>
              </w:rPr>
            </w:pPr>
            <w:r>
              <w:rPr>
                <w:rFonts w:eastAsia="Times New Roman"/>
                <w:sz w:val="20"/>
                <w:szCs w:val="20"/>
              </w:rPr>
              <w:t xml:space="preserve">timing </w:t>
            </w:r>
            <w:r>
              <w:rPr>
                <w:rFonts w:eastAsia="Times New Roman"/>
                <w:sz w:val="20"/>
                <w:szCs w:val="20"/>
              </w:rPr>
              <w:t>and size of any new product or technology acquisitions we may complete; and</w:t>
            </w:r>
          </w:p>
        </w:tc>
      </w:tr>
      <w:tr w:rsidR="00000000" w14:paraId="5932ABEC" w14:textId="77777777">
        <w:tc>
          <w:tcPr>
            <w:tcW w:w="0" w:type="auto"/>
            <w:hideMark/>
          </w:tcPr>
          <w:p w14:paraId="0FA88495" w14:textId="77777777" w:rsidR="00000000" w:rsidRDefault="001826C1">
            <w:pPr>
              <w:rPr>
                <w:rFonts w:eastAsia="Times New Roman"/>
                <w:sz w:val="20"/>
                <w:szCs w:val="20"/>
              </w:rPr>
            </w:pPr>
            <w:r>
              <w:rPr>
                <w:rFonts w:eastAsia="Times New Roman"/>
                <w:sz w:val="20"/>
                <w:szCs w:val="20"/>
              </w:rPr>
              <w:t> </w:t>
            </w:r>
          </w:p>
        </w:tc>
        <w:tc>
          <w:tcPr>
            <w:tcW w:w="0" w:type="auto"/>
            <w:hideMark/>
          </w:tcPr>
          <w:p w14:paraId="4EF2F1CA" w14:textId="77777777" w:rsidR="00000000" w:rsidRDefault="001826C1">
            <w:pPr>
              <w:rPr>
                <w:rFonts w:eastAsia="Times New Roman"/>
                <w:sz w:val="20"/>
                <w:szCs w:val="20"/>
              </w:rPr>
            </w:pPr>
            <w:r>
              <w:rPr>
                <w:rFonts w:eastAsia="Times New Roman"/>
                <w:sz w:val="20"/>
                <w:szCs w:val="20"/>
              </w:rPr>
              <w:t> </w:t>
            </w:r>
          </w:p>
        </w:tc>
      </w:tr>
      <w:tr w:rsidR="00000000" w14:paraId="3C80DFE7" w14:textId="77777777">
        <w:tc>
          <w:tcPr>
            <w:tcW w:w="0" w:type="auto"/>
            <w:hideMark/>
          </w:tcPr>
          <w:p w14:paraId="07FA58E6" w14:textId="77777777" w:rsidR="00000000" w:rsidRDefault="001826C1">
            <w:pPr>
              <w:rPr>
                <w:rFonts w:eastAsia="Times New Roman"/>
                <w:sz w:val="20"/>
                <w:szCs w:val="20"/>
              </w:rPr>
            </w:pPr>
            <w:r>
              <w:rPr>
                <w:rFonts w:eastAsia="Times New Roman"/>
                <w:sz w:val="20"/>
                <w:szCs w:val="20"/>
              </w:rPr>
              <w:t>●</w:t>
            </w:r>
          </w:p>
        </w:tc>
        <w:tc>
          <w:tcPr>
            <w:tcW w:w="0" w:type="auto"/>
            <w:hideMark/>
          </w:tcPr>
          <w:p w14:paraId="2A313311" w14:textId="77777777" w:rsidR="00000000" w:rsidRDefault="001826C1">
            <w:pPr>
              <w:rPr>
                <w:rFonts w:eastAsia="Times New Roman"/>
                <w:sz w:val="20"/>
                <w:szCs w:val="20"/>
              </w:rPr>
            </w:pPr>
            <w:r>
              <w:rPr>
                <w:rFonts w:eastAsia="Times New Roman"/>
                <w:sz w:val="20"/>
                <w:szCs w:val="20"/>
              </w:rPr>
              <w:t>variable sales cycle and implementation periods for our products and services.</w:t>
            </w:r>
          </w:p>
        </w:tc>
      </w:tr>
    </w:tbl>
    <w:p w14:paraId="371A7AC2" w14:textId="77777777" w:rsidR="00000000" w:rsidRDefault="001826C1">
      <w:pPr>
        <w:pStyle w:val="a3"/>
        <w:spacing w:before="0" w:beforeAutospacing="0" w:after="0" w:afterAutospacing="0"/>
        <w:jc w:val="both"/>
        <w:rPr>
          <w:sz w:val="20"/>
          <w:szCs w:val="20"/>
        </w:rPr>
      </w:pPr>
      <w:r>
        <w:rPr>
          <w:sz w:val="20"/>
          <w:szCs w:val="20"/>
        </w:rPr>
        <w:t> </w:t>
      </w:r>
    </w:p>
    <w:p w14:paraId="0DE43627" w14:textId="77777777" w:rsidR="00000000" w:rsidRDefault="001826C1">
      <w:pPr>
        <w:pStyle w:val="a3"/>
        <w:spacing w:before="0" w:beforeAutospacing="0" w:after="0" w:afterAutospacing="0"/>
        <w:jc w:val="both"/>
        <w:rPr>
          <w:sz w:val="20"/>
          <w:szCs w:val="20"/>
        </w:rPr>
      </w:pPr>
      <w:r>
        <w:rPr>
          <w:b/>
          <w:bCs/>
          <w:i/>
          <w:iCs/>
          <w:sz w:val="20"/>
          <w:szCs w:val="20"/>
        </w:rPr>
        <w:t>Future sales of shares of our common stock could depress the market price of our common st</w:t>
      </w:r>
      <w:r>
        <w:rPr>
          <w:b/>
          <w:bCs/>
          <w:i/>
          <w:iCs/>
          <w:sz w:val="20"/>
          <w:szCs w:val="20"/>
        </w:rPr>
        <w:t>ock.</w:t>
      </w:r>
    </w:p>
    <w:p w14:paraId="06FE2933" w14:textId="77777777" w:rsidR="00000000" w:rsidRDefault="001826C1">
      <w:pPr>
        <w:pStyle w:val="a3"/>
        <w:spacing w:before="0" w:beforeAutospacing="0" w:after="0" w:afterAutospacing="0"/>
        <w:jc w:val="both"/>
        <w:rPr>
          <w:sz w:val="20"/>
          <w:szCs w:val="20"/>
        </w:rPr>
      </w:pPr>
      <w:r>
        <w:rPr>
          <w:b/>
          <w:bCs/>
          <w:i/>
          <w:iCs/>
          <w:sz w:val="20"/>
          <w:szCs w:val="20"/>
        </w:rPr>
        <w:t> </w:t>
      </w:r>
    </w:p>
    <w:p w14:paraId="5F7F3163" w14:textId="77777777" w:rsidR="00000000" w:rsidRDefault="001826C1">
      <w:pPr>
        <w:pStyle w:val="a3"/>
        <w:spacing w:before="0" w:beforeAutospacing="0" w:after="0" w:afterAutospacing="0"/>
        <w:jc w:val="both"/>
        <w:rPr>
          <w:sz w:val="20"/>
          <w:szCs w:val="20"/>
        </w:rPr>
      </w:pPr>
      <w:r>
        <w:rPr>
          <w:sz w:val="20"/>
          <w:szCs w:val="20"/>
        </w:rPr>
        <w:t>Sales of a substantial number of shares of our common stock in the public market could occur at any time. If our stockholders sell, or the market perceives that our stockholders intend to sell, substantial amounts of our common stock in the public m</w:t>
      </w:r>
      <w:r>
        <w:rPr>
          <w:sz w:val="20"/>
          <w:szCs w:val="20"/>
        </w:rPr>
        <w:t>arket, the market price of our common stock could decline significantly.</w:t>
      </w:r>
    </w:p>
    <w:p w14:paraId="2D969515" w14:textId="77777777" w:rsidR="00000000" w:rsidRDefault="001826C1">
      <w:pPr>
        <w:pStyle w:val="a3"/>
        <w:spacing w:before="0" w:beforeAutospacing="0" w:after="0" w:afterAutospacing="0"/>
        <w:jc w:val="both"/>
        <w:rPr>
          <w:sz w:val="20"/>
          <w:szCs w:val="20"/>
        </w:rPr>
      </w:pPr>
      <w:r>
        <w:rPr>
          <w:sz w:val="20"/>
          <w:szCs w:val="20"/>
        </w:rPr>
        <w:t> </w:t>
      </w:r>
    </w:p>
    <w:p w14:paraId="04E2129C" w14:textId="77777777" w:rsidR="00000000" w:rsidRDefault="001826C1">
      <w:pPr>
        <w:pStyle w:val="a3"/>
        <w:spacing w:before="0" w:beforeAutospacing="0" w:after="0" w:afterAutospacing="0"/>
        <w:jc w:val="both"/>
        <w:rPr>
          <w:sz w:val="20"/>
          <w:szCs w:val="20"/>
        </w:rPr>
      </w:pPr>
      <w:r>
        <w:rPr>
          <w:b/>
          <w:bCs/>
          <w:i/>
          <w:iCs/>
          <w:sz w:val="20"/>
          <w:szCs w:val="20"/>
        </w:rPr>
        <w:t>Mahmud Haq currently controls 40.2% of our outstanding shares of common stock, which will prevent investors from influencing significant corporate decisions.</w:t>
      </w:r>
    </w:p>
    <w:p w14:paraId="6FF0A530" w14:textId="77777777" w:rsidR="00000000" w:rsidRDefault="001826C1">
      <w:pPr>
        <w:pStyle w:val="a3"/>
        <w:spacing w:before="0" w:beforeAutospacing="0" w:after="0" w:afterAutospacing="0"/>
        <w:rPr>
          <w:sz w:val="20"/>
          <w:szCs w:val="20"/>
        </w:rPr>
      </w:pPr>
      <w:r>
        <w:rPr>
          <w:sz w:val="20"/>
          <w:szCs w:val="20"/>
        </w:rPr>
        <w:t> </w:t>
      </w:r>
    </w:p>
    <w:p w14:paraId="7DFE1D51" w14:textId="77777777" w:rsidR="00000000" w:rsidRDefault="001826C1">
      <w:pPr>
        <w:pStyle w:val="a3"/>
        <w:spacing w:before="0" w:beforeAutospacing="0" w:after="0" w:afterAutospacing="0"/>
        <w:jc w:val="both"/>
        <w:rPr>
          <w:sz w:val="20"/>
          <w:szCs w:val="20"/>
        </w:rPr>
      </w:pPr>
      <w:r>
        <w:rPr>
          <w:sz w:val="20"/>
          <w:szCs w:val="20"/>
        </w:rPr>
        <w:t>Mahmud Haq, our found</w:t>
      </w:r>
      <w:r>
        <w:rPr>
          <w:sz w:val="20"/>
          <w:szCs w:val="20"/>
        </w:rPr>
        <w:t>er and Executive Chairman, beneficially owns 40.2% of our outstanding shares of common stock. As a result, Mr. Haq exercises a significant level of control over all matters requiring stockholder approval, including the election of directors, amendment of o</w:t>
      </w:r>
      <w:r>
        <w:rPr>
          <w:sz w:val="20"/>
          <w:szCs w:val="20"/>
        </w:rPr>
        <w:t>ur certificate of incorporation, and approval of significant corporate transactions. This control could have the effect of delaying or preventing a change of control of our company or changes in management, and will make the approval of certain transaction</w:t>
      </w:r>
      <w:r>
        <w:rPr>
          <w:sz w:val="20"/>
          <w:szCs w:val="20"/>
        </w:rPr>
        <w:t>s difficult or impossible without his support, which in turn could reduce the price of our common stock.</w:t>
      </w:r>
    </w:p>
    <w:p w14:paraId="18B7A86F" w14:textId="77777777" w:rsidR="00000000" w:rsidRDefault="001826C1">
      <w:pPr>
        <w:pStyle w:val="a3"/>
        <w:spacing w:before="0" w:beforeAutospacing="0" w:after="0" w:afterAutospacing="0"/>
        <w:rPr>
          <w:sz w:val="20"/>
          <w:szCs w:val="20"/>
        </w:rPr>
      </w:pPr>
      <w:r>
        <w:rPr>
          <w:sz w:val="20"/>
          <w:szCs w:val="20"/>
        </w:rPr>
        <w:t> </w:t>
      </w:r>
    </w:p>
    <w:p w14:paraId="58C5757A" w14:textId="77777777" w:rsidR="00000000" w:rsidRDefault="001826C1">
      <w:pPr>
        <w:pStyle w:val="a3"/>
        <w:spacing w:before="0" w:beforeAutospacing="0" w:after="0" w:afterAutospacing="0"/>
        <w:jc w:val="both"/>
        <w:rPr>
          <w:sz w:val="20"/>
          <w:szCs w:val="20"/>
        </w:rPr>
      </w:pPr>
      <w:r>
        <w:rPr>
          <w:b/>
          <w:bCs/>
          <w:i/>
          <w:iCs/>
          <w:sz w:val="20"/>
          <w:szCs w:val="20"/>
        </w:rPr>
        <w:t xml:space="preserve">Provisions </w:t>
      </w:r>
      <w:r>
        <w:rPr>
          <w:b/>
          <w:bCs/>
          <w:i/>
          <w:iCs/>
          <w:sz w:val="20"/>
          <w:szCs w:val="20"/>
        </w:rPr>
        <w:t>of Delaware law, of our amended and restated charter and amended and restated bylaws may make a takeover more difficult, which could cause our common stock price to decline.</w:t>
      </w:r>
    </w:p>
    <w:p w14:paraId="2A38AA47" w14:textId="77777777" w:rsidR="00000000" w:rsidRDefault="001826C1">
      <w:pPr>
        <w:pStyle w:val="a3"/>
        <w:spacing w:before="0" w:beforeAutospacing="0" w:after="0" w:afterAutospacing="0"/>
        <w:jc w:val="both"/>
        <w:rPr>
          <w:sz w:val="20"/>
          <w:szCs w:val="20"/>
        </w:rPr>
      </w:pPr>
      <w:r>
        <w:rPr>
          <w:b/>
          <w:bCs/>
          <w:i/>
          <w:iCs/>
          <w:sz w:val="20"/>
          <w:szCs w:val="20"/>
        </w:rPr>
        <w:t> </w:t>
      </w:r>
    </w:p>
    <w:p w14:paraId="5AE94147" w14:textId="77777777" w:rsidR="00000000" w:rsidRDefault="001826C1">
      <w:pPr>
        <w:pStyle w:val="a3"/>
        <w:spacing w:before="0" w:beforeAutospacing="0" w:after="0" w:afterAutospacing="0"/>
        <w:jc w:val="both"/>
        <w:rPr>
          <w:sz w:val="20"/>
          <w:szCs w:val="20"/>
        </w:rPr>
      </w:pPr>
      <w:r>
        <w:rPr>
          <w:sz w:val="20"/>
          <w:szCs w:val="20"/>
        </w:rPr>
        <w:t xml:space="preserve">Provisions in our amended and restated certificate of incorporation and amended </w:t>
      </w:r>
      <w:r>
        <w:rPr>
          <w:sz w:val="20"/>
          <w:szCs w:val="20"/>
        </w:rPr>
        <w:t>and restated bylaws and in the Delaware General Corporation Law (“DGCL”) may make it difficult and expensive for a third party to pursue a tender offer, change in control or takeover attempt, which is opposed by management and the Board of Directors. Publi</w:t>
      </w:r>
      <w:r>
        <w:rPr>
          <w:sz w:val="20"/>
          <w:szCs w:val="20"/>
        </w:rPr>
        <w:t xml:space="preserve">c stockholders who might desire to participate in such a transaction may not have an opportunity to do so. We have a staggered Board of Directors that makes it difficult for stockholders to change the composition of the Board of Directors in any one year. </w:t>
      </w:r>
      <w:r>
        <w:rPr>
          <w:sz w:val="20"/>
          <w:szCs w:val="20"/>
        </w:rPr>
        <w:t>Further, our amended and restated certificate of incorporation provides for the removal of a director only for cause upon the affirmative vote of the holders of at least 50.1% of the outstanding shares entitled to cast their vote for the election of direct</w:t>
      </w:r>
      <w:r>
        <w:rPr>
          <w:sz w:val="20"/>
          <w:szCs w:val="20"/>
        </w:rPr>
        <w:t>ors, which may discourage a third party from making a tender offer or otherwise attempting to obtain control of us. These and other anti-takeover provisions could substantially impede the ability of public stockholders to change our management and Board of</w:t>
      </w:r>
      <w:r>
        <w:rPr>
          <w:sz w:val="20"/>
          <w:szCs w:val="20"/>
        </w:rPr>
        <w:t xml:space="preserve"> Directors. Such provisions may also limit the price that investors might be willing to pay for shares of our Series A Preferred Stock in the future.</w:t>
      </w:r>
    </w:p>
    <w:p w14:paraId="417A38AE" w14:textId="77777777" w:rsidR="00000000" w:rsidRDefault="001826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986EE3A" w14:textId="77777777">
        <w:trPr>
          <w:divId w:val="1009142281"/>
        </w:trPr>
        <w:tc>
          <w:tcPr>
            <w:tcW w:w="5000" w:type="pct"/>
            <w:hideMark/>
          </w:tcPr>
          <w:p w14:paraId="08DD36AB"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6CEC95EC" w14:textId="77777777">
        <w:tc>
          <w:tcPr>
            <w:tcW w:w="5000" w:type="pct"/>
            <w:hideMark/>
          </w:tcPr>
          <w:p w14:paraId="386DF213" w14:textId="77777777" w:rsidR="00000000" w:rsidRDefault="001826C1">
            <w:pPr>
              <w:jc w:val="center"/>
              <w:rPr>
                <w:rFonts w:eastAsia="Times New Roman"/>
                <w:sz w:val="20"/>
                <w:szCs w:val="20"/>
              </w:rPr>
            </w:pPr>
            <w:r>
              <w:rPr>
                <w:rFonts w:eastAsia="Times New Roman"/>
                <w:sz w:val="20"/>
                <w:szCs w:val="20"/>
              </w:rPr>
              <w:t> </w:t>
            </w:r>
          </w:p>
        </w:tc>
      </w:tr>
    </w:tbl>
    <w:p w14:paraId="4B406277" w14:textId="77777777" w:rsidR="00000000" w:rsidRDefault="001826C1">
      <w:pPr>
        <w:pStyle w:val="a3"/>
        <w:spacing w:before="0" w:beforeAutospacing="0" w:after="0" w:afterAutospacing="0"/>
        <w:rPr>
          <w:sz w:val="20"/>
          <w:szCs w:val="20"/>
        </w:rPr>
      </w:pPr>
      <w:r>
        <w:rPr>
          <w:b/>
          <w:bCs/>
          <w:i/>
          <w:iCs/>
          <w:sz w:val="20"/>
          <w:szCs w:val="20"/>
        </w:rPr>
        <w:t> </w:t>
      </w:r>
    </w:p>
    <w:p w14:paraId="000E4015" w14:textId="77777777" w:rsidR="00000000" w:rsidRDefault="001826C1">
      <w:pPr>
        <w:pStyle w:val="a3"/>
        <w:spacing w:before="0" w:beforeAutospacing="0" w:after="0" w:afterAutospacing="0"/>
        <w:rPr>
          <w:sz w:val="20"/>
          <w:szCs w:val="20"/>
        </w:rPr>
      </w:pPr>
      <w:r>
        <w:rPr>
          <w:b/>
          <w:bCs/>
          <w:i/>
          <w:iCs/>
          <w:sz w:val="20"/>
          <w:szCs w:val="20"/>
        </w:rPr>
        <w:t>Any issuance of additional preferred stock in the future may dilute the rights of our existing</w:t>
      </w:r>
      <w:r>
        <w:rPr>
          <w:b/>
          <w:bCs/>
          <w:i/>
          <w:iCs/>
          <w:sz w:val="20"/>
          <w:szCs w:val="20"/>
        </w:rPr>
        <w:t xml:space="preserve"> stockholders.</w:t>
      </w:r>
    </w:p>
    <w:p w14:paraId="3DBD18BB" w14:textId="77777777" w:rsidR="00000000" w:rsidRDefault="001826C1">
      <w:pPr>
        <w:pStyle w:val="a3"/>
        <w:spacing w:before="0" w:beforeAutospacing="0" w:after="0" w:afterAutospacing="0"/>
        <w:rPr>
          <w:sz w:val="20"/>
          <w:szCs w:val="20"/>
        </w:rPr>
      </w:pPr>
      <w:r>
        <w:rPr>
          <w:sz w:val="20"/>
          <w:szCs w:val="20"/>
        </w:rPr>
        <w:t> </w:t>
      </w:r>
    </w:p>
    <w:p w14:paraId="1A6A9322" w14:textId="77777777" w:rsidR="00000000" w:rsidRDefault="001826C1">
      <w:pPr>
        <w:pStyle w:val="a3"/>
        <w:spacing w:before="0" w:beforeAutospacing="0" w:after="0" w:afterAutospacing="0"/>
        <w:jc w:val="both"/>
        <w:rPr>
          <w:sz w:val="20"/>
          <w:szCs w:val="20"/>
        </w:rPr>
      </w:pPr>
      <w:r>
        <w:rPr>
          <w:sz w:val="20"/>
          <w:szCs w:val="20"/>
        </w:rPr>
        <w:t>Our Board of Directors has the authority to issue up to 7,000,000 shares of preferred stock and to determine the price, privileges and other terms of these shares, of which 2,539,325 shares have been issued as of December 31, 2019. Our Boa</w:t>
      </w:r>
      <w:r>
        <w:rPr>
          <w:sz w:val="20"/>
          <w:szCs w:val="20"/>
        </w:rPr>
        <w:t>rd of Directors may exercise its authority with respect to the remaining shares of preferred stock without any further approval of common stockholders. The rights of the holders of common stock may be adversely affected by the rights of future holders of p</w:t>
      </w:r>
      <w:r>
        <w:rPr>
          <w:sz w:val="20"/>
          <w:szCs w:val="20"/>
        </w:rPr>
        <w:t>referred stock.</w:t>
      </w:r>
    </w:p>
    <w:p w14:paraId="059B2E43" w14:textId="77777777" w:rsidR="00000000" w:rsidRDefault="001826C1">
      <w:pPr>
        <w:pStyle w:val="a3"/>
        <w:spacing w:before="0" w:beforeAutospacing="0" w:after="0" w:afterAutospacing="0"/>
        <w:rPr>
          <w:sz w:val="20"/>
          <w:szCs w:val="20"/>
        </w:rPr>
      </w:pPr>
      <w:r>
        <w:rPr>
          <w:b/>
          <w:bCs/>
          <w:i/>
          <w:iCs/>
          <w:sz w:val="20"/>
          <w:szCs w:val="20"/>
        </w:rPr>
        <w:t> </w:t>
      </w:r>
    </w:p>
    <w:p w14:paraId="2D4A6894" w14:textId="77777777" w:rsidR="00000000" w:rsidRDefault="001826C1">
      <w:pPr>
        <w:pStyle w:val="a3"/>
        <w:spacing w:before="0" w:beforeAutospacing="0" w:after="0" w:afterAutospacing="0"/>
        <w:rPr>
          <w:sz w:val="20"/>
          <w:szCs w:val="20"/>
        </w:rPr>
      </w:pPr>
      <w:r>
        <w:rPr>
          <w:b/>
          <w:bCs/>
          <w:i/>
          <w:iCs/>
          <w:sz w:val="20"/>
          <w:szCs w:val="20"/>
        </w:rPr>
        <w:t>We do not intend to pay cash dividends on our common stock.</w:t>
      </w:r>
    </w:p>
    <w:p w14:paraId="1A9ABE00" w14:textId="77777777" w:rsidR="00000000" w:rsidRDefault="001826C1">
      <w:pPr>
        <w:pStyle w:val="a3"/>
        <w:spacing w:before="0" w:beforeAutospacing="0" w:after="0" w:afterAutospacing="0"/>
        <w:jc w:val="both"/>
        <w:rPr>
          <w:sz w:val="20"/>
          <w:szCs w:val="20"/>
        </w:rPr>
      </w:pPr>
      <w:r>
        <w:rPr>
          <w:sz w:val="20"/>
          <w:szCs w:val="20"/>
        </w:rPr>
        <w:t> </w:t>
      </w:r>
    </w:p>
    <w:p w14:paraId="3D77BD5F" w14:textId="77777777" w:rsidR="00000000" w:rsidRDefault="001826C1">
      <w:pPr>
        <w:pStyle w:val="a3"/>
        <w:spacing w:before="0" w:beforeAutospacing="0" w:after="0" w:afterAutospacing="0"/>
        <w:jc w:val="both"/>
        <w:rPr>
          <w:sz w:val="20"/>
          <w:szCs w:val="20"/>
        </w:rPr>
      </w:pPr>
      <w:r>
        <w:rPr>
          <w:sz w:val="20"/>
          <w:szCs w:val="20"/>
        </w:rPr>
        <w:t>Currently, we do not anticipate paying any cash dividends to holders of our common stock. As a result, capital appreciation, if any, of our common stock will be a stockholder’s</w:t>
      </w:r>
      <w:r>
        <w:rPr>
          <w:sz w:val="20"/>
          <w:szCs w:val="20"/>
        </w:rPr>
        <w:t xml:space="preserve"> sole source of gain.</w:t>
      </w:r>
    </w:p>
    <w:p w14:paraId="35A8C845" w14:textId="77777777" w:rsidR="00000000" w:rsidRDefault="001826C1">
      <w:pPr>
        <w:pStyle w:val="a3"/>
        <w:spacing w:before="0" w:beforeAutospacing="0" w:after="0" w:afterAutospacing="0"/>
        <w:jc w:val="both"/>
        <w:rPr>
          <w:sz w:val="20"/>
          <w:szCs w:val="20"/>
        </w:rPr>
      </w:pPr>
      <w:r>
        <w:rPr>
          <w:sz w:val="20"/>
          <w:szCs w:val="20"/>
        </w:rPr>
        <w:t> </w:t>
      </w:r>
    </w:p>
    <w:p w14:paraId="2717C1FB"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Complying with the laws and regulations affecting public companies will increase our costs and the demands on management and could harm our operating results.</w:t>
      </w:r>
    </w:p>
    <w:p w14:paraId="55797587"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F9E907D"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a public company, we continue to incur significant legal, accounting, and other expenses. In addition, the Sarbanes-Oxley Act and rules subsequently implemented by the SEC and the Nasdaq Stock Market impose various requirements on public companies, includi</w:t>
      </w:r>
      <w:r>
        <w:rPr>
          <w:sz w:val="20"/>
          <w:szCs w:val="20"/>
        </w:rPr>
        <w:t>ng requiring changes in corporate governance practices. Our management and other personnel devote a substantial amount of time to these compliance initiatives. Moreover, these rules and regulations have increased and will continue to increase our legal, ac</w:t>
      </w:r>
      <w:r>
        <w:rPr>
          <w:sz w:val="20"/>
          <w:szCs w:val="20"/>
        </w:rPr>
        <w:t>counting, and financial compliance costs and have made and will continue to make some activities more time-consuming and costly. For example, these rules and regulations make it more difficult and more expensive for us to obtain director and officer liabil</w:t>
      </w:r>
      <w:r>
        <w:rPr>
          <w:sz w:val="20"/>
          <w:szCs w:val="20"/>
        </w:rPr>
        <w:t xml:space="preserve">ity insurance, and we may be required to accept reduced policy limits and coverage or to incur substantial costs to maintain the same or similar coverage. These rules and regulations could also make it more difficult for us to attract and retain qualified </w:t>
      </w:r>
      <w:r>
        <w:rPr>
          <w:sz w:val="20"/>
          <w:szCs w:val="20"/>
        </w:rPr>
        <w:t>persons to serve on our Board of Directors or our board committees or as executive officers.</w:t>
      </w:r>
    </w:p>
    <w:p w14:paraId="7119DA1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7D04D32"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In addition, the Sarbanes-Oxley Act requires, among other things, that we assess the effectiveness of our internal control over financial reporting annually and </w:t>
      </w:r>
      <w:r>
        <w:rPr>
          <w:sz w:val="20"/>
          <w:szCs w:val="20"/>
        </w:rPr>
        <w:t>the effectiveness of our disclosure controls and procedures quarterly. In particular, for the year ended December 31, 2019, we performed system and process evaluation and testing of our internal control over financial reporting to allow management to repor</w:t>
      </w:r>
      <w:r>
        <w:rPr>
          <w:sz w:val="20"/>
          <w:szCs w:val="20"/>
        </w:rPr>
        <w:t>t on the effectiveness of our internal control over financial reporting, as required by Section 404 of the Sarbanes-Oxley Act, or Section 404. As an “emerging growth company” in previous years, we elected to avail ourselves of the exemption from the requir</w:t>
      </w:r>
      <w:r>
        <w:rPr>
          <w:sz w:val="20"/>
          <w:szCs w:val="20"/>
        </w:rPr>
        <w:t xml:space="preserve">ement that our independent registered public accounting firm attest to the effectiveness of our internal control over financial reporting under Section 404 of the Sarbanes-Oxley Act. However, we may no longer avail ourselves of this exemption as we ceased </w:t>
      </w:r>
      <w:r>
        <w:rPr>
          <w:sz w:val="20"/>
          <w:szCs w:val="20"/>
        </w:rPr>
        <w:t>to be an “emerging growth company” and are now a “smaller reporting company.” Although we are still currently exempt from the requirement to have our independent registered public accounting firm attest to the effectiveness of our internal control over fin</w:t>
      </w:r>
      <w:r>
        <w:rPr>
          <w:sz w:val="20"/>
          <w:szCs w:val="20"/>
        </w:rPr>
        <w:t>ancial reporting, when our independent registered public accounting firm is required to undertake such an assessment, the cost of our compliance with Section 404 will correspondingly increase. Our compliance with applicable provisions of Section 404 requir</w:t>
      </w:r>
      <w:r>
        <w:rPr>
          <w:sz w:val="20"/>
          <w:szCs w:val="20"/>
        </w:rPr>
        <w:t xml:space="preserve">es that we incur substantial accounting expense and expend significant management time on compliance-related issues and stay in compliance with reporting requirements. Moreover, if we are not able to stay in compliance with the requirements of Section 404 </w:t>
      </w:r>
      <w:r>
        <w:rPr>
          <w:sz w:val="20"/>
          <w:szCs w:val="20"/>
        </w:rPr>
        <w:t>applicable to us in a timely manner, or if we or our independent registered public accounting firm identifies any deficiency(ies) in our internal control over financial reporting that are deemed to be material weakness(es), the market price of our stock co</w:t>
      </w:r>
      <w:r>
        <w:rPr>
          <w:sz w:val="20"/>
          <w:szCs w:val="20"/>
        </w:rPr>
        <w:t>uld decline and we could be subject to sanctions or investigations by the SEC or other regulatory authorities, which would require additional financial and management resources.</w:t>
      </w:r>
    </w:p>
    <w:p w14:paraId="5D2E2A7D"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F20E782"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Furthermore, investor perceptions of our Company may suffer if deficiencies </w:t>
      </w:r>
      <w:r>
        <w:rPr>
          <w:sz w:val="20"/>
          <w:szCs w:val="20"/>
        </w:rPr>
        <w:t>are found, and this could cause a decline in the market price of our common and preferred stock. Irrespective of compliance with Section 404, any failure of our internal control over financial reporting could have a material adverse effect on our stated op</w:t>
      </w:r>
      <w:r>
        <w:rPr>
          <w:sz w:val="20"/>
          <w:szCs w:val="20"/>
        </w:rPr>
        <w:t>erating results and harm our reputation. If we are unable to implement these changes effectively or efficiently, it could harm our operations, financial reporting, or financial results and could result in an adverse opinion on internal control from our ind</w:t>
      </w:r>
      <w:r>
        <w:rPr>
          <w:sz w:val="20"/>
          <w:szCs w:val="20"/>
        </w:rPr>
        <w:t>ependent registered public accounting firm.</w:t>
      </w:r>
    </w:p>
    <w:p w14:paraId="3C5E47D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F6B6BDA" w14:textId="77777777">
        <w:trPr>
          <w:divId w:val="504906392"/>
        </w:trPr>
        <w:tc>
          <w:tcPr>
            <w:tcW w:w="5000" w:type="pct"/>
            <w:hideMark/>
          </w:tcPr>
          <w:p w14:paraId="07F79067"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2904F1F4" w14:textId="77777777">
        <w:tc>
          <w:tcPr>
            <w:tcW w:w="5000" w:type="pct"/>
            <w:hideMark/>
          </w:tcPr>
          <w:p w14:paraId="17155906" w14:textId="77777777" w:rsidR="00000000" w:rsidRDefault="001826C1">
            <w:pPr>
              <w:jc w:val="center"/>
              <w:rPr>
                <w:rFonts w:eastAsia="Times New Roman"/>
                <w:sz w:val="20"/>
                <w:szCs w:val="20"/>
              </w:rPr>
            </w:pPr>
            <w:r>
              <w:rPr>
                <w:rFonts w:eastAsia="Times New Roman"/>
                <w:sz w:val="20"/>
                <w:szCs w:val="20"/>
              </w:rPr>
              <w:t> </w:t>
            </w:r>
          </w:p>
        </w:tc>
      </w:tr>
    </w:tbl>
    <w:p w14:paraId="3DC2EF03" w14:textId="77777777" w:rsidR="00000000" w:rsidRDefault="001826C1">
      <w:pPr>
        <w:pStyle w:val="a3"/>
        <w:spacing w:before="0" w:beforeAutospacing="0" w:after="0" w:afterAutospacing="0"/>
        <w:rPr>
          <w:sz w:val="20"/>
          <w:szCs w:val="20"/>
        </w:rPr>
      </w:pPr>
      <w:r>
        <w:rPr>
          <w:sz w:val="20"/>
          <w:szCs w:val="20"/>
        </w:rPr>
        <w:t> </w:t>
      </w:r>
    </w:p>
    <w:p w14:paraId="7A5829F7" w14:textId="77777777" w:rsidR="00000000" w:rsidRDefault="001826C1">
      <w:pPr>
        <w:pStyle w:val="a3"/>
        <w:shd w:val="clear" w:color="auto" w:fill="FFFFFF"/>
        <w:spacing w:before="0" w:beforeAutospacing="0" w:after="0" w:afterAutospacing="0"/>
        <w:jc w:val="both"/>
        <w:rPr>
          <w:sz w:val="20"/>
          <w:szCs w:val="20"/>
        </w:rPr>
      </w:pPr>
      <w:r>
        <w:rPr>
          <w:sz w:val="20"/>
          <w:szCs w:val="20"/>
        </w:rPr>
        <w:t>We remained an “emerging growth company” until December 31 of 2019, under the Securities and Exchange Act of 1934, as amended, or the Exchange Act. While we were an “emerging growth company” as define</w:t>
      </w:r>
      <w:r>
        <w:rPr>
          <w:sz w:val="20"/>
          <w:szCs w:val="20"/>
        </w:rPr>
        <w:t>d in the JOBS Act, we were able to take advantage of certain exemptions from various reporting requirements that are applicable to other public companies that are not “emerging growth companies” including, but not limited to, not being required to comply w</w:t>
      </w:r>
      <w:r>
        <w:rPr>
          <w:sz w:val="20"/>
          <w:szCs w:val="20"/>
        </w:rPr>
        <w:t>ith the auditor attestation requirements of Section 404 of the Sarbanes-Oxley Act, reduced disclosure obligations regarding executive compensation in our periodic reports and proxy statements, and exemptions from the requirements of holding a non-binding a</w:t>
      </w:r>
      <w:r>
        <w:rPr>
          <w:sz w:val="20"/>
          <w:szCs w:val="20"/>
        </w:rPr>
        <w:t>dvisory vote on executive compensation and stockholder approval of any golden parachute payments not previously approved.</w:t>
      </w:r>
    </w:p>
    <w:p w14:paraId="234EEDCE"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605C217"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We are a smaller reporting company and we cannot be certain if the reduced disclosure requirements applicable to smaller reporting c</w:t>
      </w:r>
      <w:r>
        <w:rPr>
          <w:b/>
          <w:bCs/>
          <w:i/>
          <w:iCs/>
          <w:sz w:val="20"/>
          <w:szCs w:val="20"/>
        </w:rPr>
        <w:t>ompanies will make our common stock less attractive to investors.</w:t>
      </w:r>
    </w:p>
    <w:p w14:paraId="45F3C66B"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 </w:t>
      </w:r>
    </w:p>
    <w:p w14:paraId="340FDD73" w14:textId="77777777" w:rsidR="00000000" w:rsidRDefault="001826C1">
      <w:pPr>
        <w:pStyle w:val="a3"/>
        <w:shd w:val="clear" w:color="auto" w:fill="FFFFFF"/>
        <w:spacing w:before="0" w:beforeAutospacing="0" w:after="0" w:afterAutospacing="0"/>
        <w:jc w:val="both"/>
        <w:rPr>
          <w:sz w:val="20"/>
          <w:szCs w:val="20"/>
        </w:rPr>
      </w:pPr>
      <w:r>
        <w:rPr>
          <w:sz w:val="20"/>
          <w:szCs w:val="20"/>
        </w:rPr>
        <w:t>While we have ceased being an emerging growth company as of December 31, 2019, many of the exemptions available for emerging growth companies are also available to smaller reporting compan</w:t>
      </w:r>
      <w:r>
        <w:rPr>
          <w:sz w:val="20"/>
          <w:szCs w:val="20"/>
        </w:rPr>
        <w:t>ies like us that have less than $250 million of worldwide common equity held by non-affiliates. The disclosures we will be required to provide in our SEC filings will increase, but will still be less than it would be if we were not considered a smaller rep</w:t>
      </w:r>
      <w:r>
        <w:rPr>
          <w:sz w:val="20"/>
          <w:szCs w:val="20"/>
        </w:rPr>
        <w:t>orting company. Specifically, similar to emerging growth companies, smaller reporting companies are able to provide simplified executive compensation disclosures in their filings; are exempt from the provisions of Section 404 requiring that independent reg</w:t>
      </w:r>
      <w:r>
        <w:rPr>
          <w:sz w:val="20"/>
          <w:szCs w:val="20"/>
        </w:rPr>
        <w:t xml:space="preserve">istered public accounting firms provide an attestation reporting on the effectiveness of internal control over financial reporting, and have certain other decreased disclosure obligations in their SEC filings. Our status as a smaller reporting company may </w:t>
      </w:r>
      <w:r>
        <w:rPr>
          <w:sz w:val="20"/>
          <w:szCs w:val="20"/>
        </w:rPr>
        <w:t>make it harder for investors to analyze our results of operations and financial prospects. We cannot predict if investors will find our common stock less attractive because we will rely on the exemption available to smaller reporting companies. If some inv</w:t>
      </w:r>
      <w:r>
        <w:rPr>
          <w:sz w:val="20"/>
          <w:szCs w:val="20"/>
        </w:rPr>
        <w:t>estors find our common stock less attractive as a result, there may be a less active trading market for our common stock and our stock price may be more volatile.</w:t>
      </w:r>
    </w:p>
    <w:p w14:paraId="5FAF51CD"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3E21B2F" w14:textId="77777777" w:rsidR="00000000" w:rsidRDefault="001826C1">
      <w:pPr>
        <w:pStyle w:val="a3"/>
        <w:spacing w:before="0" w:beforeAutospacing="0" w:after="0" w:afterAutospacing="0"/>
        <w:rPr>
          <w:sz w:val="20"/>
          <w:szCs w:val="20"/>
        </w:rPr>
      </w:pPr>
      <w:r>
        <w:rPr>
          <w:b/>
          <w:bCs/>
          <w:sz w:val="20"/>
          <w:szCs w:val="20"/>
        </w:rPr>
        <w:t>Risks Related to Ownership of Shares of Our Preferred Stock</w:t>
      </w:r>
    </w:p>
    <w:p w14:paraId="7439C19F" w14:textId="77777777" w:rsidR="00000000" w:rsidRDefault="001826C1">
      <w:pPr>
        <w:pStyle w:val="a3"/>
        <w:spacing w:before="0" w:beforeAutospacing="0" w:after="0" w:afterAutospacing="0"/>
        <w:rPr>
          <w:sz w:val="20"/>
          <w:szCs w:val="20"/>
        </w:rPr>
      </w:pPr>
      <w:r>
        <w:rPr>
          <w:b/>
          <w:bCs/>
          <w:sz w:val="20"/>
          <w:szCs w:val="20"/>
        </w:rPr>
        <w:t> </w:t>
      </w:r>
    </w:p>
    <w:p w14:paraId="66C5F203" w14:textId="77777777" w:rsidR="00000000" w:rsidRDefault="001826C1">
      <w:pPr>
        <w:pStyle w:val="a3"/>
        <w:spacing w:before="0" w:beforeAutospacing="0" w:after="0" w:afterAutospacing="0"/>
        <w:jc w:val="both"/>
        <w:rPr>
          <w:sz w:val="20"/>
          <w:szCs w:val="20"/>
        </w:rPr>
      </w:pPr>
      <w:r>
        <w:rPr>
          <w:b/>
          <w:bCs/>
          <w:i/>
          <w:iCs/>
          <w:sz w:val="20"/>
          <w:szCs w:val="20"/>
        </w:rPr>
        <w:t xml:space="preserve">The </w:t>
      </w:r>
      <w:r>
        <w:rPr>
          <w:b/>
          <w:bCs/>
          <w:i/>
          <w:iCs/>
          <w:sz w:val="20"/>
          <w:szCs w:val="20"/>
        </w:rPr>
        <w:t>Series A Preferred Stock ranks junior to all of our indebtedness and other liabilities.</w:t>
      </w:r>
    </w:p>
    <w:p w14:paraId="52E243AA" w14:textId="77777777" w:rsidR="00000000" w:rsidRDefault="001826C1">
      <w:pPr>
        <w:pStyle w:val="a3"/>
        <w:spacing w:before="0" w:beforeAutospacing="0" w:after="0" w:afterAutospacing="0"/>
        <w:jc w:val="both"/>
        <w:rPr>
          <w:sz w:val="20"/>
          <w:szCs w:val="20"/>
        </w:rPr>
      </w:pPr>
      <w:r>
        <w:rPr>
          <w:b/>
          <w:bCs/>
          <w:i/>
          <w:iCs/>
          <w:sz w:val="20"/>
          <w:szCs w:val="20"/>
        </w:rPr>
        <w:t> </w:t>
      </w:r>
    </w:p>
    <w:p w14:paraId="4D4AC426" w14:textId="77777777" w:rsidR="00000000" w:rsidRDefault="001826C1">
      <w:pPr>
        <w:pStyle w:val="a3"/>
        <w:spacing w:before="0" w:beforeAutospacing="0" w:after="0" w:afterAutospacing="0"/>
        <w:jc w:val="both"/>
        <w:rPr>
          <w:sz w:val="20"/>
          <w:szCs w:val="20"/>
        </w:rPr>
      </w:pPr>
      <w:r>
        <w:rPr>
          <w:sz w:val="20"/>
          <w:szCs w:val="20"/>
        </w:rPr>
        <w:t>In the event of our bankruptcy, liquidation, dissolution or winding-up of our affairs, our assets will be available to pay obligations on the Series A Preferred Stock</w:t>
      </w:r>
      <w:r>
        <w:rPr>
          <w:sz w:val="20"/>
          <w:szCs w:val="20"/>
        </w:rPr>
        <w:t xml:space="preserve"> only after all of our indebtedness and other liabilities have been paid. The rights of holders of the Series A Preferred Stock to participate in the distribution of our assets will rank junior to the prior claims of our current and future creditors and an</w:t>
      </w:r>
      <w:r>
        <w:rPr>
          <w:sz w:val="20"/>
          <w:szCs w:val="20"/>
        </w:rPr>
        <w:t>y future series or class of preferred stock we may issue that ranks senior to the Series A Preferred Stock. Also, the Series A Preferred Stock effectively ranks junior to all existing and future indebtedness and to the indebtedness and other liabilities of</w:t>
      </w:r>
      <w:r>
        <w:rPr>
          <w:sz w:val="20"/>
          <w:szCs w:val="20"/>
        </w:rPr>
        <w:t xml:space="preserve"> our existing subsidiaries and any future subsidiaries. Our existing subsidiaries are, and future subsidiaries would be, separate legal entities and have no legal obligation to pay any amounts to us in respect of dividends due on the Series A Preferred Sto</w:t>
      </w:r>
      <w:r>
        <w:rPr>
          <w:sz w:val="20"/>
          <w:szCs w:val="20"/>
        </w:rPr>
        <w:t>ck. If we are forced to liquidate our assets to pay our creditors, we may not have sufficient assets to pay amounts due on any or all of the Series A Preferred Stock then outstanding. We may in the future incur debt and other obligations that will rank sen</w:t>
      </w:r>
      <w:r>
        <w:rPr>
          <w:sz w:val="20"/>
          <w:szCs w:val="20"/>
        </w:rPr>
        <w:t>ior to the Series A Preferred Stock. At December 31, 2019, our total liabilities (excluding contingent consideration) equaled approximately $13.6 million.</w:t>
      </w:r>
    </w:p>
    <w:p w14:paraId="4853B527" w14:textId="77777777" w:rsidR="00000000" w:rsidRDefault="001826C1">
      <w:pPr>
        <w:pStyle w:val="a3"/>
        <w:spacing w:before="0" w:beforeAutospacing="0" w:after="0" w:afterAutospacing="0"/>
        <w:jc w:val="both"/>
        <w:rPr>
          <w:sz w:val="20"/>
          <w:szCs w:val="20"/>
        </w:rPr>
      </w:pPr>
      <w:r>
        <w:rPr>
          <w:sz w:val="20"/>
          <w:szCs w:val="20"/>
        </w:rPr>
        <w:t> </w:t>
      </w:r>
    </w:p>
    <w:p w14:paraId="4E5980B8" w14:textId="77777777" w:rsidR="00000000" w:rsidRDefault="001826C1">
      <w:pPr>
        <w:pStyle w:val="a3"/>
        <w:spacing w:before="0" w:beforeAutospacing="0" w:after="0" w:afterAutospacing="0"/>
        <w:jc w:val="both"/>
        <w:rPr>
          <w:sz w:val="20"/>
          <w:szCs w:val="20"/>
        </w:rPr>
      </w:pPr>
      <w:r>
        <w:rPr>
          <w:sz w:val="20"/>
          <w:szCs w:val="20"/>
        </w:rPr>
        <w:t>Certain of our existing or future debt instruments may restrict the authorization, payment or setti</w:t>
      </w:r>
      <w:r>
        <w:rPr>
          <w:sz w:val="20"/>
          <w:szCs w:val="20"/>
        </w:rPr>
        <w:t>ng apart of dividends on the Series A Preferred Stock. Our Credit Agreement with Silicon Valley Bank (“SVB”) restricts the payment of dividends in the event of any event of default, including failure to meet certain financial covenants. There can be no ass</w:t>
      </w:r>
      <w:r>
        <w:rPr>
          <w:sz w:val="20"/>
          <w:szCs w:val="20"/>
        </w:rPr>
        <w:t>urance that we will remain in compliance with the SVB Credit Agreement, and if we default, we may be contractually prohibited from paying dividends on the Series A Preferred Stock. Also, future offerings of debt or senior equity securities may adversely af</w:t>
      </w:r>
      <w:r>
        <w:rPr>
          <w:sz w:val="20"/>
          <w:szCs w:val="20"/>
        </w:rPr>
        <w:t>fect the market price of the Series A Preferred Stock. If we decide to issue debt or senior equity securities in the future, it is possible that these securities will be governed by an indenture or other instruments containing covenants restricting our ope</w:t>
      </w:r>
      <w:r>
        <w:rPr>
          <w:sz w:val="20"/>
          <w:szCs w:val="20"/>
        </w:rPr>
        <w:t>rating flexibility. Additionally, any convertible or exchangeable securities that we issue in the future may have rights, preferences and privileges more favorable than those of the Series A Preferred Stock and may result in dilution to owners of the Serie</w:t>
      </w:r>
      <w:r>
        <w:rPr>
          <w:sz w:val="20"/>
          <w:szCs w:val="20"/>
        </w:rPr>
        <w:t>s A Preferred Stock. We and, indirectly, our shareholders, will bear the cost of issuing and servicing such securities. Because our decision to issue debt or equity securities in any future offering will depend on market conditions and other factors beyond</w:t>
      </w:r>
      <w:r>
        <w:rPr>
          <w:sz w:val="20"/>
          <w:szCs w:val="20"/>
        </w:rPr>
        <w:t xml:space="preserve"> our control, we cannot predict or estimate the amount, timing or nature of our future offerings. The holders of the Series A Preferred Stock will bear the risk of our future offerings, which may reduce the market price of the Series A Preferred Stock and </w:t>
      </w:r>
      <w:r>
        <w:rPr>
          <w:sz w:val="20"/>
          <w:szCs w:val="20"/>
        </w:rPr>
        <w:t>will dilute the value of their holdings in us.</w:t>
      </w:r>
    </w:p>
    <w:p w14:paraId="5AABEDBB"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DF95FBE" w14:textId="77777777">
        <w:trPr>
          <w:divId w:val="2046981738"/>
        </w:trPr>
        <w:tc>
          <w:tcPr>
            <w:tcW w:w="5000" w:type="pct"/>
            <w:hideMark/>
          </w:tcPr>
          <w:p w14:paraId="10CC0570"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0516B9E3" w14:textId="77777777">
        <w:tc>
          <w:tcPr>
            <w:tcW w:w="5000" w:type="pct"/>
            <w:hideMark/>
          </w:tcPr>
          <w:p w14:paraId="62DAF5DB" w14:textId="77777777" w:rsidR="00000000" w:rsidRDefault="001826C1">
            <w:pPr>
              <w:jc w:val="center"/>
              <w:rPr>
                <w:rFonts w:eastAsia="Times New Roman"/>
                <w:sz w:val="20"/>
                <w:szCs w:val="20"/>
              </w:rPr>
            </w:pPr>
            <w:r>
              <w:rPr>
                <w:rFonts w:eastAsia="Times New Roman"/>
                <w:sz w:val="20"/>
                <w:szCs w:val="20"/>
              </w:rPr>
              <w:t> </w:t>
            </w:r>
          </w:p>
        </w:tc>
      </w:tr>
    </w:tbl>
    <w:p w14:paraId="53E5FF72" w14:textId="77777777" w:rsidR="00000000" w:rsidRDefault="001826C1">
      <w:pPr>
        <w:pStyle w:val="a3"/>
        <w:spacing w:before="0" w:beforeAutospacing="0" w:after="0" w:afterAutospacing="0"/>
        <w:rPr>
          <w:sz w:val="20"/>
          <w:szCs w:val="20"/>
        </w:rPr>
      </w:pPr>
      <w:r>
        <w:rPr>
          <w:sz w:val="20"/>
          <w:szCs w:val="20"/>
        </w:rPr>
        <w:t> </w:t>
      </w:r>
    </w:p>
    <w:p w14:paraId="3985AB48" w14:textId="77777777" w:rsidR="00000000" w:rsidRDefault="001826C1">
      <w:pPr>
        <w:pStyle w:val="a3"/>
        <w:spacing w:before="0" w:beforeAutospacing="0" w:after="0" w:afterAutospacing="0"/>
        <w:rPr>
          <w:sz w:val="20"/>
          <w:szCs w:val="20"/>
        </w:rPr>
      </w:pPr>
      <w:r>
        <w:rPr>
          <w:sz w:val="20"/>
          <w:szCs w:val="20"/>
        </w:rPr>
        <w:t> </w:t>
      </w:r>
    </w:p>
    <w:p w14:paraId="5808AE17" w14:textId="77777777" w:rsidR="00000000" w:rsidRDefault="001826C1">
      <w:pPr>
        <w:pStyle w:val="a3"/>
        <w:spacing w:before="0" w:beforeAutospacing="0" w:after="0" w:afterAutospacing="0"/>
        <w:jc w:val="both"/>
        <w:rPr>
          <w:sz w:val="20"/>
          <w:szCs w:val="20"/>
        </w:rPr>
      </w:pPr>
      <w:r>
        <w:rPr>
          <w:b/>
          <w:bCs/>
          <w:i/>
          <w:iCs/>
          <w:sz w:val="20"/>
          <w:szCs w:val="20"/>
        </w:rPr>
        <w:t xml:space="preserve">We may not be able to pay dividends on the Series A Preferred Stock if we fall out of compliance with our loan covenants and are prohibited by our bank lender from paying dividends or if we have </w:t>
      </w:r>
      <w:r>
        <w:rPr>
          <w:b/>
          <w:bCs/>
          <w:i/>
          <w:iCs/>
          <w:sz w:val="20"/>
          <w:szCs w:val="20"/>
        </w:rPr>
        <w:t>insufficient cash to make dividend payments.</w:t>
      </w:r>
    </w:p>
    <w:p w14:paraId="600B8664" w14:textId="77777777" w:rsidR="00000000" w:rsidRDefault="001826C1">
      <w:pPr>
        <w:pStyle w:val="a3"/>
        <w:spacing w:before="0" w:beforeAutospacing="0" w:after="0" w:afterAutospacing="0"/>
        <w:jc w:val="both"/>
        <w:rPr>
          <w:sz w:val="20"/>
          <w:szCs w:val="20"/>
        </w:rPr>
      </w:pPr>
      <w:r>
        <w:rPr>
          <w:i/>
          <w:iCs/>
          <w:sz w:val="20"/>
          <w:szCs w:val="20"/>
        </w:rPr>
        <w:t> </w:t>
      </w:r>
    </w:p>
    <w:p w14:paraId="352F8298" w14:textId="77777777" w:rsidR="00000000" w:rsidRDefault="001826C1">
      <w:pPr>
        <w:pStyle w:val="a3"/>
        <w:spacing w:before="0" w:beforeAutospacing="0" w:after="0" w:afterAutospacing="0"/>
        <w:jc w:val="both"/>
        <w:rPr>
          <w:sz w:val="20"/>
          <w:szCs w:val="20"/>
        </w:rPr>
      </w:pPr>
      <w:r>
        <w:rPr>
          <w:sz w:val="20"/>
          <w:szCs w:val="20"/>
        </w:rPr>
        <w:t>Our ability to pay cash dividends on the Series A Preferred Stock requires us to have either net profits or positive net assets (total assets less total liabilities) over our capital, and to be able to pay our</w:t>
      </w:r>
      <w:r>
        <w:rPr>
          <w:sz w:val="20"/>
          <w:szCs w:val="20"/>
        </w:rPr>
        <w:t xml:space="preserve"> debts as they become due in the usual course of business. We cannot predict with certainty whether we will remain in compliance with the covenants of our senior secured lender, SVB, which include, among other things, generating adjusted EBITDA and complyi</w:t>
      </w:r>
      <w:r>
        <w:rPr>
          <w:sz w:val="20"/>
          <w:szCs w:val="20"/>
        </w:rPr>
        <w:t>ng with a minimum liquidity ratio. If we fall out of compliance, our lender may exercise any of its rights and remedies under the loan agreement, including restricting us from making dividend payments.</w:t>
      </w:r>
    </w:p>
    <w:p w14:paraId="7AB1DA01" w14:textId="77777777" w:rsidR="00000000" w:rsidRDefault="001826C1">
      <w:pPr>
        <w:pStyle w:val="a3"/>
        <w:spacing w:before="0" w:beforeAutospacing="0" w:after="0" w:afterAutospacing="0"/>
        <w:jc w:val="both"/>
        <w:rPr>
          <w:sz w:val="20"/>
          <w:szCs w:val="20"/>
        </w:rPr>
      </w:pPr>
      <w:r>
        <w:rPr>
          <w:sz w:val="20"/>
          <w:szCs w:val="20"/>
        </w:rPr>
        <w:t> </w:t>
      </w:r>
    </w:p>
    <w:p w14:paraId="140561EF" w14:textId="77777777" w:rsidR="00000000" w:rsidRDefault="001826C1">
      <w:pPr>
        <w:pStyle w:val="a3"/>
        <w:spacing w:before="0" w:beforeAutospacing="0" w:after="0" w:afterAutospacing="0"/>
        <w:jc w:val="both"/>
        <w:rPr>
          <w:sz w:val="20"/>
          <w:szCs w:val="20"/>
        </w:rPr>
      </w:pPr>
      <w:r>
        <w:rPr>
          <w:sz w:val="20"/>
          <w:szCs w:val="20"/>
        </w:rPr>
        <w:t>Further, notwithstanding these factors, we may not h</w:t>
      </w:r>
      <w:r>
        <w:rPr>
          <w:sz w:val="20"/>
          <w:szCs w:val="20"/>
        </w:rPr>
        <w:t>ave sufficient cash to pay dividends on the Series A Preferred Stock. Our ability to pay dividends may be impaired if any of the risks described in this document, including the documents incorporated by reference herein, were to occur. Also, payment of our</w:t>
      </w:r>
      <w:r>
        <w:rPr>
          <w:sz w:val="20"/>
          <w:szCs w:val="20"/>
        </w:rPr>
        <w:t xml:space="preserve"> dividends depends upon our financial condition, remaining in compliance with our affirmative and negative loan covenants with SVB, which we may be unable to do in the future, and other factors as our Board of Directors may deem relevant from time to time.</w:t>
      </w:r>
      <w:r>
        <w:rPr>
          <w:sz w:val="20"/>
          <w:szCs w:val="20"/>
        </w:rPr>
        <w:t xml:space="preserve"> We cannot assure you that our businesses will generate sufficient cash flow from operations or that future borrowings will be available to us in an amount sufficient to enable us to make distributions on our common stock, if any, and preferred stock, incl</w:t>
      </w:r>
      <w:r>
        <w:rPr>
          <w:sz w:val="20"/>
          <w:szCs w:val="20"/>
        </w:rPr>
        <w:t>uding the Series A Preferred Stock to pay our indebtedness or to fund our other liquidity needs.</w:t>
      </w:r>
    </w:p>
    <w:p w14:paraId="2D8AD42F" w14:textId="77777777" w:rsidR="00000000" w:rsidRDefault="001826C1">
      <w:pPr>
        <w:pStyle w:val="a3"/>
        <w:spacing w:before="0" w:beforeAutospacing="0" w:after="0" w:afterAutospacing="0"/>
        <w:jc w:val="both"/>
        <w:rPr>
          <w:sz w:val="20"/>
          <w:szCs w:val="20"/>
        </w:rPr>
      </w:pPr>
      <w:r>
        <w:rPr>
          <w:b/>
          <w:bCs/>
          <w:i/>
          <w:iCs/>
          <w:sz w:val="20"/>
          <w:szCs w:val="20"/>
        </w:rPr>
        <w:t> </w:t>
      </w:r>
    </w:p>
    <w:p w14:paraId="41FAD80E" w14:textId="77777777" w:rsidR="00000000" w:rsidRDefault="001826C1">
      <w:pPr>
        <w:pStyle w:val="a3"/>
        <w:spacing w:before="0" w:beforeAutospacing="0" w:after="0" w:afterAutospacing="0"/>
        <w:jc w:val="both"/>
        <w:rPr>
          <w:sz w:val="20"/>
          <w:szCs w:val="20"/>
        </w:rPr>
      </w:pPr>
      <w:r>
        <w:rPr>
          <w:b/>
          <w:bCs/>
          <w:i/>
          <w:iCs/>
          <w:sz w:val="20"/>
          <w:szCs w:val="20"/>
        </w:rPr>
        <w:t>The market for our Series A Preferred Stock may not provide investors with adequate liquidity.</w:t>
      </w:r>
    </w:p>
    <w:p w14:paraId="4F3F67C7" w14:textId="77777777" w:rsidR="00000000" w:rsidRDefault="001826C1">
      <w:pPr>
        <w:pStyle w:val="a3"/>
        <w:spacing w:before="0" w:beforeAutospacing="0" w:after="0" w:afterAutospacing="0"/>
        <w:jc w:val="both"/>
        <w:rPr>
          <w:sz w:val="20"/>
          <w:szCs w:val="20"/>
        </w:rPr>
      </w:pPr>
      <w:r>
        <w:rPr>
          <w:b/>
          <w:bCs/>
          <w:i/>
          <w:iCs/>
          <w:sz w:val="20"/>
          <w:szCs w:val="20"/>
        </w:rPr>
        <w:t> </w:t>
      </w:r>
    </w:p>
    <w:p w14:paraId="4E7D1D33" w14:textId="77777777" w:rsidR="00000000" w:rsidRDefault="001826C1">
      <w:pPr>
        <w:pStyle w:val="a3"/>
        <w:spacing w:before="0" w:beforeAutospacing="0" w:after="0" w:afterAutospacing="0"/>
        <w:jc w:val="both"/>
        <w:rPr>
          <w:sz w:val="20"/>
          <w:szCs w:val="20"/>
        </w:rPr>
      </w:pPr>
      <w:r>
        <w:rPr>
          <w:sz w:val="20"/>
          <w:szCs w:val="20"/>
        </w:rPr>
        <w:t xml:space="preserve">Our </w:t>
      </w:r>
      <w:r>
        <w:rPr>
          <w:sz w:val="20"/>
          <w:szCs w:val="20"/>
        </w:rPr>
        <w:t>Series A Preferred Stock is listed on the Nasdaq Global Market. However, the trading market for the Series A Preferred Stock may not be maintained and may not provide investors with adequate liquidity. The liquidity of the market for the Series A Preferred</w:t>
      </w:r>
      <w:r>
        <w:rPr>
          <w:sz w:val="20"/>
          <w:szCs w:val="20"/>
        </w:rPr>
        <w:t xml:space="preserve"> Stock depends on a number of factors, including prevailing interest rates, our financial condition and operating results, the number of holders of the Series A Preferred Stock, the market for similar securities and the interest of securities dealers in ma</w:t>
      </w:r>
      <w:r>
        <w:rPr>
          <w:sz w:val="20"/>
          <w:szCs w:val="20"/>
        </w:rPr>
        <w:t>king a market in the Series A Preferred Stock. We cannot predict the extent to which investor interest in our Company will maintain the trading market in our Series A Preferred Stock, or how liquid that market will be. If an active market is not maintained</w:t>
      </w:r>
      <w:r>
        <w:rPr>
          <w:sz w:val="20"/>
          <w:szCs w:val="20"/>
        </w:rPr>
        <w:t>, investors may have difficulty selling shares of our Series A Preferred Stock.</w:t>
      </w:r>
    </w:p>
    <w:p w14:paraId="30D61A8D" w14:textId="77777777" w:rsidR="00000000" w:rsidRDefault="001826C1">
      <w:pPr>
        <w:pStyle w:val="a3"/>
        <w:spacing w:before="0" w:beforeAutospacing="0" w:after="0" w:afterAutospacing="0"/>
        <w:jc w:val="both"/>
        <w:rPr>
          <w:sz w:val="20"/>
          <w:szCs w:val="20"/>
        </w:rPr>
      </w:pPr>
      <w:r>
        <w:rPr>
          <w:sz w:val="20"/>
          <w:szCs w:val="20"/>
        </w:rPr>
        <w:t> </w:t>
      </w:r>
    </w:p>
    <w:p w14:paraId="20C551B7" w14:textId="77777777" w:rsidR="00000000" w:rsidRDefault="001826C1">
      <w:pPr>
        <w:pStyle w:val="a3"/>
        <w:spacing w:before="0" w:beforeAutospacing="0" w:after="0" w:afterAutospacing="0"/>
        <w:jc w:val="both"/>
        <w:rPr>
          <w:sz w:val="20"/>
          <w:szCs w:val="20"/>
        </w:rPr>
      </w:pPr>
      <w:r>
        <w:rPr>
          <w:b/>
          <w:bCs/>
          <w:i/>
          <w:iCs/>
          <w:sz w:val="20"/>
          <w:szCs w:val="20"/>
        </w:rPr>
        <w:t>We may issue additional shares of Series A Preferred Stock and additional series of preferred stock that rank on parity with the Series A Preferred Stock as to dividend right</w:t>
      </w:r>
      <w:r>
        <w:rPr>
          <w:b/>
          <w:bCs/>
          <w:i/>
          <w:iCs/>
          <w:sz w:val="20"/>
          <w:szCs w:val="20"/>
        </w:rPr>
        <w:t>s, rights upon liquidation or voting rights.</w:t>
      </w:r>
    </w:p>
    <w:p w14:paraId="4CDC9FB0" w14:textId="77777777" w:rsidR="00000000" w:rsidRDefault="001826C1">
      <w:pPr>
        <w:pStyle w:val="a3"/>
        <w:spacing w:before="0" w:beforeAutospacing="0" w:after="0" w:afterAutospacing="0"/>
        <w:jc w:val="both"/>
        <w:rPr>
          <w:sz w:val="20"/>
          <w:szCs w:val="20"/>
        </w:rPr>
      </w:pPr>
      <w:r>
        <w:rPr>
          <w:b/>
          <w:bCs/>
          <w:i/>
          <w:iCs/>
          <w:sz w:val="20"/>
          <w:szCs w:val="20"/>
        </w:rPr>
        <w:t> </w:t>
      </w:r>
    </w:p>
    <w:p w14:paraId="46E70458" w14:textId="77777777" w:rsidR="00000000" w:rsidRDefault="001826C1">
      <w:pPr>
        <w:pStyle w:val="a3"/>
        <w:spacing w:before="0" w:beforeAutospacing="0" w:after="0" w:afterAutospacing="0"/>
        <w:jc w:val="both"/>
        <w:rPr>
          <w:sz w:val="20"/>
          <w:szCs w:val="20"/>
        </w:rPr>
      </w:pPr>
      <w:r>
        <w:rPr>
          <w:sz w:val="20"/>
          <w:szCs w:val="20"/>
        </w:rPr>
        <w:t xml:space="preserve">We are allowed to issue additional shares of Series A Preferred Stock and additional series of preferred stock that would rank equal to or below the Series A Preferred Stock as to dividend payments and rights </w:t>
      </w:r>
      <w:r>
        <w:rPr>
          <w:sz w:val="20"/>
          <w:szCs w:val="20"/>
        </w:rPr>
        <w:t>upon our liquidation, dissolution or winding up of our affairs pursuant to our amended and restated certificate of incorporation and the certificate of designations relating to the Series A Preferred Stock without any vote of the holders of the Series A Pr</w:t>
      </w:r>
      <w:r>
        <w:rPr>
          <w:sz w:val="20"/>
          <w:szCs w:val="20"/>
        </w:rPr>
        <w:t>eferred Stock. Upon the affirmative vote of the holders of at least two-thirds of the outstanding shares of Series A Preferred Stock (voting together as a class with all other series of parity preferred stock we may issue upon which like voting rights have</w:t>
      </w:r>
      <w:r>
        <w:rPr>
          <w:sz w:val="20"/>
          <w:szCs w:val="20"/>
        </w:rPr>
        <w:t xml:space="preserve"> been conferred and are exercisable), we are allowed to issue additional series of preferred stock that would rank above the Series A Preferred Stock as to dividend payments and rights upon our liquidation, dissolution or the winding up of our affairs purs</w:t>
      </w:r>
      <w:r>
        <w:rPr>
          <w:sz w:val="20"/>
          <w:szCs w:val="20"/>
        </w:rPr>
        <w:t>uant to our amended and restated certificate of incorporation and the certificate of designations relating to the Series A Preferred Stock. The issuance of additional shares of Series A Preferred Stock and additional series of preferred stock could have th</w:t>
      </w:r>
      <w:r>
        <w:rPr>
          <w:sz w:val="20"/>
          <w:szCs w:val="20"/>
        </w:rPr>
        <w:t xml:space="preserve">e effect of reducing the amounts available to the Series A Preferred Stock upon our liquidation or dissolution or the winding up of our affairs. It also may reduce dividend payments on the Series A Preferred Stock if we do not have sufficient funds to pay </w:t>
      </w:r>
      <w:r>
        <w:rPr>
          <w:sz w:val="20"/>
          <w:szCs w:val="20"/>
        </w:rPr>
        <w:t>dividends on all Series A Preferred Stock outstanding and other classes or series of stock with equal priority with respect to dividends.</w:t>
      </w:r>
    </w:p>
    <w:p w14:paraId="279E82E8" w14:textId="77777777" w:rsidR="00000000" w:rsidRDefault="001826C1">
      <w:pPr>
        <w:pStyle w:val="a3"/>
        <w:spacing w:before="0" w:beforeAutospacing="0" w:after="0" w:afterAutospacing="0"/>
        <w:jc w:val="both"/>
        <w:rPr>
          <w:sz w:val="20"/>
          <w:szCs w:val="20"/>
        </w:rPr>
      </w:pPr>
      <w:r>
        <w:rPr>
          <w:sz w:val="20"/>
          <w:szCs w:val="20"/>
        </w:rPr>
        <w:t> </w:t>
      </w:r>
    </w:p>
    <w:p w14:paraId="0710B715" w14:textId="77777777" w:rsidR="00000000" w:rsidRDefault="001826C1">
      <w:pPr>
        <w:pStyle w:val="a3"/>
        <w:spacing w:before="0" w:beforeAutospacing="0" w:after="0" w:afterAutospacing="0"/>
        <w:jc w:val="both"/>
        <w:rPr>
          <w:sz w:val="20"/>
          <w:szCs w:val="20"/>
        </w:rPr>
      </w:pPr>
      <w:r>
        <w:rPr>
          <w:sz w:val="20"/>
          <w:szCs w:val="20"/>
        </w:rPr>
        <w:t>Also, although holders of Series A Preferred Stock are entitled to limited voting rights with respect to the circums</w:t>
      </w:r>
      <w:r>
        <w:rPr>
          <w:sz w:val="20"/>
          <w:szCs w:val="20"/>
        </w:rPr>
        <w:t>tances under which the holders of Series A Preferred Stock are entitled to vote, the Series A Preferred Stock votes separately as a class along with all other series of our preferred stock that we may issue upon which like voting rights have been conferred</w:t>
      </w:r>
      <w:r>
        <w:rPr>
          <w:sz w:val="20"/>
          <w:szCs w:val="20"/>
        </w:rPr>
        <w:t xml:space="preserve"> and are exercisable. As a result, the voting rights of holders of Series A Preferred Stock may be significantly diluted, and the holders of such other series of preferred stock that we may issue may be able to control or significantly influence the outcom</w:t>
      </w:r>
      <w:r>
        <w:rPr>
          <w:sz w:val="20"/>
          <w:szCs w:val="20"/>
        </w:rPr>
        <w:t>e of any vote.</w:t>
      </w:r>
    </w:p>
    <w:p w14:paraId="274C47F8"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97082CA" w14:textId="77777777">
        <w:trPr>
          <w:divId w:val="335230087"/>
        </w:trPr>
        <w:tc>
          <w:tcPr>
            <w:tcW w:w="5000" w:type="pct"/>
            <w:hideMark/>
          </w:tcPr>
          <w:p w14:paraId="3471B66F"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52938BF6" w14:textId="77777777">
        <w:tc>
          <w:tcPr>
            <w:tcW w:w="5000" w:type="pct"/>
            <w:hideMark/>
          </w:tcPr>
          <w:p w14:paraId="3C563748" w14:textId="77777777" w:rsidR="00000000" w:rsidRDefault="001826C1">
            <w:pPr>
              <w:jc w:val="center"/>
              <w:rPr>
                <w:rFonts w:eastAsia="Times New Roman"/>
                <w:sz w:val="20"/>
                <w:szCs w:val="20"/>
              </w:rPr>
            </w:pPr>
            <w:r>
              <w:rPr>
                <w:rFonts w:eastAsia="Times New Roman"/>
                <w:sz w:val="20"/>
                <w:szCs w:val="20"/>
              </w:rPr>
              <w:t> </w:t>
            </w:r>
          </w:p>
        </w:tc>
      </w:tr>
    </w:tbl>
    <w:p w14:paraId="016D4F29" w14:textId="77777777" w:rsidR="00000000" w:rsidRDefault="001826C1">
      <w:pPr>
        <w:pStyle w:val="a3"/>
        <w:spacing w:before="0" w:beforeAutospacing="0" w:after="0" w:afterAutospacing="0" w:line="256" w:lineRule="auto"/>
        <w:rPr>
          <w:sz w:val="20"/>
          <w:szCs w:val="20"/>
        </w:rPr>
      </w:pPr>
      <w:r>
        <w:rPr>
          <w:sz w:val="20"/>
          <w:szCs w:val="20"/>
        </w:rPr>
        <w:t> </w:t>
      </w:r>
    </w:p>
    <w:p w14:paraId="598295DC" w14:textId="77777777" w:rsidR="00000000" w:rsidRDefault="001826C1">
      <w:pPr>
        <w:pStyle w:val="a3"/>
        <w:spacing w:before="0" w:beforeAutospacing="0" w:after="0" w:afterAutospacing="0"/>
        <w:jc w:val="both"/>
        <w:rPr>
          <w:sz w:val="20"/>
          <w:szCs w:val="20"/>
        </w:rPr>
      </w:pPr>
      <w:r>
        <w:rPr>
          <w:sz w:val="20"/>
          <w:szCs w:val="20"/>
        </w:rPr>
        <w:t xml:space="preserve">Future issuances and sales of senior or pari passu preferred stock, or the perception that such issuances and sales could occur, may cause prevailing market prices for the Series A Preferred Stock and our common stock to decline </w:t>
      </w:r>
      <w:r>
        <w:rPr>
          <w:sz w:val="20"/>
          <w:szCs w:val="20"/>
        </w:rPr>
        <w:t>and may adversely affect our ability to raise additional capital in the financial markets at times and prices favorable to us.</w:t>
      </w:r>
    </w:p>
    <w:p w14:paraId="01BBFB15" w14:textId="77777777" w:rsidR="00000000" w:rsidRDefault="001826C1">
      <w:pPr>
        <w:pStyle w:val="a3"/>
        <w:spacing w:before="0" w:beforeAutospacing="0" w:after="0" w:afterAutospacing="0"/>
        <w:jc w:val="both"/>
        <w:rPr>
          <w:sz w:val="20"/>
          <w:szCs w:val="20"/>
        </w:rPr>
      </w:pPr>
      <w:r>
        <w:rPr>
          <w:sz w:val="20"/>
          <w:szCs w:val="20"/>
        </w:rPr>
        <w:t> </w:t>
      </w:r>
    </w:p>
    <w:p w14:paraId="239C119F" w14:textId="77777777" w:rsidR="00000000" w:rsidRDefault="001826C1">
      <w:pPr>
        <w:pStyle w:val="a3"/>
        <w:spacing w:before="0" w:beforeAutospacing="0" w:after="0" w:afterAutospacing="0"/>
        <w:jc w:val="both"/>
        <w:rPr>
          <w:sz w:val="20"/>
          <w:szCs w:val="20"/>
        </w:rPr>
      </w:pPr>
      <w:r>
        <w:rPr>
          <w:b/>
          <w:bCs/>
          <w:i/>
          <w:iCs/>
          <w:sz w:val="20"/>
          <w:szCs w:val="20"/>
        </w:rPr>
        <w:t>Market interest rates may materially and adversely affect the value of the Series A Preferred Stock.</w:t>
      </w:r>
    </w:p>
    <w:p w14:paraId="355CD50F" w14:textId="77777777" w:rsidR="00000000" w:rsidRDefault="001826C1">
      <w:pPr>
        <w:pStyle w:val="a3"/>
        <w:spacing w:before="0" w:beforeAutospacing="0" w:after="0" w:afterAutospacing="0"/>
        <w:jc w:val="both"/>
        <w:rPr>
          <w:sz w:val="20"/>
          <w:szCs w:val="20"/>
        </w:rPr>
      </w:pPr>
      <w:r>
        <w:rPr>
          <w:sz w:val="20"/>
          <w:szCs w:val="20"/>
        </w:rPr>
        <w:t> </w:t>
      </w:r>
    </w:p>
    <w:p w14:paraId="45667831" w14:textId="77777777" w:rsidR="00000000" w:rsidRDefault="001826C1">
      <w:pPr>
        <w:pStyle w:val="a3"/>
        <w:spacing w:before="0" w:beforeAutospacing="0" w:after="0" w:afterAutospacing="0"/>
        <w:jc w:val="both"/>
        <w:rPr>
          <w:sz w:val="20"/>
          <w:szCs w:val="20"/>
        </w:rPr>
      </w:pPr>
      <w:r>
        <w:rPr>
          <w:sz w:val="20"/>
          <w:szCs w:val="20"/>
        </w:rPr>
        <w:t xml:space="preserve">One of the factors that </w:t>
      </w:r>
      <w:r>
        <w:rPr>
          <w:sz w:val="20"/>
          <w:szCs w:val="20"/>
        </w:rPr>
        <w:t>influences the price of the Series A Preferred Stock is the dividend yield on the Series A Preferred Stock (as a percentage of the market price of the Series A Preferred Stock) relative to market interest rates. An increase in market interest rates may lea</w:t>
      </w:r>
      <w:r>
        <w:rPr>
          <w:sz w:val="20"/>
          <w:szCs w:val="20"/>
        </w:rPr>
        <w:t>d prospective purchasers of the Series A Preferred Stock to expect a higher dividend yield (and higher interest rates would likely increase our borrowing costs and potentially decrease funds available for dividend payments). Thus, higher market interest ra</w:t>
      </w:r>
      <w:r>
        <w:rPr>
          <w:sz w:val="20"/>
          <w:szCs w:val="20"/>
        </w:rPr>
        <w:t>tes could cause the market price of the Series A Preferred Stock to materially decrease.</w:t>
      </w:r>
    </w:p>
    <w:p w14:paraId="071DBE2E" w14:textId="77777777" w:rsidR="00000000" w:rsidRDefault="001826C1">
      <w:pPr>
        <w:pStyle w:val="a3"/>
        <w:spacing w:before="0" w:beforeAutospacing="0" w:after="0" w:afterAutospacing="0"/>
        <w:jc w:val="both"/>
        <w:rPr>
          <w:sz w:val="20"/>
          <w:szCs w:val="20"/>
        </w:rPr>
      </w:pPr>
      <w:r>
        <w:rPr>
          <w:sz w:val="20"/>
          <w:szCs w:val="20"/>
        </w:rPr>
        <w:t> </w:t>
      </w:r>
    </w:p>
    <w:p w14:paraId="1B159E0A" w14:textId="77777777" w:rsidR="00000000" w:rsidRDefault="001826C1">
      <w:pPr>
        <w:pStyle w:val="a3"/>
        <w:spacing w:before="0" w:beforeAutospacing="0" w:after="0" w:afterAutospacing="0"/>
        <w:jc w:val="both"/>
        <w:rPr>
          <w:sz w:val="20"/>
          <w:szCs w:val="20"/>
        </w:rPr>
      </w:pPr>
      <w:r>
        <w:rPr>
          <w:b/>
          <w:bCs/>
          <w:i/>
          <w:iCs/>
          <w:sz w:val="20"/>
          <w:szCs w:val="20"/>
        </w:rPr>
        <w:t xml:space="preserve">Holders </w:t>
      </w:r>
      <w:r>
        <w:rPr>
          <w:b/>
          <w:bCs/>
          <w:i/>
          <w:iCs/>
          <w:sz w:val="20"/>
          <w:szCs w:val="20"/>
        </w:rPr>
        <w:t>of the Series A Preferred Stock may be unable to use the dividends-received deduction and may not be eligible for the preferential tax rates applicable to “qualified dividend income”.</w:t>
      </w:r>
    </w:p>
    <w:p w14:paraId="275CA95F" w14:textId="77777777" w:rsidR="00000000" w:rsidRDefault="001826C1">
      <w:pPr>
        <w:pStyle w:val="a3"/>
        <w:spacing w:before="0" w:beforeAutospacing="0" w:after="0" w:afterAutospacing="0"/>
        <w:jc w:val="both"/>
        <w:rPr>
          <w:sz w:val="20"/>
          <w:szCs w:val="20"/>
        </w:rPr>
      </w:pPr>
      <w:r>
        <w:rPr>
          <w:sz w:val="20"/>
          <w:szCs w:val="20"/>
        </w:rPr>
        <w:t> </w:t>
      </w:r>
    </w:p>
    <w:p w14:paraId="28DA5CC8" w14:textId="77777777" w:rsidR="00000000" w:rsidRDefault="001826C1">
      <w:pPr>
        <w:pStyle w:val="a3"/>
        <w:spacing w:before="0" w:beforeAutospacing="0" w:after="0" w:afterAutospacing="0"/>
        <w:jc w:val="both"/>
        <w:rPr>
          <w:sz w:val="20"/>
          <w:szCs w:val="20"/>
        </w:rPr>
      </w:pPr>
      <w:r>
        <w:rPr>
          <w:sz w:val="20"/>
          <w:szCs w:val="20"/>
        </w:rPr>
        <w:t>Distributions paid to corporate U.S. holders of the Series A Preferred</w:t>
      </w:r>
      <w:r>
        <w:rPr>
          <w:sz w:val="20"/>
          <w:szCs w:val="20"/>
        </w:rPr>
        <w:t xml:space="preserve"> Stock may be eligible for the dividends-received deduction, and distributions paid to non-corporate U.S. holders of the Series A Preferred Stock may be subject to tax at the preferential tax rates applicable to “qualified dividend income,” if we have curr</w:t>
      </w:r>
      <w:r>
        <w:rPr>
          <w:sz w:val="20"/>
          <w:szCs w:val="20"/>
        </w:rPr>
        <w:t>ent or accumulated earnings and profits, as determined for U.S. federal income tax purposes. We do not currently have such accumulated earnings and profits. Additionally, we may not have sufficient current earnings and profits during future fiscal years fo</w:t>
      </w:r>
      <w:r>
        <w:rPr>
          <w:sz w:val="20"/>
          <w:szCs w:val="20"/>
        </w:rPr>
        <w:t>r the distributions on the Series A Preferred Stock to qualify as dividends for U.S. federal income tax purposes. If the distributions fail to qualify as dividends, U.S. holders would be unable to use the dividends-received deduction and may not be eligibl</w:t>
      </w:r>
      <w:r>
        <w:rPr>
          <w:sz w:val="20"/>
          <w:szCs w:val="20"/>
        </w:rPr>
        <w:t>e for the preferential tax rates applicable to “qualified dividend income.” If any distributions on the Series A Preferred Stock with respect to any fiscal year are not eligible for the dividends-received deduction or preferential tax rates applicable to “</w:t>
      </w:r>
      <w:r>
        <w:rPr>
          <w:sz w:val="20"/>
          <w:szCs w:val="20"/>
        </w:rPr>
        <w:t>qualified dividend income” because of insufficient current or accumulated earnings and profits, it is possible that the market value of the Series A Preferred Stock might decline.</w:t>
      </w:r>
    </w:p>
    <w:p w14:paraId="5C263221" w14:textId="77777777" w:rsidR="00000000" w:rsidRDefault="001826C1">
      <w:pPr>
        <w:pStyle w:val="a3"/>
        <w:spacing w:before="0" w:beforeAutospacing="0" w:after="0" w:afterAutospacing="0"/>
        <w:jc w:val="both"/>
        <w:rPr>
          <w:sz w:val="20"/>
          <w:szCs w:val="20"/>
        </w:rPr>
      </w:pPr>
      <w:r>
        <w:rPr>
          <w:sz w:val="20"/>
          <w:szCs w:val="20"/>
        </w:rPr>
        <w:t> </w:t>
      </w:r>
    </w:p>
    <w:p w14:paraId="405E1526" w14:textId="77777777" w:rsidR="00000000" w:rsidRDefault="001826C1">
      <w:pPr>
        <w:pStyle w:val="a3"/>
        <w:spacing w:before="0" w:beforeAutospacing="0" w:after="0" w:afterAutospacing="0"/>
        <w:jc w:val="both"/>
        <w:rPr>
          <w:sz w:val="20"/>
          <w:szCs w:val="20"/>
        </w:rPr>
      </w:pPr>
      <w:r>
        <w:rPr>
          <w:b/>
          <w:bCs/>
          <w:i/>
          <w:iCs/>
          <w:sz w:val="20"/>
          <w:szCs w:val="20"/>
        </w:rPr>
        <w:t>Our revenues, operating results and cash flows may fluctuate in future per</w:t>
      </w:r>
      <w:r>
        <w:rPr>
          <w:b/>
          <w:bCs/>
          <w:i/>
          <w:iCs/>
          <w:sz w:val="20"/>
          <w:szCs w:val="20"/>
        </w:rPr>
        <w:t>iods and we may fail to meet investor expectations, which may cause the price of our Series A Preferred Stock to decline.</w:t>
      </w:r>
    </w:p>
    <w:p w14:paraId="745E21A0" w14:textId="77777777" w:rsidR="00000000" w:rsidRDefault="001826C1">
      <w:pPr>
        <w:pStyle w:val="a3"/>
        <w:spacing w:before="0" w:beforeAutospacing="0" w:after="0" w:afterAutospacing="0"/>
        <w:jc w:val="both"/>
        <w:rPr>
          <w:sz w:val="20"/>
          <w:szCs w:val="20"/>
        </w:rPr>
      </w:pPr>
      <w:r>
        <w:rPr>
          <w:sz w:val="20"/>
          <w:szCs w:val="20"/>
        </w:rPr>
        <w:t> </w:t>
      </w:r>
    </w:p>
    <w:p w14:paraId="5A3CFA9F" w14:textId="77777777" w:rsidR="00000000" w:rsidRDefault="001826C1">
      <w:pPr>
        <w:pStyle w:val="a3"/>
        <w:spacing w:before="0" w:beforeAutospacing="0" w:after="0" w:afterAutospacing="0"/>
        <w:jc w:val="both"/>
        <w:rPr>
          <w:sz w:val="20"/>
          <w:szCs w:val="20"/>
        </w:rPr>
      </w:pPr>
      <w:r>
        <w:rPr>
          <w:sz w:val="20"/>
          <w:szCs w:val="20"/>
        </w:rPr>
        <w:t>Variations in our quarterly and year-end operating results are difficult to predict and our income and cash flow may fluctuate signi</w:t>
      </w:r>
      <w:r>
        <w:rPr>
          <w:sz w:val="20"/>
          <w:szCs w:val="20"/>
        </w:rPr>
        <w:t>ficantly from period to period, which may impact our Board of Directors’ willingness or legal ability to declare a monthly dividend. If our operating results fall below the expectations of investors or securities analysts, the price of our Series A Preferr</w:t>
      </w:r>
      <w:r>
        <w:rPr>
          <w:sz w:val="20"/>
          <w:szCs w:val="20"/>
        </w:rPr>
        <w:t>ed Stock could decline substantially. Specific factors that may cause fluctuations in our operating results include:</w:t>
      </w:r>
    </w:p>
    <w:p w14:paraId="70679D92"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6F141A74" w14:textId="77777777">
        <w:tc>
          <w:tcPr>
            <w:tcW w:w="360" w:type="dxa"/>
            <w:hideMark/>
          </w:tcPr>
          <w:p w14:paraId="5214D4E3" w14:textId="77777777" w:rsidR="00000000" w:rsidRDefault="001826C1">
            <w:pPr>
              <w:rPr>
                <w:rFonts w:eastAsia="Times New Roman"/>
                <w:sz w:val="20"/>
                <w:szCs w:val="20"/>
              </w:rPr>
            </w:pPr>
            <w:r>
              <w:rPr>
                <w:rFonts w:eastAsia="Times New Roman"/>
                <w:sz w:val="20"/>
                <w:szCs w:val="20"/>
              </w:rPr>
              <w:t>●</w:t>
            </w:r>
          </w:p>
        </w:tc>
        <w:tc>
          <w:tcPr>
            <w:tcW w:w="0" w:type="auto"/>
            <w:hideMark/>
          </w:tcPr>
          <w:p w14:paraId="0437E335" w14:textId="77777777" w:rsidR="00000000" w:rsidRDefault="001826C1">
            <w:pPr>
              <w:rPr>
                <w:rFonts w:eastAsia="Times New Roman"/>
                <w:sz w:val="20"/>
                <w:szCs w:val="20"/>
              </w:rPr>
            </w:pPr>
            <w:r>
              <w:rPr>
                <w:rFonts w:eastAsia="Times New Roman"/>
                <w:sz w:val="20"/>
                <w:szCs w:val="20"/>
              </w:rPr>
              <w:t>demand and pricing for our products and services;</w:t>
            </w:r>
          </w:p>
        </w:tc>
      </w:tr>
      <w:tr w:rsidR="00000000" w14:paraId="1E4E6AC1" w14:textId="77777777">
        <w:tc>
          <w:tcPr>
            <w:tcW w:w="0" w:type="auto"/>
            <w:hideMark/>
          </w:tcPr>
          <w:p w14:paraId="7147C8CD" w14:textId="77777777" w:rsidR="00000000" w:rsidRDefault="001826C1">
            <w:pPr>
              <w:rPr>
                <w:rFonts w:eastAsia="Times New Roman"/>
                <w:sz w:val="20"/>
                <w:szCs w:val="20"/>
              </w:rPr>
            </w:pPr>
            <w:r>
              <w:rPr>
                <w:rFonts w:eastAsia="Times New Roman"/>
                <w:sz w:val="20"/>
                <w:szCs w:val="20"/>
              </w:rPr>
              <w:t> </w:t>
            </w:r>
          </w:p>
        </w:tc>
        <w:tc>
          <w:tcPr>
            <w:tcW w:w="0" w:type="auto"/>
            <w:hideMark/>
          </w:tcPr>
          <w:p w14:paraId="69EF59A1" w14:textId="77777777" w:rsidR="00000000" w:rsidRDefault="001826C1">
            <w:pPr>
              <w:rPr>
                <w:rFonts w:eastAsia="Times New Roman"/>
                <w:sz w:val="20"/>
                <w:szCs w:val="20"/>
              </w:rPr>
            </w:pPr>
            <w:r>
              <w:rPr>
                <w:rFonts w:eastAsia="Times New Roman"/>
                <w:sz w:val="20"/>
                <w:szCs w:val="20"/>
              </w:rPr>
              <w:t> </w:t>
            </w:r>
          </w:p>
        </w:tc>
      </w:tr>
      <w:tr w:rsidR="00000000" w14:paraId="25051275" w14:textId="77777777">
        <w:tc>
          <w:tcPr>
            <w:tcW w:w="0" w:type="auto"/>
            <w:hideMark/>
          </w:tcPr>
          <w:p w14:paraId="41622BDB" w14:textId="77777777" w:rsidR="00000000" w:rsidRDefault="001826C1">
            <w:pPr>
              <w:rPr>
                <w:rFonts w:eastAsia="Times New Roman"/>
                <w:sz w:val="20"/>
                <w:szCs w:val="20"/>
              </w:rPr>
            </w:pPr>
            <w:r>
              <w:rPr>
                <w:rFonts w:eastAsia="Times New Roman"/>
                <w:sz w:val="20"/>
                <w:szCs w:val="20"/>
              </w:rPr>
              <w:t>●</w:t>
            </w:r>
          </w:p>
        </w:tc>
        <w:tc>
          <w:tcPr>
            <w:tcW w:w="0" w:type="auto"/>
            <w:hideMark/>
          </w:tcPr>
          <w:p w14:paraId="6E393DCF" w14:textId="77777777" w:rsidR="00000000" w:rsidRDefault="001826C1">
            <w:pPr>
              <w:rPr>
                <w:rFonts w:eastAsia="Times New Roman"/>
                <w:sz w:val="20"/>
                <w:szCs w:val="20"/>
              </w:rPr>
            </w:pPr>
            <w:r>
              <w:rPr>
                <w:rFonts w:eastAsia="Times New Roman"/>
                <w:sz w:val="20"/>
                <w:szCs w:val="20"/>
              </w:rPr>
              <w:t>government or commercial healthcare reimbursement policies;</w:t>
            </w:r>
          </w:p>
        </w:tc>
      </w:tr>
      <w:tr w:rsidR="00000000" w14:paraId="3CC893C3" w14:textId="77777777">
        <w:tc>
          <w:tcPr>
            <w:tcW w:w="0" w:type="auto"/>
            <w:hideMark/>
          </w:tcPr>
          <w:p w14:paraId="4EA1C77A" w14:textId="77777777" w:rsidR="00000000" w:rsidRDefault="001826C1">
            <w:pPr>
              <w:rPr>
                <w:rFonts w:eastAsia="Times New Roman"/>
                <w:sz w:val="20"/>
                <w:szCs w:val="20"/>
              </w:rPr>
            </w:pPr>
            <w:r>
              <w:rPr>
                <w:rFonts w:eastAsia="Times New Roman"/>
                <w:sz w:val="20"/>
                <w:szCs w:val="20"/>
              </w:rPr>
              <w:t> </w:t>
            </w:r>
          </w:p>
        </w:tc>
        <w:tc>
          <w:tcPr>
            <w:tcW w:w="0" w:type="auto"/>
            <w:hideMark/>
          </w:tcPr>
          <w:p w14:paraId="2F6E7D45" w14:textId="77777777" w:rsidR="00000000" w:rsidRDefault="001826C1">
            <w:pPr>
              <w:rPr>
                <w:rFonts w:eastAsia="Times New Roman"/>
                <w:sz w:val="20"/>
                <w:szCs w:val="20"/>
              </w:rPr>
            </w:pPr>
            <w:r>
              <w:rPr>
                <w:rFonts w:eastAsia="Times New Roman"/>
                <w:sz w:val="20"/>
                <w:szCs w:val="20"/>
              </w:rPr>
              <w:t> </w:t>
            </w:r>
          </w:p>
        </w:tc>
      </w:tr>
      <w:tr w:rsidR="00000000" w14:paraId="6A1BCC94" w14:textId="77777777">
        <w:tc>
          <w:tcPr>
            <w:tcW w:w="0" w:type="auto"/>
            <w:hideMark/>
          </w:tcPr>
          <w:p w14:paraId="75D9758E" w14:textId="77777777" w:rsidR="00000000" w:rsidRDefault="001826C1">
            <w:pPr>
              <w:rPr>
                <w:rFonts w:eastAsia="Times New Roman"/>
                <w:sz w:val="20"/>
                <w:szCs w:val="20"/>
              </w:rPr>
            </w:pPr>
            <w:r>
              <w:rPr>
                <w:rFonts w:eastAsia="Times New Roman"/>
                <w:sz w:val="20"/>
                <w:szCs w:val="20"/>
              </w:rPr>
              <w:t>●</w:t>
            </w:r>
          </w:p>
        </w:tc>
        <w:tc>
          <w:tcPr>
            <w:tcW w:w="0" w:type="auto"/>
            <w:hideMark/>
          </w:tcPr>
          <w:p w14:paraId="327FC0FF" w14:textId="77777777" w:rsidR="00000000" w:rsidRDefault="001826C1">
            <w:pPr>
              <w:rPr>
                <w:rFonts w:eastAsia="Times New Roman"/>
                <w:sz w:val="20"/>
                <w:szCs w:val="20"/>
              </w:rPr>
            </w:pPr>
            <w:r>
              <w:rPr>
                <w:rFonts w:eastAsia="Times New Roman"/>
                <w:sz w:val="20"/>
                <w:szCs w:val="20"/>
              </w:rPr>
              <w:t>physician and patient acceptance of any of our current or future products;</w:t>
            </w:r>
          </w:p>
        </w:tc>
      </w:tr>
      <w:tr w:rsidR="00000000" w14:paraId="04A55371" w14:textId="77777777">
        <w:tc>
          <w:tcPr>
            <w:tcW w:w="0" w:type="auto"/>
            <w:hideMark/>
          </w:tcPr>
          <w:p w14:paraId="478430B8" w14:textId="77777777" w:rsidR="00000000" w:rsidRDefault="001826C1">
            <w:pPr>
              <w:rPr>
                <w:rFonts w:eastAsia="Times New Roman"/>
                <w:sz w:val="20"/>
                <w:szCs w:val="20"/>
              </w:rPr>
            </w:pPr>
            <w:r>
              <w:rPr>
                <w:rFonts w:eastAsia="Times New Roman"/>
                <w:sz w:val="20"/>
                <w:szCs w:val="20"/>
              </w:rPr>
              <w:t> </w:t>
            </w:r>
          </w:p>
        </w:tc>
        <w:tc>
          <w:tcPr>
            <w:tcW w:w="0" w:type="auto"/>
            <w:hideMark/>
          </w:tcPr>
          <w:p w14:paraId="354DCC59" w14:textId="77777777" w:rsidR="00000000" w:rsidRDefault="001826C1">
            <w:pPr>
              <w:rPr>
                <w:rFonts w:eastAsia="Times New Roman"/>
                <w:sz w:val="20"/>
                <w:szCs w:val="20"/>
              </w:rPr>
            </w:pPr>
            <w:r>
              <w:rPr>
                <w:rFonts w:eastAsia="Times New Roman"/>
                <w:sz w:val="20"/>
                <w:szCs w:val="20"/>
              </w:rPr>
              <w:t> </w:t>
            </w:r>
          </w:p>
        </w:tc>
      </w:tr>
      <w:tr w:rsidR="00000000" w14:paraId="29187C21" w14:textId="77777777">
        <w:tc>
          <w:tcPr>
            <w:tcW w:w="0" w:type="auto"/>
            <w:hideMark/>
          </w:tcPr>
          <w:p w14:paraId="557ED91C" w14:textId="77777777" w:rsidR="00000000" w:rsidRDefault="001826C1">
            <w:pPr>
              <w:rPr>
                <w:rFonts w:eastAsia="Times New Roman"/>
                <w:sz w:val="20"/>
                <w:szCs w:val="20"/>
              </w:rPr>
            </w:pPr>
            <w:r>
              <w:rPr>
                <w:rFonts w:eastAsia="Times New Roman"/>
                <w:sz w:val="20"/>
                <w:szCs w:val="20"/>
              </w:rPr>
              <w:t>●</w:t>
            </w:r>
          </w:p>
        </w:tc>
        <w:tc>
          <w:tcPr>
            <w:tcW w:w="0" w:type="auto"/>
            <w:hideMark/>
          </w:tcPr>
          <w:p w14:paraId="7E5BF6D0" w14:textId="77777777" w:rsidR="00000000" w:rsidRDefault="001826C1">
            <w:pPr>
              <w:rPr>
                <w:rFonts w:eastAsia="Times New Roman"/>
                <w:sz w:val="20"/>
                <w:szCs w:val="20"/>
              </w:rPr>
            </w:pPr>
            <w:r>
              <w:rPr>
                <w:rFonts w:eastAsia="Times New Roman"/>
                <w:sz w:val="20"/>
                <w:szCs w:val="20"/>
              </w:rPr>
              <w:t>introduction of competing products;</w:t>
            </w:r>
          </w:p>
        </w:tc>
      </w:tr>
      <w:tr w:rsidR="00000000" w14:paraId="21DA716B" w14:textId="77777777">
        <w:tc>
          <w:tcPr>
            <w:tcW w:w="0" w:type="auto"/>
            <w:hideMark/>
          </w:tcPr>
          <w:p w14:paraId="2B5ECD7D" w14:textId="77777777" w:rsidR="00000000" w:rsidRDefault="001826C1">
            <w:pPr>
              <w:rPr>
                <w:rFonts w:eastAsia="Times New Roman"/>
                <w:sz w:val="20"/>
                <w:szCs w:val="20"/>
              </w:rPr>
            </w:pPr>
            <w:r>
              <w:rPr>
                <w:rFonts w:eastAsia="Times New Roman"/>
                <w:sz w:val="20"/>
                <w:szCs w:val="20"/>
              </w:rPr>
              <w:t> </w:t>
            </w:r>
          </w:p>
        </w:tc>
        <w:tc>
          <w:tcPr>
            <w:tcW w:w="0" w:type="auto"/>
            <w:hideMark/>
          </w:tcPr>
          <w:p w14:paraId="6EFE0388" w14:textId="77777777" w:rsidR="00000000" w:rsidRDefault="001826C1">
            <w:pPr>
              <w:rPr>
                <w:rFonts w:eastAsia="Times New Roman"/>
                <w:sz w:val="20"/>
                <w:szCs w:val="20"/>
              </w:rPr>
            </w:pPr>
            <w:r>
              <w:rPr>
                <w:rFonts w:eastAsia="Times New Roman"/>
                <w:sz w:val="20"/>
                <w:szCs w:val="20"/>
              </w:rPr>
              <w:t> </w:t>
            </w:r>
          </w:p>
        </w:tc>
      </w:tr>
      <w:tr w:rsidR="00000000" w14:paraId="17E7CD13" w14:textId="77777777">
        <w:tc>
          <w:tcPr>
            <w:tcW w:w="0" w:type="auto"/>
            <w:hideMark/>
          </w:tcPr>
          <w:p w14:paraId="543DD6D5" w14:textId="77777777" w:rsidR="00000000" w:rsidRDefault="001826C1">
            <w:pPr>
              <w:rPr>
                <w:rFonts w:eastAsia="Times New Roman"/>
                <w:sz w:val="20"/>
                <w:szCs w:val="20"/>
              </w:rPr>
            </w:pPr>
            <w:r>
              <w:rPr>
                <w:rFonts w:eastAsia="Times New Roman"/>
                <w:sz w:val="20"/>
                <w:szCs w:val="20"/>
              </w:rPr>
              <w:t>●</w:t>
            </w:r>
          </w:p>
        </w:tc>
        <w:tc>
          <w:tcPr>
            <w:tcW w:w="0" w:type="auto"/>
            <w:hideMark/>
          </w:tcPr>
          <w:p w14:paraId="636795B9" w14:textId="77777777" w:rsidR="00000000" w:rsidRDefault="001826C1">
            <w:pPr>
              <w:rPr>
                <w:rFonts w:eastAsia="Times New Roman"/>
                <w:sz w:val="20"/>
                <w:szCs w:val="20"/>
              </w:rPr>
            </w:pPr>
            <w:r>
              <w:rPr>
                <w:rFonts w:eastAsia="Times New Roman"/>
                <w:sz w:val="20"/>
                <w:szCs w:val="20"/>
              </w:rPr>
              <w:t>our operating expenses which fluctuate due to growth of our business;</w:t>
            </w:r>
          </w:p>
        </w:tc>
      </w:tr>
      <w:tr w:rsidR="00000000" w14:paraId="15D1C390" w14:textId="77777777">
        <w:tc>
          <w:tcPr>
            <w:tcW w:w="0" w:type="auto"/>
            <w:hideMark/>
          </w:tcPr>
          <w:p w14:paraId="32B316D6" w14:textId="77777777" w:rsidR="00000000" w:rsidRDefault="001826C1">
            <w:pPr>
              <w:rPr>
                <w:rFonts w:eastAsia="Times New Roman"/>
                <w:sz w:val="20"/>
                <w:szCs w:val="20"/>
              </w:rPr>
            </w:pPr>
            <w:r>
              <w:rPr>
                <w:rFonts w:eastAsia="Times New Roman"/>
                <w:sz w:val="20"/>
                <w:szCs w:val="20"/>
              </w:rPr>
              <w:t> </w:t>
            </w:r>
          </w:p>
        </w:tc>
        <w:tc>
          <w:tcPr>
            <w:tcW w:w="0" w:type="auto"/>
            <w:hideMark/>
          </w:tcPr>
          <w:p w14:paraId="1B7FEDC8" w14:textId="77777777" w:rsidR="00000000" w:rsidRDefault="001826C1">
            <w:pPr>
              <w:rPr>
                <w:rFonts w:eastAsia="Times New Roman"/>
                <w:sz w:val="20"/>
                <w:szCs w:val="20"/>
              </w:rPr>
            </w:pPr>
            <w:r>
              <w:rPr>
                <w:rFonts w:eastAsia="Times New Roman"/>
                <w:sz w:val="20"/>
                <w:szCs w:val="20"/>
              </w:rPr>
              <w:t> </w:t>
            </w:r>
          </w:p>
        </w:tc>
      </w:tr>
      <w:tr w:rsidR="00000000" w14:paraId="730C1101" w14:textId="77777777">
        <w:tc>
          <w:tcPr>
            <w:tcW w:w="0" w:type="auto"/>
            <w:hideMark/>
          </w:tcPr>
          <w:p w14:paraId="2B481DBE" w14:textId="77777777" w:rsidR="00000000" w:rsidRDefault="001826C1">
            <w:pPr>
              <w:rPr>
                <w:rFonts w:eastAsia="Times New Roman"/>
                <w:sz w:val="20"/>
                <w:szCs w:val="20"/>
              </w:rPr>
            </w:pPr>
            <w:r>
              <w:rPr>
                <w:rFonts w:eastAsia="Times New Roman"/>
                <w:sz w:val="20"/>
                <w:szCs w:val="20"/>
              </w:rPr>
              <w:t>●</w:t>
            </w:r>
          </w:p>
        </w:tc>
        <w:tc>
          <w:tcPr>
            <w:tcW w:w="0" w:type="auto"/>
            <w:hideMark/>
          </w:tcPr>
          <w:p w14:paraId="08A9BEDE" w14:textId="77777777" w:rsidR="00000000" w:rsidRDefault="001826C1">
            <w:pPr>
              <w:rPr>
                <w:rFonts w:eastAsia="Times New Roman"/>
                <w:sz w:val="20"/>
                <w:szCs w:val="20"/>
              </w:rPr>
            </w:pPr>
            <w:r>
              <w:rPr>
                <w:rFonts w:eastAsia="Times New Roman"/>
                <w:sz w:val="20"/>
                <w:szCs w:val="20"/>
              </w:rPr>
              <w:t>timing and size of any new product or technology ac</w:t>
            </w:r>
            <w:r>
              <w:rPr>
                <w:rFonts w:eastAsia="Times New Roman"/>
                <w:sz w:val="20"/>
                <w:szCs w:val="20"/>
              </w:rPr>
              <w:t>quisitions we may complete; and</w:t>
            </w:r>
          </w:p>
        </w:tc>
      </w:tr>
      <w:tr w:rsidR="00000000" w14:paraId="2776E511" w14:textId="77777777">
        <w:tc>
          <w:tcPr>
            <w:tcW w:w="0" w:type="auto"/>
            <w:hideMark/>
          </w:tcPr>
          <w:p w14:paraId="30F542B5" w14:textId="77777777" w:rsidR="00000000" w:rsidRDefault="001826C1">
            <w:pPr>
              <w:rPr>
                <w:rFonts w:eastAsia="Times New Roman"/>
                <w:sz w:val="20"/>
                <w:szCs w:val="20"/>
              </w:rPr>
            </w:pPr>
            <w:r>
              <w:rPr>
                <w:rFonts w:eastAsia="Times New Roman"/>
                <w:sz w:val="20"/>
                <w:szCs w:val="20"/>
              </w:rPr>
              <w:t> </w:t>
            </w:r>
          </w:p>
        </w:tc>
        <w:tc>
          <w:tcPr>
            <w:tcW w:w="0" w:type="auto"/>
            <w:hideMark/>
          </w:tcPr>
          <w:p w14:paraId="4C0CF098" w14:textId="77777777" w:rsidR="00000000" w:rsidRDefault="001826C1">
            <w:pPr>
              <w:rPr>
                <w:rFonts w:eastAsia="Times New Roman"/>
                <w:sz w:val="20"/>
                <w:szCs w:val="20"/>
              </w:rPr>
            </w:pPr>
            <w:r>
              <w:rPr>
                <w:rFonts w:eastAsia="Times New Roman"/>
                <w:sz w:val="20"/>
                <w:szCs w:val="20"/>
              </w:rPr>
              <w:t> </w:t>
            </w:r>
          </w:p>
        </w:tc>
      </w:tr>
      <w:tr w:rsidR="00000000" w14:paraId="62C7AF08" w14:textId="77777777">
        <w:tc>
          <w:tcPr>
            <w:tcW w:w="0" w:type="auto"/>
            <w:hideMark/>
          </w:tcPr>
          <w:p w14:paraId="173E7B98" w14:textId="77777777" w:rsidR="00000000" w:rsidRDefault="001826C1">
            <w:pPr>
              <w:rPr>
                <w:rFonts w:eastAsia="Times New Roman"/>
                <w:sz w:val="20"/>
                <w:szCs w:val="20"/>
              </w:rPr>
            </w:pPr>
            <w:r>
              <w:rPr>
                <w:rFonts w:eastAsia="Times New Roman"/>
                <w:sz w:val="20"/>
                <w:szCs w:val="20"/>
              </w:rPr>
              <w:t>●</w:t>
            </w:r>
          </w:p>
        </w:tc>
        <w:tc>
          <w:tcPr>
            <w:tcW w:w="0" w:type="auto"/>
            <w:hideMark/>
          </w:tcPr>
          <w:p w14:paraId="53183575" w14:textId="77777777" w:rsidR="00000000" w:rsidRDefault="001826C1">
            <w:pPr>
              <w:rPr>
                <w:rFonts w:eastAsia="Times New Roman"/>
                <w:sz w:val="20"/>
                <w:szCs w:val="20"/>
              </w:rPr>
            </w:pPr>
            <w:r>
              <w:rPr>
                <w:rFonts w:eastAsia="Times New Roman"/>
                <w:sz w:val="20"/>
                <w:szCs w:val="20"/>
              </w:rPr>
              <w:t>variable sales cycle and implementation periods for our products and services.</w:t>
            </w:r>
          </w:p>
        </w:tc>
      </w:tr>
    </w:tbl>
    <w:p w14:paraId="2192A478" w14:textId="77777777" w:rsidR="00000000" w:rsidRDefault="001826C1">
      <w:pPr>
        <w:pStyle w:val="a3"/>
        <w:spacing w:before="0" w:beforeAutospacing="0" w:after="0" w:afterAutospacing="0"/>
        <w:jc w:val="both"/>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FB90BF2" w14:textId="77777777">
        <w:trPr>
          <w:divId w:val="972443678"/>
        </w:trPr>
        <w:tc>
          <w:tcPr>
            <w:tcW w:w="5000" w:type="pct"/>
            <w:hideMark/>
          </w:tcPr>
          <w:p w14:paraId="11BC4BEA" w14:textId="77777777" w:rsidR="00000000" w:rsidRDefault="001826C1">
            <w:pPr>
              <w:jc w:val="center"/>
              <w:rPr>
                <w:rFonts w:eastAsia="Times New Roman"/>
                <w:sz w:val="20"/>
                <w:szCs w:val="20"/>
              </w:rPr>
            </w:pP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684392F3" w14:textId="77777777">
        <w:tc>
          <w:tcPr>
            <w:tcW w:w="5000" w:type="pct"/>
            <w:hideMark/>
          </w:tcPr>
          <w:p w14:paraId="790C4F1A" w14:textId="77777777" w:rsidR="00000000" w:rsidRDefault="001826C1">
            <w:pPr>
              <w:jc w:val="center"/>
              <w:rPr>
                <w:rFonts w:eastAsia="Times New Roman"/>
                <w:sz w:val="20"/>
                <w:szCs w:val="20"/>
              </w:rPr>
            </w:pPr>
            <w:r>
              <w:rPr>
                <w:rFonts w:eastAsia="Times New Roman"/>
                <w:sz w:val="20"/>
                <w:szCs w:val="20"/>
              </w:rPr>
              <w:t> </w:t>
            </w:r>
          </w:p>
        </w:tc>
      </w:tr>
    </w:tbl>
    <w:p w14:paraId="036973E2" w14:textId="77777777" w:rsidR="00000000" w:rsidRDefault="001826C1">
      <w:pPr>
        <w:pStyle w:val="a3"/>
        <w:spacing w:before="0" w:beforeAutospacing="0" w:after="0" w:afterAutospacing="0" w:line="256" w:lineRule="auto"/>
        <w:rPr>
          <w:sz w:val="20"/>
          <w:szCs w:val="20"/>
        </w:rPr>
      </w:pPr>
      <w:r>
        <w:rPr>
          <w:b/>
          <w:bCs/>
          <w:i/>
          <w:iCs/>
          <w:sz w:val="20"/>
          <w:szCs w:val="20"/>
        </w:rPr>
        <w:t> </w:t>
      </w:r>
    </w:p>
    <w:p w14:paraId="7F8F6563" w14:textId="77777777" w:rsidR="00000000" w:rsidRDefault="001826C1">
      <w:pPr>
        <w:pStyle w:val="a3"/>
        <w:spacing w:before="0" w:beforeAutospacing="0" w:after="0" w:afterAutospacing="0"/>
        <w:jc w:val="both"/>
        <w:rPr>
          <w:sz w:val="20"/>
          <w:szCs w:val="20"/>
        </w:rPr>
      </w:pPr>
      <w:r>
        <w:rPr>
          <w:b/>
          <w:bCs/>
          <w:i/>
          <w:iCs/>
          <w:sz w:val="20"/>
          <w:szCs w:val="20"/>
        </w:rPr>
        <w:t>Our Series A Preferred Stock has not been rated.</w:t>
      </w:r>
    </w:p>
    <w:p w14:paraId="3B318153" w14:textId="77777777" w:rsidR="00000000" w:rsidRDefault="001826C1">
      <w:pPr>
        <w:pStyle w:val="a3"/>
        <w:spacing w:before="0" w:beforeAutospacing="0" w:after="0" w:afterAutospacing="0"/>
        <w:jc w:val="both"/>
        <w:rPr>
          <w:sz w:val="20"/>
          <w:szCs w:val="20"/>
        </w:rPr>
      </w:pPr>
      <w:r>
        <w:rPr>
          <w:b/>
          <w:bCs/>
          <w:i/>
          <w:iCs/>
          <w:sz w:val="20"/>
          <w:szCs w:val="20"/>
        </w:rPr>
        <w:t> </w:t>
      </w:r>
    </w:p>
    <w:p w14:paraId="753B1874" w14:textId="77777777" w:rsidR="00000000" w:rsidRDefault="001826C1">
      <w:pPr>
        <w:pStyle w:val="a3"/>
        <w:spacing w:before="0" w:beforeAutospacing="0" w:after="0" w:afterAutospacing="0"/>
        <w:jc w:val="both"/>
        <w:rPr>
          <w:sz w:val="20"/>
          <w:szCs w:val="20"/>
        </w:rPr>
      </w:pPr>
      <w:r>
        <w:rPr>
          <w:sz w:val="20"/>
          <w:szCs w:val="20"/>
        </w:rPr>
        <w:t xml:space="preserve">We </w:t>
      </w:r>
      <w:r>
        <w:rPr>
          <w:sz w:val="20"/>
          <w:szCs w:val="20"/>
        </w:rPr>
        <w:t xml:space="preserve">have not sought to obtain a rating for the Series A Preferred Stock. No assurance can be given, however, that one or more rating agencies might not independently determine to issue such a rating or that such a rating, if issued, would not adversely affect </w:t>
      </w:r>
      <w:r>
        <w:rPr>
          <w:sz w:val="20"/>
          <w:szCs w:val="20"/>
        </w:rPr>
        <w:t>the market price of the Series A Preferred Stock. Also, we may elect in the future to obtain a rating for the Series A Preferred Stock, which could adversely affect the market price of the Series A Preferred Stock. Ratings only reflect the views of the rat</w:t>
      </w:r>
      <w:r>
        <w:rPr>
          <w:sz w:val="20"/>
          <w:szCs w:val="20"/>
        </w:rPr>
        <w:t>ing agency or agencies issuing the ratings and such ratings could be revised downward, placed on a watch list or withdrawn entirely at the discretion of the issuing rating agency if in its judgment circumstances so warrant. Any such downward revision, plac</w:t>
      </w:r>
      <w:r>
        <w:rPr>
          <w:sz w:val="20"/>
          <w:szCs w:val="20"/>
        </w:rPr>
        <w:t>ing on a watch list or withdrawal of a rating could have an adverse effect on the market price of the Series A Preferred Stock.</w:t>
      </w:r>
    </w:p>
    <w:p w14:paraId="77260908" w14:textId="77777777" w:rsidR="00000000" w:rsidRDefault="001826C1">
      <w:pPr>
        <w:pStyle w:val="a3"/>
        <w:spacing w:before="0" w:beforeAutospacing="0" w:after="0" w:afterAutospacing="0"/>
        <w:jc w:val="both"/>
        <w:rPr>
          <w:sz w:val="20"/>
          <w:szCs w:val="20"/>
        </w:rPr>
      </w:pPr>
      <w:r>
        <w:rPr>
          <w:sz w:val="20"/>
          <w:szCs w:val="20"/>
        </w:rPr>
        <w:t> </w:t>
      </w:r>
    </w:p>
    <w:p w14:paraId="09357185" w14:textId="77777777" w:rsidR="00000000" w:rsidRDefault="001826C1">
      <w:pPr>
        <w:pStyle w:val="a3"/>
        <w:spacing w:before="0" w:beforeAutospacing="0" w:after="0" w:afterAutospacing="0"/>
        <w:jc w:val="both"/>
        <w:rPr>
          <w:sz w:val="20"/>
          <w:szCs w:val="20"/>
        </w:rPr>
      </w:pPr>
      <w:r>
        <w:rPr>
          <w:b/>
          <w:bCs/>
          <w:i/>
          <w:iCs/>
          <w:sz w:val="20"/>
          <w:szCs w:val="20"/>
        </w:rPr>
        <w:t>We may redeem the Series A Preferred Stock on or after November 4, 2020</w:t>
      </w:r>
    </w:p>
    <w:p w14:paraId="6250A74C" w14:textId="77777777" w:rsidR="00000000" w:rsidRDefault="001826C1">
      <w:pPr>
        <w:pStyle w:val="a3"/>
        <w:spacing w:before="0" w:beforeAutospacing="0" w:after="0" w:afterAutospacing="0"/>
        <w:jc w:val="both"/>
        <w:rPr>
          <w:sz w:val="20"/>
          <w:szCs w:val="20"/>
        </w:rPr>
      </w:pPr>
      <w:r>
        <w:rPr>
          <w:b/>
          <w:bCs/>
          <w:i/>
          <w:iCs/>
          <w:sz w:val="20"/>
          <w:szCs w:val="20"/>
        </w:rPr>
        <w:t> </w:t>
      </w:r>
    </w:p>
    <w:p w14:paraId="4B2F005A" w14:textId="77777777" w:rsidR="00000000" w:rsidRDefault="001826C1">
      <w:pPr>
        <w:pStyle w:val="a3"/>
        <w:spacing w:before="0" w:beforeAutospacing="0" w:after="0" w:afterAutospacing="0"/>
        <w:jc w:val="both"/>
        <w:rPr>
          <w:sz w:val="20"/>
          <w:szCs w:val="20"/>
        </w:rPr>
      </w:pPr>
      <w:r>
        <w:rPr>
          <w:sz w:val="20"/>
          <w:szCs w:val="20"/>
        </w:rPr>
        <w:t>On or after November 4, 2020, we may, at our option,</w:t>
      </w:r>
      <w:r>
        <w:rPr>
          <w:sz w:val="20"/>
          <w:szCs w:val="20"/>
        </w:rPr>
        <w:t xml:space="preserve"> redeem the Series A Preferred Stock, in whole or in part, at any time or from time to time. Also, upon the occurrence of a change of control, we may, at our option, redeem the Series A Preferred Stock, in whole or in part, within 120 days after the first </w:t>
      </w:r>
      <w:r>
        <w:rPr>
          <w:sz w:val="20"/>
          <w:szCs w:val="20"/>
        </w:rPr>
        <w:t>date on which such change of control occurred. We may have an incentive to redeem the Series A Preferred Stock voluntarily if market conditions allow us to issue other preferred stock or debt securities at a rate that is lower than the dividend on the Seri</w:t>
      </w:r>
      <w:r>
        <w:rPr>
          <w:sz w:val="20"/>
          <w:szCs w:val="20"/>
        </w:rPr>
        <w:t>es A Preferred Stock. If we redeem the Series A Preferred Stock, then from and after the redemption date, dividends will cease to accrue on shares of Series A Preferred Stock, the shares of Series A Preferred Stock shall no longer be deemed outstanding and</w:t>
      </w:r>
      <w:r>
        <w:rPr>
          <w:sz w:val="20"/>
          <w:szCs w:val="20"/>
        </w:rPr>
        <w:t xml:space="preserve"> all rights as a holder of those shares will terminate, except the right to receive the redemption price plus accumulated and unpaid dividends, if any, payable upon redemption.</w:t>
      </w:r>
    </w:p>
    <w:p w14:paraId="652D4C31" w14:textId="77777777" w:rsidR="00000000" w:rsidRDefault="001826C1">
      <w:pPr>
        <w:pStyle w:val="a3"/>
        <w:spacing w:before="0" w:beforeAutospacing="0" w:after="0" w:afterAutospacing="0"/>
        <w:jc w:val="both"/>
        <w:rPr>
          <w:sz w:val="20"/>
          <w:szCs w:val="20"/>
        </w:rPr>
      </w:pPr>
      <w:r>
        <w:rPr>
          <w:sz w:val="20"/>
          <w:szCs w:val="20"/>
        </w:rPr>
        <w:t> </w:t>
      </w:r>
    </w:p>
    <w:p w14:paraId="15D0E94B" w14:textId="77777777" w:rsidR="00000000" w:rsidRDefault="001826C1">
      <w:pPr>
        <w:pStyle w:val="a3"/>
        <w:spacing w:before="0" w:beforeAutospacing="0" w:after="0" w:afterAutospacing="0"/>
        <w:jc w:val="both"/>
        <w:rPr>
          <w:sz w:val="20"/>
          <w:szCs w:val="20"/>
        </w:rPr>
      </w:pPr>
      <w:r>
        <w:rPr>
          <w:b/>
          <w:bCs/>
          <w:i/>
          <w:iCs/>
          <w:sz w:val="20"/>
          <w:szCs w:val="20"/>
        </w:rPr>
        <w:t xml:space="preserve">The </w:t>
      </w:r>
      <w:r>
        <w:rPr>
          <w:b/>
          <w:bCs/>
          <w:i/>
          <w:iCs/>
          <w:sz w:val="20"/>
          <w:szCs w:val="20"/>
        </w:rPr>
        <w:t>market price of our Series A Preferred Stock is variable and could be substantially affected by various factors.</w:t>
      </w:r>
    </w:p>
    <w:p w14:paraId="0A928E88" w14:textId="77777777" w:rsidR="00000000" w:rsidRDefault="001826C1">
      <w:pPr>
        <w:pStyle w:val="a3"/>
        <w:spacing w:before="0" w:beforeAutospacing="0" w:after="0" w:afterAutospacing="0"/>
        <w:jc w:val="both"/>
        <w:rPr>
          <w:sz w:val="20"/>
          <w:szCs w:val="20"/>
        </w:rPr>
      </w:pPr>
      <w:r>
        <w:rPr>
          <w:b/>
          <w:bCs/>
          <w:i/>
          <w:iCs/>
          <w:sz w:val="20"/>
          <w:szCs w:val="20"/>
        </w:rPr>
        <w:t> </w:t>
      </w:r>
    </w:p>
    <w:p w14:paraId="3372B84C" w14:textId="77777777" w:rsidR="00000000" w:rsidRDefault="001826C1">
      <w:pPr>
        <w:pStyle w:val="a3"/>
        <w:spacing w:before="0" w:beforeAutospacing="0" w:after="0" w:afterAutospacing="0"/>
        <w:jc w:val="both"/>
        <w:rPr>
          <w:sz w:val="20"/>
          <w:szCs w:val="20"/>
        </w:rPr>
      </w:pPr>
      <w:r>
        <w:rPr>
          <w:sz w:val="20"/>
          <w:szCs w:val="20"/>
        </w:rPr>
        <w:t>The market price of our Series A Preferred Stock could be subject to wide fluctuations in response to numerous factors. These factors include</w:t>
      </w:r>
      <w:r>
        <w:rPr>
          <w:sz w:val="20"/>
          <w:szCs w:val="20"/>
        </w:rPr>
        <w:t>, but are not limited to, the following:</w:t>
      </w:r>
    </w:p>
    <w:p w14:paraId="5314FAA0"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63695641" w14:textId="77777777">
        <w:tc>
          <w:tcPr>
            <w:tcW w:w="360" w:type="dxa"/>
            <w:hideMark/>
          </w:tcPr>
          <w:p w14:paraId="66DF9CBF" w14:textId="77777777" w:rsidR="00000000" w:rsidRDefault="001826C1">
            <w:pPr>
              <w:rPr>
                <w:rFonts w:eastAsia="Times New Roman"/>
                <w:sz w:val="20"/>
                <w:szCs w:val="20"/>
              </w:rPr>
            </w:pPr>
            <w:r>
              <w:rPr>
                <w:rFonts w:eastAsia="Times New Roman"/>
                <w:sz w:val="20"/>
                <w:szCs w:val="20"/>
              </w:rPr>
              <w:t>●</w:t>
            </w:r>
          </w:p>
        </w:tc>
        <w:tc>
          <w:tcPr>
            <w:tcW w:w="0" w:type="auto"/>
            <w:hideMark/>
          </w:tcPr>
          <w:p w14:paraId="2B8D3650" w14:textId="77777777" w:rsidR="00000000" w:rsidRDefault="001826C1">
            <w:pPr>
              <w:jc w:val="both"/>
              <w:rPr>
                <w:rFonts w:eastAsia="Times New Roman"/>
                <w:sz w:val="20"/>
                <w:szCs w:val="20"/>
              </w:rPr>
            </w:pPr>
            <w:r>
              <w:rPr>
                <w:rFonts w:eastAsia="Times New Roman"/>
                <w:sz w:val="20"/>
                <w:szCs w:val="20"/>
              </w:rPr>
              <w:t>prevailing interest rates, increases in which may have an adverse effect on the market price of the Series A Preferred Stock;</w:t>
            </w:r>
          </w:p>
        </w:tc>
      </w:tr>
      <w:tr w:rsidR="00000000" w14:paraId="1409D92F" w14:textId="77777777">
        <w:tc>
          <w:tcPr>
            <w:tcW w:w="0" w:type="auto"/>
            <w:hideMark/>
          </w:tcPr>
          <w:p w14:paraId="5B1EE87C" w14:textId="77777777" w:rsidR="00000000" w:rsidRDefault="001826C1">
            <w:pPr>
              <w:rPr>
                <w:rFonts w:eastAsia="Times New Roman"/>
                <w:sz w:val="20"/>
                <w:szCs w:val="20"/>
              </w:rPr>
            </w:pPr>
            <w:r>
              <w:rPr>
                <w:rFonts w:eastAsia="Times New Roman"/>
                <w:sz w:val="20"/>
                <w:szCs w:val="20"/>
              </w:rPr>
              <w:t> </w:t>
            </w:r>
          </w:p>
        </w:tc>
        <w:tc>
          <w:tcPr>
            <w:tcW w:w="0" w:type="auto"/>
            <w:hideMark/>
          </w:tcPr>
          <w:p w14:paraId="4BC9B3F7" w14:textId="77777777" w:rsidR="00000000" w:rsidRDefault="001826C1">
            <w:pPr>
              <w:jc w:val="both"/>
              <w:rPr>
                <w:rFonts w:eastAsia="Times New Roman"/>
                <w:sz w:val="20"/>
                <w:szCs w:val="20"/>
              </w:rPr>
            </w:pPr>
            <w:r>
              <w:rPr>
                <w:rFonts w:eastAsia="Times New Roman"/>
                <w:sz w:val="20"/>
                <w:szCs w:val="20"/>
              </w:rPr>
              <w:t> </w:t>
            </w:r>
          </w:p>
        </w:tc>
      </w:tr>
      <w:tr w:rsidR="00000000" w14:paraId="3BF723A2" w14:textId="77777777">
        <w:tc>
          <w:tcPr>
            <w:tcW w:w="0" w:type="auto"/>
            <w:hideMark/>
          </w:tcPr>
          <w:p w14:paraId="58DD9A5E" w14:textId="77777777" w:rsidR="00000000" w:rsidRDefault="001826C1">
            <w:pPr>
              <w:rPr>
                <w:rFonts w:eastAsia="Times New Roman"/>
                <w:sz w:val="20"/>
                <w:szCs w:val="20"/>
              </w:rPr>
            </w:pPr>
            <w:r>
              <w:rPr>
                <w:rFonts w:eastAsia="Times New Roman"/>
                <w:sz w:val="20"/>
                <w:szCs w:val="20"/>
              </w:rPr>
              <w:t>●</w:t>
            </w:r>
          </w:p>
        </w:tc>
        <w:tc>
          <w:tcPr>
            <w:tcW w:w="0" w:type="auto"/>
            <w:hideMark/>
          </w:tcPr>
          <w:p w14:paraId="4877EE20" w14:textId="77777777" w:rsidR="00000000" w:rsidRDefault="001826C1">
            <w:pPr>
              <w:rPr>
                <w:rFonts w:eastAsia="Times New Roman"/>
                <w:sz w:val="20"/>
                <w:szCs w:val="20"/>
              </w:rPr>
            </w:pPr>
            <w:r>
              <w:rPr>
                <w:rFonts w:eastAsia="Times New Roman"/>
                <w:sz w:val="20"/>
                <w:szCs w:val="20"/>
              </w:rPr>
              <w:t>trading prices of similar securities;</w:t>
            </w:r>
          </w:p>
        </w:tc>
      </w:tr>
      <w:tr w:rsidR="00000000" w14:paraId="2E08E307" w14:textId="77777777">
        <w:tc>
          <w:tcPr>
            <w:tcW w:w="0" w:type="auto"/>
            <w:hideMark/>
          </w:tcPr>
          <w:p w14:paraId="131EC7CF" w14:textId="77777777" w:rsidR="00000000" w:rsidRDefault="001826C1">
            <w:pPr>
              <w:rPr>
                <w:rFonts w:eastAsia="Times New Roman"/>
                <w:sz w:val="20"/>
                <w:szCs w:val="20"/>
              </w:rPr>
            </w:pPr>
            <w:r>
              <w:rPr>
                <w:rFonts w:eastAsia="Times New Roman"/>
                <w:sz w:val="20"/>
                <w:szCs w:val="20"/>
              </w:rPr>
              <w:t> </w:t>
            </w:r>
          </w:p>
        </w:tc>
        <w:tc>
          <w:tcPr>
            <w:tcW w:w="0" w:type="auto"/>
            <w:hideMark/>
          </w:tcPr>
          <w:p w14:paraId="1EE40E64" w14:textId="77777777" w:rsidR="00000000" w:rsidRDefault="001826C1">
            <w:pPr>
              <w:rPr>
                <w:rFonts w:eastAsia="Times New Roman"/>
                <w:sz w:val="20"/>
                <w:szCs w:val="20"/>
              </w:rPr>
            </w:pPr>
            <w:r>
              <w:rPr>
                <w:rFonts w:eastAsia="Times New Roman"/>
                <w:sz w:val="20"/>
                <w:szCs w:val="20"/>
              </w:rPr>
              <w:t> </w:t>
            </w:r>
          </w:p>
        </w:tc>
      </w:tr>
      <w:tr w:rsidR="00000000" w14:paraId="4DEE37B4" w14:textId="77777777">
        <w:tc>
          <w:tcPr>
            <w:tcW w:w="0" w:type="auto"/>
            <w:hideMark/>
          </w:tcPr>
          <w:p w14:paraId="25FA4F13" w14:textId="77777777" w:rsidR="00000000" w:rsidRDefault="001826C1">
            <w:pPr>
              <w:rPr>
                <w:rFonts w:eastAsia="Times New Roman"/>
                <w:sz w:val="20"/>
                <w:szCs w:val="20"/>
              </w:rPr>
            </w:pPr>
            <w:r>
              <w:rPr>
                <w:rFonts w:eastAsia="Times New Roman"/>
                <w:sz w:val="20"/>
                <w:szCs w:val="20"/>
              </w:rPr>
              <w:t>●</w:t>
            </w:r>
          </w:p>
        </w:tc>
        <w:tc>
          <w:tcPr>
            <w:tcW w:w="0" w:type="auto"/>
            <w:hideMark/>
          </w:tcPr>
          <w:p w14:paraId="0EB842FA" w14:textId="77777777" w:rsidR="00000000" w:rsidRDefault="001826C1">
            <w:pPr>
              <w:rPr>
                <w:rFonts w:eastAsia="Times New Roman"/>
                <w:sz w:val="20"/>
                <w:szCs w:val="20"/>
              </w:rPr>
            </w:pPr>
            <w:r>
              <w:rPr>
                <w:rFonts w:eastAsia="Times New Roman"/>
                <w:sz w:val="20"/>
                <w:szCs w:val="20"/>
              </w:rPr>
              <w:t xml:space="preserve">our history of timely dividend </w:t>
            </w:r>
            <w:r>
              <w:rPr>
                <w:rFonts w:eastAsia="Times New Roman"/>
                <w:sz w:val="20"/>
                <w:szCs w:val="20"/>
              </w:rPr>
              <w:t>payments;</w:t>
            </w:r>
          </w:p>
        </w:tc>
      </w:tr>
      <w:tr w:rsidR="00000000" w14:paraId="3908759A" w14:textId="77777777">
        <w:tc>
          <w:tcPr>
            <w:tcW w:w="0" w:type="auto"/>
            <w:hideMark/>
          </w:tcPr>
          <w:p w14:paraId="46DBC7C9" w14:textId="77777777" w:rsidR="00000000" w:rsidRDefault="001826C1">
            <w:pPr>
              <w:rPr>
                <w:rFonts w:eastAsia="Times New Roman"/>
                <w:sz w:val="20"/>
                <w:szCs w:val="20"/>
              </w:rPr>
            </w:pPr>
            <w:r>
              <w:rPr>
                <w:rFonts w:eastAsia="Times New Roman"/>
                <w:sz w:val="20"/>
                <w:szCs w:val="20"/>
              </w:rPr>
              <w:t> </w:t>
            </w:r>
          </w:p>
        </w:tc>
        <w:tc>
          <w:tcPr>
            <w:tcW w:w="0" w:type="auto"/>
            <w:hideMark/>
          </w:tcPr>
          <w:p w14:paraId="788C4A39" w14:textId="77777777" w:rsidR="00000000" w:rsidRDefault="001826C1">
            <w:pPr>
              <w:rPr>
                <w:rFonts w:eastAsia="Times New Roman"/>
                <w:sz w:val="20"/>
                <w:szCs w:val="20"/>
              </w:rPr>
            </w:pPr>
            <w:r>
              <w:rPr>
                <w:rFonts w:eastAsia="Times New Roman"/>
                <w:sz w:val="20"/>
                <w:szCs w:val="20"/>
              </w:rPr>
              <w:t> </w:t>
            </w:r>
          </w:p>
        </w:tc>
      </w:tr>
      <w:tr w:rsidR="00000000" w14:paraId="25532590" w14:textId="77777777">
        <w:tc>
          <w:tcPr>
            <w:tcW w:w="0" w:type="auto"/>
            <w:hideMark/>
          </w:tcPr>
          <w:p w14:paraId="14946964" w14:textId="77777777" w:rsidR="00000000" w:rsidRDefault="001826C1">
            <w:pPr>
              <w:rPr>
                <w:rFonts w:eastAsia="Times New Roman"/>
                <w:sz w:val="20"/>
                <w:szCs w:val="20"/>
              </w:rPr>
            </w:pPr>
            <w:r>
              <w:rPr>
                <w:rFonts w:eastAsia="Times New Roman"/>
                <w:sz w:val="20"/>
                <w:szCs w:val="20"/>
              </w:rPr>
              <w:t>●</w:t>
            </w:r>
          </w:p>
        </w:tc>
        <w:tc>
          <w:tcPr>
            <w:tcW w:w="0" w:type="auto"/>
            <w:hideMark/>
          </w:tcPr>
          <w:p w14:paraId="1C9BF001" w14:textId="77777777" w:rsidR="00000000" w:rsidRDefault="001826C1">
            <w:pPr>
              <w:jc w:val="both"/>
              <w:rPr>
                <w:rFonts w:eastAsia="Times New Roman"/>
                <w:sz w:val="20"/>
                <w:szCs w:val="20"/>
              </w:rPr>
            </w:pPr>
            <w:r>
              <w:rPr>
                <w:rFonts w:eastAsia="Times New Roman"/>
                <w:sz w:val="20"/>
                <w:szCs w:val="20"/>
              </w:rPr>
              <w:t>the annual yield from dividends on the Series A Preferred Stock as compared to yields on other financial instruments;</w:t>
            </w:r>
          </w:p>
        </w:tc>
      </w:tr>
      <w:tr w:rsidR="00000000" w14:paraId="64FD4FD3" w14:textId="77777777">
        <w:tc>
          <w:tcPr>
            <w:tcW w:w="0" w:type="auto"/>
            <w:hideMark/>
          </w:tcPr>
          <w:p w14:paraId="01D4DEEE" w14:textId="77777777" w:rsidR="00000000" w:rsidRDefault="001826C1">
            <w:pPr>
              <w:rPr>
                <w:rFonts w:eastAsia="Times New Roman"/>
                <w:sz w:val="20"/>
                <w:szCs w:val="20"/>
              </w:rPr>
            </w:pPr>
            <w:r>
              <w:rPr>
                <w:rFonts w:eastAsia="Times New Roman"/>
                <w:sz w:val="20"/>
                <w:szCs w:val="20"/>
              </w:rPr>
              <w:t> </w:t>
            </w:r>
          </w:p>
        </w:tc>
        <w:tc>
          <w:tcPr>
            <w:tcW w:w="0" w:type="auto"/>
            <w:hideMark/>
          </w:tcPr>
          <w:p w14:paraId="5E790D3A" w14:textId="77777777" w:rsidR="00000000" w:rsidRDefault="001826C1">
            <w:pPr>
              <w:jc w:val="both"/>
              <w:rPr>
                <w:rFonts w:eastAsia="Times New Roman"/>
                <w:sz w:val="20"/>
                <w:szCs w:val="20"/>
              </w:rPr>
            </w:pPr>
            <w:r>
              <w:rPr>
                <w:rFonts w:eastAsia="Times New Roman"/>
                <w:sz w:val="20"/>
                <w:szCs w:val="20"/>
              </w:rPr>
              <w:t> </w:t>
            </w:r>
          </w:p>
        </w:tc>
      </w:tr>
      <w:tr w:rsidR="00000000" w14:paraId="5C0F63D3" w14:textId="77777777">
        <w:tc>
          <w:tcPr>
            <w:tcW w:w="0" w:type="auto"/>
            <w:hideMark/>
          </w:tcPr>
          <w:p w14:paraId="64EC35C1" w14:textId="77777777" w:rsidR="00000000" w:rsidRDefault="001826C1">
            <w:pPr>
              <w:rPr>
                <w:rFonts w:eastAsia="Times New Roman"/>
                <w:sz w:val="20"/>
                <w:szCs w:val="20"/>
              </w:rPr>
            </w:pPr>
            <w:r>
              <w:rPr>
                <w:rFonts w:eastAsia="Times New Roman"/>
                <w:sz w:val="20"/>
                <w:szCs w:val="20"/>
              </w:rPr>
              <w:t>●</w:t>
            </w:r>
          </w:p>
        </w:tc>
        <w:tc>
          <w:tcPr>
            <w:tcW w:w="0" w:type="auto"/>
            <w:hideMark/>
          </w:tcPr>
          <w:p w14:paraId="54D720BA" w14:textId="77777777" w:rsidR="00000000" w:rsidRDefault="001826C1">
            <w:pPr>
              <w:rPr>
                <w:rFonts w:eastAsia="Times New Roman"/>
                <w:sz w:val="20"/>
                <w:szCs w:val="20"/>
              </w:rPr>
            </w:pPr>
            <w:r>
              <w:rPr>
                <w:rFonts w:eastAsia="Times New Roman"/>
                <w:sz w:val="20"/>
                <w:szCs w:val="20"/>
              </w:rPr>
              <w:t>general economic and financial market conditions;</w:t>
            </w:r>
          </w:p>
        </w:tc>
      </w:tr>
      <w:tr w:rsidR="00000000" w14:paraId="084E8ED7" w14:textId="77777777">
        <w:tc>
          <w:tcPr>
            <w:tcW w:w="0" w:type="auto"/>
            <w:hideMark/>
          </w:tcPr>
          <w:p w14:paraId="557570D7" w14:textId="77777777" w:rsidR="00000000" w:rsidRDefault="001826C1">
            <w:pPr>
              <w:rPr>
                <w:rFonts w:eastAsia="Times New Roman"/>
                <w:sz w:val="20"/>
                <w:szCs w:val="20"/>
              </w:rPr>
            </w:pPr>
            <w:r>
              <w:rPr>
                <w:rFonts w:eastAsia="Times New Roman"/>
                <w:sz w:val="20"/>
                <w:szCs w:val="20"/>
              </w:rPr>
              <w:t> </w:t>
            </w:r>
          </w:p>
        </w:tc>
        <w:tc>
          <w:tcPr>
            <w:tcW w:w="0" w:type="auto"/>
            <w:hideMark/>
          </w:tcPr>
          <w:p w14:paraId="1576C41F" w14:textId="77777777" w:rsidR="00000000" w:rsidRDefault="001826C1">
            <w:pPr>
              <w:rPr>
                <w:rFonts w:eastAsia="Times New Roman"/>
                <w:sz w:val="20"/>
                <w:szCs w:val="20"/>
              </w:rPr>
            </w:pPr>
            <w:r>
              <w:rPr>
                <w:rFonts w:eastAsia="Times New Roman"/>
                <w:sz w:val="20"/>
                <w:szCs w:val="20"/>
              </w:rPr>
              <w:t> </w:t>
            </w:r>
          </w:p>
        </w:tc>
      </w:tr>
      <w:tr w:rsidR="00000000" w14:paraId="15C968F9" w14:textId="77777777">
        <w:tc>
          <w:tcPr>
            <w:tcW w:w="0" w:type="auto"/>
            <w:hideMark/>
          </w:tcPr>
          <w:p w14:paraId="48CA7CB6" w14:textId="77777777" w:rsidR="00000000" w:rsidRDefault="001826C1">
            <w:pPr>
              <w:rPr>
                <w:rFonts w:eastAsia="Times New Roman"/>
                <w:sz w:val="20"/>
                <w:szCs w:val="20"/>
              </w:rPr>
            </w:pPr>
            <w:r>
              <w:rPr>
                <w:rFonts w:eastAsia="Times New Roman"/>
                <w:sz w:val="20"/>
                <w:szCs w:val="20"/>
              </w:rPr>
              <w:t>●</w:t>
            </w:r>
          </w:p>
        </w:tc>
        <w:tc>
          <w:tcPr>
            <w:tcW w:w="0" w:type="auto"/>
            <w:hideMark/>
          </w:tcPr>
          <w:p w14:paraId="1B1F2B36" w14:textId="77777777" w:rsidR="00000000" w:rsidRDefault="001826C1">
            <w:pPr>
              <w:rPr>
                <w:rFonts w:eastAsia="Times New Roman"/>
                <w:sz w:val="20"/>
                <w:szCs w:val="20"/>
              </w:rPr>
            </w:pPr>
            <w:r>
              <w:rPr>
                <w:rFonts w:eastAsia="Times New Roman"/>
                <w:sz w:val="20"/>
                <w:szCs w:val="20"/>
              </w:rPr>
              <w:t>government action or regulation;</w:t>
            </w:r>
          </w:p>
        </w:tc>
      </w:tr>
      <w:tr w:rsidR="00000000" w14:paraId="7E4E5B2C" w14:textId="77777777">
        <w:tc>
          <w:tcPr>
            <w:tcW w:w="0" w:type="auto"/>
            <w:hideMark/>
          </w:tcPr>
          <w:p w14:paraId="6ACCCE54" w14:textId="77777777" w:rsidR="00000000" w:rsidRDefault="001826C1">
            <w:pPr>
              <w:rPr>
                <w:rFonts w:eastAsia="Times New Roman"/>
                <w:sz w:val="20"/>
                <w:szCs w:val="20"/>
              </w:rPr>
            </w:pPr>
            <w:r>
              <w:rPr>
                <w:rFonts w:eastAsia="Times New Roman"/>
                <w:sz w:val="20"/>
                <w:szCs w:val="20"/>
              </w:rPr>
              <w:t> </w:t>
            </w:r>
          </w:p>
        </w:tc>
        <w:tc>
          <w:tcPr>
            <w:tcW w:w="0" w:type="auto"/>
            <w:hideMark/>
          </w:tcPr>
          <w:p w14:paraId="4E145D5B" w14:textId="77777777" w:rsidR="00000000" w:rsidRDefault="001826C1">
            <w:pPr>
              <w:rPr>
                <w:rFonts w:eastAsia="Times New Roman"/>
                <w:sz w:val="20"/>
                <w:szCs w:val="20"/>
              </w:rPr>
            </w:pPr>
            <w:r>
              <w:rPr>
                <w:rFonts w:eastAsia="Times New Roman"/>
                <w:sz w:val="20"/>
                <w:szCs w:val="20"/>
              </w:rPr>
              <w:t> </w:t>
            </w:r>
          </w:p>
        </w:tc>
      </w:tr>
      <w:tr w:rsidR="00000000" w14:paraId="0191026C" w14:textId="77777777">
        <w:tc>
          <w:tcPr>
            <w:tcW w:w="0" w:type="auto"/>
            <w:hideMark/>
          </w:tcPr>
          <w:p w14:paraId="1F0CB580" w14:textId="77777777" w:rsidR="00000000" w:rsidRDefault="001826C1">
            <w:pPr>
              <w:rPr>
                <w:rFonts w:eastAsia="Times New Roman"/>
                <w:sz w:val="20"/>
                <w:szCs w:val="20"/>
              </w:rPr>
            </w:pPr>
            <w:r>
              <w:rPr>
                <w:rFonts w:eastAsia="Times New Roman"/>
                <w:sz w:val="20"/>
                <w:szCs w:val="20"/>
              </w:rPr>
              <w:t>●</w:t>
            </w:r>
          </w:p>
        </w:tc>
        <w:tc>
          <w:tcPr>
            <w:tcW w:w="0" w:type="auto"/>
            <w:hideMark/>
          </w:tcPr>
          <w:p w14:paraId="459BB58F" w14:textId="77777777" w:rsidR="00000000" w:rsidRDefault="001826C1">
            <w:pPr>
              <w:rPr>
                <w:rFonts w:eastAsia="Times New Roman"/>
                <w:sz w:val="20"/>
                <w:szCs w:val="20"/>
              </w:rPr>
            </w:pPr>
            <w:r>
              <w:rPr>
                <w:rFonts w:eastAsia="Times New Roman"/>
                <w:sz w:val="20"/>
                <w:szCs w:val="20"/>
              </w:rPr>
              <w:t xml:space="preserve">our </w:t>
            </w:r>
            <w:r>
              <w:rPr>
                <w:rFonts w:eastAsia="Times New Roman"/>
                <w:sz w:val="20"/>
                <w:szCs w:val="20"/>
              </w:rPr>
              <w:t>financial condition, performance and prospects of our competitors;</w:t>
            </w:r>
          </w:p>
        </w:tc>
      </w:tr>
      <w:tr w:rsidR="00000000" w14:paraId="4B07A1D0" w14:textId="77777777">
        <w:tc>
          <w:tcPr>
            <w:tcW w:w="0" w:type="auto"/>
            <w:hideMark/>
          </w:tcPr>
          <w:p w14:paraId="3316AA0C" w14:textId="77777777" w:rsidR="00000000" w:rsidRDefault="001826C1">
            <w:pPr>
              <w:rPr>
                <w:rFonts w:eastAsia="Times New Roman"/>
                <w:sz w:val="20"/>
                <w:szCs w:val="20"/>
              </w:rPr>
            </w:pPr>
            <w:r>
              <w:rPr>
                <w:rFonts w:eastAsia="Times New Roman"/>
                <w:sz w:val="20"/>
                <w:szCs w:val="20"/>
              </w:rPr>
              <w:t> </w:t>
            </w:r>
          </w:p>
        </w:tc>
        <w:tc>
          <w:tcPr>
            <w:tcW w:w="0" w:type="auto"/>
            <w:hideMark/>
          </w:tcPr>
          <w:p w14:paraId="07866CC6" w14:textId="77777777" w:rsidR="00000000" w:rsidRDefault="001826C1">
            <w:pPr>
              <w:rPr>
                <w:rFonts w:eastAsia="Times New Roman"/>
                <w:sz w:val="20"/>
                <w:szCs w:val="20"/>
              </w:rPr>
            </w:pPr>
            <w:r>
              <w:rPr>
                <w:rFonts w:eastAsia="Times New Roman"/>
                <w:sz w:val="20"/>
                <w:szCs w:val="20"/>
              </w:rPr>
              <w:t> </w:t>
            </w:r>
          </w:p>
        </w:tc>
      </w:tr>
      <w:tr w:rsidR="00000000" w14:paraId="0F6FDE30" w14:textId="77777777">
        <w:tc>
          <w:tcPr>
            <w:tcW w:w="0" w:type="auto"/>
            <w:hideMark/>
          </w:tcPr>
          <w:p w14:paraId="7ED77B64" w14:textId="77777777" w:rsidR="00000000" w:rsidRDefault="001826C1">
            <w:pPr>
              <w:rPr>
                <w:rFonts w:eastAsia="Times New Roman"/>
                <w:sz w:val="20"/>
                <w:szCs w:val="20"/>
              </w:rPr>
            </w:pPr>
            <w:r>
              <w:rPr>
                <w:rFonts w:eastAsia="Times New Roman"/>
                <w:sz w:val="20"/>
                <w:szCs w:val="20"/>
              </w:rPr>
              <w:t>●</w:t>
            </w:r>
          </w:p>
        </w:tc>
        <w:tc>
          <w:tcPr>
            <w:tcW w:w="0" w:type="auto"/>
            <w:hideMark/>
          </w:tcPr>
          <w:p w14:paraId="2BA5B725" w14:textId="77777777" w:rsidR="00000000" w:rsidRDefault="001826C1">
            <w:pPr>
              <w:jc w:val="both"/>
              <w:rPr>
                <w:rFonts w:eastAsia="Times New Roman"/>
                <w:sz w:val="20"/>
                <w:szCs w:val="20"/>
              </w:rPr>
            </w:pPr>
            <w:r>
              <w:rPr>
                <w:rFonts w:eastAsia="Times New Roman"/>
                <w:sz w:val="20"/>
                <w:szCs w:val="20"/>
              </w:rPr>
              <w:t xml:space="preserve">changes </w:t>
            </w:r>
            <w:r>
              <w:rPr>
                <w:rFonts w:eastAsia="Times New Roman"/>
                <w:sz w:val="20"/>
                <w:szCs w:val="20"/>
              </w:rPr>
              <w:t>in financial estimates or recommendations by securities analysts with respect to us or our competitors in our industry;</w:t>
            </w:r>
          </w:p>
        </w:tc>
      </w:tr>
      <w:tr w:rsidR="00000000" w14:paraId="69941754" w14:textId="77777777">
        <w:tc>
          <w:tcPr>
            <w:tcW w:w="0" w:type="auto"/>
            <w:hideMark/>
          </w:tcPr>
          <w:p w14:paraId="51AB7F73" w14:textId="77777777" w:rsidR="00000000" w:rsidRDefault="001826C1">
            <w:pPr>
              <w:rPr>
                <w:rFonts w:eastAsia="Times New Roman"/>
                <w:sz w:val="20"/>
                <w:szCs w:val="20"/>
              </w:rPr>
            </w:pPr>
            <w:r>
              <w:rPr>
                <w:rFonts w:eastAsia="Times New Roman"/>
                <w:sz w:val="20"/>
                <w:szCs w:val="20"/>
              </w:rPr>
              <w:t> </w:t>
            </w:r>
          </w:p>
        </w:tc>
        <w:tc>
          <w:tcPr>
            <w:tcW w:w="0" w:type="auto"/>
            <w:hideMark/>
          </w:tcPr>
          <w:p w14:paraId="3B453878" w14:textId="77777777" w:rsidR="00000000" w:rsidRDefault="001826C1">
            <w:pPr>
              <w:jc w:val="both"/>
              <w:rPr>
                <w:rFonts w:eastAsia="Times New Roman"/>
                <w:sz w:val="20"/>
                <w:szCs w:val="20"/>
              </w:rPr>
            </w:pPr>
            <w:r>
              <w:rPr>
                <w:rFonts w:eastAsia="Times New Roman"/>
                <w:sz w:val="20"/>
                <w:szCs w:val="20"/>
              </w:rPr>
              <w:t> </w:t>
            </w:r>
          </w:p>
        </w:tc>
      </w:tr>
      <w:tr w:rsidR="00000000" w14:paraId="031D6B1B" w14:textId="77777777">
        <w:tc>
          <w:tcPr>
            <w:tcW w:w="0" w:type="auto"/>
            <w:hideMark/>
          </w:tcPr>
          <w:p w14:paraId="714FD325" w14:textId="77777777" w:rsidR="00000000" w:rsidRDefault="001826C1">
            <w:pPr>
              <w:rPr>
                <w:rFonts w:eastAsia="Times New Roman"/>
                <w:sz w:val="20"/>
                <w:szCs w:val="20"/>
              </w:rPr>
            </w:pPr>
            <w:r>
              <w:rPr>
                <w:rFonts w:eastAsia="Times New Roman"/>
                <w:sz w:val="20"/>
                <w:szCs w:val="20"/>
              </w:rPr>
              <w:t>●</w:t>
            </w:r>
          </w:p>
        </w:tc>
        <w:tc>
          <w:tcPr>
            <w:tcW w:w="0" w:type="auto"/>
            <w:hideMark/>
          </w:tcPr>
          <w:p w14:paraId="1E642648" w14:textId="77777777" w:rsidR="00000000" w:rsidRDefault="001826C1">
            <w:pPr>
              <w:rPr>
                <w:rFonts w:eastAsia="Times New Roman"/>
                <w:sz w:val="20"/>
                <w:szCs w:val="20"/>
              </w:rPr>
            </w:pPr>
            <w:r>
              <w:rPr>
                <w:rFonts w:eastAsia="Times New Roman"/>
                <w:sz w:val="20"/>
                <w:szCs w:val="20"/>
              </w:rPr>
              <w:t>our issuance of additional preferred equity or debt securities; and</w:t>
            </w:r>
          </w:p>
        </w:tc>
      </w:tr>
      <w:tr w:rsidR="00000000" w14:paraId="208FF1EE" w14:textId="77777777">
        <w:tc>
          <w:tcPr>
            <w:tcW w:w="0" w:type="auto"/>
            <w:hideMark/>
          </w:tcPr>
          <w:p w14:paraId="1AA2A136" w14:textId="77777777" w:rsidR="00000000" w:rsidRDefault="001826C1">
            <w:pPr>
              <w:rPr>
                <w:rFonts w:eastAsia="Times New Roman"/>
                <w:sz w:val="20"/>
                <w:szCs w:val="20"/>
              </w:rPr>
            </w:pPr>
            <w:r>
              <w:rPr>
                <w:rFonts w:eastAsia="Times New Roman"/>
                <w:sz w:val="20"/>
                <w:szCs w:val="20"/>
              </w:rPr>
              <w:t> </w:t>
            </w:r>
          </w:p>
        </w:tc>
        <w:tc>
          <w:tcPr>
            <w:tcW w:w="0" w:type="auto"/>
            <w:hideMark/>
          </w:tcPr>
          <w:p w14:paraId="6C0F4326" w14:textId="77777777" w:rsidR="00000000" w:rsidRDefault="001826C1">
            <w:pPr>
              <w:rPr>
                <w:rFonts w:eastAsia="Times New Roman"/>
                <w:sz w:val="20"/>
                <w:szCs w:val="20"/>
              </w:rPr>
            </w:pPr>
            <w:r>
              <w:rPr>
                <w:rFonts w:eastAsia="Times New Roman"/>
                <w:sz w:val="20"/>
                <w:szCs w:val="20"/>
              </w:rPr>
              <w:t> </w:t>
            </w:r>
          </w:p>
        </w:tc>
      </w:tr>
      <w:tr w:rsidR="00000000" w14:paraId="7B22E413" w14:textId="77777777">
        <w:tc>
          <w:tcPr>
            <w:tcW w:w="0" w:type="auto"/>
            <w:hideMark/>
          </w:tcPr>
          <w:p w14:paraId="4D410B4E" w14:textId="77777777" w:rsidR="00000000" w:rsidRDefault="001826C1">
            <w:pPr>
              <w:rPr>
                <w:rFonts w:eastAsia="Times New Roman"/>
                <w:sz w:val="20"/>
                <w:szCs w:val="20"/>
              </w:rPr>
            </w:pPr>
            <w:r>
              <w:rPr>
                <w:rFonts w:eastAsia="Times New Roman"/>
                <w:sz w:val="20"/>
                <w:szCs w:val="20"/>
              </w:rPr>
              <w:t>●</w:t>
            </w:r>
          </w:p>
        </w:tc>
        <w:tc>
          <w:tcPr>
            <w:tcW w:w="0" w:type="auto"/>
            <w:hideMark/>
          </w:tcPr>
          <w:p w14:paraId="535B92FD" w14:textId="77777777" w:rsidR="00000000" w:rsidRDefault="001826C1">
            <w:pPr>
              <w:rPr>
                <w:rFonts w:eastAsia="Times New Roman"/>
                <w:sz w:val="20"/>
                <w:szCs w:val="20"/>
              </w:rPr>
            </w:pPr>
            <w:r>
              <w:rPr>
                <w:rFonts w:eastAsia="Times New Roman"/>
                <w:sz w:val="20"/>
                <w:szCs w:val="20"/>
              </w:rPr>
              <w:t>actual or anticipated variations in quarterly operat</w:t>
            </w:r>
            <w:r>
              <w:rPr>
                <w:rFonts w:eastAsia="Times New Roman"/>
                <w:sz w:val="20"/>
                <w:szCs w:val="20"/>
              </w:rPr>
              <w:t>ing results of us and our competitors.</w:t>
            </w:r>
          </w:p>
        </w:tc>
      </w:tr>
    </w:tbl>
    <w:p w14:paraId="0494A9E3" w14:textId="77777777" w:rsidR="00000000" w:rsidRDefault="001826C1">
      <w:pPr>
        <w:pStyle w:val="a3"/>
        <w:spacing w:before="0" w:beforeAutospacing="0" w:after="0" w:afterAutospacing="0"/>
        <w:rPr>
          <w:sz w:val="20"/>
          <w:szCs w:val="20"/>
        </w:rPr>
      </w:pPr>
      <w:r>
        <w:rPr>
          <w:sz w:val="20"/>
          <w:szCs w:val="20"/>
        </w:rPr>
        <w:t> </w:t>
      </w:r>
    </w:p>
    <w:p w14:paraId="56461C0A" w14:textId="77777777" w:rsidR="00000000" w:rsidRDefault="001826C1">
      <w:pPr>
        <w:pStyle w:val="a3"/>
        <w:spacing w:before="0" w:beforeAutospacing="0" w:after="0" w:afterAutospacing="0"/>
        <w:jc w:val="both"/>
        <w:rPr>
          <w:sz w:val="20"/>
          <w:szCs w:val="20"/>
        </w:rPr>
      </w:pPr>
      <w:r>
        <w:rPr>
          <w:b/>
          <w:bCs/>
          <w:i/>
          <w:iCs/>
          <w:sz w:val="20"/>
          <w:szCs w:val="20"/>
        </w:rPr>
        <w:t>A holder of Series A Preferred Stock has extremely limited voting rights.</w:t>
      </w:r>
    </w:p>
    <w:p w14:paraId="5AAE9CC6" w14:textId="77777777" w:rsidR="00000000" w:rsidRDefault="001826C1">
      <w:pPr>
        <w:pStyle w:val="a3"/>
        <w:spacing w:before="0" w:beforeAutospacing="0" w:after="0" w:afterAutospacing="0"/>
        <w:jc w:val="both"/>
        <w:rPr>
          <w:sz w:val="20"/>
          <w:szCs w:val="20"/>
        </w:rPr>
      </w:pPr>
      <w:r>
        <w:rPr>
          <w:b/>
          <w:bCs/>
          <w:i/>
          <w:iCs/>
          <w:sz w:val="20"/>
          <w:szCs w:val="20"/>
        </w:rPr>
        <w:t> </w:t>
      </w:r>
    </w:p>
    <w:p w14:paraId="77C13C68" w14:textId="77777777" w:rsidR="00000000" w:rsidRDefault="001826C1">
      <w:pPr>
        <w:pStyle w:val="a3"/>
        <w:spacing w:before="0" w:beforeAutospacing="0" w:after="0" w:afterAutospacing="0"/>
        <w:jc w:val="both"/>
        <w:rPr>
          <w:sz w:val="20"/>
          <w:szCs w:val="20"/>
        </w:rPr>
      </w:pPr>
      <w:r>
        <w:rPr>
          <w:sz w:val="20"/>
          <w:szCs w:val="20"/>
        </w:rPr>
        <w:t>The voting rights for a holder of Series A Preferred Stock are limited. Our shares of common stock are the only class of our securities th</w:t>
      </w:r>
      <w:r>
        <w:rPr>
          <w:sz w:val="20"/>
          <w:szCs w:val="20"/>
        </w:rPr>
        <w:t>at carry full voting rights, and Mahmud Haq, our Executive Chairman, beneficially owns approximately 40.2% of our outstanding shares of common stock. As a result, Mr. Haq exercises a significant level of control over all matters requiring stockholder appro</w:t>
      </w:r>
      <w:r>
        <w:rPr>
          <w:sz w:val="20"/>
          <w:szCs w:val="20"/>
        </w:rPr>
        <w:t>val, including the election of directors, amendment of our certificate of incorporation, and approval of significant corporate transactions. This control could have the effect of delaying or preventing a change of control of our company or changes in manag</w:t>
      </w:r>
      <w:r>
        <w:rPr>
          <w:sz w:val="20"/>
          <w:szCs w:val="20"/>
        </w:rPr>
        <w:t>ement, and will make the approval of certain transactions difficult or impossible without his support, which in turn could reduce the price of our Series A Preferred Stock.</w:t>
      </w:r>
    </w:p>
    <w:p w14:paraId="4B3751E0" w14:textId="77777777" w:rsidR="00000000" w:rsidRDefault="001826C1">
      <w:pPr>
        <w:pStyle w:val="a3"/>
        <w:spacing w:before="0" w:beforeAutospacing="0" w:after="0" w:afterAutospacing="0"/>
        <w:jc w:val="both"/>
        <w:rPr>
          <w:sz w:val="20"/>
          <w:szCs w:val="20"/>
        </w:rPr>
      </w:pPr>
      <w:r>
        <w:rPr>
          <w:sz w:val="20"/>
          <w:szCs w:val="20"/>
        </w:rPr>
        <w:t> </w:t>
      </w:r>
    </w:p>
    <w:p w14:paraId="244CCE07" w14:textId="77777777" w:rsidR="00000000" w:rsidRDefault="001826C1">
      <w:pPr>
        <w:pStyle w:val="a3"/>
        <w:spacing w:before="0" w:beforeAutospacing="0" w:after="0" w:afterAutospacing="0"/>
        <w:jc w:val="both"/>
        <w:rPr>
          <w:sz w:val="20"/>
          <w:szCs w:val="20"/>
        </w:rPr>
      </w:pPr>
      <w:r>
        <w:rPr>
          <w:sz w:val="20"/>
          <w:szCs w:val="20"/>
        </w:rPr>
        <w:t xml:space="preserve">Voting </w:t>
      </w:r>
      <w:r>
        <w:rPr>
          <w:sz w:val="20"/>
          <w:szCs w:val="20"/>
        </w:rPr>
        <w:t>rights for holders of the Series A Preferred Stock exist primarily with respect to the ability to elect, voting together with the holders of any other series of our preferred stock having similar voting rights, two additional directors to our Board of Dire</w:t>
      </w:r>
      <w:r>
        <w:rPr>
          <w:sz w:val="20"/>
          <w:szCs w:val="20"/>
        </w:rPr>
        <w:t>ctors, subject to limitations, in the event that eighteen monthly dividends (whether or not consecutive) payable on the Series A Preferred Stock are in arrears, and with respect to voting on amendments to our articles of incorporation or articles of amendm</w:t>
      </w:r>
      <w:r>
        <w:rPr>
          <w:sz w:val="20"/>
          <w:szCs w:val="20"/>
        </w:rPr>
        <w:t>ent relating to the Series A Preferred Stock that materially and adversely affect the rights of the holders of Series A Preferred Stock or authorize, increase or create additional classes or series of our capital stock that are senior to the Series A Prefe</w:t>
      </w:r>
      <w:r>
        <w:rPr>
          <w:sz w:val="20"/>
          <w:szCs w:val="20"/>
        </w:rPr>
        <w:t>rred Stock. Other than the limited circumstances and except to the extent required by law, holders of Series A Preferred Stock do not have any voting rights.</w:t>
      </w:r>
    </w:p>
    <w:p w14:paraId="3188993E"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D62D11A" w14:textId="77777777">
        <w:trPr>
          <w:divId w:val="906112756"/>
        </w:trPr>
        <w:tc>
          <w:tcPr>
            <w:tcW w:w="5000" w:type="pct"/>
            <w:hideMark/>
          </w:tcPr>
          <w:p w14:paraId="606BA9ED"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5D56F8A5" w14:textId="77777777">
        <w:tc>
          <w:tcPr>
            <w:tcW w:w="5000" w:type="pct"/>
            <w:hideMark/>
          </w:tcPr>
          <w:p w14:paraId="72FC8A6A" w14:textId="77777777" w:rsidR="00000000" w:rsidRDefault="001826C1">
            <w:pPr>
              <w:jc w:val="center"/>
              <w:rPr>
                <w:rFonts w:eastAsia="Times New Roman"/>
                <w:sz w:val="20"/>
                <w:szCs w:val="20"/>
              </w:rPr>
            </w:pPr>
            <w:r>
              <w:rPr>
                <w:rFonts w:eastAsia="Times New Roman"/>
                <w:sz w:val="20"/>
                <w:szCs w:val="20"/>
              </w:rPr>
              <w:t> </w:t>
            </w:r>
          </w:p>
        </w:tc>
      </w:tr>
    </w:tbl>
    <w:p w14:paraId="6C8DC0C2" w14:textId="77777777" w:rsidR="00000000" w:rsidRDefault="001826C1">
      <w:pPr>
        <w:pStyle w:val="a3"/>
        <w:spacing w:before="0" w:beforeAutospacing="0" w:after="0" w:afterAutospacing="0" w:line="256" w:lineRule="auto"/>
        <w:rPr>
          <w:sz w:val="20"/>
          <w:szCs w:val="20"/>
        </w:rPr>
      </w:pPr>
      <w:r>
        <w:rPr>
          <w:sz w:val="20"/>
          <w:szCs w:val="20"/>
        </w:rPr>
        <w:t> </w:t>
      </w:r>
    </w:p>
    <w:p w14:paraId="1528C51F" w14:textId="77777777" w:rsidR="00000000" w:rsidRDefault="001826C1">
      <w:pPr>
        <w:pStyle w:val="a3"/>
        <w:spacing w:before="0" w:beforeAutospacing="0" w:after="0" w:afterAutospacing="0"/>
        <w:jc w:val="both"/>
        <w:rPr>
          <w:sz w:val="20"/>
          <w:szCs w:val="20"/>
        </w:rPr>
      </w:pPr>
      <w:r>
        <w:rPr>
          <w:b/>
          <w:bCs/>
          <w:i/>
          <w:iCs/>
          <w:sz w:val="20"/>
          <w:szCs w:val="20"/>
        </w:rPr>
        <w:t>The Series A Preferred Stock is not convertible, and investors will not realize a corr</w:t>
      </w:r>
      <w:r>
        <w:rPr>
          <w:b/>
          <w:bCs/>
          <w:i/>
          <w:iCs/>
          <w:sz w:val="20"/>
          <w:szCs w:val="20"/>
        </w:rPr>
        <w:t xml:space="preserve">esponding upside if the price of the common stock increases. </w:t>
      </w:r>
    </w:p>
    <w:p w14:paraId="581EE671" w14:textId="77777777" w:rsidR="00000000" w:rsidRDefault="001826C1">
      <w:pPr>
        <w:pStyle w:val="a3"/>
        <w:spacing w:before="0" w:beforeAutospacing="0" w:after="0" w:afterAutospacing="0"/>
        <w:jc w:val="both"/>
        <w:rPr>
          <w:sz w:val="20"/>
          <w:szCs w:val="20"/>
        </w:rPr>
      </w:pPr>
      <w:r>
        <w:rPr>
          <w:b/>
          <w:bCs/>
          <w:i/>
          <w:iCs/>
          <w:sz w:val="20"/>
          <w:szCs w:val="20"/>
        </w:rPr>
        <w:t> </w:t>
      </w:r>
    </w:p>
    <w:p w14:paraId="347B4F06" w14:textId="77777777" w:rsidR="00000000" w:rsidRDefault="001826C1">
      <w:pPr>
        <w:pStyle w:val="a3"/>
        <w:spacing w:before="0" w:beforeAutospacing="0" w:after="0" w:afterAutospacing="0"/>
        <w:jc w:val="both"/>
        <w:rPr>
          <w:sz w:val="20"/>
          <w:szCs w:val="20"/>
        </w:rPr>
      </w:pPr>
      <w:r>
        <w:rPr>
          <w:sz w:val="20"/>
          <w:szCs w:val="20"/>
        </w:rPr>
        <w:t>The Series A Preferred Stock is not convertible into the common stock and earns dividends at a fixed rate. Accordingly, an increase in market price of our common stock will not necessarily res</w:t>
      </w:r>
      <w:r>
        <w:rPr>
          <w:sz w:val="20"/>
          <w:szCs w:val="20"/>
        </w:rPr>
        <w:t>ult in an increase in the market price of our Series A Preferred Stock. The market value of the Series A Preferred Stock may depend more on dividend and interest rates for other preferred stock, commercial paper and other investment alternatives and our ac</w:t>
      </w:r>
      <w:r>
        <w:rPr>
          <w:sz w:val="20"/>
          <w:szCs w:val="20"/>
        </w:rPr>
        <w:t>tual and perceived ability to pay dividends on, and in the event of dissolution satisfy the liquidation preference with respect to, the Series A Preferred Stock.</w:t>
      </w:r>
    </w:p>
    <w:p w14:paraId="79936813" w14:textId="77777777" w:rsidR="00000000" w:rsidRDefault="001826C1">
      <w:pPr>
        <w:pStyle w:val="a3"/>
        <w:spacing w:before="0" w:beforeAutospacing="0" w:after="0" w:afterAutospacing="0"/>
        <w:jc w:val="both"/>
        <w:rPr>
          <w:sz w:val="20"/>
          <w:szCs w:val="20"/>
        </w:rPr>
      </w:pPr>
      <w:r>
        <w:rPr>
          <w:sz w:val="20"/>
          <w:szCs w:val="20"/>
        </w:rPr>
        <w:t> </w:t>
      </w:r>
    </w:p>
    <w:p w14:paraId="270CAB5F" w14:textId="77777777" w:rsidR="00000000" w:rsidRDefault="001826C1">
      <w:pPr>
        <w:pStyle w:val="a3"/>
        <w:spacing w:before="0" w:beforeAutospacing="0" w:after="0" w:afterAutospacing="0"/>
        <w:rPr>
          <w:b/>
          <w:bCs/>
          <w:sz w:val="20"/>
          <w:szCs w:val="20"/>
        </w:rPr>
      </w:pPr>
      <w:bookmarkStart w:id="4" w:name="a_005"/>
      <w:bookmarkEnd w:id="4"/>
      <w:r>
        <w:rPr>
          <w:b/>
          <w:bCs/>
          <w:sz w:val="20"/>
          <w:szCs w:val="20"/>
        </w:rPr>
        <w:t>Item 1B. Unresolved Staff Comments</w:t>
      </w:r>
    </w:p>
    <w:p w14:paraId="2C1728C4" w14:textId="77777777" w:rsidR="00000000" w:rsidRDefault="001826C1">
      <w:pPr>
        <w:pStyle w:val="a3"/>
        <w:spacing w:before="0" w:beforeAutospacing="0" w:after="0" w:afterAutospacing="0"/>
        <w:rPr>
          <w:sz w:val="20"/>
          <w:szCs w:val="20"/>
        </w:rPr>
      </w:pPr>
      <w:r>
        <w:rPr>
          <w:sz w:val="20"/>
          <w:szCs w:val="20"/>
        </w:rPr>
        <w:t> </w:t>
      </w:r>
    </w:p>
    <w:p w14:paraId="0F83A519" w14:textId="77777777" w:rsidR="00000000" w:rsidRDefault="001826C1">
      <w:pPr>
        <w:pStyle w:val="a3"/>
        <w:spacing w:before="0" w:beforeAutospacing="0" w:after="0" w:afterAutospacing="0"/>
        <w:rPr>
          <w:sz w:val="20"/>
          <w:szCs w:val="20"/>
        </w:rPr>
      </w:pPr>
      <w:r>
        <w:rPr>
          <w:sz w:val="20"/>
          <w:szCs w:val="20"/>
        </w:rPr>
        <w:t>None.</w:t>
      </w:r>
    </w:p>
    <w:p w14:paraId="486164E8" w14:textId="77777777" w:rsidR="00000000" w:rsidRDefault="001826C1">
      <w:pPr>
        <w:pStyle w:val="a3"/>
        <w:spacing w:before="0" w:beforeAutospacing="0" w:after="0" w:afterAutospacing="0"/>
        <w:rPr>
          <w:sz w:val="20"/>
          <w:szCs w:val="20"/>
        </w:rPr>
      </w:pPr>
      <w:r>
        <w:rPr>
          <w:sz w:val="20"/>
          <w:szCs w:val="20"/>
        </w:rPr>
        <w:t> </w:t>
      </w:r>
    </w:p>
    <w:p w14:paraId="5B68F44B" w14:textId="77777777" w:rsidR="00000000" w:rsidRDefault="001826C1">
      <w:pPr>
        <w:pStyle w:val="a3"/>
        <w:spacing w:before="0" w:beforeAutospacing="0" w:after="0" w:afterAutospacing="0"/>
        <w:rPr>
          <w:b/>
          <w:bCs/>
          <w:sz w:val="20"/>
          <w:szCs w:val="20"/>
        </w:rPr>
      </w:pPr>
      <w:bookmarkStart w:id="5" w:name="a_006"/>
      <w:bookmarkEnd w:id="5"/>
      <w:r>
        <w:rPr>
          <w:b/>
          <w:bCs/>
          <w:sz w:val="20"/>
          <w:szCs w:val="20"/>
        </w:rPr>
        <w:t>Item 2. Properties</w:t>
      </w:r>
    </w:p>
    <w:p w14:paraId="6470BD2E" w14:textId="77777777" w:rsidR="00000000" w:rsidRDefault="001826C1">
      <w:pPr>
        <w:pStyle w:val="a3"/>
        <w:spacing w:before="0" w:beforeAutospacing="0" w:after="0" w:afterAutospacing="0"/>
        <w:rPr>
          <w:sz w:val="20"/>
          <w:szCs w:val="20"/>
        </w:rPr>
      </w:pPr>
      <w:r>
        <w:rPr>
          <w:sz w:val="20"/>
          <w:szCs w:val="20"/>
        </w:rPr>
        <w:t> </w:t>
      </w:r>
    </w:p>
    <w:p w14:paraId="5416890B" w14:textId="77777777" w:rsidR="00000000" w:rsidRDefault="001826C1">
      <w:pPr>
        <w:pStyle w:val="a3"/>
        <w:spacing w:before="0" w:beforeAutospacing="0" w:after="0" w:afterAutospacing="0"/>
        <w:jc w:val="both"/>
        <w:rPr>
          <w:sz w:val="20"/>
          <w:szCs w:val="20"/>
        </w:rPr>
      </w:pPr>
      <w:r>
        <w:rPr>
          <w:sz w:val="20"/>
          <w:szCs w:val="20"/>
        </w:rPr>
        <w:t>Our corporate headquarters</w:t>
      </w:r>
      <w:r>
        <w:rPr>
          <w:sz w:val="20"/>
          <w:szCs w:val="20"/>
        </w:rPr>
        <w:t xml:space="preserve"> are located at 7 Clyde Road, Somerset, New Jersey 08873 where we occupy approximately 2,400 square feet of space under a month-to-month lease. Additionally, at December 31, 2019 we lease approximately 49,000 square feet of office space in approximately 12</w:t>
      </w:r>
      <w:r>
        <w:rPr>
          <w:sz w:val="20"/>
          <w:szCs w:val="20"/>
        </w:rPr>
        <w:t xml:space="preserve"> locations throughout the U.S., with lease terms that are typically two years or less. We also lease approximately 37,000 square feet for five pediatric offices in the Midwest, with leases that will expire between December 2020 and July 2023. Effective Jan</w:t>
      </w:r>
      <w:r>
        <w:rPr>
          <w:sz w:val="20"/>
          <w:szCs w:val="20"/>
        </w:rPr>
        <w:t>uary 1, 2020, the Company vacated one of its current premises and began leasing an additional 9,000 square feet of office space with a lease term of approximately five years.</w:t>
      </w:r>
    </w:p>
    <w:p w14:paraId="7F944415" w14:textId="77777777" w:rsidR="00000000" w:rsidRDefault="001826C1">
      <w:pPr>
        <w:pStyle w:val="a3"/>
        <w:spacing w:before="0" w:beforeAutospacing="0" w:after="0" w:afterAutospacing="0"/>
        <w:jc w:val="both"/>
        <w:rPr>
          <w:sz w:val="20"/>
          <w:szCs w:val="20"/>
        </w:rPr>
      </w:pPr>
      <w:r>
        <w:rPr>
          <w:sz w:val="20"/>
          <w:szCs w:val="20"/>
        </w:rPr>
        <w:t> </w:t>
      </w:r>
    </w:p>
    <w:p w14:paraId="7604D8B4" w14:textId="77777777" w:rsidR="00000000" w:rsidRDefault="001826C1">
      <w:pPr>
        <w:pStyle w:val="a3"/>
        <w:spacing w:before="0" w:beforeAutospacing="0" w:after="0" w:afterAutospacing="0"/>
        <w:jc w:val="both"/>
        <w:rPr>
          <w:sz w:val="20"/>
          <w:szCs w:val="20"/>
        </w:rPr>
      </w:pPr>
      <w:r>
        <w:rPr>
          <w:sz w:val="20"/>
          <w:szCs w:val="20"/>
        </w:rPr>
        <w:t xml:space="preserve">We </w:t>
      </w:r>
      <w:r>
        <w:rPr>
          <w:sz w:val="20"/>
          <w:szCs w:val="20"/>
        </w:rPr>
        <w:t>also lease approximately 48,000 square feet of office space and computer server facilities in Islamabad, Pakistan, which lease expires in July 2021, as well as approximately 33,000 square feet in Bagh, Pakistan, with an annually renewable lease. The Compan</w:t>
      </w:r>
      <w:r>
        <w:rPr>
          <w:sz w:val="20"/>
          <w:szCs w:val="20"/>
        </w:rPr>
        <w:t>y also leases office space in Sri Lanka, which lease expires in March of 2020. This lease will be renewed for an additional year at expiration.</w:t>
      </w:r>
    </w:p>
    <w:p w14:paraId="32FA73FE" w14:textId="77777777" w:rsidR="00000000" w:rsidRDefault="001826C1">
      <w:pPr>
        <w:pStyle w:val="a3"/>
        <w:spacing w:before="0" w:beforeAutospacing="0" w:after="0" w:afterAutospacing="0"/>
        <w:jc w:val="both"/>
        <w:rPr>
          <w:sz w:val="20"/>
          <w:szCs w:val="20"/>
        </w:rPr>
      </w:pPr>
      <w:r>
        <w:rPr>
          <w:sz w:val="20"/>
          <w:szCs w:val="20"/>
        </w:rPr>
        <w:t> </w:t>
      </w:r>
    </w:p>
    <w:p w14:paraId="4D40A1D4" w14:textId="77777777" w:rsidR="00000000" w:rsidRDefault="001826C1">
      <w:pPr>
        <w:pStyle w:val="a3"/>
        <w:spacing w:before="0" w:beforeAutospacing="0" w:after="0" w:afterAutospacing="0"/>
        <w:jc w:val="both"/>
        <w:rPr>
          <w:sz w:val="20"/>
          <w:szCs w:val="20"/>
        </w:rPr>
      </w:pPr>
      <w:r>
        <w:rPr>
          <w:sz w:val="20"/>
          <w:szCs w:val="20"/>
        </w:rPr>
        <w:t xml:space="preserve">The Company also leases computer co-location facilities and apartment space in several additional U.S. cities </w:t>
      </w:r>
      <w:r>
        <w:rPr>
          <w:sz w:val="20"/>
          <w:szCs w:val="20"/>
        </w:rPr>
        <w:t>under short-term and long-term leases, however, these leases are not significant. We believe our current facilities are adequate for our current needs and that suitable additional space will be available as and when needed.</w:t>
      </w:r>
    </w:p>
    <w:p w14:paraId="438D1197" w14:textId="77777777" w:rsidR="00000000" w:rsidRDefault="001826C1">
      <w:pPr>
        <w:pStyle w:val="a3"/>
        <w:spacing w:before="0" w:beforeAutospacing="0" w:after="0" w:afterAutospacing="0"/>
        <w:jc w:val="both"/>
        <w:rPr>
          <w:sz w:val="20"/>
          <w:szCs w:val="20"/>
        </w:rPr>
      </w:pPr>
      <w:r>
        <w:rPr>
          <w:sz w:val="20"/>
          <w:szCs w:val="20"/>
        </w:rPr>
        <w:t> </w:t>
      </w:r>
    </w:p>
    <w:p w14:paraId="15E8A3F3" w14:textId="77777777" w:rsidR="00000000" w:rsidRDefault="001826C1">
      <w:pPr>
        <w:pStyle w:val="a3"/>
        <w:spacing w:before="0" w:beforeAutospacing="0" w:after="0" w:afterAutospacing="0"/>
        <w:rPr>
          <w:b/>
          <w:bCs/>
          <w:sz w:val="20"/>
          <w:szCs w:val="20"/>
        </w:rPr>
      </w:pPr>
      <w:bookmarkStart w:id="6" w:name="a_007"/>
      <w:bookmarkEnd w:id="6"/>
      <w:r>
        <w:rPr>
          <w:b/>
          <w:bCs/>
          <w:sz w:val="20"/>
          <w:szCs w:val="20"/>
        </w:rPr>
        <w:t>Item 3. Legal Proceedings</w:t>
      </w:r>
    </w:p>
    <w:p w14:paraId="18E66FCE" w14:textId="77777777" w:rsidR="00000000" w:rsidRDefault="001826C1">
      <w:pPr>
        <w:pStyle w:val="a3"/>
        <w:spacing w:before="0" w:beforeAutospacing="0" w:after="0" w:afterAutospacing="0"/>
        <w:rPr>
          <w:sz w:val="20"/>
          <w:szCs w:val="20"/>
        </w:rPr>
      </w:pPr>
      <w:r>
        <w:rPr>
          <w:sz w:val="20"/>
          <w:szCs w:val="20"/>
        </w:rPr>
        <w:t> </w:t>
      </w:r>
    </w:p>
    <w:p w14:paraId="5B5BF319" w14:textId="77777777" w:rsidR="00000000" w:rsidRDefault="001826C1">
      <w:pPr>
        <w:pStyle w:val="a3"/>
        <w:spacing w:before="0" w:beforeAutospacing="0" w:after="0" w:afterAutospacing="0"/>
        <w:jc w:val="both"/>
        <w:rPr>
          <w:sz w:val="20"/>
          <w:szCs w:val="20"/>
        </w:rPr>
      </w:pPr>
      <w:r>
        <w:rPr>
          <w:sz w:val="20"/>
          <w:szCs w:val="20"/>
        </w:rPr>
        <w:t>On</w:t>
      </w:r>
      <w:r>
        <w:rPr>
          <w:sz w:val="20"/>
          <w:szCs w:val="20"/>
        </w:rPr>
        <w:t xml:space="preserve"> April 4, 2017, Randolph Pain Relief and Wellness Center (“RPRWC”) filed an arbitration demand with the American Arbitration Association (the “Arbitration”) seeking to arbitrate claims against MTBC, Inc. (“MTBC”) and MTBC Acquisition Corp. (“MAC”). The cla</w:t>
      </w:r>
      <w:r>
        <w:rPr>
          <w:sz w:val="20"/>
          <w:szCs w:val="20"/>
        </w:rPr>
        <w:t>ims relate solely to services provided by Millennium Practice Management Associates, Inc. (“MPMA”), a subsidiary of MediGain, LLC, pursuant to a billing services agreement that contains an arbitration provision. MTBC and MAC jointly moved in the Superior C</w:t>
      </w:r>
      <w:r>
        <w:rPr>
          <w:sz w:val="20"/>
          <w:szCs w:val="20"/>
        </w:rPr>
        <w:t>ourt of New Jersey, Chancery Division, Somerset County (the “Chancery Court”) to enjoin the Arbitration on the grounds that neither were a party to the billing services agreement. On May 30, 2018, the Chancery Court denied that motion and MTBC and MAC appe</w:t>
      </w:r>
      <w:r>
        <w:rPr>
          <w:sz w:val="20"/>
          <w:szCs w:val="20"/>
        </w:rPr>
        <w:t>aled. The Chancery Court ordered the Arbitration stayed pending the appeal.</w:t>
      </w:r>
    </w:p>
    <w:p w14:paraId="7189E7F0" w14:textId="77777777" w:rsidR="00000000" w:rsidRDefault="001826C1">
      <w:pPr>
        <w:pStyle w:val="a3"/>
        <w:spacing w:before="0" w:beforeAutospacing="0" w:after="0" w:afterAutospacing="0"/>
        <w:jc w:val="both"/>
        <w:rPr>
          <w:sz w:val="20"/>
          <w:szCs w:val="20"/>
        </w:rPr>
      </w:pPr>
      <w:r>
        <w:rPr>
          <w:sz w:val="20"/>
          <w:szCs w:val="20"/>
        </w:rPr>
        <w:t> </w:t>
      </w:r>
    </w:p>
    <w:p w14:paraId="5293C491" w14:textId="77777777" w:rsidR="00000000" w:rsidRDefault="001826C1">
      <w:pPr>
        <w:pStyle w:val="a3"/>
        <w:spacing w:before="0" w:beforeAutospacing="0" w:after="0" w:afterAutospacing="0"/>
        <w:jc w:val="both"/>
        <w:rPr>
          <w:sz w:val="20"/>
          <w:szCs w:val="20"/>
        </w:rPr>
      </w:pPr>
      <w:r>
        <w:rPr>
          <w:sz w:val="20"/>
          <w:szCs w:val="20"/>
        </w:rPr>
        <w:t>On April 23, 2019, the Appellate Division reversed the Chancery Court’s ruling that MTBC is required to participate in the Arbitration and remanded the case for further proceedin</w:t>
      </w:r>
      <w:r>
        <w:rPr>
          <w:sz w:val="20"/>
          <w:szCs w:val="20"/>
        </w:rPr>
        <w:t>gs before the Chancery Court on that issue. The Appellate Division upheld the Chancery Court’s ruling that MAC was required to participate in the Arbitration. The parties have completed discovery in the remanded matter, and both MTBC and RPRWC filed cross-</w:t>
      </w:r>
      <w:r>
        <w:rPr>
          <w:sz w:val="20"/>
          <w:szCs w:val="20"/>
        </w:rPr>
        <w:t>motions for summary judgement in their favor. On February 6, 2020, the Chancery Court denied RPRWC’s motion for summary judgment and granted MTBC’s cross-motion for summary judgment. The Chancery Court held that MTBC cannot be compelled to participate in t</w:t>
      </w:r>
      <w:r>
        <w:rPr>
          <w:sz w:val="20"/>
          <w:szCs w:val="20"/>
        </w:rPr>
        <w:t>he Arbitration. RPRWC has informed MTBC that it does not intend to appeal the Chancery Court’s ruling and that it intends to move forward solely against MAC in the Arbitration.</w:t>
      </w:r>
    </w:p>
    <w:p w14:paraId="09E8DB8D" w14:textId="77777777" w:rsidR="00000000" w:rsidRDefault="001826C1">
      <w:pPr>
        <w:pStyle w:val="a3"/>
        <w:spacing w:before="0" w:beforeAutospacing="0" w:after="0" w:afterAutospacing="0"/>
        <w:jc w:val="both"/>
        <w:rPr>
          <w:sz w:val="20"/>
          <w:szCs w:val="20"/>
        </w:rPr>
      </w:pPr>
      <w:r>
        <w:rPr>
          <w:sz w:val="20"/>
          <w:szCs w:val="20"/>
        </w:rPr>
        <w:t> </w:t>
      </w:r>
    </w:p>
    <w:p w14:paraId="453B60C7" w14:textId="77777777" w:rsidR="00000000" w:rsidRDefault="001826C1">
      <w:pPr>
        <w:pStyle w:val="a3"/>
        <w:spacing w:before="0" w:beforeAutospacing="0" w:after="0" w:afterAutospacing="0" w:line="256" w:lineRule="auto"/>
        <w:jc w:val="both"/>
        <w:rPr>
          <w:sz w:val="20"/>
          <w:szCs w:val="20"/>
        </w:rPr>
      </w:pPr>
      <w:r>
        <w:rPr>
          <w:sz w:val="20"/>
          <w:szCs w:val="20"/>
        </w:rPr>
        <w:t>RPRWC seeks compensatory damages of $6.6 million, plus costs, for MPMA’s alle</w:t>
      </w:r>
      <w:r>
        <w:rPr>
          <w:sz w:val="20"/>
          <w:szCs w:val="20"/>
        </w:rPr>
        <w:t xml:space="preserve">ged breach of the billing services agreement. RPRWC’s breach of contract and compensatory damages claims have not been the subject of the ongoing court proceedings, which have focused solely on whether RPRWC can compel MTBC and MAC to arbitrate its claim. </w:t>
      </w:r>
      <w:r>
        <w:rPr>
          <w:sz w:val="20"/>
          <w:szCs w:val="20"/>
        </w:rPr>
        <w:t>Thus, RPRWC has not yet provided MAC with information sufficient to enable it to estimate a range of possible losses that may arise from the Arbitration. MAC intends to vigorously defend against RPRWC’s claims. If RPRWC is successful in the Arbitration, MA</w:t>
      </w:r>
      <w:r>
        <w:rPr>
          <w:sz w:val="20"/>
          <w:szCs w:val="20"/>
        </w:rPr>
        <w:t>C anticipates the award would be substantially less than the amount claimed.</w:t>
      </w:r>
    </w:p>
    <w:p w14:paraId="11FC80BF" w14:textId="77777777" w:rsidR="00000000" w:rsidRDefault="001826C1">
      <w:pPr>
        <w:pStyle w:val="a3"/>
        <w:spacing w:before="0" w:beforeAutospacing="0" w:after="0" w:afterAutospacing="0"/>
        <w:jc w:val="both"/>
        <w:rPr>
          <w:sz w:val="20"/>
          <w:szCs w:val="20"/>
        </w:rPr>
      </w:pPr>
      <w:r>
        <w:rPr>
          <w:sz w:val="20"/>
          <w:szCs w:val="20"/>
        </w:rPr>
        <w:t> </w:t>
      </w:r>
    </w:p>
    <w:p w14:paraId="1EE3D9AF" w14:textId="77777777" w:rsidR="00000000" w:rsidRDefault="001826C1">
      <w:pPr>
        <w:pStyle w:val="a3"/>
        <w:spacing w:before="0" w:beforeAutospacing="0" w:after="0" w:afterAutospacing="0"/>
        <w:rPr>
          <w:b/>
          <w:bCs/>
          <w:sz w:val="20"/>
          <w:szCs w:val="20"/>
        </w:rPr>
      </w:pPr>
      <w:bookmarkStart w:id="7" w:name="a_008"/>
      <w:bookmarkEnd w:id="7"/>
      <w:r>
        <w:rPr>
          <w:b/>
          <w:bCs/>
          <w:sz w:val="20"/>
          <w:szCs w:val="20"/>
        </w:rPr>
        <w:t>Item 4. Mine Safety Disclosures</w:t>
      </w:r>
    </w:p>
    <w:p w14:paraId="2622CE31" w14:textId="77777777" w:rsidR="00000000" w:rsidRDefault="001826C1">
      <w:pPr>
        <w:pStyle w:val="a3"/>
        <w:spacing w:before="0" w:beforeAutospacing="0" w:after="0" w:afterAutospacing="0"/>
        <w:rPr>
          <w:sz w:val="20"/>
          <w:szCs w:val="20"/>
        </w:rPr>
      </w:pPr>
      <w:r>
        <w:rPr>
          <w:sz w:val="20"/>
          <w:szCs w:val="20"/>
        </w:rPr>
        <w:t> </w:t>
      </w:r>
    </w:p>
    <w:p w14:paraId="204CE972" w14:textId="77777777" w:rsidR="00000000" w:rsidRDefault="001826C1">
      <w:pPr>
        <w:pStyle w:val="a3"/>
        <w:spacing w:before="0" w:beforeAutospacing="0" w:after="0" w:afterAutospacing="0"/>
        <w:rPr>
          <w:sz w:val="20"/>
          <w:szCs w:val="20"/>
        </w:rPr>
      </w:pPr>
      <w:r>
        <w:rPr>
          <w:sz w:val="20"/>
          <w:szCs w:val="20"/>
        </w:rPr>
        <w:t>None.</w:t>
      </w:r>
    </w:p>
    <w:p w14:paraId="41A4845E"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B04016" w14:textId="77777777">
        <w:trPr>
          <w:divId w:val="387384538"/>
        </w:trPr>
        <w:tc>
          <w:tcPr>
            <w:tcW w:w="5000" w:type="pct"/>
            <w:hideMark/>
          </w:tcPr>
          <w:p w14:paraId="5F76EEB3"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32C5248A" w14:textId="77777777">
        <w:tc>
          <w:tcPr>
            <w:tcW w:w="5000" w:type="pct"/>
            <w:hideMark/>
          </w:tcPr>
          <w:p w14:paraId="34977DE2" w14:textId="77777777" w:rsidR="00000000" w:rsidRDefault="001826C1">
            <w:pPr>
              <w:jc w:val="center"/>
              <w:rPr>
                <w:rFonts w:eastAsia="Times New Roman"/>
                <w:sz w:val="20"/>
                <w:szCs w:val="20"/>
              </w:rPr>
            </w:pPr>
            <w:r>
              <w:rPr>
                <w:rFonts w:eastAsia="Times New Roman"/>
                <w:sz w:val="20"/>
                <w:szCs w:val="20"/>
              </w:rPr>
              <w:t> </w:t>
            </w:r>
          </w:p>
        </w:tc>
      </w:tr>
    </w:tbl>
    <w:p w14:paraId="50178904" w14:textId="77777777" w:rsidR="00000000" w:rsidRDefault="001826C1">
      <w:pPr>
        <w:pStyle w:val="a3"/>
        <w:spacing w:before="0" w:beforeAutospacing="0" w:after="0" w:afterAutospacing="0"/>
        <w:rPr>
          <w:sz w:val="20"/>
          <w:szCs w:val="20"/>
        </w:rPr>
      </w:pPr>
      <w:r>
        <w:rPr>
          <w:sz w:val="20"/>
          <w:szCs w:val="20"/>
        </w:rPr>
        <w:t> </w:t>
      </w:r>
    </w:p>
    <w:p w14:paraId="31F031D9" w14:textId="77777777" w:rsidR="00000000" w:rsidRDefault="001826C1">
      <w:pPr>
        <w:pStyle w:val="a3"/>
        <w:spacing w:before="0" w:beforeAutospacing="0" w:after="0" w:afterAutospacing="0"/>
        <w:rPr>
          <w:b/>
          <w:bCs/>
          <w:sz w:val="20"/>
          <w:szCs w:val="20"/>
        </w:rPr>
      </w:pPr>
      <w:bookmarkStart w:id="8" w:name="a_009"/>
      <w:bookmarkEnd w:id="8"/>
      <w:r>
        <w:rPr>
          <w:b/>
          <w:bCs/>
          <w:sz w:val="20"/>
          <w:szCs w:val="20"/>
        </w:rPr>
        <w:t>PART II</w:t>
      </w:r>
    </w:p>
    <w:p w14:paraId="66B5320A" w14:textId="77777777" w:rsidR="00000000" w:rsidRDefault="001826C1">
      <w:pPr>
        <w:pStyle w:val="a3"/>
        <w:spacing w:before="0" w:beforeAutospacing="0" w:after="0" w:afterAutospacing="0"/>
        <w:rPr>
          <w:sz w:val="20"/>
          <w:szCs w:val="20"/>
        </w:rPr>
      </w:pPr>
      <w:r>
        <w:rPr>
          <w:sz w:val="20"/>
          <w:szCs w:val="20"/>
        </w:rPr>
        <w:t> </w:t>
      </w:r>
    </w:p>
    <w:p w14:paraId="504D8C2A" w14:textId="77777777" w:rsidR="00000000" w:rsidRDefault="001826C1">
      <w:pPr>
        <w:pStyle w:val="a3"/>
        <w:spacing w:before="0" w:beforeAutospacing="0" w:after="0" w:afterAutospacing="0"/>
        <w:jc w:val="both"/>
        <w:rPr>
          <w:b/>
          <w:bCs/>
          <w:sz w:val="20"/>
          <w:szCs w:val="20"/>
        </w:rPr>
      </w:pPr>
      <w:bookmarkStart w:id="9" w:name="a_010"/>
      <w:bookmarkEnd w:id="9"/>
      <w:r>
        <w:rPr>
          <w:b/>
          <w:bCs/>
          <w:sz w:val="20"/>
          <w:szCs w:val="20"/>
        </w:rPr>
        <w:t>Item 5. Market for Registrant’</w:t>
      </w:r>
      <w:r>
        <w:rPr>
          <w:b/>
          <w:bCs/>
          <w:sz w:val="20"/>
          <w:szCs w:val="20"/>
        </w:rPr>
        <w:t>s Common Equity, Related Stockholder Matters and Issuer Purchases of Equity Securities</w:t>
      </w:r>
    </w:p>
    <w:p w14:paraId="4A06FBA0" w14:textId="77777777" w:rsidR="00000000" w:rsidRDefault="001826C1">
      <w:pPr>
        <w:pStyle w:val="a3"/>
        <w:spacing w:before="0" w:beforeAutospacing="0" w:after="0" w:afterAutospacing="0"/>
        <w:rPr>
          <w:sz w:val="20"/>
          <w:szCs w:val="20"/>
        </w:rPr>
      </w:pPr>
      <w:r>
        <w:rPr>
          <w:sz w:val="20"/>
          <w:szCs w:val="20"/>
        </w:rPr>
        <w:t> </w:t>
      </w:r>
    </w:p>
    <w:p w14:paraId="08F01733" w14:textId="77777777" w:rsidR="00000000" w:rsidRDefault="001826C1">
      <w:pPr>
        <w:pStyle w:val="a3"/>
        <w:spacing w:before="0" w:beforeAutospacing="0" w:after="0" w:afterAutospacing="0"/>
        <w:jc w:val="both"/>
        <w:rPr>
          <w:sz w:val="20"/>
          <w:szCs w:val="20"/>
        </w:rPr>
      </w:pPr>
      <w:r>
        <w:rPr>
          <w:sz w:val="20"/>
          <w:szCs w:val="20"/>
        </w:rPr>
        <w:t>Our common stock has been listed since July 23, 2014 and is trading on the Nasdaq Global Market under the symbol “MTBC”.</w:t>
      </w:r>
    </w:p>
    <w:p w14:paraId="7DB6AC7B" w14:textId="77777777" w:rsidR="00000000" w:rsidRDefault="001826C1">
      <w:pPr>
        <w:pStyle w:val="a3"/>
        <w:spacing w:before="0" w:beforeAutospacing="0" w:after="0" w:afterAutospacing="0"/>
        <w:rPr>
          <w:sz w:val="20"/>
          <w:szCs w:val="20"/>
        </w:rPr>
      </w:pPr>
      <w:r>
        <w:rPr>
          <w:sz w:val="20"/>
          <w:szCs w:val="20"/>
        </w:rPr>
        <w:t> </w:t>
      </w:r>
    </w:p>
    <w:p w14:paraId="6403EA49" w14:textId="77777777" w:rsidR="00000000" w:rsidRDefault="001826C1">
      <w:pPr>
        <w:pStyle w:val="a3"/>
        <w:spacing w:before="0" w:beforeAutospacing="0" w:after="0" w:afterAutospacing="0"/>
        <w:rPr>
          <w:sz w:val="20"/>
          <w:szCs w:val="20"/>
        </w:rPr>
      </w:pPr>
      <w:r>
        <w:rPr>
          <w:b/>
          <w:bCs/>
          <w:sz w:val="20"/>
          <w:szCs w:val="20"/>
        </w:rPr>
        <w:t>Common Stockholders</w:t>
      </w:r>
    </w:p>
    <w:p w14:paraId="053FD940" w14:textId="77777777" w:rsidR="00000000" w:rsidRDefault="001826C1">
      <w:pPr>
        <w:pStyle w:val="a3"/>
        <w:spacing w:before="0" w:beforeAutospacing="0" w:after="0" w:afterAutospacing="0"/>
        <w:rPr>
          <w:sz w:val="20"/>
          <w:szCs w:val="20"/>
        </w:rPr>
      </w:pPr>
      <w:r>
        <w:rPr>
          <w:sz w:val="20"/>
          <w:szCs w:val="20"/>
        </w:rPr>
        <w:t> </w:t>
      </w:r>
    </w:p>
    <w:p w14:paraId="7D7E20D9" w14:textId="77777777" w:rsidR="00000000" w:rsidRDefault="001826C1">
      <w:pPr>
        <w:pStyle w:val="a3"/>
        <w:spacing w:before="0" w:beforeAutospacing="0" w:after="0" w:afterAutospacing="0"/>
        <w:jc w:val="both"/>
        <w:rPr>
          <w:sz w:val="20"/>
          <w:szCs w:val="20"/>
        </w:rPr>
      </w:pPr>
      <w:r>
        <w:rPr>
          <w:sz w:val="20"/>
          <w:szCs w:val="20"/>
        </w:rPr>
        <w:t>As of February 12, 202</w:t>
      </w:r>
      <w:r>
        <w:rPr>
          <w:sz w:val="20"/>
          <w:szCs w:val="20"/>
        </w:rPr>
        <w:t>0, there were approximately 3,400 holders of record of our common stock.</w:t>
      </w:r>
    </w:p>
    <w:p w14:paraId="6ABF124D" w14:textId="77777777" w:rsidR="00000000" w:rsidRDefault="001826C1">
      <w:pPr>
        <w:pStyle w:val="a3"/>
        <w:spacing w:before="0" w:beforeAutospacing="0" w:after="0" w:afterAutospacing="0"/>
        <w:rPr>
          <w:sz w:val="20"/>
          <w:szCs w:val="20"/>
        </w:rPr>
      </w:pPr>
      <w:r>
        <w:rPr>
          <w:sz w:val="20"/>
          <w:szCs w:val="20"/>
        </w:rPr>
        <w:t> </w:t>
      </w:r>
    </w:p>
    <w:p w14:paraId="3F2DFC59" w14:textId="77777777" w:rsidR="00000000" w:rsidRDefault="001826C1">
      <w:pPr>
        <w:pStyle w:val="a3"/>
        <w:spacing w:before="0" w:beforeAutospacing="0" w:after="0" w:afterAutospacing="0"/>
        <w:rPr>
          <w:sz w:val="20"/>
          <w:szCs w:val="20"/>
        </w:rPr>
      </w:pPr>
      <w:r>
        <w:rPr>
          <w:b/>
          <w:bCs/>
          <w:sz w:val="20"/>
          <w:szCs w:val="20"/>
        </w:rPr>
        <w:t>Dividends on Common Stock</w:t>
      </w:r>
    </w:p>
    <w:p w14:paraId="6236BD25" w14:textId="77777777" w:rsidR="00000000" w:rsidRDefault="001826C1">
      <w:pPr>
        <w:pStyle w:val="a3"/>
        <w:spacing w:before="0" w:beforeAutospacing="0" w:after="0" w:afterAutospacing="0"/>
        <w:rPr>
          <w:sz w:val="20"/>
          <w:szCs w:val="20"/>
        </w:rPr>
      </w:pPr>
      <w:r>
        <w:rPr>
          <w:b/>
          <w:bCs/>
          <w:sz w:val="20"/>
          <w:szCs w:val="20"/>
        </w:rPr>
        <w:t> </w:t>
      </w:r>
    </w:p>
    <w:p w14:paraId="690313F9" w14:textId="77777777" w:rsidR="00000000" w:rsidRDefault="001826C1">
      <w:pPr>
        <w:pStyle w:val="a3"/>
        <w:spacing w:before="0" w:beforeAutospacing="0" w:after="0" w:afterAutospacing="0"/>
        <w:jc w:val="both"/>
        <w:rPr>
          <w:sz w:val="20"/>
          <w:szCs w:val="20"/>
        </w:rPr>
      </w:pPr>
      <w:r>
        <w:rPr>
          <w:sz w:val="20"/>
          <w:szCs w:val="20"/>
        </w:rPr>
        <w:t>We have not declared a cash dividend on our common stock since we became public on July 23, 2014, and currently we do not anticipate paying any cash divi</w:t>
      </w:r>
      <w:r>
        <w:rPr>
          <w:sz w:val="20"/>
          <w:szCs w:val="20"/>
        </w:rPr>
        <w:t>dends to holders of our common stock. The Company is prohibited from paying any dividends on common stock without the prior written consent of its senior lender, SVB.</w:t>
      </w:r>
    </w:p>
    <w:p w14:paraId="36222800" w14:textId="77777777" w:rsidR="00000000" w:rsidRDefault="001826C1">
      <w:pPr>
        <w:pStyle w:val="a3"/>
        <w:spacing w:before="0" w:beforeAutospacing="0" w:after="0" w:afterAutospacing="0"/>
        <w:jc w:val="both"/>
        <w:rPr>
          <w:sz w:val="20"/>
          <w:szCs w:val="20"/>
        </w:rPr>
      </w:pPr>
      <w:r>
        <w:rPr>
          <w:sz w:val="20"/>
          <w:szCs w:val="20"/>
        </w:rPr>
        <w:t> </w:t>
      </w:r>
    </w:p>
    <w:p w14:paraId="57655B18" w14:textId="77777777" w:rsidR="00000000" w:rsidRDefault="001826C1">
      <w:pPr>
        <w:pStyle w:val="a3"/>
        <w:spacing w:before="0" w:beforeAutospacing="0" w:after="0" w:afterAutospacing="0"/>
        <w:rPr>
          <w:sz w:val="20"/>
          <w:szCs w:val="20"/>
        </w:rPr>
      </w:pPr>
      <w:r>
        <w:rPr>
          <w:b/>
          <w:bCs/>
          <w:sz w:val="20"/>
          <w:szCs w:val="20"/>
        </w:rPr>
        <w:t>Recent Sales of Unregistered Securities</w:t>
      </w:r>
    </w:p>
    <w:p w14:paraId="6664926A" w14:textId="77777777" w:rsidR="00000000" w:rsidRDefault="001826C1">
      <w:pPr>
        <w:pStyle w:val="a3"/>
        <w:spacing w:before="0" w:beforeAutospacing="0" w:after="0" w:afterAutospacing="0"/>
        <w:rPr>
          <w:sz w:val="20"/>
          <w:szCs w:val="20"/>
        </w:rPr>
      </w:pPr>
      <w:r>
        <w:rPr>
          <w:b/>
          <w:bCs/>
          <w:sz w:val="20"/>
          <w:szCs w:val="20"/>
        </w:rPr>
        <w:t> </w:t>
      </w:r>
    </w:p>
    <w:p w14:paraId="3B51DF86" w14:textId="77777777" w:rsidR="00000000" w:rsidRDefault="001826C1">
      <w:pPr>
        <w:pStyle w:val="a3"/>
        <w:spacing w:before="0" w:beforeAutospacing="0" w:after="0" w:afterAutospacing="0"/>
        <w:jc w:val="both"/>
        <w:rPr>
          <w:sz w:val="20"/>
          <w:szCs w:val="20"/>
        </w:rPr>
      </w:pPr>
      <w:r>
        <w:rPr>
          <w:sz w:val="20"/>
          <w:szCs w:val="20"/>
        </w:rPr>
        <w:t>There was no sale of unregistered equity secu</w:t>
      </w:r>
      <w:r>
        <w:rPr>
          <w:sz w:val="20"/>
          <w:szCs w:val="20"/>
        </w:rPr>
        <w:t>rities during the three months ended December 31, 2019.</w:t>
      </w:r>
    </w:p>
    <w:p w14:paraId="4EF8EA8D" w14:textId="77777777" w:rsidR="00000000" w:rsidRDefault="001826C1">
      <w:pPr>
        <w:pStyle w:val="a3"/>
        <w:spacing w:before="0" w:beforeAutospacing="0" w:after="0" w:afterAutospacing="0"/>
        <w:rPr>
          <w:sz w:val="20"/>
          <w:szCs w:val="20"/>
        </w:rPr>
      </w:pPr>
      <w:r>
        <w:rPr>
          <w:b/>
          <w:bCs/>
          <w:sz w:val="20"/>
          <w:szCs w:val="20"/>
        </w:rPr>
        <w:t> </w:t>
      </w:r>
    </w:p>
    <w:p w14:paraId="3E4AF904" w14:textId="77777777" w:rsidR="00000000" w:rsidRDefault="001826C1">
      <w:pPr>
        <w:pStyle w:val="a3"/>
        <w:spacing w:before="0" w:beforeAutospacing="0" w:after="0" w:afterAutospacing="0"/>
        <w:rPr>
          <w:sz w:val="20"/>
          <w:szCs w:val="20"/>
        </w:rPr>
      </w:pPr>
      <w:r>
        <w:rPr>
          <w:b/>
          <w:bCs/>
          <w:sz w:val="20"/>
          <w:szCs w:val="20"/>
        </w:rPr>
        <w:t>Purchases of Equity Securities by the Issuer and Affiliated Purchasers</w:t>
      </w:r>
    </w:p>
    <w:p w14:paraId="5D3FE777" w14:textId="77777777" w:rsidR="00000000" w:rsidRDefault="001826C1">
      <w:pPr>
        <w:pStyle w:val="a3"/>
        <w:spacing w:before="0" w:beforeAutospacing="0" w:after="0" w:afterAutospacing="0"/>
        <w:rPr>
          <w:sz w:val="20"/>
          <w:szCs w:val="20"/>
        </w:rPr>
      </w:pPr>
      <w:r>
        <w:rPr>
          <w:sz w:val="20"/>
          <w:szCs w:val="20"/>
        </w:rPr>
        <w:t> </w:t>
      </w:r>
    </w:p>
    <w:p w14:paraId="779FB856" w14:textId="77777777" w:rsidR="00000000" w:rsidRDefault="001826C1">
      <w:pPr>
        <w:pStyle w:val="a3"/>
        <w:spacing w:before="0" w:beforeAutospacing="0" w:after="0" w:afterAutospacing="0"/>
        <w:rPr>
          <w:sz w:val="20"/>
          <w:szCs w:val="20"/>
        </w:rPr>
      </w:pPr>
      <w:r>
        <w:rPr>
          <w:sz w:val="20"/>
          <w:szCs w:val="20"/>
        </w:rPr>
        <w:t xml:space="preserve">There </w:t>
      </w:r>
      <w:r>
        <w:rPr>
          <w:sz w:val="20"/>
          <w:szCs w:val="20"/>
        </w:rPr>
        <w:t>was no share repurchase activity during the three months ended December 31, 2019.</w:t>
      </w:r>
    </w:p>
    <w:p w14:paraId="456FC1F7" w14:textId="77777777" w:rsidR="00000000" w:rsidRDefault="001826C1">
      <w:pPr>
        <w:pStyle w:val="a3"/>
        <w:spacing w:before="0" w:beforeAutospacing="0" w:after="0" w:afterAutospacing="0"/>
        <w:rPr>
          <w:sz w:val="20"/>
          <w:szCs w:val="20"/>
        </w:rPr>
      </w:pPr>
      <w:r>
        <w:rPr>
          <w:sz w:val="20"/>
          <w:szCs w:val="20"/>
        </w:rPr>
        <w:t> </w:t>
      </w:r>
    </w:p>
    <w:p w14:paraId="6B70EAFB" w14:textId="77777777" w:rsidR="00000000" w:rsidRDefault="001826C1">
      <w:pPr>
        <w:pStyle w:val="a3"/>
        <w:spacing w:before="0" w:beforeAutospacing="0" w:after="0" w:afterAutospacing="0"/>
        <w:rPr>
          <w:sz w:val="20"/>
          <w:szCs w:val="20"/>
        </w:rPr>
      </w:pPr>
      <w:r>
        <w:rPr>
          <w:b/>
          <w:bCs/>
          <w:sz w:val="20"/>
          <w:szCs w:val="20"/>
        </w:rPr>
        <w:t>Securities Authorized for Issuance under the Equity Compensation Plan</w:t>
      </w:r>
    </w:p>
    <w:p w14:paraId="65F39F9C" w14:textId="77777777" w:rsidR="00000000" w:rsidRDefault="001826C1">
      <w:pPr>
        <w:pStyle w:val="a3"/>
        <w:spacing w:before="0" w:beforeAutospacing="0" w:after="0" w:afterAutospacing="0"/>
        <w:rPr>
          <w:sz w:val="20"/>
          <w:szCs w:val="20"/>
        </w:rPr>
      </w:pPr>
      <w:r>
        <w:rPr>
          <w:sz w:val="20"/>
          <w:szCs w:val="20"/>
        </w:rPr>
        <w:t> </w:t>
      </w:r>
    </w:p>
    <w:p w14:paraId="4E3F0A66" w14:textId="77777777" w:rsidR="00000000" w:rsidRDefault="001826C1">
      <w:pPr>
        <w:pStyle w:val="a3"/>
        <w:spacing w:before="0" w:beforeAutospacing="0" w:after="0" w:afterAutospacing="0"/>
        <w:jc w:val="both"/>
        <w:rPr>
          <w:sz w:val="20"/>
          <w:szCs w:val="20"/>
        </w:rPr>
      </w:pPr>
      <w:r>
        <w:rPr>
          <w:sz w:val="20"/>
          <w:szCs w:val="20"/>
        </w:rPr>
        <w:t>As of December 31, 2019, the following table shows the number of securities to be issued upon vestin</w:t>
      </w:r>
      <w:r>
        <w:rPr>
          <w:sz w:val="20"/>
          <w:szCs w:val="20"/>
        </w:rPr>
        <w:t>g under the equity compensation plan approved by the Company’s Board of Directors.</w:t>
      </w:r>
    </w:p>
    <w:p w14:paraId="637EC604" w14:textId="77777777" w:rsidR="00000000" w:rsidRDefault="001826C1">
      <w:pPr>
        <w:pStyle w:val="a3"/>
        <w:spacing w:before="0" w:beforeAutospacing="0" w:after="0" w:afterAutospacing="0"/>
        <w:jc w:val="both"/>
        <w:rPr>
          <w:sz w:val="20"/>
          <w:szCs w:val="20"/>
        </w:rPr>
      </w:pPr>
      <w:r>
        <w:rPr>
          <w:sz w:val="20"/>
          <w:szCs w:val="20"/>
        </w:rPr>
        <w:t> </w:t>
      </w:r>
    </w:p>
    <w:p w14:paraId="117F74ED" w14:textId="77777777" w:rsidR="00000000" w:rsidRDefault="001826C1">
      <w:pPr>
        <w:pStyle w:val="a3"/>
        <w:spacing w:before="0" w:beforeAutospacing="0" w:after="0" w:afterAutospacing="0"/>
        <w:jc w:val="both"/>
        <w:rPr>
          <w:sz w:val="20"/>
          <w:szCs w:val="20"/>
        </w:rPr>
      </w:pPr>
      <w:r>
        <w:rPr>
          <w:b/>
          <w:bCs/>
          <w:sz w:val="20"/>
          <w:szCs w:val="20"/>
        </w:rPr>
        <w:t>Equity Compensation Plan Information</w:t>
      </w:r>
    </w:p>
    <w:p w14:paraId="61B56A08"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166"/>
        <w:gridCol w:w="83"/>
        <w:gridCol w:w="997"/>
        <w:gridCol w:w="83"/>
        <w:gridCol w:w="166"/>
        <w:gridCol w:w="83"/>
        <w:gridCol w:w="1661"/>
        <w:gridCol w:w="83"/>
      </w:tblGrid>
      <w:tr w:rsidR="00000000" w14:paraId="6781A2DA" w14:textId="77777777">
        <w:tc>
          <w:tcPr>
            <w:tcW w:w="0" w:type="auto"/>
            <w:tcBorders>
              <w:bottom w:val="single" w:sz="12" w:space="0" w:color="000000"/>
            </w:tcBorders>
            <w:vAlign w:val="bottom"/>
            <w:hideMark/>
          </w:tcPr>
          <w:p w14:paraId="07B1AF1E" w14:textId="77777777" w:rsidR="00000000" w:rsidRDefault="001826C1">
            <w:pPr>
              <w:rPr>
                <w:rFonts w:eastAsia="Times New Roman"/>
                <w:b/>
                <w:bCs/>
                <w:sz w:val="20"/>
                <w:szCs w:val="20"/>
              </w:rPr>
            </w:pPr>
            <w:r>
              <w:rPr>
                <w:rFonts w:eastAsia="Times New Roman"/>
                <w:b/>
                <w:bCs/>
                <w:sz w:val="20"/>
                <w:szCs w:val="20"/>
              </w:rPr>
              <w:t>Plan Category</w:t>
            </w:r>
          </w:p>
        </w:tc>
        <w:tc>
          <w:tcPr>
            <w:tcW w:w="0" w:type="auto"/>
            <w:tcMar>
              <w:top w:w="0" w:type="dxa"/>
              <w:left w:w="0" w:type="dxa"/>
              <w:bottom w:w="30" w:type="dxa"/>
              <w:right w:w="0" w:type="dxa"/>
            </w:tcMar>
            <w:vAlign w:val="bottom"/>
            <w:hideMark/>
          </w:tcPr>
          <w:p w14:paraId="4697CF31"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8F4549B" w14:textId="77777777" w:rsidR="00000000" w:rsidRDefault="001826C1">
            <w:pPr>
              <w:jc w:val="center"/>
              <w:rPr>
                <w:rFonts w:eastAsia="Times New Roman"/>
                <w:b/>
                <w:bCs/>
                <w:sz w:val="20"/>
                <w:szCs w:val="20"/>
              </w:rPr>
            </w:pPr>
            <w:r>
              <w:rPr>
                <w:rFonts w:eastAsia="Times New Roman"/>
                <w:b/>
                <w:bCs/>
                <w:sz w:val="20"/>
                <w:szCs w:val="20"/>
              </w:rPr>
              <w:t xml:space="preserve">Number of </w:t>
            </w:r>
            <w:r>
              <w:rPr>
                <w:rFonts w:eastAsia="Times New Roman"/>
                <w:b/>
                <w:bCs/>
                <w:sz w:val="20"/>
                <w:szCs w:val="20"/>
              </w:rPr>
              <w:br/>
              <w:t>securities to</w:t>
            </w:r>
            <w:r>
              <w:rPr>
                <w:rFonts w:eastAsia="Times New Roman"/>
                <w:b/>
                <w:bCs/>
                <w:sz w:val="20"/>
                <w:szCs w:val="20"/>
              </w:rPr>
              <w:br/>
              <w:t xml:space="preserve">be issued upon </w:t>
            </w:r>
            <w:r>
              <w:rPr>
                <w:rFonts w:eastAsia="Times New Roman"/>
                <w:b/>
                <w:bCs/>
                <w:sz w:val="20"/>
                <w:szCs w:val="20"/>
              </w:rPr>
              <w:br/>
              <w:t>vesting</w:t>
            </w:r>
          </w:p>
        </w:tc>
        <w:tc>
          <w:tcPr>
            <w:tcW w:w="0" w:type="auto"/>
            <w:tcMar>
              <w:top w:w="0" w:type="dxa"/>
              <w:left w:w="0" w:type="dxa"/>
              <w:bottom w:w="30" w:type="dxa"/>
              <w:right w:w="0" w:type="dxa"/>
            </w:tcMar>
            <w:vAlign w:val="bottom"/>
            <w:hideMark/>
          </w:tcPr>
          <w:p w14:paraId="605E94ED"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784210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F4476A" w14:textId="77777777" w:rsidR="00000000" w:rsidRDefault="001826C1">
            <w:pPr>
              <w:jc w:val="center"/>
              <w:rPr>
                <w:rFonts w:eastAsia="Times New Roman"/>
                <w:b/>
                <w:bCs/>
                <w:sz w:val="20"/>
                <w:szCs w:val="20"/>
              </w:rPr>
            </w:pPr>
            <w:r>
              <w:rPr>
                <w:rFonts w:eastAsia="Times New Roman"/>
                <w:b/>
                <w:bCs/>
                <w:sz w:val="20"/>
                <w:szCs w:val="20"/>
              </w:rPr>
              <w:t>Number of securities</w:t>
            </w:r>
            <w:r>
              <w:rPr>
                <w:rFonts w:eastAsia="Times New Roman"/>
                <w:b/>
                <w:bCs/>
                <w:sz w:val="20"/>
                <w:szCs w:val="20"/>
              </w:rPr>
              <w:br/>
            </w:r>
            <w:r>
              <w:rPr>
                <w:rFonts w:eastAsia="Times New Roman"/>
                <w:b/>
                <w:bCs/>
                <w:sz w:val="20"/>
                <w:szCs w:val="20"/>
              </w:rPr>
              <w:t>remaining available for</w:t>
            </w:r>
            <w:r>
              <w:rPr>
                <w:rFonts w:eastAsia="Times New Roman"/>
                <w:b/>
                <w:bCs/>
                <w:sz w:val="20"/>
                <w:szCs w:val="20"/>
              </w:rPr>
              <w:br/>
              <w:t>future issuance under</w:t>
            </w:r>
            <w:r>
              <w:rPr>
                <w:rFonts w:eastAsia="Times New Roman"/>
                <w:b/>
                <w:bCs/>
                <w:sz w:val="20"/>
                <w:szCs w:val="20"/>
              </w:rPr>
              <w:br/>
              <w:t>equity incentive plan</w:t>
            </w:r>
            <w:r>
              <w:rPr>
                <w:rFonts w:eastAsia="Times New Roman"/>
                <w:b/>
                <w:bCs/>
                <w:sz w:val="20"/>
                <w:szCs w:val="20"/>
              </w:rPr>
              <w:br/>
              <w:t>(excluding securities to</w:t>
            </w:r>
            <w:r>
              <w:rPr>
                <w:rFonts w:eastAsia="Times New Roman"/>
                <w:b/>
                <w:bCs/>
                <w:sz w:val="20"/>
                <w:szCs w:val="20"/>
              </w:rPr>
              <w:br/>
              <w:t>be issued upon vesting)</w:t>
            </w:r>
          </w:p>
        </w:tc>
        <w:tc>
          <w:tcPr>
            <w:tcW w:w="0" w:type="auto"/>
            <w:tcMar>
              <w:top w:w="0" w:type="dxa"/>
              <w:left w:w="0" w:type="dxa"/>
              <w:bottom w:w="30" w:type="dxa"/>
              <w:right w:w="0" w:type="dxa"/>
            </w:tcMar>
            <w:vAlign w:val="bottom"/>
            <w:hideMark/>
          </w:tcPr>
          <w:p w14:paraId="40646BA0" w14:textId="77777777" w:rsidR="00000000" w:rsidRDefault="001826C1">
            <w:pPr>
              <w:rPr>
                <w:rFonts w:eastAsia="Times New Roman"/>
                <w:b/>
                <w:bCs/>
                <w:sz w:val="20"/>
                <w:szCs w:val="20"/>
              </w:rPr>
            </w:pPr>
            <w:r>
              <w:rPr>
                <w:rFonts w:eastAsia="Times New Roman"/>
                <w:b/>
                <w:bCs/>
                <w:sz w:val="20"/>
                <w:szCs w:val="20"/>
              </w:rPr>
              <w:t> </w:t>
            </w:r>
          </w:p>
        </w:tc>
      </w:tr>
      <w:tr w:rsidR="00000000" w14:paraId="359C43CF" w14:textId="77777777">
        <w:tc>
          <w:tcPr>
            <w:tcW w:w="3000" w:type="pct"/>
            <w:shd w:val="clear" w:color="auto" w:fill="CCEEFF"/>
            <w:vAlign w:val="bottom"/>
            <w:hideMark/>
          </w:tcPr>
          <w:p w14:paraId="73517B34" w14:textId="77777777" w:rsidR="00000000" w:rsidRDefault="001826C1">
            <w:pPr>
              <w:rPr>
                <w:rFonts w:eastAsia="Times New Roman"/>
                <w:sz w:val="20"/>
                <w:szCs w:val="20"/>
              </w:rPr>
            </w:pPr>
            <w:r>
              <w:rPr>
                <w:rFonts w:eastAsia="Times New Roman"/>
                <w:sz w:val="20"/>
                <w:szCs w:val="20"/>
              </w:rPr>
              <w:t>Equity compensation plan approved by security holders - common shares</w:t>
            </w:r>
          </w:p>
        </w:tc>
        <w:tc>
          <w:tcPr>
            <w:tcW w:w="100" w:type="pct"/>
            <w:shd w:val="clear" w:color="auto" w:fill="CCEEFF"/>
            <w:vAlign w:val="bottom"/>
            <w:hideMark/>
          </w:tcPr>
          <w:p w14:paraId="17F07D5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00456FC" w14:textId="77777777" w:rsidR="00000000" w:rsidRDefault="001826C1">
            <w:pPr>
              <w:rPr>
                <w:rFonts w:eastAsia="Times New Roman"/>
                <w:sz w:val="20"/>
                <w:szCs w:val="20"/>
              </w:rPr>
            </w:pPr>
            <w:r>
              <w:rPr>
                <w:rFonts w:eastAsia="Times New Roman"/>
                <w:sz w:val="20"/>
                <w:szCs w:val="20"/>
              </w:rPr>
              <w:t> </w:t>
            </w:r>
          </w:p>
        </w:tc>
        <w:tc>
          <w:tcPr>
            <w:tcW w:w="600" w:type="pct"/>
            <w:shd w:val="clear" w:color="auto" w:fill="CCEEFF"/>
            <w:vAlign w:val="bottom"/>
            <w:hideMark/>
          </w:tcPr>
          <w:p w14:paraId="4189AAC2" w14:textId="77777777" w:rsidR="00000000" w:rsidRDefault="001826C1">
            <w:pPr>
              <w:jc w:val="right"/>
              <w:rPr>
                <w:rFonts w:eastAsia="Times New Roman"/>
                <w:sz w:val="20"/>
                <w:szCs w:val="20"/>
              </w:rPr>
            </w:pPr>
            <w:r>
              <w:rPr>
                <w:rFonts w:eastAsia="Times New Roman"/>
                <w:sz w:val="20"/>
                <w:szCs w:val="20"/>
              </w:rPr>
              <w:t>451,084</w:t>
            </w:r>
          </w:p>
        </w:tc>
        <w:tc>
          <w:tcPr>
            <w:tcW w:w="50" w:type="pct"/>
            <w:shd w:val="clear" w:color="auto" w:fill="CCEEFF"/>
            <w:vAlign w:val="bottom"/>
            <w:hideMark/>
          </w:tcPr>
          <w:p w14:paraId="5968AA92"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F647F6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795103" w14:textId="77777777" w:rsidR="00000000" w:rsidRDefault="001826C1">
            <w:pPr>
              <w:rPr>
                <w:rFonts w:eastAsia="Times New Roman"/>
                <w:sz w:val="20"/>
                <w:szCs w:val="20"/>
              </w:rPr>
            </w:pPr>
            <w:r>
              <w:rPr>
                <w:rFonts w:eastAsia="Times New Roman"/>
                <w:sz w:val="20"/>
                <w:szCs w:val="20"/>
              </w:rPr>
              <w:t> </w:t>
            </w:r>
          </w:p>
        </w:tc>
        <w:tc>
          <w:tcPr>
            <w:tcW w:w="1000" w:type="pct"/>
            <w:shd w:val="clear" w:color="auto" w:fill="CCEEFF"/>
            <w:vAlign w:val="bottom"/>
            <w:hideMark/>
          </w:tcPr>
          <w:p w14:paraId="6225C6D1" w14:textId="77777777" w:rsidR="00000000" w:rsidRDefault="001826C1">
            <w:pPr>
              <w:jc w:val="right"/>
              <w:rPr>
                <w:rFonts w:eastAsia="Times New Roman"/>
                <w:sz w:val="20"/>
                <w:szCs w:val="20"/>
              </w:rPr>
            </w:pPr>
            <w:r>
              <w:rPr>
                <w:rFonts w:eastAsia="Times New Roman"/>
                <w:sz w:val="20"/>
                <w:szCs w:val="20"/>
              </w:rPr>
              <w:t>401,738</w:t>
            </w:r>
          </w:p>
        </w:tc>
        <w:tc>
          <w:tcPr>
            <w:tcW w:w="50" w:type="pct"/>
            <w:shd w:val="clear" w:color="auto" w:fill="CCEEFF"/>
            <w:vAlign w:val="bottom"/>
            <w:hideMark/>
          </w:tcPr>
          <w:p w14:paraId="5E491AF6" w14:textId="77777777" w:rsidR="00000000" w:rsidRDefault="001826C1">
            <w:pPr>
              <w:rPr>
                <w:rFonts w:eastAsia="Times New Roman"/>
                <w:sz w:val="20"/>
                <w:szCs w:val="20"/>
              </w:rPr>
            </w:pPr>
            <w:r>
              <w:rPr>
                <w:rFonts w:eastAsia="Times New Roman"/>
                <w:sz w:val="20"/>
                <w:szCs w:val="20"/>
              </w:rPr>
              <w:t> </w:t>
            </w:r>
          </w:p>
        </w:tc>
      </w:tr>
      <w:tr w:rsidR="00000000" w14:paraId="468EAE0F" w14:textId="77777777">
        <w:tc>
          <w:tcPr>
            <w:tcW w:w="0" w:type="auto"/>
            <w:shd w:val="clear" w:color="auto" w:fill="FFFFFF"/>
            <w:tcMar>
              <w:top w:w="0" w:type="dxa"/>
              <w:left w:w="0" w:type="dxa"/>
              <w:bottom w:w="30" w:type="dxa"/>
              <w:right w:w="0" w:type="dxa"/>
            </w:tcMar>
            <w:vAlign w:val="bottom"/>
            <w:hideMark/>
          </w:tcPr>
          <w:p w14:paraId="46E21A04" w14:textId="77777777" w:rsidR="00000000" w:rsidRDefault="001826C1">
            <w:pPr>
              <w:rPr>
                <w:rFonts w:eastAsia="Times New Roman"/>
                <w:sz w:val="20"/>
                <w:szCs w:val="20"/>
              </w:rPr>
            </w:pPr>
            <w:r>
              <w:rPr>
                <w:rFonts w:eastAsia="Times New Roman"/>
                <w:sz w:val="20"/>
                <w:szCs w:val="20"/>
              </w:rPr>
              <w:t>Equity compensation plan approved by security holders - preferred shares</w:t>
            </w:r>
          </w:p>
        </w:tc>
        <w:tc>
          <w:tcPr>
            <w:tcW w:w="0" w:type="auto"/>
            <w:shd w:val="clear" w:color="auto" w:fill="FFFFFF"/>
            <w:tcMar>
              <w:top w:w="0" w:type="dxa"/>
              <w:left w:w="0" w:type="dxa"/>
              <w:bottom w:w="30" w:type="dxa"/>
              <w:right w:w="0" w:type="dxa"/>
            </w:tcMar>
            <w:vAlign w:val="bottom"/>
            <w:hideMark/>
          </w:tcPr>
          <w:p w14:paraId="6B0CDFA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EDA99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90EE0A" w14:textId="77777777" w:rsidR="00000000" w:rsidRDefault="001826C1">
            <w:pPr>
              <w:jc w:val="right"/>
              <w:rPr>
                <w:rFonts w:eastAsia="Times New Roman"/>
                <w:sz w:val="20"/>
                <w:szCs w:val="20"/>
              </w:rPr>
            </w:pPr>
            <w:r>
              <w:rPr>
                <w:rFonts w:eastAsia="Times New Roman"/>
                <w:sz w:val="20"/>
                <w:szCs w:val="20"/>
              </w:rPr>
              <w:t>44,000</w:t>
            </w:r>
          </w:p>
        </w:tc>
        <w:tc>
          <w:tcPr>
            <w:tcW w:w="0" w:type="auto"/>
            <w:shd w:val="clear" w:color="auto" w:fill="FFFFFF"/>
            <w:tcMar>
              <w:top w:w="0" w:type="dxa"/>
              <w:left w:w="0" w:type="dxa"/>
              <w:bottom w:w="30" w:type="dxa"/>
              <w:right w:w="0" w:type="dxa"/>
            </w:tcMar>
            <w:vAlign w:val="bottom"/>
            <w:hideMark/>
          </w:tcPr>
          <w:p w14:paraId="0A08AE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A23FF2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0005A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E5E85A" w14:textId="77777777" w:rsidR="00000000" w:rsidRDefault="001826C1">
            <w:pPr>
              <w:jc w:val="right"/>
              <w:rPr>
                <w:rFonts w:eastAsia="Times New Roman"/>
                <w:sz w:val="20"/>
                <w:szCs w:val="20"/>
              </w:rPr>
            </w:pPr>
            <w:r>
              <w:rPr>
                <w:rFonts w:eastAsia="Times New Roman"/>
                <w:sz w:val="20"/>
                <w:szCs w:val="20"/>
              </w:rPr>
              <w:t>133,654</w:t>
            </w:r>
          </w:p>
        </w:tc>
        <w:tc>
          <w:tcPr>
            <w:tcW w:w="0" w:type="auto"/>
            <w:shd w:val="clear" w:color="auto" w:fill="FFFFFF"/>
            <w:tcMar>
              <w:top w:w="0" w:type="dxa"/>
              <w:left w:w="0" w:type="dxa"/>
              <w:bottom w:w="30" w:type="dxa"/>
              <w:right w:w="0" w:type="dxa"/>
            </w:tcMar>
            <w:vAlign w:val="bottom"/>
            <w:hideMark/>
          </w:tcPr>
          <w:p w14:paraId="100FBB3C" w14:textId="77777777" w:rsidR="00000000" w:rsidRDefault="001826C1">
            <w:pPr>
              <w:rPr>
                <w:rFonts w:eastAsia="Times New Roman"/>
                <w:sz w:val="20"/>
                <w:szCs w:val="20"/>
              </w:rPr>
            </w:pPr>
            <w:r>
              <w:rPr>
                <w:rFonts w:eastAsia="Times New Roman"/>
                <w:sz w:val="20"/>
                <w:szCs w:val="20"/>
              </w:rPr>
              <w:t> </w:t>
            </w:r>
          </w:p>
        </w:tc>
      </w:tr>
      <w:tr w:rsidR="00000000" w14:paraId="0FC0528D" w14:textId="77777777">
        <w:tc>
          <w:tcPr>
            <w:tcW w:w="0" w:type="auto"/>
            <w:shd w:val="clear" w:color="auto" w:fill="CCEEFF"/>
            <w:tcMar>
              <w:top w:w="0" w:type="dxa"/>
              <w:left w:w="0" w:type="dxa"/>
              <w:bottom w:w="50" w:type="dxa"/>
              <w:right w:w="0" w:type="dxa"/>
            </w:tcMar>
            <w:vAlign w:val="bottom"/>
            <w:hideMark/>
          </w:tcPr>
          <w:p w14:paraId="6AB8574E"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3CFA2DB8"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4B8B246"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1C9C1DBE" w14:textId="77777777" w:rsidR="00000000" w:rsidRDefault="001826C1">
            <w:pPr>
              <w:jc w:val="right"/>
              <w:rPr>
                <w:rFonts w:eastAsia="Times New Roman"/>
                <w:b/>
                <w:bCs/>
                <w:sz w:val="20"/>
                <w:szCs w:val="20"/>
              </w:rPr>
            </w:pPr>
            <w:r>
              <w:rPr>
                <w:rFonts w:eastAsia="Times New Roman"/>
                <w:b/>
                <w:bCs/>
                <w:sz w:val="20"/>
                <w:szCs w:val="20"/>
              </w:rPr>
              <w:t>495,084</w:t>
            </w:r>
          </w:p>
        </w:tc>
        <w:tc>
          <w:tcPr>
            <w:tcW w:w="0" w:type="auto"/>
            <w:shd w:val="clear" w:color="auto" w:fill="CCEEFF"/>
            <w:tcMar>
              <w:top w:w="0" w:type="dxa"/>
              <w:left w:w="0" w:type="dxa"/>
              <w:bottom w:w="50" w:type="dxa"/>
              <w:right w:w="0" w:type="dxa"/>
            </w:tcMar>
            <w:vAlign w:val="bottom"/>
            <w:hideMark/>
          </w:tcPr>
          <w:p w14:paraId="2C2DD499" w14:textId="77777777" w:rsidR="00000000" w:rsidRDefault="001826C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7541AB80"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735D36FF"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5A13CB3F" w14:textId="77777777" w:rsidR="00000000" w:rsidRDefault="001826C1">
            <w:pPr>
              <w:jc w:val="right"/>
              <w:rPr>
                <w:rFonts w:eastAsia="Times New Roman"/>
                <w:b/>
                <w:bCs/>
                <w:sz w:val="20"/>
                <w:szCs w:val="20"/>
              </w:rPr>
            </w:pPr>
            <w:r>
              <w:rPr>
                <w:rFonts w:eastAsia="Times New Roman"/>
                <w:b/>
                <w:bCs/>
                <w:sz w:val="20"/>
                <w:szCs w:val="20"/>
              </w:rPr>
              <w:t>535,392</w:t>
            </w:r>
          </w:p>
        </w:tc>
        <w:tc>
          <w:tcPr>
            <w:tcW w:w="0" w:type="auto"/>
            <w:shd w:val="clear" w:color="auto" w:fill="CCEEFF"/>
            <w:tcMar>
              <w:top w:w="0" w:type="dxa"/>
              <w:left w:w="0" w:type="dxa"/>
              <w:bottom w:w="50" w:type="dxa"/>
              <w:right w:w="0" w:type="dxa"/>
            </w:tcMar>
            <w:vAlign w:val="bottom"/>
            <w:hideMark/>
          </w:tcPr>
          <w:p w14:paraId="44691E68" w14:textId="77777777" w:rsidR="00000000" w:rsidRDefault="001826C1">
            <w:pPr>
              <w:rPr>
                <w:rFonts w:eastAsia="Times New Roman"/>
                <w:b/>
                <w:bCs/>
                <w:sz w:val="20"/>
                <w:szCs w:val="20"/>
              </w:rPr>
            </w:pPr>
            <w:r>
              <w:rPr>
                <w:rFonts w:eastAsia="Times New Roman"/>
                <w:b/>
                <w:bCs/>
                <w:sz w:val="20"/>
                <w:szCs w:val="20"/>
              </w:rPr>
              <w:t> </w:t>
            </w:r>
          </w:p>
        </w:tc>
      </w:tr>
    </w:tbl>
    <w:p w14:paraId="602BABBC"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6A74764" w14:textId="77777777">
        <w:trPr>
          <w:divId w:val="1688940235"/>
        </w:trPr>
        <w:tc>
          <w:tcPr>
            <w:tcW w:w="5000" w:type="pct"/>
            <w:hideMark/>
          </w:tcPr>
          <w:p w14:paraId="06683433"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29FD460B" w14:textId="77777777">
        <w:tc>
          <w:tcPr>
            <w:tcW w:w="5000" w:type="pct"/>
            <w:hideMark/>
          </w:tcPr>
          <w:p w14:paraId="3A6AB061" w14:textId="77777777" w:rsidR="00000000" w:rsidRDefault="001826C1">
            <w:pPr>
              <w:jc w:val="center"/>
              <w:rPr>
                <w:rFonts w:eastAsia="Times New Roman"/>
                <w:sz w:val="20"/>
                <w:szCs w:val="20"/>
              </w:rPr>
            </w:pPr>
            <w:r>
              <w:rPr>
                <w:rFonts w:eastAsia="Times New Roman"/>
                <w:sz w:val="20"/>
                <w:szCs w:val="20"/>
              </w:rPr>
              <w:t> </w:t>
            </w:r>
          </w:p>
        </w:tc>
      </w:tr>
    </w:tbl>
    <w:p w14:paraId="7474CE70" w14:textId="77777777" w:rsidR="00000000" w:rsidRDefault="001826C1">
      <w:pPr>
        <w:pStyle w:val="a3"/>
        <w:spacing w:before="0" w:beforeAutospacing="0" w:after="0" w:afterAutospacing="0" w:line="256" w:lineRule="auto"/>
        <w:rPr>
          <w:sz w:val="20"/>
          <w:szCs w:val="20"/>
        </w:rPr>
      </w:pPr>
      <w:r>
        <w:rPr>
          <w:sz w:val="20"/>
          <w:szCs w:val="20"/>
        </w:rPr>
        <w:t> </w:t>
      </w:r>
    </w:p>
    <w:p w14:paraId="4020929A" w14:textId="77777777" w:rsidR="00000000" w:rsidRDefault="001826C1">
      <w:pPr>
        <w:pStyle w:val="a3"/>
        <w:spacing w:before="0" w:beforeAutospacing="0" w:after="0" w:afterAutospacing="0"/>
        <w:rPr>
          <w:b/>
          <w:bCs/>
          <w:sz w:val="20"/>
          <w:szCs w:val="20"/>
        </w:rPr>
      </w:pPr>
      <w:bookmarkStart w:id="10" w:name="a_011"/>
      <w:bookmarkEnd w:id="10"/>
      <w:r>
        <w:rPr>
          <w:b/>
          <w:bCs/>
          <w:sz w:val="20"/>
          <w:szCs w:val="20"/>
        </w:rPr>
        <w:t>Item 6. Selected Financial Data</w:t>
      </w:r>
    </w:p>
    <w:p w14:paraId="3CA4F7C9" w14:textId="77777777" w:rsidR="00000000" w:rsidRDefault="001826C1">
      <w:pPr>
        <w:pStyle w:val="a3"/>
        <w:spacing w:before="0" w:beforeAutospacing="0" w:after="0" w:afterAutospacing="0"/>
        <w:rPr>
          <w:sz w:val="20"/>
          <w:szCs w:val="20"/>
        </w:rPr>
      </w:pPr>
      <w:r>
        <w:rPr>
          <w:sz w:val="20"/>
          <w:szCs w:val="20"/>
        </w:rPr>
        <w:t> </w:t>
      </w:r>
    </w:p>
    <w:p w14:paraId="1FC2ABB2" w14:textId="77777777" w:rsidR="00000000" w:rsidRDefault="001826C1">
      <w:pPr>
        <w:pStyle w:val="a3"/>
        <w:spacing w:before="0" w:beforeAutospacing="0" w:after="0" w:afterAutospacing="0"/>
        <w:jc w:val="both"/>
        <w:rPr>
          <w:sz w:val="20"/>
          <w:szCs w:val="20"/>
        </w:rPr>
      </w:pPr>
      <w:r>
        <w:rPr>
          <w:sz w:val="20"/>
          <w:szCs w:val="20"/>
        </w:rPr>
        <w:t xml:space="preserve">The </w:t>
      </w:r>
      <w:r>
        <w:rPr>
          <w:sz w:val="20"/>
          <w:szCs w:val="20"/>
        </w:rPr>
        <w:t>selected consolidated statements of operations data presented below for the years ended December 31, 2019 and 2018, as well as the consolidated balance sheet data as of December 31, 2019 and 2018, are derived from our audited consolidated financial stateme</w:t>
      </w:r>
      <w:r>
        <w:rPr>
          <w:sz w:val="20"/>
          <w:szCs w:val="20"/>
        </w:rPr>
        <w:t xml:space="preserve">nts included in this Annual Report on Form 10-K. The selected consolidated statements of operations data presented below for the years ended December 31, 2017, 2016 and 2015, as well as the consolidated balance sheet data as of December 31, 2017, 2016 and </w:t>
      </w:r>
      <w:r>
        <w:rPr>
          <w:sz w:val="20"/>
          <w:szCs w:val="20"/>
        </w:rPr>
        <w:t>2015 are derived from our consolidated financial statements not included in this Annual Report on Form 10-K. Historical results are not necessarily indicative of the results that may be expected in the future.</w:t>
      </w:r>
    </w:p>
    <w:p w14:paraId="0A417EB2" w14:textId="77777777" w:rsidR="00000000" w:rsidRDefault="001826C1">
      <w:pPr>
        <w:pStyle w:val="a3"/>
        <w:spacing w:before="0" w:beforeAutospacing="0" w:after="0" w:afterAutospacing="0"/>
        <w:jc w:val="both"/>
        <w:rPr>
          <w:sz w:val="20"/>
          <w:szCs w:val="20"/>
        </w:rPr>
      </w:pPr>
      <w:r>
        <w:rPr>
          <w:sz w:val="20"/>
          <w:szCs w:val="20"/>
        </w:rPr>
        <w:t> </w:t>
      </w:r>
    </w:p>
    <w:p w14:paraId="0DA61A88" w14:textId="77777777" w:rsidR="00000000" w:rsidRDefault="001826C1">
      <w:pPr>
        <w:pStyle w:val="a3"/>
        <w:spacing w:before="0" w:beforeAutospacing="0" w:after="0" w:afterAutospacing="0"/>
        <w:jc w:val="both"/>
        <w:rPr>
          <w:sz w:val="20"/>
          <w:szCs w:val="20"/>
        </w:rPr>
      </w:pPr>
      <w:r>
        <w:rPr>
          <w:sz w:val="20"/>
          <w:szCs w:val="20"/>
        </w:rPr>
        <w:t>You should read the following selected conso</w:t>
      </w:r>
      <w:r>
        <w:rPr>
          <w:sz w:val="20"/>
          <w:szCs w:val="20"/>
        </w:rPr>
        <w:t>lidated financial data in conjunction with “Management’s Discussion and Analysis of Financial Condition and Results of Operations” and our Consolidated Financial Statements appearing on page F-1 in this Annual Report on Form 10-K. Acquisitions by the Compa</w:t>
      </w:r>
      <w:r>
        <w:rPr>
          <w:sz w:val="20"/>
          <w:szCs w:val="20"/>
        </w:rPr>
        <w:t>ny in the last three years account for a significant portion of the increases in revenue and expenses in those years. Note 3 of our Consolidated Financial Statements discusses the acquisitions in the last two years.</w:t>
      </w:r>
    </w:p>
    <w:p w14:paraId="385478CC"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8AF8AE1" w14:textId="77777777">
        <w:trPr>
          <w:divId w:val="2075739813"/>
        </w:trPr>
        <w:tc>
          <w:tcPr>
            <w:tcW w:w="5000" w:type="pct"/>
            <w:hideMark/>
          </w:tcPr>
          <w:p w14:paraId="1BAAF617"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3EBD31D6" w14:textId="77777777">
        <w:tc>
          <w:tcPr>
            <w:tcW w:w="5000" w:type="pct"/>
            <w:hideMark/>
          </w:tcPr>
          <w:p w14:paraId="516F87E5" w14:textId="77777777" w:rsidR="00000000" w:rsidRDefault="001826C1">
            <w:pPr>
              <w:jc w:val="center"/>
              <w:rPr>
                <w:rFonts w:eastAsia="Times New Roman"/>
                <w:sz w:val="20"/>
                <w:szCs w:val="20"/>
              </w:rPr>
            </w:pPr>
            <w:r>
              <w:rPr>
                <w:rFonts w:eastAsia="Times New Roman"/>
                <w:sz w:val="20"/>
                <w:szCs w:val="20"/>
              </w:rPr>
              <w:t> </w:t>
            </w:r>
          </w:p>
        </w:tc>
      </w:tr>
    </w:tbl>
    <w:p w14:paraId="7B2DA9D1" w14:textId="77777777" w:rsidR="00000000" w:rsidRDefault="001826C1">
      <w:pPr>
        <w:pStyle w:val="a3"/>
        <w:spacing w:before="0" w:beforeAutospacing="0" w:after="0" w:afterAutospacing="0" w:line="256" w:lineRule="auto"/>
        <w:rPr>
          <w:sz w:val="20"/>
          <w:szCs w:val="20"/>
        </w:rPr>
      </w:pPr>
      <w:r>
        <w:rPr>
          <w:sz w:val="20"/>
          <w:szCs w:val="20"/>
        </w:rPr>
        <w:t> </w:t>
      </w:r>
    </w:p>
    <w:p w14:paraId="21D8B748" w14:textId="77777777" w:rsidR="00000000" w:rsidRDefault="001826C1">
      <w:pPr>
        <w:pStyle w:val="a3"/>
        <w:spacing w:before="0" w:beforeAutospacing="0" w:after="0" w:afterAutospacing="0" w:line="256" w:lineRule="auto"/>
        <w:rPr>
          <w:sz w:val="20"/>
          <w:szCs w:val="20"/>
        </w:rPr>
      </w:pPr>
      <w:r>
        <w:rPr>
          <w:b/>
          <w:bCs/>
          <w:sz w:val="20"/>
          <w:szCs w:val="20"/>
        </w:rPr>
        <w:t>Consolidated Statements of O</w:t>
      </w:r>
      <w:r>
        <w:rPr>
          <w:b/>
          <w:bCs/>
          <w:sz w:val="20"/>
          <w:szCs w:val="20"/>
        </w:rPr>
        <w:t>perations Data</w:t>
      </w:r>
    </w:p>
    <w:p w14:paraId="11FBFE7B" w14:textId="77777777" w:rsidR="00000000" w:rsidRDefault="001826C1">
      <w:pPr>
        <w:pStyle w:val="a3"/>
        <w:spacing w:before="0" w:beforeAutospacing="0" w:after="0" w:afterAutospacing="0" w:line="256" w:lineRule="auto"/>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21"/>
        <w:gridCol w:w="50"/>
        <w:gridCol w:w="100"/>
        <w:gridCol w:w="900"/>
        <w:gridCol w:w="67"/>
        <w:gridCol w:w="50"/>
        <w:gridCol w:w="100"/>
        <w:gridCol w:w="900"/>
        <w:gridCol w:w="67"/>
        <w:gridCol w:w="50"/>
        <w:gridCol w:w="100"/>
        <w:gridCol w:w="900"/>
        <w:gridCol w:w="67"/>
        <w:gridCol w:w="50"/>
        <w:gridCol w:w="100"/>
        <w:gridCol w:w="900"/>
        <w:gridCol w:w="67"/>
        <w:gridCol w:w="50"/>
        <w:gridCol w:w="100"/>
        <w:gridCol w:w="800"/>
        <w:gridCol w:w="67"/>
      </w:tblGrid>
      <w:tr w:rsidR="00000000" w14:paraId="3D7C7DAF" w14:textId="77777777">
        <w:tc>
          <w:tcPr>
            <w:tcW w:w="0" w:type="auto"/>
            <w:tcMar>
              <w:top w:w="0" w:type="dxa"/>
              <w:left w:w="0" w:type="dxa"/>
              <w:bottom w:w="30" w:type="dxa"/>
              <w:right w:w="0" w:type="dxa"/>
            </w:tcMar>
            <w:vAlign w:val="bottom"/>
            <w:hideMark/>
          </w:tcPr>
          <w:p w14:paraId="0B5E6671" w14:textId="77777777" w:rsidR="00000000" w:rsidRDefault="001826C1">
            <w:pPr>
              <w:rPr>
                <w:sz w:val="20"/>
                <w:szCs w:val="20"/>
              </w:rPr>
            </w:pPr>
          </w:p>
        </w:tc>
        <w:tc>
          <w:tcPr>
            <w:tcW w:w="0" w:type="auto"/>
            <w:tcMar>
              <w:top w:w="0" w:type="dxa"/>
              <w:left w:w="0" w:type="dxa"/>
              <w:bottom w:w="30" w:type="dxa"/>
              <w:right w:w="0" w:type="dxa"/>
            </w:tcMar>
            <w:vAlign w:val="bottom"/>
            <w:hideMark/>
          </w:tcPr>
          <w:p w14:paraId="3F8CA18B" w14:textId="77777777" w:rsidR="00000000" w:rsidRDefault="001826C1">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14:paraId="111E1695" w14:textId="77777777" w:rsidR="00000000" w:rsidRDefault="001826C1">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14:paraId="4A5517BD" w14:textId="77777777" w:rsidR="00000000" w:rsidRDefault="001826C1">
            <w:pPr>
              <w:rPr>
                <w:rFonts w:eastAsia="Times New Roman"/>
                <w:b/>
                <w:bCs/>
                <w:sz w:val="20"/>
                <w:szCs w:val="20"/>
              </w:rPr>
            </w:pPr>
            <w:r>
              <w:rPr>
                <w:rFonts w:eastAsia="Times New Roman"/>
                <w:b/>
                <w:bCs/>
                <w:sz w:val="20"/>
                <w:szCs w:val="20"/>
              </w:rPr>
              <w:t> </w:t>
            </w:r>
          </w:p>
        </w:tc>
      </w:tr>
      <w:tr w:rsidR="00000000" w14:paraId="1C8C3C77" w14:textId="77777777">
        <w:tc>
          <w:tcPr>
            <w:tcW w:w="0" w:type="auto"/>
            <w:vAlign w:val="bottom"/>
            <w:hideMark/>
          </w:tcPr>
          <w:p w14:paraId="6BEE7C1C"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1C40B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EAD6B0"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93AF89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65FFD8B"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B8E8FEB"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3733FCB8"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072EA3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3905C35" w14:textId="77777777" w:rsidR="00000000" w:rsidRDefault="001826C1">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14:paraId="442E2C61"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A6957E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65D605A" w14:textId="77777777" w:rsidR="00000000" w:rsidRDefault="001826C1">
            <w:pPr>
              <w:jc w:val="center"/>
              <w:rPr>
                <w:rFonts w:eastAsia="Times New Roman"/>
                <w:b/>
                <w:bCs/>
                <w:sz w:val="20"/>
                <w:szCs w:val="20"/>
              </w:rPr>
            </w:pPr>
            <w:r>
              <w:rPr>
                <w:rFonts w:eastAsia="Times New Roman"/>
                <w:b/>
                <w:bCs/>
                <w:sz w:val="20"/>
                <w:szCs w:val="20"/>
              </w:rPr>
              <w:t>2016</w:t>
            </w:r>
          </w:p>
        </w:tc>
        <w:tc>
          <w:tcPr>
            <w:tcW w:w="0" w:type="auto"/>
            <w:tcMar>
              <w:top w:w="0" w:type="dxa"/>
              <w:left w:w="0" w:type="dxa"/>
              <w:bottom w:w="30" w:type="dxa"/>
              <w:right w:w="0" w:type="dxa"/>
            </w:tcMar>
            <w:vAlign w:val="bottom"/>
            <w:hideMark/>
          </w:tcPr>
          <w:p w14:paraId="77464212"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61A399"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CE168D" w14:textId="77777777" w:rsidR="00000000" w:rsidRDefault="001826C1">
            <w:pPr>
              <w:jc w:val="center"/>
              <w:rPr>
                <w:rFonts w:eastAsia="Times New Roman"/>
                <w:b/>
                <w:bCs/>
                <w:sz w:val="20"/>
                <w:szCs w:val="20"/>
              </w:rPr>
            </w:pPr>
            <w:r>
              <w:rPr>
                <w:rFonts w:eastAsia="Times New Roman"/>
                <w:b/>
                <w:bCs/>
                <w:sz w:val="20"/>
                <w:szCs w:val="20"/>
              </w:rPr>
              <w:t>2015</w:t>
            </w:r>
          </w:p>
        </w:tc>
        <w:tc>
          <w:tcPr>
            <w:tcW w:w="0" w:type="auto"/>
            <w:tcMar>
              <w:top w:w="0" w:type="dxa"/>
              <w:left w:w="0" w:type="dxa"/>
              <w:bottom w:w="30" w:type="dxa"/>
              <w:right w:w="0" w:type="dxa"/>
            </w:tcMar>
            <w:vAlign w:val="bottom"/>
            <w:hideMark/>
          </w:tcPr>
          <w:p w14:paraId="4E43DD43" w14:textId="77777777" w:rsidR="00000000" w:rsidRDefault="001826C1">
            <w:pPr>
              <w:rPr>
                <w:rFonts w:eastAsia="Times New Roman"/>
                <w:b/>
                <w:bCs/>
                <w:sz w:val="20"/>
                <w:szCs w:val="20"/>
              </w:rPr>
            </w:pPr>
            <w:r>
              <w:rPr>
                <w:rFonts w:eastAsia="Times New Roman"/>
                <w:b/>
                <w:bCs/>
                <w:sz w:val="20"/>
                <w:szCs w:val="20"/>
              </w:rPr>
              <w:t> </w:t>
            </w:r>
          </w:p>
        </w:tc>
      </w:tr>
      <w:tr w:rsidR="00000000" w14:paraId="5110E194" w14:textId="77777777">
        <w:tc>
          <w:tcPr>
            <w:tcW w:w="0" w:type="auto"/>
            <w:vAlign w:val="bottom"/>
            <w:hideMark/>
          </w:tcPr>
          <w:p w14:paraId="4AF87500"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38AD5DB0" w14:textId="77777777" w:rsidR="00000000" w:rsidRDefault="001826C1">
            <w:pPr>
              <w:rPr>
                <w:rFonts w:eastAsia="Times New Roman"/>
                <w:sz w:val="20"/>
                <w:szCs w:val="20"/>
              </w:rPr>
            </w:pPr>
            <w:r>
              <w:rPr>
                <w:rFonts w:eastAsia="Times New Roman"/>
                <w:sz w:val="20"/>
                <w:szCs w:val="20"/>
              </w:rPr>
              <w:t> </w:t>
            </w:r>
          </w:p>
        </w:tc>
        <w:tc>
          <w:tcPr>
            <w:tcW w:w="0" w:type="auto"/>
            <w:gridSpan w:val="18"/>
            <w:vAlign w:val="bottom"/>
            <w:hideMark/>
          </w:tcPr>
          <w:p w14:paraId="6DEFF6DC" w14:textId="77777777" w:rsidR="00000000" w:rsidRDefault="001826C1">
            <w:pPr>
              <w:jc w:val="center"/>
              <w:rPr>
                <w:rFonts w:eastAsia="Times New Roman"/>
                <w:sz w:val="20"/>
                <w:szCs w:val="20"/>
              </w:rPr>
            </w:pPr>
            <w:r>
              <w:rPr>
                <w:rFonts w:eastAsia="Times New Roman"/>
                <w:sz w:val="20"/>
                <w:szCs w:val="20"/>
              </w:rPr>
              <w:t>($ in thousands, except per share data)</w:t>
            </w:r>
          </w:p>
        </w:tc>
        <w:tc>
          <w:tcPr>
            <w:tcW w:w="0" w:type="auto"/>
            <w:vAlign w:val="bottom"/>
            <w:hideMark/>
          </w:tcPr>
          <w:p w14:paraId="29DE5288" w14:textId="77777777" w:rsidR="00000000" w:rsidRDefault="001826C1">
            <w:pPr>
              <w:rPr>
                <w:rFonts w:eastAsia="Times New Roman"/>
                <w:sz w:val="20"/>
                <w:szCs w:val="20"/>
              </w:rPr>
            </w:pPr>
            <w:r>
              <w:rPr>
                <w:rFonts w:eastAsia="Times New Roman"/>
                <w:sz w:val="20"/>
                <w:szCs w:val="20"/>
              </w:rPr>
              <w:t> </w:t>
            </w:r>
          </w:p>
        </w:tc>
      </w:tr>
      <w:tr w:rsidR="00000000" w14:paraId="0F03B78C" w14:textId="77777777">
        <w:tc>
          <w:tcPr>
            <w:tcW w:w="2500" w:type="pct"/>
            <w:shd w:val="clear" w:color="auto" w:fill="CCEEFF"/>
            <w:vAlign w:val="bottom"/>
            <w:hideMark/>
          </w:tcPr>
          <w:p w14:paraId="0FAAD11F" w14:textId="77777777" w:rsidR="00000000" w:rsidRDefault="001826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27254A63"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CA36D50"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04A57C7E" w14:textId="77777777" w:rsidR="00000000" w:rsidRDefault="001826C1">
            <w:pPr>
              <w:jc w:val="right"/>
              <w:rPr>
                <w:rFonts w:eastAsia="Times New Roman"/>
                <w:sz w:val="20"/>
                <w:szCs w:val="20"/>
              </w:rPr>
            </w:pPr>
            <w:r>
              <w:rPr>
                <w:rFonts w:eastAsia="Times New Roman"/>
                <w:sz w:val="20"/>
                <w:szCs w:val="20"/>
              </w:rPr>
              <w:t>64,439</w:t>
            </w:r>
          </w:p>
        </w:tc>
        <w:tc>
          <w:tcPr>
            <w:tcW w:w="50" w:type="pct"/>
            <w:shd w:val="clear" w:color="auto" w:fill="CCEEFF"/>
            <w:vAlign w:val="bottom"/>
            <w:hideMark/>
          </w:tcPr>
          <w:p w14:paraId="5BA5ACDD"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DE571D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64E852D"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6D57F147" w14:textId="77777777" w:rsidR="00000000" w:rsidRDefault="001826C1">
            <w:pPr>
              <w:jc w:val="right"/>
              <w:rPr>
                <w:rFonts w:eastAsia="Times New Roman"/>
                <w:sz w:val="20"/>
                <w:szCs w:val="20"/>
              </w:rPr>
            </w:pPr>
            <w:r>
              <w:rPr>
                <w:rFonts w:eastAsia="Times New Roman"/>
                <w:sz w:val="20"/>
                <w:szCs w:val="20"/>
              </w:rPr>
              <w:t>50,546</w:t>
            </w:r>
          </w:p>
        </w:tc>
        <w:tc>
          <w:tcPr>
            <w:tcW w:w="50" w:type="pct"/>
            <w:shd w:val="clear" w:color="auto" w:fill="CCEEFF"/>
            <w:vAlign w:val="bottom"/>
            <w:hideMark/>
          </w:tcPr>
          <w:p w14:paraId="61D01A24"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787BFE8"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D9DF2D"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2A53AE85" w14:textId="77777777" w:rsidR="00000000" w:rsidRDefault="001826C1">
            <w:pPr>
              <w:jc w:val="right"/>
              <w:rPr>
                <w:rFonts w:eastAsia="Times New Roman"/>
                <w:sz w:val="20"/>
                <w:szCs w:val="20"/>
              </w:rPr>
            </w:pPr>
            <w:r>
              <w:rPr>
                <w:rFonts w:eastAsia="Times New Roman"/>
                <w:sz w:val="20"/>
                <w:szCs w:val="20"/>
              </w:rPr>
              <w:t>31,811</w:t>
            </w:r>
          </w:p>
        </w:tc>
        <w:tc>
          <w:tcPr>
            <w:tcW w:w="50" w:type="pct"/>
            <w:shd w:val="clear" w:color="auto" w:fill="CCEEFF"/>
            <w:vAlign w:val="bottom"/>
            <w:hideMark/>
          </w:tcPr>
          <w:p w14:paraId="675AF0D1"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6D56D3A"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4CC01BD"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016BAE4B" w14:textId="77777777" w:rsidR="00000000" w:rsidRDefault="001826C1">
            <w:pPr>
              <w:jc w:val="right"/>
              <w:rPr>
                <w:rFonts w:eastAsia="Times New Roman"/>
                <w:sz w:val="20"/>
                <w:szCs w:val="20"/>
              </w:rPr>
            </w:pPr>
            <w:r>
              <w:rPr>
                <w:rFonts w:eastAsia="Times New Roman"/>
                <w:sz w:val="20"/>
                <w:szCs w:val="20"/>
              </w:rPr>
              <w:t>24,493</w:t>
            </w:r>
          </w:p>
        </w:tc>
        <w:tc>
          <w:tcPr>
            <w:tcW w:w="50" w:type="pct"/>
            <w:shd w:val="clear" w:color="auto" w:fill="CCEEFF"/>
            <w:vAlign w:val="bottom"/>
            <w:hideMark/>
          </w:tcPr>
          <w:p w14:paraId="1B0A25AD"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F541AB0"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90CA2A"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35A85EA3" w14:textId="77777777" w:rsidR="00000000" w:rsidRDefault="001826C1">
            <w:pPr>
              <w:jc w:val="right"/>
              <w:rPr>
                <w:rFonts w:eastAsia="Times New Roman"/>
                <w:sz w:val="20"/>
                <w:szCs w:val="20"/>
              </w:rPr>
            </w:pPr>
            <w:r>
              <w:rPr>
                <w:rFonts w:eastAsia="Times New Roman"/>
                <w:sz w:val="20"/>
                <w:szCs w:val="20"/>
              </w:rPr>
              <w:t>23,080</w:t>
            </w:r>
          </w:p>
        </w:tc>
        <w:tc>
          <w:tcPr>
            <w:tcW w:w="50" w:type="pct"/>
            <w:shd w:val="clear" w:color="auto" w:fill="CCEEFF"/>
            <w:vAlign w:val="bottom"/>
            <w:hideMark/>
          </w:tcPr>
          <w:p w14:paraId="17436198" w14:textId="77777777" w:rsidR="00000000" w:rsidRDefault="001826C1">
            <w:pPr>
              <w:rPr>
                <w:rFonts w:eastAsia="Times New Roman"/>
                <w:sz w:val="20"/>
                <w:szCs w:val="20"/>
              </w:rPr>
            </w:pPr>
            <w:r>
              <w:rPr>
                <w:rFonts w:eastAsia="Times New Roman"/>
                <w:sz w:val="20"/>
                <w:szCs w:val="20"/>
              </w:rPr>
              <w:t> </w:t>
            </w:r>
          </w:p>
        </w:tc>
      </w:tr>
      <w:tr w:rsidR="00000000" w14:paraId="7A5E13DB" w14:textId="77777777">
        <w:tc>
          <w:tcPr>
            <w:tcW w:w="0" w:type="auto"/>
            <w:shd w:val="clear" w:color="auto" w:fill="FFFFFF"/>
            <w:tcMar>
              <w:top w:w="0" w:type="dxa"/>
              <w:left w:w="200" w:type="dxa"/>
              <w:bottom w:w="0" w:type="dxa"/>
              <w:right w:w="0" w:type="dxa"/>
            </w:tcMar>
            <w:vAlign w:val="bottom"/>
            <w:hideMark/>
          </w:tcPr>
          <w:p w14:paraId="1CA53999" w14:textId="77777777" w:rsidR="00000000" w:rsidRDefault="001826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099F5D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E041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44364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AE336F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1185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CED3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8A8FB8"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B867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6680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67E4E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C5672F"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61433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14A62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37F0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61F2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FB537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9C6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E97C4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50834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CA424B" w14:textId="77777777" w:rsidR="00000000" w:rsidRDefault="001826C1">
            <w:pPr>
              <w:rPr>
                <w:rFonts w:eastAsia="Times New Roman"/>
                <w:sz w:val="20"/>
                <w:szCs w:val="20"/>
              </w:rPr>
            </w:pPr>
            <w:r>
              <w:rPr>
                <w:rFonts w:eastAsia="Times New Roman"/>
                <w:sz w:val="20"/>
                <w:szCs w:val="20"/>
              </w:rPr>
              <w:t> </w:t>
            </w:r>
          </w:p>
        </w:tc>
      </w:tr>
      <w:tr w:rsidR="00000000" w14:paraId="2B519FDB" w14:textId="77777777">
        <w:tc>
          <w:tcPr>
            <w:tcW w:w="0" w:type="auto"/>
            <w:shd w:val="clear" w:color="auto" w:fill="CCEEFF"/>
            <w:tcMar>
              <w:top w:w="0" w:type="dxa"/>
              <w:left w:w="200" w:type="dxa"/>
              <w:bottom w:w="0" w:type="dxa"/>
              <w:right w:w="0" w:type="dxa"/>
            </w:tcMar>
            <w:vAlign w:val="bottom"/>
            <w:hideMark/>
          </w:tcPr>
          <w:p w14:paraId="062CA5E2" w14:textId="77777777" w:rsidR="00000000" w:rsidRDefault="001826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79E483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8938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45A65B" w14:textId="77777777" w:rsidR="00000000" w:rsidRDefault="001826C1">
            <w:pPr>
              <w:jc w:val="right"/>
              <w:rPr>
                <w:rFonts w:eastAsia="Times New Roman"/>
                <w:sz w:val="20"/>
                <w:szCs w:val="20"/>
              </w:rPr>
            </w:pPr>
            <w:r>
              <w:rPr>
                <w:rFonts w:eastAsia="Times New Roman"/>
                <w:sz w:val="20"/>
                <w:szCs w:val="20"/>
              </w:rPr>
              <w:t>41,186</w:t>
            </w:r>
          </w:p>
        </w:tc>
        <w:tc>
          <w:tcPr>
            <w:tcW w:w="0" w:type="auto"/>
            <w:shd w:val="clear" w:color="auto" w:fill="CCEEFF"/>
            <w:vAlign w:val="bottom"/>
            <w:hideMark/>
          </w:tcPr>
          <w:p w14:paraId="680BA9D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8004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304B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BF84E2" w14:textId="77777777" w:rsidR="00000000" w:rsidRDefault="001826C1">
            <w:pPr>
              <w:jc w:val="right"/>
              <w:rPr>
                <w:rFonts w:eastAsia="Times New Roman"/>
                <w:sz w:val="20"/>
                <w:szCs w:val="20"/>
              </w:rPr>
            </w:pPr>
            <w:r>
              <w:rPr>
                <w:rFonts w:eastAsia="Times New Roman"/>
                <w:sz w:val="20"/>
                <w:szCs w:val="20"/>
              </w:rPr>
              <w:t>31,253</w:t>
            </w:r>
          </w:p>
        </w:tc>
        <w:tc>
          <w:tcPr>
            <w:tcW w:w="0" w:type="auto"/>
            <w:shd w:val="clear" w:color="auto" w:fill="CCEEFF"/>
            <w:vAlign w:val="bottom"/>
            <w:hideMark/>
          </w:tcPr>
          <w:p w14:paraId="2D59C60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0E61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B74BE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E84FC3" w14:textId="77777777" w:rsidR="00000000" w:rsidRDefault="001826C1">
            <w:pPr>
              <w:jc w:val="right"/>
              <w:rPr>
                <w:rFonts w:eastAsia="Times New Roman"/>
                <w:sz w:val="20"/>
                <w:szCs w:val="20"/>
              </w:rPr>
            </w:pPr>
            <w:r>
              <w:rPr>
                <w:rFonts w:eastAsia="Times New Roman"/>
                <w:sz w:val="20"/>
                <w:szCs w:val="20"/>
              </w:rPr>
              <w:t>17,679</w:t>
            </w:r>
          </w:p>
        </w:tc>
        <w:tc>
          <w:tcPr>
            <w:tcW w:w="0" w:type="auto"/>
            <w:shd w:val="clear" w:color="auto" w:fill="CCEEFF"/>
            <w:vAlign w:val="bottom"/>
            <w:hideMark/>
          </w:tcPr>
          <w:p w14:paraId="4F48BA1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16E9E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191B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3E7892" w14:textId="77777777" w:rsidR="00000000" w:rsidRDefault="001826C1">
            <w:pPr>
              <w:jc w:val="right"/>
              <w:rPr>
                <w:rFonts w:eastAsia="Times New Roman"/>
                <w:sz w:val="20"/>
                <w:szCs w:val="20"/>
              </w:rPr>
            </w:pPr>
            <w:r>
              <w:rPr>
                <w:rFonts w:eastAsia="Times New Roman"/>
                <w:sz w:val="20"/>
                <w:szCs w:val="20"/>
              </w:rPr>
              <w:t>13,417</w:t>
            </w:r>
          </w:p>
        </w:tc>
        <w:tc>
          <w:tcPr>
            <w:tcW w:w="0" w:type="auto"/>
            <w:shd w:val="clear" w:color="auto" w:fill="CCEEFF"/>
            <w:vAlign w:val="bottom"/>
            <w:hideMark/>
          </w:tcPr>
          <w:p w14:paraId="7BA44D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431C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A7C83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7B3CE" w14:textId="77777777" w:rsidR="00000000" w:rsidRDefault="001826C1">
            <w:pPr>
              <w:jc w:val="right"/>
              <w:rPr>
                <w:rFonts w:eastAsia="Times New Roman"/>
                <w:sz w:val="20"/>
                <w:szCs w:val="20"/>
              </w:rPr>
            </w:pPr>
            <w:r>
              <w:rPr>
                <w:rFonts w:eastAsia="Times New Roman"/>
                <w:sz w:val="20"/>
                <w:szCs w:val="20"/>
              </w:rPr>
              <w:t>11,630</w:t>
            </w:r>
          </w:p>
        </w:tc>
        <w:tc>
          <w:tcPr>
            <w:tcW w:w="0" w:type="auto"/>
            <w:shd w:val="clear" w:color="auto" w:fill="CCEEFF"/>
            <w:vAlign w:val="bottom"/>
            <w:hideMark/>
          </w:tcPr>
          <w:p w14:paraId="43799B8F" w14:textId="77777777" w:rsidR="00000000" w:rsidRDefault="001826C1">
            <w:pPr>
              <w:rPr>
                <w:rFonts w:eastAsia="Times New Roman"/>
                <w:sz w:val="20"/>
                <w:szCs w:val="20"/>
              </w:rPr>
            </w:pPr>
            <w:r>
              <w:rPr>
                <w:rFonts w:eastAsia="Times New Roman"/>
                <w:sz w:val="20"/>
                <w:szCs w:val="20"/>
              </w:rPr>
              <w:t> </w:t>
            </w:r>
          </w:p>
        </w:tc>
      </w:tr>
      <w:tr w:rsidR="00000000" w14:paraId="19DB8778" w14:textId="77777777">
        <w:tc>
          <w:tcPr>
            <w:tcW w:w="0" w:type="auto"/>
            <w:shd w:val="clear" w:color="auto" w:fill="FFFFFF"/>
            <w:tcMar>
              <w:top w:w="0" w:type="dxa"/>
              <w:left w:w="200" w:type="dxa"/>
              <w:bottom w:w="0" w:type="dxa"/>
              <w:right w:w="0" w:type="dxa"/>
            </w:tcMar>
            <w:vAlign w:val="bottom"/>
            <w:hideMark/>
          </w:tcPr>
          <w:p w14:paraId="756E6567" w14:textId="77777777" w:rsidR="00000000" w:rsidRDefault="001826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273520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22E63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E73B01" w14:textId="77777777" w:rsidR="00000000" w:rsidRDefault="001826C1">
            <w:pPr>
              <w:jc w:val="right"/>
              <w:rPr>
                <w:rFonts w:eastAsia="Times New Roman"/>
                <w:sz w:val="20"/>
                <w:szCs w:val="20"/>
              </w:rPr>
            </w:pPr>
            <w:r>
              <w:rPr>
                <w:rFonts w:eastAsia="Times New Roman"/>
                <w:sz w:val="20"/>
                <w:szCs w:val="20"/>
              </w:rPr>
              <w:t>1,522</w:t>
            </w:r>
          </w:p>
        </w:tc>
        <w:tc>
          <w:tcPr>
            <w:tcW w:w="0" w:type="auto"/>
            <w:shd w:val="clear" w:color="auto" w:fill="FFFFFF"/>
            <w:vAlign w:val="bottom"/>
            <w:hideMark/>
          </w:tcPr>
          <w:p w14:paraId="3ECF597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A855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44C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842CCF" w14:textId="77777777" w:rsidR="00000000" w:rsidRDefault="001826C1">
            <w:pPr>
              <w:jc w:val="right"/>
              <w:rPr>
                <w:rFonts w:eastAsia="Times New Roman"/>
                <w:sz w:val="20"/>
                <w:szCs w:val="20"/>
              </w:rPr>
            </w:pPr>
            <w:r>
              <w:rPr>
                <w:rFonts w:eastAsia="Times New Roman"/>
                <w:sz w:val="20"/>
                <w:szCs w:val="20"/>
              </w:rPr>
              <w:t>1,612</w:t>
            </w:r>
          </w:p>
        </w:tc>
        <w:tc>
          <w:tcPr>
            <w:tcW w:w="0" w:type="auto"/>
            <w:shd w:val="clear" w:color="auto" w:fill="FFFFFF"/>
            <w:vAlign w:val="bottom"/>
            <w:hideMark/>
          </w:tcPr>
          <w:p w14:paraId="3BB80B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904D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F457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C9DEDC" w14:textId="77777777" w:rsidR="00000000" w:rsidRDefault="001826C1">
            <w:pPr>
              <w:jc w:val="right"/>
              <w:rPr>
                <w:rFonts w:eastAsia="Times New Roman"/>
                <w:sz w:val="20"/>
                <w:szCs w:val="20"/>
              </w:rPr>
            </w:pPr>
            <w:r>
              <w:rPr>
                <w:rFonts w:eastAsia="Times New Roman"/>
                <w:sz w:val="20"/>
                <w:szCs w:val="20"/>
              </w:rPr>
              <w:t>1,106</w:t>
            </w:r>
          </w:p>
        </w:tc>
        <w:tc>
          <w:tcPr>
            <w:tcW w:w="0" w:type="auto"/>
            <w:shd w:val="clear" w:color="auto" w:fill="FFFFFF"/>
            <w:vAlign w:val="bottom"/>
            <w:hideMark/>
          </w:tcPr>
          <w:p w14:paraId="537792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4DB6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61B2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01A403" w14:textId="77777777" w:rsidR="00000000" w:rsidRDefault="001826C1">
            <w:pPr>
              <w:jc w:val="right"/>
              <w:rPr>
                <w:rFonts w:eastAsia="Times New Roman"/>
                <w:sz w:val="20"/>
                <w:szCs w:val="20"/>
              </w:rPr>
            </w:pPr>
            <w:r>
              <w:rPr>
                <w:rFonts w:eastAsia="Times New Roman"/>
                <w:sz w:val="20"/>
                <w:szCs w:val="20"/>
              </w:rPr>
              <w:t>1,224</w:t>
            </w:r>
          </w:p>
        </w:tc>
        <w:tc>
          <w:tcPr>
            <w:tcW w:w="0" w:type="auto"/>
            <w:shd w:val="clear" w:color="auto" w:fill="FFFFFF"/>
            <w:vAlign w:val="bottom"/>
            <w:hideMark/>
          </w:tcPr>
          <w:p w14:paraId="5DFDECD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73E7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87A2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C607E" w14:textId="77777777" w:rsidR="00000000" w:rsidRDefault="001826C1">
            <w:pPr>
              <w:jc w:val="right"/>
              <w:rPr>
                <w:rFonts w:eastAsia="Times New Roman"/>
                <w:sz w:val="20"/>
                <w:szCs w:val="20"/>
              </w:rPr>
            </w:pPr>
            <w:r>
              <w:rPr>
                <w:rFonts w:eastAsia="Times New Roman"/>
                <w:sz w:val="20"/>
                <w:szCs w:val="20"/>
              </w:rPr>
              <w:t>467</w:t>
            </w:r>
          </w:p>
        </w:tc>
        <w:tc>
          <w:tcPr>
            <w:tcW w:w="0" w:type="auto"/>
            <w:shd w:val="clear" w:color="auto" w:fill="FFFFFF"/>
            <w:vAlign w:val="bottom"/>
            <w:hideMark/>
          </w:tcPr>
          <w:p w14:paraId="04BE76AD" w14:textId="77777777" w:rsidR="00000000" w:rsidRDefault="001826C1">
            <w:pPr>
              <w:rPr>
                <w:rFonts w:eastAsia="Times New Roman"/>
                <w:sz w:val="20"/>
                <w:szCs w:val="20"/>
              </w:rPr>
            </w:pPr>
            <w:r>
              <w:rPr>
                <w:rFonts w:eastAsia="Times New Roman"/>
                <w:sz w:val="20"/>
                <w:szCs w:val="20"/>
              </w:rPr>
              <w:t> </w:t>
            </w:r>
          </w:p>
        </w:tc>
      </w:tr>
      <w:tr w:rsidR="00000000" w14:paraId="35D19EB8" w14:textId="77777777">
        <w:tc>
          <w:tcPr>
            <w:tcW w:w="0" w:type="auto"/>
            <w:shd w:val="clear" w:color="auto" w:fill="CCEEFF"/>
            <w:tcMar>
              <w:top w:w="0" w:type="dxa"/>
              <w:left w:w="200" w:type="dxa"/>
              <w:bottom w:w="0" w:type="dxa"/>
              <w:right w:w="0" w:type="dxa"/>
            </w:tcMar>
            <w:vAlign w:val="bottom"/>
            <w:hideMark/>
          </w:tcPr>
          <w:p w14:paraId="15E8B80D" w14:textId="77777777" w:rsidR="00000000" w:rsidRDefault="001826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1BE979B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EEC3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E07879" w14:textId="77777777" w:rsidR="00000000" w:rsidRDefault="001826C1">
            <w:pPr>
              <w:jc w:val="right"/>
              <w:rPr>
                <w:rFonts w:eastAsia="Times New Roman"/>
                <w:sz w:val="20"/>
                <w:szCs w:val="20"/>
              </w:rPr>
            </w:pPr>
            <w:r>
              <w:rPr>
                <w:rFonts w:eastAsia="Times New Roman"/>
                <w:sz w:val="20"/>
                <w:szCs w:val="20"/>
              </w:rPr>
              <w:t>17,912</w:t>
            </w:r>
          </w:p>
        </w:tc>
        <w:tc>
          <w:tcPr>
            <w:tcW w:w="0" w:type="auto"/>
            <w:shd w:val="clear" w:color="auto" w:fill="CCEEFF"/>
            <w:vAlign w:val="bottom"/>
            <w:hideMark/>
          </w:tcPr>
          <w:p w14:paraId="6E7ABE6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E861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E58FE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CEA1E7" w14:textId="77777777" w:rsidR="00000000" w:rsidRDefault="001826C1">
            <w:pPr>
              <w:jc w:val="right"/>
              <w:rPr>
                <w:rFonts w:eastAsia="Times New Roman"/>
                <w:sz w:val="20"/>
                <w:szCs w:val="20"/>
              </w:rPr>
            </w:pPr>
            <w:r>
              <w:rPr>
                <w:rFonts w:eastAsia="Times New Roman"/>
                <w:sz w:val="20"/>
                <w:szCs w:val="20"/>
              </w:rPr>
              <w:t>16,264</w:t>
            </w:r>
          </w:p>
        </w:tc>
        <w:tc>
          <w:tcPr>
            <w:tcW w:w="0" w:type="auto"/>
            <w:shd w:val="clear" w:color="auto" w:fill="CCEEFF"/>
            <w:vAlign w:val="bottom"/>
            <w:hideMark/>
          </w:tcPr>
          <w:p w14:paraId="4D2607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E8E8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32C0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0B6EC1" w14:textId="77777777" w:rsidR="00000000" w:rsidRDefault="001826C1">
            <w:pPr>
              <w:jc w:val="right"/>
              <w:rPr>
                <w:rFonts w:eastAsia="Times New Roman"/>
                <w:sz w:val="20"/>
                <w:szCs w:val="20"/>
              </w:rPr>
            </w:pPr>
            <w:r>
              <w:rPr>
                <w:rFonts w:eastAsia="Times New Roman"/>
                <w:sz w:val="20"/>
                <w:szCs w:val="20"/>
              </w:rPr>
              <w:t>11,738</w:t>
            </w:r>
          </w:p>
        </w:tc>
        <w:tc>
          <w:tcPr>
            <w:tcW w:w="0" w:type="auto"/>
            <w:shd w:val="clear" w:color="auto" w:fill="CCEEFF"/>
            <w:vAlign w:val="bottom"/>
            <w:hideMark/>
          </w:tcPr>
          <w:p w14:paraId="5FA4C5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35810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A361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E700EA" w14:textId="77777777" w:rsidR="00000000" w:rsidRDefault="001826C1">
            <w:pPr>
              <w:jc w:val="right"/>
              <w:rPr>
                <w:rFonts w:eastAsia="Times New Roman"/>
                <w:sz w:val="20"/>
                <w:szCs w:val="20"/>
              </w:rPr>
            </w:pPr>
            <w:r>
              <w:rPr>
                <w:rFonts w:eastAsia="Times New Roman"/>
                <w:sz w:val="20"/>
                <w:szCs w:val="20"/>
              </w:rPr>
              <w:t>12,459</w:t>
            </w:r>
          </w:p>
        </w:tc>
        <w:tc>
          <w:tcPr>
            <w:tcW w:w="0" w:type="auto"/>
            <w:shd w:val="clear" w:color="auto" w:fill="CCEEFF"/>
            <w:vAlign w:val="bottom"/>
            <w:hideMark/>
          </w:tcPr>
          <w:p w14:paraId="191AED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12141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9A36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2B00BC" w14:textId="77777777" w:rsidR="00000000" w:rsidRDefault="001826C1">
            <w:pPr>
              <w:jc w:val="right"/>
              <w:rPr>
                <w:rFonts w:eastAsia="Times New Roman"/>
                <w:sz w:val="20"/>
                <w:szCs w:val="20"/>
              </w:rPr>
            </w:pPr>
            <w:r>
              <w:rPr>
                <w:rFonts w:eastAsia="Times New Roman"/>
                <w:sz w:val="20"/>
                <w:szCs w:val="20"/>
              </w:rPr>
              <w:t>11,969</w:t>
            </w:r>
          </w:p>
        </w:tc>
        <w:tc>
          <w:tcPr>
            <w:tcW w:w="0" w:type="auto"/>
            <w:shd w:val="clear" w:color="auto" w:fill="CCEEFF"/>
            <w:vAlign w:val="bottom"/>
            <w:hideMark/>
          </w:tcPr>
          <w:p w14:paraId="74C7F367" w14:textId="77777777" w:rsidR="00000000" w:rsidRDefault="001826C1">
            <w:pPr>
              <w:rPr>
                <w:rFonts w:eastAsia="Times New Roman"/>
                <w:sz w:val="20"/>
                <w:szCs w:val="20"/>
              </w:rPr>
            </w:pPr>
            <w:r>
              <w:rPr>
                <w:rFonts w:eastAsia="Times New Roman"/>
                <w:sz w:val="20"/>
                <w:szCs w:val="20"/>
              </w:rPr>
              <w:t> </w:t>
            </w:r>
          </w:p>
        </w:tc>
      </w:tr>
      <w:tr w:rsidR="00000000" w14:paraId="4EE1A1A2" w14:textId="77777777">
        <w:tc>
          <w:tcPr>
            <w:tcW w:w="0" w:type="auto"/>
            <w:shd w:val="clear" w:color="auto" w:fill="FFFFFF"/>
            <w:tcMar>
              <w:top w:w="0" w:type="dxa"/>
              <w:left w:w="200" w:type="dxa"/>
              <w:bottom w:w="0" w:type="dxa"/>
              <w:right w:w="0" w:type="dxa"/>
            </w:tcMar>
            <w:vAlign w:val="bottom"/>
            <w:hideMark/>
          </w:tcPr>
          <w:p w14:paraId="45C2CCB0" w14:textId="77777777" w:rsidR="00000000" w:rsidRDefault="001826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5D335F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E714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F800CC" w14:textId="77777777" w:rsidR="00000000" w:rsidRDefault="001826C1">
            <w:pPr>
              <w:jc w:val="right"/>
              <w:rPr>
                <w:rFonts w:eastAsia="Times New Roman"/>
                <w:sz w:val="20"/>
                <w:szCs w:val="20"/>
              </w:rPr>
            </w:pPr>
            <w:r>
              <w:rPr>
                <w:rFonts w:eastAsia="Times New Roman"/>
                <w:sz w:val="20"/>
                <w:szCs w:val="20"/>
              </w:rPr>
              <w:t>871</w:t>
            </w:r>
          </w:p>
        </w:tc>
        <w:tc>
          <w:tcPr>
            <w:tcW w:w="0" w:type="auto"/>
            <w:shd w:val="clear" w:color="auto" w:fill="FFFFFF"/>
            <w:vAlign w:val="bottom"/>
            <w:hideMark/>
          </w:tcPr>
          <w:p w14:paraId="7A436B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6E9C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76BF2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8F2CA8" w14:textId="77777777" w:rsidR="00000000" w:rsidRDefault="001826C1">
            <w:pPr>
              <w:jc w:val="right"/>
              <w:rPr>
                <w:rFonts w:eastAsia="Times New Roman"/>
                <w:sz w:val="20"/>
                <w:szCs w:val="20"/>
              </w:rPr>
            </w:pPr>
            <w:r>
              <w:rPr>
                <w:rFonts w:eastAsia="Times New Roman"/>
                <w:sz w:val="20"/>
                <w:szCs w:val="20"/>
              </w:rPr>
              <w:t>1,029</w:t>
            </w:r>
          </w:p>
        </w:tc>
        <w:tc>
          <w:tcPr>
            <w:tcW w:w="0" w:type="auto"/>
            <w:shd w:val="clear" w:color="auto" w:fill="FFFFFF"/>
            <w:vAlign w:val="bottom"/>
            <w:hideMark/>
          </w:tcPr>
          <w:p w14:paraId="5EB0F0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04D67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5AFD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587014" w14:textId="77777777" w:rsidR="00000000" w:rsidRDefault="001826C1">
            <w:pPr>
              <w:jc w:val="right"/>
              <w:rPr>
                <w:rFonts w:eastAsia="Times New Roman"/>
                <w:sz w:val="20"/>
                <w:szCs w:val="20"/>
              </w:rPr>
            </w:pPr>
            <w:r>
              <w:rPr>
                <w:rFonts w:eastAsia="Times New Roman"/>
                <w:sz w:val="20"/>
                <w:szCs w:val="20"/>
              </w:rPr>
              <w:t>1,082</w:t>
            </w:r>
          </w:p>
        </w:tc>
        <w:tc>
          <w:tcPr>
            <w:tcW w:w="0" w:type="auto"/>
            <w:shd w:val="clear" w:color="auto" w:fill="FFFFFF"/>
            <w:vAlign w:val="bottom"/>
            <w:hideMark/>
          </w:tcPr>
          <w:p w14:paraId="7BD06A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A5167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5BDA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C80F9E" w14:textId="77777777" w:rsidR="00000000" w:rsidRDefault="001826C1">
            <w:pPr>
              <w:jc w:val="right"/>
              <w:rPr>
                <w:rFonts w:eastAsia="Times New Roman"/>
                <w:sz w:val="20"/>
                <w:szCs w:val="20"/>
              </w:rPr>
            </w:pPr>
            <w:r>
              <w:rPr>
                <w:rFonts w:eastAsia="Times New Roman"/>
                <w:sz w:val="20"/>
                <w:szCs w:val="20"/>
              </w:rPr>
              <w:t>902</w:t>
            </w:r>
          </w:p>
        </w:tc>
        <w:tc>
          <w:tcPr>
            <w:tcW w:w="0" w:type="auto"/>
            <w:shd w:val="clear" w:color="auto" w:fill="FFFFFF"/>
            <w:vAlign w:val="bottom"/>
            <w:hideMark/>
          </w:tcPr>
          <w:p w14:paraId="6D0BE8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DFA6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079D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3D369B" w14:textId="77777777" w:rsidR="00000000" w:rsidRDefault="001826C1">
            <w:pPr>
              <w:jc w:val="right"/>
              <w:rPr>
                <w:rFonts w:eastAsia="Times New Roman"/>
                <w:sz w:val="20"/>
                <w:szCs w:val="20"/>
              </w:rPr>
            </w:pPr>
            <w:r>
              <w:rPr>
                <w:rFonts w:eastAsia="Times New Roman"/>
                <w:sz w:val="20"/>
                <w:szCs w:val="20"/>
              </w:rPr>
              <w:t>659</w:t>
            </w:r>
          </w:p>
        </w:tc>
        <w:tc>
          <w:tcPr>
            <w:tcW w:w="0" w:type="auto"/>
            <w:shd w:val="clear" w:color="auto" w:fill="FFFFFF"/>
            <w:vAlign w:val="bottom"/>
            <w:hideMark/>
          </w:tcPr>
          <w:p w14:paraId="6D64CB8C" w14:textId="77777777" w:rsidR="00000000" w:rsidRDefault="001826C1">
            <w:pPr>
              <w:rPr>
                <w:rFonts w:eastAsia="Times New Roman"/>
                <w:sz w:val="20"/>
                <w:szCs w:val="20"/>
              </w:rPr>
            </w:pPr>
            <w:r>
              <w:rPr>
                <w:rFonts w:eastAsia="Times New Roman"/>
                <w:sz w:val="20"/>
                <w:szCs w:val="20"/>
              </w:rPr>
              <w:t> </w:t>
            </w:r>
          </w:p>
        </w:tc>
      </w:tr>
      <w:tr w:rsidR="00000000" w14:paraId="6FEADA0C" w14:textId="77777777">
        <w:tc>
          <w:tcPr>
            <w:tcW w:w="0" w:type="auto"/>
            <w:shd w:val="clear" w:color="auto" w:fill="CCEEFF"/>
            <w:tcMar>
              <w:top w:w="0" w:type="dxa"/>
              <w:left w:w="200" w:type="dxa"/>
              <w:bottom w:w="0" w:type="dxa"/>
              <w:right w:w="0" w:type="dxa"/>
            </w:tcMar>
            <w:vAlign w:val="bottom"/>
            <w:hideMark/>
          </w:tcPr>
          <w:p w14:paraId="4102B3B8"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1FB57A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AA5B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F3B3AC" w14:textId="77777777" w:rsidR="00000000" w:rsidRDefault="001826C1">
            <w:pPr>
              <w:jc w:val="right"/>
              <w:rPr>
                <w:rFonts w:eastAsia="Times New Roman"/>
                <w:sz w:val="20"/>
                <w:szCs w:val="20"/>
              </w:rPr>
            </w:pPr>
            <w:r>
              <w:rPr>
                <w:rFonts w:eastAsia="Times New Roman"/>
                <w:sz w:val="20"/>
                <w:szCs w:val="20"/>
              </w:rPr>
              <w:t>(344</w:t>
            </w:r>
          </w:p>
        </w:tc>
        <w:tc>
          <w:tcPr>
            <w:tcW w:w="0" w:type="auto"/>
            <w:shd w:val="clear" w:color="auto" w:fill="CCEEFF"/>
            <w:vAlign w:val="bottom"/>
            <w:hideMark/>
          </w:tcPr>
          <w:p w14:paraId="044099B1"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D54C4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FDEBF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515351" w14:textId="77777777" w:rsidR="00000000" w:rsidRDefault="001826C1">
            <w:pPr>
              <w:jc w:val="right"/>
              <w:rPr>
                <w:rFonts w:eastAsia="Times New Roman"/>
                <w:sz w:val="20"/>
                <w:szCs w:val="20"/>
              </w:rPr>
            </w:pPr>
            <w:r>
              <w:rPr>
                <w:rFonts w:eastAsia="Times New Roman"/>
                <w:sz w:val="20"/>
                <w:szCs w:val="20"/>
              </w:rPr>
              <w:t>73</w:t>
            </w:r>
          </w:p>
        </w:tc>
        <w:tc>
          <w:tcPr>
            <w:tcW w:w="0" w:type="auto"/>
            <w:shd w:val="clear" w:color="auto" w:fill="CCEEFF"/>
            <w:vAlign w:val="bottom"/>
            <w:hideMark/>
          </w:tcPr>
          <w:p w14:paraId="41F631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D3FF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207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D4349D" w14:textId="77777777" w:rsidR="00000000" w:rsidRDefault="001826C1">
            <w:pPr>
              <w:jc w:val="right"/>
              <w:rPr>
                <w:rFonts w:eastAsia="Times New Roman"/>
                <w:sz w:val="20"/>
                <w:szCs w:val="20"/>
              </w:rPr>
            </w:pPr>
            <w:r>
              <w:rPr>
                <w:rFonts w:eastAsia="Times New Roman"/>
                <w:sz w:val="20"/>
                <w:szCs w:val="20"/>
              </w:rPr>
              <w:t>152</w:t>
            </w:r>
          </w:p>
        </w:tc>
        <w:tc>
          <w:tcPr>
            <w:tcW w:w="0" w:type="auto"/>
            <w:shd w:val="clear" w:color="auto" w:fill="CCEEFF"/>
            <w:vAlign w:val="bottom"/>
            <w:hideMark/>
          </w:tcPr>
          <w:p w14:paraId="1BF3572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6377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EBEE1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190573" w14:textId="77777777" w:rsidR="00000000" w:rsidRDefault="001826C1">
            <w:pPr>
              <w:jc w:val="right"/>
              <w:rPr>
                <w:rFonts w:eastAsia="Times New Roman"/>
                <w:sz w:val="20"/>
                <w:szCs w:val="20"/>
              </w:rPr>
            </w:pPr>
            <w:r>
              <w:rPr>
                <w:rFonts w:eastAsia="Times New Roman"/>
                <w:sz w:val="20"/>
                <w:szCs w:val="20"/>
              </w:rPr>
              <w:t>(716</w:t>
            </w:r>
          </w:p>
        </w:tc>
        <w:tc>
          <w:tcPr>
            <w:tcW w:w="0" w:type="auto"/>
            <w:shd w:val="clear" w:color="auto" w:fill="CCEEFF"/>
            <w:vAlign w:val="bottom"/>
            <w:hideMark/>
          </w:tcPr>
          <w:p w14:paraId="2FF2EF9C"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5DEFD8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B1E7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16C505" w14:textId="77777777" w:rsidR="00000000" w:rsidRDefault="001826C1">
            <w:pPr>
              <w:jc w:val="right"/>
              <w:rPr>
                <w:rFonts w:eastAsia="Times New Roman"/>
                <w:sz w:val="20"/>
                <w:szCs w:val="20"/>
              </w:rPr>
            </w:pPr>
            <w:r>
              <w:rPr>
                <w:rFonts w:eastAsia="Times New Roman"/>
                <w:sz w:val="20"/>
                <w:szCs w:val="20"/>
              </w:rPr>
              <w:t>(1,786</w:t>
            </w:r>
          </w:p>
        </w:tc>
        <w:tc>
          <w:tcPr>
            <w:tcW w:w="0" w:type="auto"/>
            <w:shd w:val="clear" w:color="auto" w:fill="CCEEFF"/>
            <w:vAlign w:val="bottom"/>
            <w:hideMark/>
          </w:tcPr>
          <w:p w14:paraId="0E911BF9" w14:textId="77777777" w:rsidR="00000000" w:rsidRDefault="001826C1">
            <w:pPr>
              <w:rPr>
                <w:rFonts w:eastAsia="Times New Roman"/>
                <w:sz w:val="20"/>
                <w:szCs w:val="20"/>
              </w:rPr>
            </w:pPr>
            <w:r>
              <w:rPr>
                <w:rFonts w:eastAsia="Times New Roman"/>
                <w:sz w:val="20"/>
                <w:szCs w:val="20"/>
              </w:rPr>
              <w:t>)</w:t>
            </w:r>
          </w:p>
        </w:tc>
      </w:tr>
      <w:tr w:rsidR="00000000" w14:paraId="24E5CA22" w14:textId="77777777">
        <w:tc>
          <w:tcPr>
            <w:tcW w:w="0" w:type="auto"/>
            <w:shd w:val="clear" w:color="auto" w:fill="FFFFFF"/>
            <w:tcMar>
              <w:top w:w="0" w:type="dxa"/>
              <w:left w:w="200" w:type="dxa"/>
              <w:bottom w:w="0" w:type="dxa"/>
              <w:right w:w="0" w:type="dxa"/>
            </w:tcMar>
            <w:vAlign w:val="bottom"/>
            <w:hideMark/>
          </w:tcPr>
          <w:p w14:paraId="1FBC0036" w14:textId="77777777" w:rsidR="00000000" w:rsidRDefault="001826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0A60E9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DFB5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3F02C4" w14:textId="77777777" w:rsidR="00000000" w:rsidRDefault="001826C1">
            <w:pPr>
              <w:jc w:val="right"/>
              <w:rPr>
                <w:rFonts w:eastAsia="Times New Roman"/>
                <w:sz w:val="20"/>
                <w:szCs w:val="20"/>
              </w:rPr>
            </w:pPr>
            <w:r>
              <w:rPr>
                <w:rFonts w:eastAsia="Times New Roman"/>
                <w:sz w:val="20"/>
                <w:szCs w:val="20"/>
              </w:rPr>
              <w:t>3,006</w:t>
            </w:r>
          </w:p>
        </w:tc>
        <w:tc>
          <w:tcPr>
            <w:tcW w:w="0" w:type="auto"/>
            <w:shd w:val="clear" w:color="auto" w:fill="FFFFFF"/>
            <w:vAlign w:val="bottom"/>
            <w:hideMark/>
          </w:tcPr>
          <w:p w14:paraId="5B59E4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A2F7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02AA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581BAE" w14:textId="77777777" w:rsidR="00000000" w:rsidRDefault="001826C1">
            <w:pPr>
              <w:jc w:val="right"/>
              <w:rPr>
                <w:rFonts w:eastAsia="Times New Roman"/>
                <w:sz w:val="20"/>
                <w:szCs w:val="20"/>
              </w:rPr>
            </w:pPr>
            <w:r>
              <w:rPr>
                <w:rFonts w:eastAsia="Times New Roman"/>
                <w:sz w:val="20"/>
                <w:szCs w:val="20"/>
              </w:rPr>
              <w:t>2,854</w:t>
            </w:r>
          </w:p>
        </w:tc>
        <w:tc>
          <w:tcPr>
            <w:tcW w:w="0" w:type="auto"/>
            <w:shd w:val="clear" w:color="auto" w:fill="FFFFFF"/>
            <w:vAlign w:val="bottom"/>
            <w:hideMark/>
          </w:tcPr>
          <w:p w14:paraId="552AC9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7F99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26D6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002426" w14:textId="77777777" w:rsidR="00000000" w:rsidRDefault="001826C1">
            <w:pPr>
              <w:jc w:val="right"/>
              <w:rPr>
                <w:rFonts w:eastAsia="Times New Roman"/>
                <w:sz w:val="20"/>
                <w:szCs w:val="20"/>
              </w:rPr>
            </w:pPr>
            <w:r>
              <w:rPr>
                <w:rFonts w:eastAsia="Times New Roman"/>
                <w:sz w:val="20"/>
                <w:szCs w:val="20"/>
              </w:rPr>
              <w:t>4,300</w:t>
            </w:r>
          </w:p>
        </w:tc>
        <w:tc>
          <w:tcPr>
            <w:tcW w:w="0" w:type="auto"/>
            <w:shd w:val="clear" w:color="auto" w:fill="FFFFFF"/>
            <w:vAlign w:val="bottom"/>
            <w:hideMark/>
          </w:tcPr>
          <w:p w14:paraId="3C77A7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F412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53BB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BD6EA" w14:textId="77777777" w:rsidR="00000000" w:rsidRDefault="001826C1">
            <w:pPr>
              <w:jc w:val="right"/>
              <w:rPr>
                <w:rFonts w:eastAsia="Times New Roman"/>
                <w:sz w:val="20"/>
                <w:szCs w:val="20"/>
              </w:rPr>
            </w:pPr>
            <w:r>
              <w:rPr>
                <w:rFonts w:eastAsia="Times New Roman"/>
                <w:sz w:val="20"/>
                <w:szCs w:val="20"/>
              </w:rPr>
              <w:t>5,108</w:t>
            </w:r>
          </w:p>
        </w:tc>
        <w:tc>
          <w:tcPr>
            <w:tcW w:w="0" w:type="auto"/>
            <w:shd w:val="clear" w:color="auto" w:fill="FFFFFF"/>
            <w:vAlign w:val="bottom"/>
            <w:hideMark/>
          </w:tcPr>
          <w:p w14:paraId="0FB085C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091B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5EBF6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E270F1" w14:textId="77777777" w:rsidR="00000000" w:rsidRDefault="001826C1">
            <w:pPr>
              <w:jc w:val="right"/>
              <w:rPr>
                <w:rFonts w:eastAsia="Times New Roman"/>
                <w:sz w:val="20"/>
                <w:szCs w:val="20"/>
              </w:rPr>
            </w:pPr>
            <w:r>
              <w:rPr>
                <w:rFonts w:eastAsia="Times New Roman"/>
                <w:sz w:val="20"/>
                <w:szCs w:val="20"/>
              </w:rPr>
              <w:t>4,599</w:t>
            </w:r>
          </w:p>
        </w:tc>
        <w:tc>
          <w:tcPr>
            <w:tcW w:w="0" w:type="auto"/>
            <w:shd w:val="clear" w:color="auto" w:fill="FFFFFF"/>
            <w:vAlign w:val="bottom"/>
            <w:hideMark/>
          </w:tcPr>
          <w:p w14:paraId="4513D52C" w14:textId="77777777" w:rsidR="00000000" w:rsidRDefault="001826C1">
            <w:pPr>
              <w:rPr>
                <w:rFonts w:eastAsia="Times New Roman"/>
                <w:sz w:val="20"/>
                <w:szCs w:val="20"/>
              </w:rPr>
            </w:pPr>
            <w:r>
              <w:rPr>
                <w:rFonts w:eastAsia="Times New Roman"/>
                <w:sz w:val="20"/>
                <w:szCs w:val="20"/>
              </w:rPr>
              <w:t> </w:t>
            </w:r>
          </w:p>
        </w:tc>
      </w:tr>
      <w:tr w:rsidR="00000000" w14:paraId="087D2CF0" w14:textId="77777777">
        <w:tc>
          <w:tcPr>
            <w:tcW w:w="0" w:type="auto"/>
            <w:shd w:val="clear" w:color="auto" w:fill="CCEEFF"/>
            <w:tcMar>
              <w:top w:w="0" w:type="dxa"/>
              <w:left w:w="200" w:type="dxa"/>
              <w:bottom w:w="30" w:type="dxa"/>
              <w:right w:w="0" w:type="dxa"/>
            </w:tcMar>
            <w:vAlign w:val="bottom"/>
            <w:hideMark/>
          </w:tcPr>
          <w:p w14:paraId="1E884954"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14:paraId="6D71E03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B3DA3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C6BB28" w14:textId="77777777" w:rsidR="00000000" w:rsidRDefault="001826C1">
            <w:pPr>
              <w:jc w:val="right"/>
              <w:rPr>
                <w:rFonts w:eastAsia="Times New Roman"/>
                <w:sz w:val="20"/>
                <w:szCs w:val="20"/>
              </w:rPr>
            </w:pPr>
            <w:r>
              <w:rPr>
                <w:rFonts w:eastAsia="Times New Roman"/>
                <w:sz w:val="20"/>
                <w:szCs w:val="20"/>
              </w:rPr>
              <w:t>219</w:t>
            </w:r>
          </w:p>
        </w:tc>
        <w:tc>
          <w:tcPr>
            <w:tcW w:w="0" w:type="auto"/>
            <w:shd w:val="clear" w:color="auto" w:fill="CCEEFF"/>
            <w:tcMar>
              <w:top w:w="0" w:type="dxa"/>
              <w:left w:w="0" w:type="dxa"/>
              <w:bottom w:w="30" w:type="dxa"/>
              <w:right w:w="0" w:type="dxa"/>
            </w:tcMar>
            <w:vAlign w:val="bottom"/>
            <w:hideMark/>
          </w:tcPr>
          <w:p w14:paraId="5D06C5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7C7FCE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3F3AA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B9429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03BE6A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50B978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C155F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C0A92A1" w14:textId="77777777" w:rsidR="00000000" w:rsidRDefault="001826C1">
            <w:pPr>
              <w:jc w:val="right"/>
              <w:rPr>
                <w:rFonts w:eastAsia="Times New Roman"/>
                <w:sz w:val="20"/>
                <w:szCs w:val="20"/>
              </w:rPr>
            </w:pPr>
            <w:r>
              <w:rPr>
                <w:rFonts w:eastAsia="Times New Roman"/>
                <w:sz w:val="20"/>
                <w:szCs w:val="20"/>
              </w:rPr>
              <w:t>276</w:t>
            </w:r>
          </w:p>
        </w:tc>
        <w:tc>
          <w:tcPr>
            <w:tcW w:w="0" w:type="auto"/>
            <w:shd w:val="clear" w:color="auto" w:fill="CCEEFF"/>
            <w:tcMar>
              <w:top w:w="0" w:type="dxa"/>
              <w:left w:w="0" w:type="dxa"/>
              <w:bottom w:w="30" w:type="dxa"/>
              <w:right w:w="0" w:type="dxa"/>
            </w:tcMar>
            <w:vAlign w:val="bottom"/>
            <w:hideMark/>
          </w:tcPr>
          <w:p w14:paraId="3CA81E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8A32F4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758C8A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1661B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9AEB7E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ED1719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FF2D1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7245B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DE86BD1" w14:textId="77777777" w:rsidR="00000000" w:rsidRDefault="001826C1">
            <w:pPr>
              <w:rPr>
                <w:rFonts w:eastAsia="Times New Roman"/>
                <w:sz w:val="20"/>
                <w:szCs w:val="20"/>
              </w:rPr>
            </w:pPr>
            <w:r>
              <w:rPr>
                <w:rFonts w:eastAsia="Times New Roman"/>
                <w:sz w:val="20"/>
                <w:szCs w:val="20"/>
              </w:rPr>
              <w:t> </w:t>
            </w:r>
          </w:p>
        </w:tc>
      </w:tr>
      <w:tr w:rsidR="00000000" w14:paraId="6E0DB6F7" w14:textId="77777777">
        <w:tc>
          <w:tcPr>
            <w:tcW w:w="0" w:type="auto"/>
            <w:shd w:val="clear" w:color="auto" w:fill="FFFFFF"/>
            <w:tcMar>
              <w:top w:w="0" w:type="dxa"/>
              <w:left w:w="400" w:type="dxa"/>
              <w:bottom w:w="0" w:type="dxa"/>
              <w:right w:w="0" w:type="dxa"/>
            </w:tcMar>
            <w:vAlign w:val="bottom"/>
            <w:hideMark/>
          </w:tcPr>
          <w:p w14:paraId="453197FA" w14:textId="77777777" w:rsidR="00000000" w:rsidRDefault="001826C1">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14:paraId="1AA032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C8D7C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0AE52E" w14:textId="77777777" w:rsidR="00000000" w:rsidRDefault="001826C1">
            <w:pPr>
              <w:jc w:val="right"/>
              <w:rPr>
                <w:rFonts w:eastAsia="Times New Roman"/>
                <w:sz w:val="20"/>
                <w:szCs w:val="20"/>
              </w:rPr>
            </w:pPr>
            <w:r>
              <w:rPr>
                <w:rFonts w:eastAsia="Times New Roman"/>
                <w:sz w:val="20"/>
                <w:szCs w:val="20"/>
              </w:rPr>
              <w:t>64,372</w:t>
            </w:r>
          </w:p>
        </w:tc>
        <w:tc>
          <w:tcPr>
            <w:tcW w:w="0" w:type="auto"/>
            <w:shd w:val="clear" w:color="auto" w:fill="FFFFFF"/>
            <w:vAlign w:val="bottom"/>
            <w:hideMark/>
          </w:tcPr>
          <w:p w14:paraId="1F06E1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8DEB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8550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70EA6C" w14:textId="77777777" w:rsidR="00000000" w:rsidRDefault="001826C1">
            <w:pPr>
              <w:jc w:val="right"/>
              <w:rPr>
                <w:rFonts w:eastAsia="Times New Roman"/>
                <w:sz w:val="20"/>
                <w:szCs w:val="20"/>
              </w:rPr>
            </w:pPr>
            <w:r>
              <w:rPr>
                <w:rFonts w:eastAsia="Times New Roman"/>
                <w:sz w:val="20"/>
                <w:szCs w:val="20"/>
              </w:rPr>
              <w:t>53,085</w:t>
            </w:r>
          </w:p>
        </w:tc>
        <w:tc>
          <w:tcPr>
            <w:tcW w:w="0" w:type="auto"/>
            <w:shd w:val="clear" w:color="auto" w:fill="FFFFFF"/>
            <w:vAlign w:val="bottom"/>
            <w:hideMark/>
          </w:tcPr>
          <w:p w14:paraId="36DE14F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D718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6BF3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730FA2" w14:textId="77777777" w:rsidR="00000000" w:rsidRDefault="001826C1">
            <w:pPr>
              <w:jc w:val="right"/>
              <w:rPr>
                <w:rFonts w:eastAsia="Times New Roman"/>
                <w:sz w:val="20"/>
                <w:szCs w:val="20"/>
              </w:rPr>
            </w:pPr>
            <w:r>
              <w:rPr>
                <w:rFonts w:eastAsia="Times New Roman"/>
                <w:sz w:val="20"/>
                <w:szCs w:val="20"/>
              </w:rPr>
              <w:t>36,333</w:t>
            </w:r>
          </w:p>
        </w:tc>
        <w:tc>
          <w:tcPr>
            <w:tcW w:w="0" w:type="auto"/>
            <w:shd w:val="clear" w:color="auto" w:fill="FFFFFF"/>
            <w:vAlign w:val="bottom"/>
            <w:hideMark/>
          </w:tcPr>
          <w:p w14:paraId="642B66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0B4CD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8F2D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7CC12" w14:textId="77777777" w:rsidR="00000000" w:rsidRDefault="001826C1">
            <w:pPr>
              <w:jc w:val="right"/>
              <w:rPr>
                <w:rFonts w:eastAsia="Times New Roman"/>
                <w:sz w:val="20"/>
                <w:szCs w:val="20"/>
              </w:rPr>
            </w:pPr>
            <w:r>
              <w:rPr>
                <w:rFonts w:eastAsia="Times New Roman"/>
                <w:sz w:val="20"/>
                <w:szCs w:val="20"/>
              </w:rPr>
              <w:t>32,394</w:t>
            </w:r>
          </w:p>
        </w:tc>
        <w:tc>
          <w:tcPr>
            <w:tcW w:w="0" w:type="auto"/>
            <w:shd w:val="clear" w:color="auto" w:fill="FFFFFF"/>
            <w:vAlign w:val="bottom"/>
            <w:hideMark/>
          </w:tcPr>
          <w:p w14:paraId="40BC85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479F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D021A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A76DCA" w14:textId="77777777" w:rsidR="00000000" w:rsidRDefault="001826C1">
            <w:pPr>
              <w:jc w:val="right"/>
              <w:rPr>
                <w:rFonts w:eastAsia="Times New Roman"/>
                <w:sz w:val="20"/>
                <w:szCs w:val="20"/>
              </w:rPr>
            </w:pPr>
            <w:r>
              <w:rPr>
                <w:rFonts w:eastAsia="Times New Roman"/>
                <w:sz w:val="20"/>
                <w:szCs w:val="20"/>
              </w:rPr>
              <w:t>27,538</w:t>
            </w:r>
          </w:p>
        </w:tc>
        <w:tc>
          <w:tcPr>
            <w:tcW w:w="0" w:type="auto"/>
            <w:shd w:val="clear" w:color="auto" w:fill="FFFFFF"/>
            <w:vAlign w:val="bottom"/>
            <w:hideMark/>
          </w:tcPr>
          <w:p w14:paraId="7E2BB6B8" w14:textId="77777777" w:rsidR="00000000" w:rsidRDefault="001826C1">
            <w:pPr>
              <w:rPr>
                <w:rFonts w:eastAsia="Times New Roman"/>
                <w:sz w:val="20"/>
                <w:szCs w:val="20"/>
              </w:rPr>
            </w:pPr>
            <w:r>
              <w:rPr>
                <w:rFonts w:eastAsia="Times New Roman"/>
                <w:sz w:val="20"/>
                <w:szCs w:val="20"/>
              </w:rPr>
              <w:t> </w:t>
            </w:r>
          </w:p>
        </w:tc>
      </w:tr>
      <w:tr w:rsidR="00000000" w14:paraId="139FA1B4" w14:textId="77777777">
        <w:tc>
          <w:tcPr>
            <w:tcW w:w="0" w:type="auto"/>
            <w:shd w:val="clear" w:color="auto" w:fill="CCEEFF"/>
            <w:vAlign w:val="bottom"/>
            <w:hideMark/>
          </w:tcPr>
          <w:p w14:paraId="1F3100F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FED8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C384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BF2DF1"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85251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13BB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1887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144100"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90E79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5F22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94E8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D66D80"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133CD6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5B8C5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228CC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7EFB6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C8004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48BA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37178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8F115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E998C13" w14:textId="77777777" w:rsidR="00000000" w:rsidRDefault="001826C1">
            <w:pPr>
              <w:rPr>
                <w:rFonts w:eastAsia="Times New Roman"/>
                <w:sz w:val="20"/>
                <w:szCs w:val="20"/>
              </w:rPr>
            </w:pPr>
            <w:r>
              <w:rPr>
                <w:rFonts w:eastAsia="Times New Roman"/>
                <w:sz w:val="20"/>
                <w:szCs w:val="20"/>
              </w:rPr>
              <w:t> </w:t>
            </w:r>
          </w:p>
        </w:tc>
      </w:tr>
      <w:tr w:rsidR="00000000" w14:paraId="377DC79E" w14:textId="77777777">
        <w:tc>
          <w:tcPr>
            <w:tcW w:w="0" w:type="auto"/>
            <w:shd w:val="clear" w:color="auto" w:fill="FFFFFF"/>
            <w:tcMar>
              <w:top w:w="0" w:type="dxa"/>
              <w:left w:w="600" w:type="dxa"/>
              <w:bottom w:w="0" w:type="dxa"/>
              <w:right w:w="0" w:type="dxa"/>
            </w:tcMar>
            <w:vAlign w:val="bottom"/>
            <w:hideMark/>
          </w:tcPr>
          <w:p w14:paraId="6E0B1FF9" w14:textId="77777777" w:rsidR="00000000" w:rsidRDefault="001826C1">
            <w:pPr>
              <w:rPr>
                <w:rFonts w:eastAsia="Times New Roman"/>
                <w:sz w:val="20"/>
                <w:szCs w:val="20"/>
              </w:rPr>
            </w:pPr>
            <w:r>
              <w:rPr>
                <w:rFonts w:eastAsia="Times New Roman"/>
                <w:sz w:val="20"/>
                <w:szCs w:val="20"/>
              </w:rPr>
              <w:t>Operating income (loss)</w:t>
            </w:r>
          </w:p>
        </w:tc>
        <w:tc>
          <w:tcPr>
            <w:tcW w:w="0" w:type="auto"/>
            <w:shd w:val="clear" w:color="auto" w:fill="FFFFFF"/>
            <w:vAlign w:val="bottom"/>
            <w:hideMark/>
          </w:tcPr>
          <w:p w14:paraId="3BD68C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D4B8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0E1E9" w14:textId="77777777" w:rsidR="00000000" w:rsidRDefault="001826C1">
            <w:pPr>
              <w:jc w:val="right"/>
              <w:rPr>
                <w:rFonts w:eastAsia="Times New Roman"/>
                <w:sz w:val="20"/>
                <w:szCs w:val="20"/>
              </w:rPr>
            </w:pPr>
            <w:r>
              <w:rPr>
                <w:rFonts w:eastAsia="Times New Roman"/>
                <w:sz w:val="20"/>
                <w:szCs w:val="20"/>
              </w:rPr>
              <w:t>67</w:t>
            </w:r>
          </w:p>
        </w:tc>
        <w:tc>
          <w:tcPr>
            <w:tcW w:w="0" w:type="auto"/>
            <w:shd w:val="clear" w:color="auto" w:fill="FFFFFF"/>
            <w:vAlign w:val="bottom"/>
            <w:hideMark/>
          </w:tcPr>
          <w:p w14:paraId="61A796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32E0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D5F9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C3E479" w14:textId="77777777" w:rsidR="00000000" w:rsidRDefault="001826C1">
            <w:pPr>
              <w:jc w:val="right"/>
              <w:rPr>
                <w:rFonts w:eastAsia="Times New Roman"/>
                <w:sz w:val="20"/>
                <w:szCs w:val="20"/>
              </w:rPr>
            </w:pPr>
            <w:r>
              <w:rPr>
                <w:rFonts w:eastAsia="Times New Roman"/>
                <w:sz w:val="20"/>
                <w:szCs w:val="20"/>
              </w:rPr>
              <w:t>(2,539</w:t>
            </w:r>
          </w:p>
        </w:tc>
        <w:tc>
          <w:tcPr>
            <w:tcW w:w="0" w:type="auto"/>
            <w:shd w:val="clear" w:color="auto" w:fill="FFFFFF"/>
            <w:vAlign w:val="bottom"/>
            <w:hideMark/>
          </w:tcPr>
          <w:p w14:paraId="6820BC3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AE258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6B5A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7EE5A9" w14:textId="77777777" w:rsidR="00000000" w:rsidRDefault="001826C1">
            <w:pPr>
              <w:jc w:val="right"/>
              <w:rPr>
                <w:rFonts w:eastAsia="Times New Roman"/>
                <w:sz w:val="20"/>
                <w:szCs w:val="20"/>
              </w:rPr>
            </w:pPr>
            <w:r>
              <w:rPr>
                <w:rFonts w:eastAsia="Times New Roman"/>
                <w:sz w:val="20"/>
                <w:szCs w:val="20"/>
              </w:rPr>
              <w:t>(4,522</w:t>
            </w:r>
          </w:p>
        </w:tc>
        <w:tc>
          <w:tcPr>
            <w:tcW w:w="0" w:type="auto"/>
            <w:shd w:val="clear" w:color="auto" w:fill="FFFFFF"/>
            <w:vAlign w:val="bottom"/>
            <w:hideMark/>
          </w:tcPr>
          <w:p w14:paraId="143D74F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4BBEE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B6EA9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52B3FD" w14:textId="77777777" w:rsidR="00000000" w:rsidRDefault="001826C1">
            <w:pPr>
              <w:jc w:val="right"/>
              <w:rPr>
                <w:rFonts w:eastAsia="Times New Roman"/>
                <w:sz w:val="20"/>
                <w:szCs w:val="20"/>
              </w:rPr>
            </w:pPr>
            <w:r>
              <w:rPr>
                <w:rFonts w:eastAsia="Times New Roman"/>
                <w:sz w:val="20"/>
                <w:szCs w:val="20"/>
              </w:rPr>
              <w:t>(7,901</w:t>
            </w:r>
          </w:p>
        </w:tc>
        <w:tc>
          <w:tcPr>
            <w:tcW w:w="0" w:type="auto"/>
            <w:shd w:val="clear" w:color="auto" w:fill="FFFFFF"/>
            <w:vAlign w:val="bottom"/>
            <w:hideMark/>
          </w:tcPr>
          <w:p w14:paraId="3BCFEAE5"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27321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E9F0B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49855" w14:textId="77777777" w:rsidR="00000000" w:rsidRDefault="001826C1">
            <w:pPr>
              <w:jc w:val="right"/>
              <w:rPr>
                <w:rFonts w:eastAsia="Times New Roman"/>
                <w:sz w:val="20"/>
                <w:szCs w:val="20"/>
              </w:rPr>
            </w:pPr>
            <w:r>
              <w:rPr>
                <w:rFonts w:eastAsia="Times New Roman"/>
                <w:sz w:val="20"/>
                <w:szCs w:val="20"/>
              </w:rPr>
              <w:t>(4,458</w:t>
            </w:r>
          </w:p>
        </w:tc>
        <w:tc>
          <w:tcPr>
            <w:tcW w:w="0" w:type="auto"/>
            <w:shd w:val="clear" w:color="auto" w:fill="FFFFFF"/>
            <w:vAlign w:val="bottom"/>
            <w:hideMark/>
          </w:tcPr>
          <w:p w14:paraId="6314FEBF" w14:textId="77777777" w:rsidR="00000000" w:rsidRDefault="001826C1">
            <w:pPr>
              <w:rPr>
                <w:rFonts w:eastAsia="Times New Roman"/>
                <w:sz w:val="20"/>
                <w:szCs w:val="20"/>
              </w:rPr>
            </w:pPr>
            <w:r>
              <w:rPr>
                <w:rFonts w:eastAsia="Times New Roman"/>
                <w:sz w:val="20"/>
                <w:szCs w:val="20"/>
              </w:rPr>
              <w:t>)</w:t>
            </w:r>
          </w:p>
        </w:tc>
      </w:tr>
      <w:tr w:rsidR="00000000" w14:paraId="1F967E1F" w14:textId="77777777">
        <w:tc>
          <w:tcPr>
            <w:tcW w:w="0" w:type="auto"/>
            <w:shd w:val="clear" w:color="auto" w:fill="CCEEFF"/>
            <w:vAlign w:val="bottom"/>
            <w:hideMark/>
          </w:tcPr>
          <w:p w14:paraId="6F5FD74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D1D7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385E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EDC3F"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3A4451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FC366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C041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ADC42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4B59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165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859E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DC1F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8D758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6942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2F5C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FF9E7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16F09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BC39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0633A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F8543F"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0C4F924" w14:textId="77777777" w:rsidR="00000000" w:rsidRDefault="001826C1">
            <w:pPr>
              <w:rPr>
                <w:rFonts w:eastAsia="Times New Roman"/>
                <w:sz w:val="20"/>
                <w:szCs w:val="20"/>
              </w:rPr>
            </w:pPr>
            <w:r>
              <w:rPr>
                <w:rFonts w:eastAsia="Times New Roman"/>
                <w:sz w:val="20"/>
                <w:szCs w:val="20"/>
              </w:rPr>
              <w:t> </w:t>
            </w:r>
          </w:p>
        </w:tc>
      </w:tr>
      <w:tr w:rsidR="00000000" w14:paraId="3FD5EE50" w14:textId="77777777">
        <w:tc>
          <w:tcPr>
            <w:tcW w:w="0" w:type="auto"/>
            <w:shd w:val="clear" w:color="auto" w:fill="FFFFFF"/>
            <w:tcMar>
              <w:top w:w="0" w:type="dxa"/>
              <w:left w:w="200" w:type="dxa"/>
              <w:bottom w:w="0" w:type="dxa"/>
              <w:right w:w="0" w:type="dxa"/>
            </w:tcMar>
            <w:vAlign w:val="bottom"/>
            <w:hideMark/>
          </w:tcPr>
          <w:p w14:paraId="6B712CE6" w14:textId="77777777" w:rsidR="00000000" w:rsidRDefault="001826C1">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14:paraId="6FD45D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0FA1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C181B7" w14:textId="77777777" w:rsidR="00000000" w:rsidRDefault="001826C1">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14:paraId="0D9A08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7A0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EA274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F223D0" w14:textId="77777777" w:rsidR="00000000" w:rsidRDefault="001826C1">
            <w:pPr>
              <w:jc w:val="right"/>
              <w:rPr>
                <w:rFonts w:eastAsia="Times New Roman"/>
                <w:sz w:val="20"/>
                <w:szCs w:val="20"/>
              </w:rPr>
            </w:pPr>
            <w:r>
              <w:rPr>
                <w:rFonts w:eastAsia="Times New Roman"/>
                <w:sz w:val="20"/>
                <w:szCs w:val="20"/>
              </w:rPr>
              <w:t>250</w:t>
            </w:r>
          </w:p>
        </w:tc>
        <w:tc>
          <w:tcPr>
            <w:tcW w:w="0" w:type="auto"/>
            <w:shd w:val="clear" w:color="auto" w:fill="FFFFFF"/>
            <w:vAlign w:val="bottom"/>
            <w:hideMark/>
          </w:tcPr>
          <w:p w14:paraId="4454CBF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272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838E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EB8BCA" w14:textId="77777777" w:rsidR="00000000" w:rsidRDefault="001826C1">
            <w:pPr>
              <w:jc w:val="right"/>
              <w:rPr>
                <w:rFonts w:eastAsia="Times New Roman"/>
                <w:sz w:val="20"/>
                <w:szCs w:val="20"/>
              </w:rPr>
            </w:pPr>
            <w:r>
              <w:rPr>
                <w:rFonts w:eastAsia="Times New Roman"/>
                <w:sz w:val="20"/>
                <w:szCs w:val="20"/>
              </w:rPr>
              <w:t>1,307</w:t>
            </w:r>
          </w:p>
        </w:tc>
        <w:tc>
          <w:tcPr>
            <w:tcW w:w="0" w:type="auto"/>
            <w:shd w:val="clear" w:color="auto" w:fill="FFFFFF"/>
            <w:vAlign w:val="bottom"/>
            <w:hideMark/>
          </w:tcPr>
          <w:p w14:paraId="4C5E8C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4260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8C3E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43EADC" w14:textId="77777777" w:rsidR="00000000" w:rsidRDefault="001826C1">
            <w:pPr>
              <w:jc w:val="right"/>
              <w:rPr>
                <w:rFonts w:eastAsia="Times New Roman"/>
                <w:sz w:val="20"/>
                <w:szCs w:val="20"/>
              </w:rPr>
            </w:pPr>
            <w:r>
              <w:rPr>
                <w:rFonts w:eastAsia="Times New Roman"/>
                <w:sz w:val="20"/>
                <w:szCs w:val="20"/>
              </w:rPr>
              <w:t>646</w:t>
            </w:r>
          </w:p>
        </w:tc>
        <w:tc>
          <w:tcPr>
            <w:tcW w:w="0" w:type="auto"/>
            <w:shd w:val="clear" w:color="auto" w:fill="FFFFFF"/>
            <w:vAlign w:val="bottom"/>
            <w:hideMark/>
          </w:tcPr>
          <w:p w14:paraId="2A95DF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9E9DD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1AA7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93553A" w14:textId="77777777" w:rsidR="00000000" w:rsidRDefault="001826C1">
            <w:pPr>
              <w:jc w:val="right"/>
              <w:rPr>
                <w:rFonts w:eastAsia="Times New Roman"/>
                <w:sz w:val="20"/>
                <w:szCs w:val="20"/>
              </w:rPr>
            </w:pPr>
            <w:r>
              <w:rPr>
                <w:rFonts w:eastAsia="Times New Roman"/>
                <w:sz w:val="20"/>
                <w:szCs w:val="20"/>
              </w:rPr>
              <w:t>262</w:t>
            </w:r>
          </w:p>
        </w:tc>
        <w:tc>
          <w:tcPr>
            <w:tcW w:w="0" w:type="auto"/>
            <w:shd w:val="clear" w:color="auto" w:fill="FFFFFF"/>
            <w:vAlign w:val="bottom"/>
            <w:hideMark/>
          </w:tcPr>
          <w:p w14:paraId="3E3985FC" w14:textId="77777777" w:rsidR="00000000" w:rsidRDefault="001826C1">
            <w:pPr>
              <w:rPr>
                <w:rFonts w:eastAsia="Times New Roman"/>
                <w:sz w:val="20"/>
                <w:szCs w:val="20"/>
              </w:rPr>
            </w:pPr>
            <w:r>
              <w:rPr>
                <w:rFonts w:eastAsia="Times New Roman"/>
                <w:sz w:val="20"/>
                <w:szCs w:val="20"/>
              </w:rPr>
              <w:t> </w:t>
            </w:r>
          </w:p>
        </w:tc>
      </w:tr>
      <w:tr w:rsidR="00000000" w14:paraId="1BF74690" w14:textId="77777777">
        <w:tc>
          <w:tcPr>
            <w:tcW w:w="0" w:type="auto"/>
            <w:shd w:val="clear" w:color="auto" w:fill="CCEEFF"/>
            <w:tcMar>
              <w:top w:w="0" w:type="dxa"/>
              <w:left w:w="200" w:type="dxa"/>
              <w:bottom w:w="30" w:type="dxa"/>
              <w:right w:w="0" w:type="dxa"/>
            </w:tcMar>
            <w:vAlign w:val="bottom"/>
            <w:hideMark/>
          </w:tcPr>
          <w:p w14:paraId="0D243DC5" w14:textId="77777777" w:rsidR="00000000" w:rsidRDefault="001826C1">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14:paraId="426265B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E4EB5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24EB28" w14:textId="77777777" w:rsidR="00000000" w:rsidRDefault="001826C1">
            <w:pPr>
              <w:jc w:val="right"/>
              <w:rPr>
                <w:rFonts w:eastAsia="Times New Roman"/>
                <w:sz w:val="20"/>
                <w:szCs w:val="20"/>
              </w:rPr>
            </w:pPr>
            <w:r>
              <w:rPr>
                <w:rFonts w:eastAsia="Times New Roman"/>
                <w:sz w:val="20"/>
                <w:szCs w:val="20"/>
              </w:rPr>
              <w:t>(625</w:t>
            </w:r>
          </w:p>
        </w:tc>
        <w:tc>
          <w:tcPr>
            <w:tcW w:w="0" w:type="auto"/>
            <w:shd w:val="clear" w:color="auto" w:fill="CCEEFF"/>
            <w:tcMar>
              <w:top w:w="0" w:type="dxa"/>
              <w:left w:w="0" w:type="dxa"/>
              <w:bottom w:w="30" w:type="dxa"/>
              <w:right w:w="0" w:type="dxa"/>
            </w:tcMar>
            <w:vAlign w:val="bottom"/>
            <w:hideMark/>
          </w:tcPr>
          <w:p w14:paraId="735E17BF"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BC1FFC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C7D9B9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C752F6" w14:textId="77777777" w:rsidR="00000000" w:rsidRDefault="001826C1">
            <w:pPr>
              <w:jc w:val="right"/>
              <w:rPr>
                <w:rFonts w:eastAsia="Times New Roman"/>
                <w:sz w:val="20"/>
                <w:szCs w:val="20"/>
              </w:rPr>
            </w:pPr>
            <w:r>
              <w:rPr>
                <w:rFonts w:eastAsia="Times New Roman"/>
                <w:sz w:val="20"/>
                <w:szCs w:val="20"/>
              </w:rPr>
              <w:t>494</w:t>
            </w:r>
          </w:p>
        </w:tc>
        <w:tc>
          <w:tcPr>
            <w:tcW w:w="0" w:type="auto"/>
            <w:shd w:val="clear" w:color="auto" w:fill="CCEEFF"/>
            <w:tcMar>
              <w:top w:w="0" w:type="dxa"/>
              <w:left w:w="0" w:type="dxa"/>
              <w:bottom w:w="30" w:type="dxa"/>
              <w:right w:w="0" w:type="dxa"/>
            </w:tcMar>
            <w:vAlign w:val="bottom"/>
            <w:hideMark/>
          </w:tcPr>
          <w:p w14:paraId="4EC696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3851B5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762F8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0AD305" w14:textId="77777777" w:rsidR="00000000" w:rsidRDefault="001826C1">
            <w:pPr>
              <w:jc w:val="right"/>
              <w:rPr>
                <w:rFonts w:eastAsia="Times New Roman"/>
                <w:sz w:val="20"/>
                <w:szCs w:val="20"/>
              </w:rPr>
            </w:pPr>
            <w:r>
              <w:rPr>
                <w:rFonts w:eastAsia="Times New Roman"/>
                <w:sz w:val="20"/>
                <w:szCs w:val="20"/>
              </w:rPr>
              <w:t>332</w:t>
            </w:r>
          </w:p>
        </w:tc>
        <w:tc>
          <w:tcPr>
            <w:tcW w:w="0" w:type="auto"/>
            <w:shd w:val="clear" w:color="auto" w:fill="CCEEFF"/>
            <w:tcMar>
              <w:top w:w="0" w:type="dxa"/>
              <w:left w:w="0" w:type="dxa"/>
              <w:bottom w:w="30" w:type="dxa"/>
              <w:right w:w="0" w:type="dxa"/>
            </w:tcMar>
            <w:vAlign w:val="bottom"/>
            <w:hideMark/>
          </w:tcPr>
          <w:p w14:paraId="5B4E33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216759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AA222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EC4AFE" w14:textId="77777777" w:rsidR="00000000" w:rsidRDefault="001826C1">
            <w:pPr>
              <w:jc w:val="right"/>
              <w:rPr>
                <w:rFonts w:eastAsia="Times New Roman"/>
                <w:sz w:val="20"/>
                <w:szCs w:val="20"/>
              </w:rPr>
            </w:pPr>
            <w:r>
              <w:rPr>
                <w:rFonts w:eastAsia="Times New Roman"/>
                <w:sz w:val="20"/>
                <w:szCs w:val="20"/>
              </w:rPr>
              <w:t>(53</w:t>
            </w:r>
          </w:p>
        </w:tc>
        <w:tc>
          <w:tcPr>
            <w:tcW w:w="0" w:type="auto"/>
            <w:shd w:val="clear" w:color="auto" w:fill="CCEEFF"/>
            <w:tcMar>
              <w:top w:w="0" w:type="dxa"/>
              <w:left w:w="0" w:type="dxa"/>
              <w:bottom w:w="30" w:type="dxa"/>
              <w:right w:w="0" w:type="dxa"/>
            </w:tcMar>
            <w:vAlign w:val="bottom"/>
            <w:hideMark/>
          </w:tcPr>
          <w:p w14:paraId="3B05C78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7C4EE1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EEFD5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78C3CC" w14:textId="77777777" w:rsidR="00000000" w:rsidRDefault="001826C1">
            <w:pPr>
              <w:jc w:val="right"/>
              <w:rPr>
                <w:rFonts w:eastAsia="Times New Roman"/>
                <w:sz w:val="20"/>
                <w:szCs w:val="20"/>
              </w:rPr>
            </w:pPr>
            <w:r>
              <w:rPr>
                <w:rFonts w:eastAsia="Times New Roman"/>
                <w:sz w:val="20"/>
                <w:szCs w:val="20"/>
              </w:rPr>
              <w:t>170</w:t>
            </w:r>
          </w:p>
        </w:tc>
        <w:tc>
          <w:tcPr>
            <w:tcW w:w="0" w:type="auto"/>
            <w:shd w:val="clear" w:color="auto" w:fill="CCEEFF"/>
            <w:tcMar>
              <w:top w:w="0" w:type="dxa"/>
              <w:left w:w="0" w:type="dxa"/>
              <w:bottom w:w="30" w:type="dxa"/>
              <w:right w:w="0" w:type="dxa"/>
            </w:tcMar>
            <w:vAlign w:val="bottom"/>
            <w:hideMark/>
          </w:tcPr>
          <w:p w14:paraId="5AFC4BDD" w14:textId="77777777" w:rsidR="00000000" w:rsidRDefault="001826C1">
            <w:pPr>
              <w:rPr>
                <w:rFonts w:eastAsia="Times New Roman"/>
                <w:sz w:val="20"/>
                <w:szCs w:val="20"/>
              </w:rPr>
            </w:pPr>
            <w:r>
              <w:rPr>
                <w:rFonts w:eastAsia="Times New Roman"/>
                <w:sz w:val="20"/>
                <w:szCs w:val="20"/>
              </w:rPr>
              <w:t> </w:t>
            </w:r>
          </w:p>
        </w:tc>
      </w:tr>
      <w:tr w:rsidR="00000000" w14:paraId="06C68A76" w14:textId="77777777">
        <w:tc>
          <w:tcPr>
            <w:tcW w:w="0" w:type="auto"/>
            <w:shd w:val="clear" w:color="auto" w:fill="FFFFFF"/>
            <w:tcMar>
              <w:top w:w="0" w:type="dxa"/>
              <w:left w:w="400" w:type="dxa"/>
              <w:bottom w:w="0" w:type="dxa"/>
              <w:right w:w="0" w:type="dxa"/>
            </w:tcMar>
            <w:vAlign w:val="bottom"/>
            <w:hideMark/>
          </w:tcPr>
          <w:p w14:paraId="785ABDA7" w14:textId="77777777" w:rsidR="00000000" w:rsidRDefault="001826C1">
            <w:pPr>
              <w:rPr>
                <w:rFonts w:eastAsia="Times New Roman"/>
                <w:sz w:val="20"/>
                <w:szCs w:val="20"/>
              </w:rPr>
            </w:pPr>
            <w:r>
              <w:rPr>
                <w:rFonts w:eastAsia="Times New Roman"/>
                <w:sz w:val="20"/>
                <w:szCs w:val="20"/>
              </w:rPr>
              <w:t>Loss before provision (benefit) for income taxes</w:t>
            </w:r>
          </w:p>
        </w:tc>
        <w:tc>
          <w:tcPr>
            <w:tcW w:w="0" w:type="auto"/>
            <w:shd w:val="clear" w:color="auto" w:fill="FFFFFF"/>
            <w:vAlign w:val="bottom"/>
            <w:hideMark/>
          </w:tcPr>
          <w:p w14:paraId="4C2AAA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AD91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65DB5" w14:textId="77777777" w:rsidR="00000000" w:rsidRDefault="001826C1">
            <w:pPr>
              <w:jc w:val="right"/>
              <w:rPr>
                <w:rFonts w:eastAsia="Times New Roman"/>
                <w:sz w:val="20"/>
                <w:szCs w:val="20"/>
              </w:rPr>
            </w:pPr>
            <w:r>
              <w:rPr>
                <w:rFonts w:eastAsia="Times New Roman"/>
                <w:sz w:val="20"/>
                <w:szCs w:val="20"/>
              </w:rPr>
              <w:t>(679</w:t>
            </w:r>
          </w:p>
        </w:tc>
        <w:tc>
          <w:tcPr>
            <w:tcW w:w="0" w:type="auto"/>
            <w:shd w:val="clear" w:color="auto" w:fill="FFFFFF"/>
            <w:vAlign w:val="bottom"/>
            <w:hideMark/>
          </w:tcPr>
          <w:p w14:paraId="1605BE40"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5605A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7890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4E9CE3" w14:textId="77777777" w:rsidR="00000000" w:rsidRDefault="001826C1">
            <w:pPr>
              <w:jc w:val="right"/>
              <w:rPr>
                <w:rFonts w:eastAsia="Times New Roman"/>
                <w:sz w:val="20"/>
                <w:szCs w:val="20"/>
              </w:rPr>
            </w:pPr>
            <w:r>
              <w:rPr>
                <w:rFonts w:eastAsia="Times New Roman"/>
                <w:sz w:val="20"/>
                <w:szCs w:val="20"/>
              </w:rPr>
              <w:t>(2,295</w:t>
            </w:r>
          </w:p>
        </w:tc>
        <w:tc>
          <w:tcPr>
            <w:tcW w:w="0" w:type="auto"/>
            <w:shd w:val="clear" w:color="auto" w:fill="FFFFFF"/>
            <w:vAlign w:val="bottom"/>
            <w:hideMark/>
          </w:tcPr>
          <w:p w14:paraId="4AE56943"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E03FD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0F50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89B5B5" w14:textId="77777777" w:rsidR="00000000" w:rsidRDefault="001826C1">
            <w:pPr>
              <w:jc w:val="right"/>
              <w:rPr>
                <w:rFonts w:eastAsia="Times New Roman"/>
                <w:sz w:val="20"/>
                <w:szCs w:val="20"/>
              </w:rPr>
            </w:pPr>
            <w:r>
              <w:rPr>
                <w:rFonts w:eastAsia="Times New Roman"/>
                <w:sz w:val="20"/>
                <w:szCs w:val="20"/>
              </w:rPr>
              <w:t>(5,497</w:t>
            </w:r>
          </w:p>
        </w:tc>
        <w:tc>
          <w:tcPr>
            <w:tcW w:w="0" w:type="auto"/>
            <w:shd w:val="clear" w:color="auto" w:fill="FFFFFF"/>
            <w:vAlign w:val="bottom"/>
            <w:hideMark/>
          </w:tcPr>
          <w:p w14:paraId="760C98A6"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C49057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3E5D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749497" w14:textId="77777777" w:rsidR="00000000" w:rsidRDefault="001826C1">
            <w:pPr>
              <w:jc w:val="right"/>
              <w:rPr>
                <w:rFonts w:eastAsia="Times New Roman"/>
                <w:sz w:val="20"/>
                <w:szCs w:val="20"/>
              </w:rPr>
            </w:pPr>
            <w:r>
              <w:rPr>
                <w:rFonts w:eastAsia="Times New Roman"/>
                <w:sz w:val="20"/>
                <w:szCs w:val="20"/>
              </w:rPr>
              <w:t>(8,600</w:t>
            </w:r>
          </w:p>
        </w:tc>
        <w:tc>
          <w:tcPr>
            <w:tcW w:w="0" w:type="auto"/>
            <w:shd w:val="clear" w:color="auto" w:fill="FFFFFF"/>
            <w:vAlign w:val="bottom"/>
            <w:hideMark/>
          </w:tcPr>
          <w:p w14:paraId="32751C87"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1D43F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8D92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39A89E" w14:textId="77777777" w:rsidR="00000000" w:rsidRDefault="001826C1">
            <w:pPr>
              <w:jc w:val="right"/>
              <w:rPr>
                <w:rFonts w:eastAsia="Times New Roman"/>
                <w:sz w:val="20"/>
                <w:szCs w:val="20"/>
              </w:rPr>
            </w:pPr>
            <w:r>
              <w:rPr>
                <w:rFonts w:eastAsia="Times New Roman"/>
                <w:sz w:val="20"/>
                <w:szCs w:val="20"/>
              </w:rPr>
              <w:t>(4,550</w:t>
            </w:r>
          </w:p>
        </w:tc>
        <w:tc>
          <w:tcPr>
            <w:tcW w:w="0" w:type="auto"/>
            <w:shd w:val="clear" w:color="auto" w:fill="FFFFFF"/>
            <w:vAlign w:val="bottom"/>
            <w:hideMark/>
          </w:tcPr>
          <w:p w14:paraId="0F067BC2" w14:textId="77777777" w:rsidR="00000000" w:rsidRDefault="001826C1">
            <w:pPr>
              <w:rPr>
                <w:rFonts w:eastAsia="Times New Roman"/>
                <w:sz w:val="20"/>
                <w:szCs w:val="20"/>
              </w:rPr>
            </w:pPr>
            <w:r>
              <w:rPr>
                <w:rFonts w:eastAsia="Times New Roman"/>
                <w:sz w:val="20"/>
                <w:szCs w:val="20"/>
              </w:rPr>
              <w:t>)</w:t>
            </w:r>
          </w:p>
        </w:tc>
      </w:tr>
      <w:tr w:rsidR="00000000" w14:paraId="111C57FE" w14:textId="77777777">
        <w:tc>
          <w:tcPr>
            <w:tcW w:w="0" w:type="auto"/>
            <w:shd w:val="clear" w:color="auto" w:fill="CCEEFF"/>
            <w:tcMar>
              <w:top w:w="0" w:type="dxa"/>
              <w:left w:w="200" w:type="dxa"/>
              <w:bottom w:w="30" w:type="dxa"/>
              <w:right w:w="0" w:type="dxa"/>
            </w:tcMar>
            <w:vAlign w:val="bottom"/>
            <w:hideMark/>
          </w:tcPr>
          <w:p w14:paraId="09BA8133" w14:textId="77777777" w:rsidR="00000000" w:rsidRDefault="001826C1">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52FB3B1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160E9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3968CD" w14:textId="77777777" w:rsidR="00000000" w:rsidRDefault="001826C1">
            <w:pPr>
              <w:jc w:val="right"/>
              <w:rPr>
                <w:rFonts w:eastAsia="Times New Roman"/>
                <w:sz w:val="20"/>
                <w:szCs w:val="20"/>
              </w:rPr>
            </w:pPr>
            <w:r>
              <w:rPr>
                <w:rFonts w:eastAsia="Times New Roman"/>
                <w:sz w:val="20"/>
                <w:szCs w:val="20"/>
              </w:rPr>
              <w:t>193</w:t>
            </w:r>
          </w:p>
        </w:tc>
        <w:tc>
          <w:tcPr>
            <w:tcW w:w="0" w:type="auto"/>
            <w:shd w:val="clear" w:color="auto" w:fill="CCEEFF"/>
            <w:tcMar>
              <w:top w:w="0" w:type="dxa"/>
              <w:left w:w="0" w:type="dxa"/>
              <w:bottom w:w="30" w:type="dxa"/>
              <w:right w:w="0" w:type="dxa"/>
            </w:tcMar>
            <w:vAlign w:val="bottom"/>
            <w:hideMark/>
          </w:tcPr>
          <w:p w14:paraId="7D766D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342206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E1EE5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81D1DB" w14:textId="77777777" w:rsidR="00000000" w:rsidRDefault="001826C1">
            <w:pPr>
              <w:jc w:val="right"/>
              <w:rPr>
                <w:rFonts w:eastAsia="Times New Roman"/>
                <w:sz w:val="20"/>
                <w:szCs w:val="20"/>
              </w:rPr>
            </w:pPr>
            <w:r>
              <w:rPr>
                <w:rFonts w:eastAsia="Times New Roman"/>
                <w:sz w:val="20"/>
                <w:szCs w:val="20"/>
              </w:rPr>
              <w:t>(157</w:t>
            </w:r>
          </w:p>
        </w:tc>
        <w:tc>
          <w:tcPr>
            <w:tcW w:w="0" w:type="auto"/>
            <w:shd w:val="clear" w:color="auto" w:fill="CCEEFF"/>
            <w:tcMar>
              <w:top w:w="0" w:type="dxa"/>
              <w:left w:w="0" w:type="dxa"/>
              <w:bottom w:w="30" w:type="dxa"/>
              <w:right w:w="0" w:type="dxa"/>
            </w:tcMar>
            <w:vAlign w:val="bottom"/>
            <w:hideMark/>
          </w:tcPr>
          <w:p w14:paraId="175C8C43"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47DA7A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39680A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D324BE" w14:textId="77777777" w:rsidR="00000000" w:rsidRDefault="001826C1">
            <w:pPr>
              <w:jc w:val="right"/>
              <w:rPr>
                <w:rFonts w:eastAsia="Times New Roman"/>
                <w:sz w:val="20"/>
                <w:szCs w:val="20"/>
              </w:rPr>
            </w:pPr>
            <w:r>
              <w:rPr>
                <w:rFonts w:eastAsia="Times New Roman"/>
                <w:sz w:val="20"/>
                <w:szCs w:val="20"/>
              </w:rPr>
              <w:t>68</w:t>
            </w:r>
          </w:p>
        </w:tc>
        <w:tc>
          <w:tcPr>
            <w:tcW w:w="0" w:type="auto"/>
            <w:shd w:val="clear" w:color="auto" w:fill="CCEEFF"/>
            <w:tcMar>
              <w:top w:w="0" w:type="dxa"/>
              <w:left w:w="0" w:type="dxa"/>
              <w:bottom w:w="30" w:type="dxa"/>
              <w:right w:w="0" w:type="dxa"/>
            </w:tcMar>
            <w:vAlign w:val="bottom"/>
            <w:hideMark/>
          </w:tcPr>
          <w:p w14:paraId="12357A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8A35C6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E1CE4D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583C487" w14:textId="77777777" w:rsidR="00000000" w:rsidRDefault="001826C1">
            <w:pPr>
              <w:jc w:val="right"/>
              <w:rPr>
                <w:rFonts w:eastAsia="Times New Roman"/>
                <w:sz w:val="20"/>
                <w:szCs w:val="20"/>
              </w:rPr>
            </w:pPr>
            <w:r>
              <w:rPr>
                <w:rFonts w:eastAsia="Times New Roman"/>
                <w:sz w:val="20"/>
                <w:szCs w:val="20"/>
              </w:rPr>
              <w:t>197</w:t>
            </w:r>
          </w:p>
        </w:tc>
        <w:tc>
          <w:tcPr>
            <w:tcW w:w="0" w:type="auto"/>
            <w:shd w:val="clear" w:color="auto" w:fill="CCEEFF"/>
            <w:tcMar>
              <w:top w:w="0" w:type="dxa"/>
              <w:left w:w="0" w:type="dxa"/>
              <w:bottom w:w="30" w:type="dxa"/>
              <w:right w:w="0" w:type="dxa"/>
            </w:tcMar>
            <w:vAlign w:val="bottom"/>
            <w:hideMark/>
          </w:tcPr>
          <w:p w14:paraId="3B1740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60946A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E80EE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9030B2" w14:textId="77777777" w:rsidR="00000000" w:rsidRDefault="001826C1">
            <w:pPr>
              <w:jc w:val="right"/>
              <w:rPr>
                <w:rFonts w:eastAsia="Times New Roman"/>
                <w:sz w:val="20"/>
                <w:szCs w:val="20"/>
              </w:rPr>
            </w:pPr>
            <w:r>
              <w:rPr>
                <w:rFonts w:eastAsia="Times New Roman"/>
                <w:sz w:val="20"/>
                <w:szCs w:val="20"/>
              </w:rPr>
              <w:t>138</w:t>
            </w:r>
          </w:p>
        </w:tc>
        <w:tc>
          <w:tcPr>
            <w:tcW w:w="0" w:type="auto"/>
            <w:shd w:val="clear" w:color="auto" w:fill="CCEEFF"/>
            <w:tcMar>
              <w:top w:w="0" w:type="dxa"/>
              <w:left w:w="0" w:type="dxa"/>
              <w:bottom w:w="30" w:type="dxa"/>
              <w:right w:w="0" w:type="dxa"/>
            </w:tcMar>
            <w:vAlign w:val="bottom"/>
            <w:hideMark/>
          </w:tcPr>
          <w:p w14:paraId="7FA8FDC4" w14:textId="77777777" w:rsidR="00000000" w:rsidRDefault="001826C1">
            <w:pPr>
              <w:rPr>
                <w:rFonts w:eastAsia="Times New Roman"/>
                <w:sz w:val="20"/>
                <w:szCs w:val="20"/>
              </w:rPr>
            </w:pPr>
            <w:r>
              <w:rPr>
                <w:rFonts w:eastAsia="Times New Roman"/>
                <w:sz w:val="20"/>
                <w:szCs w:val="20"/>
              </w:rPr>
              <w:t> </w:t>
            </w:r>
          </w:p>
        </w:tc>
      </w:tr>
      <w:tr w:rsidR="00000000" w14:paraId="4FD4CCCD" w14:textId="77777777">
        <w:tc>
          <w:tcPr>
            <w:tcW w:w="0" w:type="auto"/>
            <w:shd w:val="clear" w:color="auto" w:fill="FFFFFF"/>
            <w:tcMar>
              <w:top w:w="0" w:type="dxa"/>
              <w:left w:w="400" w:type="dxa"/>
              <w:bottom w:w="50" w:type="dxa"/>
              <w:right w:w="0" w:type="dxa"/>
            </w:tcMar>
            <w:vAlign w:val="bottom"/>
            <w:hideMark/>
          </w:tcPr>
          <w:p w14:paraId="076874A2" w14:textId="77777777" w:rsidR="00000000" w:rsidRDefault="001826C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4D4F17A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E4B79B2"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088908E" w14:textId="77777777" w:rsidR="00000000" w:rsidRDefault="001826C1">
            <w:pPr>
              <w:jc w:val="right"/>
              <w:rPr>
                <w:rFonts w:eastAsia="Times New Roman"/>
                <w:sz w:val="20"/>
                <w:szCs w:val="20"/>
              </w:rPr>
            </w:pPr>
            <w:r>
              <w:rPr>
                <w:rFonts w:eastAsia="Times New Roman"/>
                <w:sz w:val="20"/>
                <w:szCs w:val="20"/>
              </w:rPr>
              <w:t>(872</w:t>
            </w:r>
          </w:p>
        </w:tc>
        <w:tc>
          <w:tcPr>
            <w:tcW w:w="0" w:type="auto"/>
            <w:shd w:val="clear" w:color="auto" w:fill="FFFFFF"/>
            <w:tcMar>
              <w:top w:w="0" w:type="dxa"/>
              <w:left w:w="0" w:type="dxa"/>
              <w:bottom w:w="50" w:type="dxa"/>
              <w:right w:w="0" w:type="dxa"/>
            </w:tcMar>
            <w:vAlign w:val="bottom"/>
            <w:hideMark/>
          </w:tcPr>
          <w:p w14:paraId="721E913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9B4FD70"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F6B763F"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8A43071" w14:textId="77777777" w:rsidR="00000000" w:rsidRDefault="001826C1">
            <w:pPr>
              <w:jc w:val="right"/>
              <w:rPr>
                <w:rFonts w:eastAsia="Times New Roman"/>
                <w:sz w:val="20"/>
                <w:szCs w:val="20"/>
              </w:rPr>
            </w:pPr>
            <w:r>
              <w:rPr>
                <w:rFonts w:eastAsia="Times New Roman"/>
                <w:sz w:val="20"/>
                <w:szCs w:val="20"/>
              </w:rPr>
              <w:t>(2,138</w:t>
            </w:r>
          </w:p>
        </w:tc>
        <w:tc>
          <w:tcPr>
            <w:tcW w:w="0" w:type="auto"/>
            <w:shd w:val="clear" w:color="auto" w:fill="FFFFFF"/>
            <w:tcMar>
              <w:top w:w="0" w:type="dxa"/>
              <w:left w:w="0" w:type="dxa"/>
              <w:bottom w:w="50" w:type="dxa"/>
              <w:right w:w="0" w:type="dxa"/>
            </w:tcMar>
            <w:vAlign w:val="bottom"/>
            <w:hideMark/>
          </w:tcPr>
          <w:p w14:paraId="7DE34BEB"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3E473A7"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E359C1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9B30B8F" w14:textId="77777777" w:rsidR="00000000" w:rsidRDefault="001826C1">
            <w:pPr>
              <w:jc w:val="right"/>
              <w:rPr>
                <w:rFonts w:eastAsia="Times New Roman"/>
                <w:sz w:val="20"/>
                <w:szCs w:val="20"/>
              </w:rPr>
            </w:pPr>
            <w:r>
              <w:rPr>
                <w:rFonts w:eastAsia="Times New Roman"/>
                <w:sz w:val="20"/>
                <w:szCs w:val="20"/>
              </w:rPr>
              <w:t>(5,565</w:t>
            </w:r>
          </w:p>
        </w:tc>
        <w:tc>
          <w:tcPr>
            <w:tcW w:w="0" w:type="auto"/>
            <w:shd w:val="clear" w:color="auto" w:fill="FFFFFF"/>
            <w:tcMar>
              <w:top w:w="0" w:type="dxa"/>
              <w:left w:w="0" w:type="dxa"/>
              <w:bottom w:w="50" w:type="dxa"/>
              <w:right w:w="0" w:type="dxa"/>
            </w:tcMar>
            <w:vAlign w:val="bottom"/>
            <w:hideMark/>
          </w:tcPr>
          <w:p w14:paraId="54CF2C90"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AED7252"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2477DB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BAFC694" w14:textId="77777777" w:rsidR="00000000" w:rsidRDefault="001826C1">
            <w:pPr>
              <w:jc w:val="right"/>
              <w:rPr>
                <w:rFonts w:eastAsia="Times New Roman"/>
                <w:sz w:val="20"/>
                <w:szCs w:val="20"/>
              </w:rPr>
            </w:pPr>
            <w:r>
              <w:rPr>
                <w:rFonts w:eastAsia="Times New Roman"/>
                <w:sz w:val="20"/>
                <w:szCs w:val="20"/>
              </w:rPr>
              <w:t>(8,797</w:t>
            </w:r>
          </w:p>
        </w:tc>
        <w:tc>
          <w:tcPr>
            <w:tcW w:w="0" w:type="auto"/>
            <w:shd w:val="clear" w:color="auto" w:fill="FFFFFF"/>
            <w:tcMar>
              <w:top w:w="0" w:type="dxa"/>
              <w:left w:w="0" w:type="dxa"/>
              <w:bottom w:w="50" w:type="dxa"/>
              <w:right w:w="0" w:type="dxa"/>
            </w:tcMar>
            <w:vAlign w:val="bottom"/>
            <w:hideMark/>
          </w:tcPr>
          <w:p w14:paraId="6161EC9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4BF1C8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2B52FB2"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BF3874B" w14:textId="77777777" w:rsidR="00000000" w:rsidRDefault="001826C1">
            <w:pPr>
              <w:jc w:val="right"/>
              <w:rPr>
                <w:rFonts w:eastAsia="Times New Roman"/>
                <w:sz w:val="20"/>
                <w:szCs w:val="20"/>
              </w:rPr>
            </w:pPr>
            <w:r>
              <w:rPr>
                <w:rFonts w:eastAsia="Times New Roman"/>
                <w:sz w:val="20"/>
                <w:szCs w:val="20"/>
              </w:rPr>
              <w:t>(4,688</w:t>
            </w:r>
          </w:p>
        </w:tc>
        <w:tc>
          <w:tcPr>
            <w:tcW w:w="0" w:type="auto"/>
            <w:shd w:val="clear" w:color="auto" w:fill="FFFFFF"/>
            <w:tcMar>
              <w:top w:w="0" w:type="dxa"/>
              <w:left w:w="0" w:type="dxa"/>
              <w:bottom w:w="50" w:type="dxa"/>
              <w:right w:w="0" w:type="dxa"/>
            </w:tcMar>
            <w:vAlign w:val="bottom"/>
            <w:hideMark/>
          </w:tcPr>
          <w:p w14:paraId="789A3AF5" w14:textId="77777777" w:rsidR="00000000" w:rsidRDefault="001826C1">
            <w:pPr>
              <w:rPr>
                <w:rFonts w:eastAsia="Times New Roman"/>
                <w:sz w:val="20"/>
                <w:szCs w:val="20"/>
              </w:rPr>
            </w:pPr>
            <w:r>
              <w:rPr>
                <w:rFonts w:eastAsia="Times New Roman"/>
                <w:sz w:val="20"/>
                <w:szCs w:val="20"/>
              </w:rPr>
              <w:t>)</w:t>
            </w:r>
          </w:p>
        </w:tc>
      </w:tr>
      <w:tr w:rsidR="00000000" w14:paraId="4CD88100" w14:textId="77777777">
        <w:tc>
          <w:tcPr>
            <w:tcW w:w="0" w:type="auto"/>
            <w:shd w:val="clear" w:color="auto" w:fill="CCEEFF"/>
            <w:tcMar>
              <w:top w:w="0" w:type="dxa"/>
              <w:left w:w="400" w:type="dxa"/>
              <w:bottom w:w="30" w:type="dxa"/>
              <w:right w:w="0" w:type="dxa"/>
            </w:tcMar>
            <w:vAlign w:val="bottom"/>
            <w:hideMark/>
          </w:tcPr>
          <w:p w14:paraId="31C1C1CB" w14:textId="77777777" w:rsidR="00000000" w:rsidRDefault="001826C1">
            <w:pPr>
              <w:rPr>
                <w:rFonts w:eastAsia="Times New Roman"/>
                <w:sz w:val="20"/>
                <w:szCs w:val="20"/>
              </w:rPr>
            </w:pPr>
            <w:r>
              <w:rPr>
                <w:rFonts w:eastAsia="Times New Roman"/>
                <w:sz w:val="20"/>
                <w:szCs w:val="20"/>
              </w:rPr>
              <w:t>Preferred stock dividend</w:t>
            </w:r>
          </w:p>
        </w:tc>
        <w:tc>
          <w:tcPr>
            <w:tcW w:w="0" w:type="auto"/>
            <w:shd w:val="clear" w:color="auto" w:fill="CCEEFF"/>
            <w:tcMar>
              <w:top w:w="0" w:type="dxa"/>
              <w:left w:w="0" w:type="dxa"/>
              <w:bottom w:w="30" w:type="dxa"/>
              <w:right w:w="0" w:type="dxa"/>
            </w:tcMar>
            <w:vAlign w:val="bottom"/>
            <w:hideMark/>
          </w:tcPr>
          <w:p w14:paraId="7134631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CB054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49597F4" w14:textId="77777777" w:rsidR="00000000" w:rsidRDefault="001826C1">
            <w:pPr>
              <w:jc w:val="right"/>
              <w:rPr>
                <w:rFonts w:eastAsia="Times New Roman"/>
                <w:sz w:val="20"/>
                <w:szCs w:val="20"/>
              </w:rPr>
            </w:pPr>
            <w:r>
              <w:rPr>
                <w:rFonts w:eastAsia="Times New Roman"/>
                <w:sz w:val="20"/>
                <w:szCs w:val="20"/>
              </w:rPr>
              <w:t>6,386</w:t>
            </w:r>
          </w:p>
        </w:tc>
        <w:tc>
          <w:tcPr>
            <w:tcW w:w="0" w:type="auto"/>
            <w:shd w:val="clear" w:color="auto" w:fill="CCEEFF"/>
            <w:tcMar>
              <w:top w:w="0" w:type="dxa"/>
              <w:left w:w="0" w:type="dxa"/>
              <w:bottom w:w="30" w:type="dxa"/>
              <w:right w:w="0" w:type="dxa"/>
            </w:tcMar>
            <w:vAlign w:val="bottom"/>
            <w:hideMark/>
          </w:tcPr>
          <w:p w14:paraId="59F369D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A2F89A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BFFEB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9B9DC7" w14:textId="77777777" w:rsidR="00000000" w:rsidRDefault="001826C1">
            <w:pPr>
              <w:jc w:val="right"/>
              <w:rPr>
                <w:rFonts w:eastAsia="Times New Roman"/>
                <w:sz w:val="20"/>
                <w:szCs w:val="20"/>
              </w:rPr>
            </w:pPr>
            <w:r>
              <w:rPr>
                <w:rFonts w:eastAsia="Times New Roman"/>
                <w:sz w:val="20"/>
                <w:szCs w:val="20"/>
              </w:rPr>
              <w:t>4,824</w:t>
            </w:r>
          </w:p>
        </w:tc>
        <w:tc>
          <w:tcPr>
            <w:tcW w:w="0" w:type="auto"/>
            <w:shd w:val="clear" w:color="auto" w:fill="CCEEFF"/>
            <w:tcMar>
              <w:top w:w="0" w:type="dxa"/>
              <w:left w:w="0" w:type="dxa"/>
              <w:bottom w:w="30" w:type="dxa"/>
              <w:right w:w="0" w:type="dxa"/>
            </w:tcMar>
            <w:vAlign w:val="bottom"/>
            <w:hideMark/>
          </w:tcPr>
          <w:p w14:paraId="6900B95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BD2A3C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E2087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C6AE09F" w14:textId="77777777" w:rsidR="00000000" w:rsidRDefault="001826C1">
            <w:pPr>
              <w:jc w:val="right"/>
              <w:rPr>
                <w:rFonts w:eastAsia="Times New Roman"/>
                <w:sz w:val="20"/>
                <w:szCs w:val="20"/>
              </w:rPr>
            </w:pPr>
            <w:r>
              <w:rPr>
                <w:rFonts w:eastAsia="Times New Roman"/>
                <w:sz w:val="20"/>
                <w:szCs w:val="20"/>
              </w:rPr>
              <w:t>2,030</w:t>
            </w:r>
          </w:p>
        </w:tc>
        <w:tc>
          <w:tcPr>
            <w:tcW w:w="0" w:type="auto"/>
            <w:shd w:val="clear" w:color="auto" w:fill="CCEEFF"/>
            <w:tcMar>
              <w:top w:w="0" w:type="dxa"/>
              <w:left w:w="0" w:type="dxa"/>
              <w:bottom w:w="30" w:type="dxa"/>
              <w:right w:w="0" w:type="dxa"/>
            </w:tcMar>
            <w:vAlign w:val="bottom"/>
            <w:hideMark/>
          </w:tcPr>
          <w:p w14:paraId="7B37FA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D83403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F44615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581AA2" w14:textId="77777777" w:rsidR="00000000" w:rsidRDefault="001826C1">
            <w:pPr>
              <w:jc w:val="right"/>
              <w:rPr>
                <w:rFonts w:eastAsia="Times New Roman"/>
                <w:sz w:val="20"/>
                <w:szCs w:val="20"/>
              </w:rPr>
            </w:pPr>
            <w:r>
              <w:rPr>
                <w:rFonts w:eastAsia="Times New Roman"/>
                <w:sz w:val="20"/>
                <w:szCs w:val="20"/>
              </w:rPr>
              <w:t>753</w:t>
            </w:r>
          </w:p>
        </w:tc>
        <w:tc>
          <w:tcPr>
            <w:tcW w:w="0" w:type="auto"/>
            <w:shd w:val="clear" w:color="auto" w:fill="CCEEFF"/>
            <w:tcMar>
              <w:top w:w="0" w:type="dxa"/>
              <w:left w:w="0" w:type="dxa"/>
              <w:bottom w:w="30" w:type="dxa"/>
              <w:right w:w="0" w:type="dxa"/>
            </w:tcMar>
            <w:vAlign w:val="bottom"/>
            <w:hideMark/>
          </w:tcPr>
          <w:p w14:paraId="580277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1A6514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8A02D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9CB6EC" w14:textId="77777777" w:rsidR="00000000" w:rsidRDefault="001826C1">
            <w:pPr>
              <w:jc w:val="right"/>
              <w:rPr>
                <w:rFonts w:eastAsia="Times New Roman"/>
                <w:sz w:val="20"/>
                <w:szCs w:val="20"/>
              </w:rPr>
            </w:pPr>
            <w:r>
              <w:rPr>
                <w:rFonts w:eastAsia="Times New Roman"/>
                <w:sz w:val="20"/>
                <w:szCs w:val="20"/>
              </w:rPr>
              <w:t>207</w:t>
            </w:r>
          </w:p>
        </w:tc>
        <w:tc>
          <w:tcPr>
            <w:tcW w:w="0" w:type="auto"/>
            <w:shd w:val="clear" w:color="auto" w:fill="CCEEFF"/>
            <w:tcMar>
              <w:top w:w="0" w:type="dxa"/>
              <w:left w:w="0" w:type="dxa"/>
              <w:bottom w:w="30" w:type="dxa"/>
              <w:right w:w="0" w:type="dxa"/>
            </w:tcMar>
            <w:vAlign w:val="bottom"/>
            <w:hideMark/>
          </w:tcPr>
          <w:p w14:paraId="50223F05" w14:textId="77777777" w:rsidR="00000000" w:rsidRDefault="001826C1">
            <w:pPr>
              <w:rPr>
                <w:rFonts w:eastAsia="Times New Roman"/>
                <w:sz w:val="20"/>
                <w:szCs w:val="20"/>
              </w:rPr>
            </w:pPr>
            <w:r>
              <w:rPr>
                <w:rFonts w:eastAsia="Times New Roman"/>
                <w:sz w:val="20"/>
                <w:szCs w:val="20"/>
              </w:rPr>
              <w:t> </w:t>
            </w:r>
          </w:p>
        </w:tc>
      </w:tr>
      <w:tr w:rsidR="00000000" w14:paraId="0224A310" w14:textId="77777777">
        <w:tc>
          <w:tcPr>
            <w:tcW w:w="0" w:type="auto"/>
            <w:shd w:val="clear" w:color="auto" w:fill="FFFFFF"/>
            <w:tcMar>
              <w:top w:w="0" w:type="dxa"/>
              <w:left w:w="400" w:type="dxa"/>
              <w:bottom w:w="50" w:type="dxa"/>
              <w:right w:w="0" w:type="dxa"/>
            </w:tcMar>
            <w:vAlign w:val="bottom"/>
            <w:hideMark/>
          </w:tcPr>
          <w:p w14:paraId="28D9C334" w14:textId="77777777" w:rsidR="00000000" w:rsidRDefault="001826C1">
            <w:pPr>
              <w:rPr>
                <w:rFonts w:eastAsia="Times New Roman"/>
                <w:sz w:val="20"/>
                <w:szCs w:val="20"/>
              </w:rPr>
            </w:pPr>
            <w:r>
              <w:rPr>
                <w:rFonts w:eastAsia="Times New Roman"/>
                <w:sz w:val="20"/>
                <w:szCs w:val="20"/>
              </w:rPr>
              <w:t>Net loss attributable to common shareholders</w:t>
            </w:r>
          </w:p>
        </w:tc>
        <w:tc>
          <w:tcPr>
            <w:tcW w:w="0" w:type="auto"/>
            <w:shd w:val="clear" w:color="auto" w:fill="FFFFFF"/>
            <w:tcMar>
              <w:top w:w="0" w:type="dxa"/>
              <w:left w:w="0" w:type="dxa"/>
              <w:bottom w:w="50" w:type="dxa"/>
              <w:right w:w="0" w:type="dxa"/>
            </w:tcMar>
            <w:vAlign w:val="bottom"/>
            <w:hideMark/>
          </w:tcPr>
          <w:p w14:paraId="45227270"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58D16A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0AA7742" w14:textId="77777777" w:rsidR="00000000" w:rsidRDefault="001826C1">
            <w:pPr>
              <w:jc w:val="right"/>
              <w:rPr>
                <w:rFonts w:eastAsia="Times New Roman"/>
                <w:sz w:val="20"/>
                <w:szCs w:val="20"/>
              </w:rPr>
            </w:pPr>
            <w:r>
              <w:rPr>
                <w:rFonts w:eastAsia="Times New Roman"/>
                <w:sz w:val="20"/>
                <w:szCs w:val="20"/>
              </w:rPr>
              <w:t>(7,258</w:t>
            </w:r>
          </w:p>
        </w:tc>
        <w:tc>
          <w:tcPr>
            <w:tcW w:w="0" w:type="auto"/>
            <w:shd w:val="clear" w:color="auto" w:fill="FFFFFF"/>
            <w:tcMar>
              <w:top w:w="0" w:type="dxa"/>
              <w:left w:w="0" w:type="dxa"/>
              <w:bottom w:w="50" w:type="dxa"/>
              <w:right w:w="0" w:type="dxa"/>
            </w:tcMar>
            <w:vAlign w:val="bottom"/>
            <w:hideMark/>
          </w:tcPr>
          <w:p w14:paraId="46ADE51C"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83B3D9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3B76CB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ED2FA5B" w14:textId="77777777" w:rsidR="00000000" w:rsidRDefault="001826C1">
            <w:pPr>
              <w:jc w:val="right"/>
              <w:rPr>
                <w:rFonts w:eastAsia="Times New Roman"/>
                <w:sz w:val="20"/>
                <w:szCs w:val="20"/>
              </w:rPr>
            </w:pPr>
            <w:r>
              <w:rPr>
                <w:rFonts w:eastAsia="Times New Roman"/>
                <w:sz w:val="20"/>
                <w:szCs w:val="20"/>
              </w:rPr>
              <w:t>(6,962</w:t>
            </w:r>
          </w:p>
        </w:tc>
        <w:tc>
          <w:tcPr>
            <w:tcW w:w="0" w:type="auto"/>
            <w:shd w:val="clear" w:color="auto" w:fill="FFFFFF"/>
            <w:tcMar>
              <w:top w:w="0" w:type="dxa"/>
              <w:left w:w="0" w:type="dxa"/>
              <w:bottom w:w="50" w:type="dxa"/>
              <w:right w:w="0" w:type="dxa"/>
            </w:tcMar>
            <w:vAlign w:val="bottom"/>
            <w:hideMark/>
          </w:tcPr>
          <w:p w14:paraId="1EDB4649"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5D240E1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B3DBC08"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A636EC7" w14:textId="77777777" w:rsidR="00000000" w:rsidRDefault="001826C1">
            <w:pPr>
              <w:jc w:val="right"/>
              <w:rPr>
                <w:rFonts w:eastAsia="Times New Roman"/>
                <w:sz w:val="20"/>
                <w:szCs w:val="20"/>
              </w:rPr>
            </w:pPr>
            <w:r>
              <w:rPr>
                <w:rFonts w:eastAsia="Times New Roman"/>
                <w:sz w:val="20"/>
                <w:szCs w:val="20"/>
              </w:rPr>
              <w:t>(7,595</w:t>
            </w:r>
          </w:p>
        </w:tc>
        <w:tc>
          <w:tcPr>
            <w:tcW w:w="0" w:type="auto"/>
            <w:shd w:val="clear" w:color="auto" w:fill="FFFFFF"/>
            <w:tcMar>
              <w:top w:w="0" w:type="dxa"/>
              <w:left w:w="0" w:type="dxa"/>
              <w:bottom w:w="50" w:type="dxa"/>
              <w:right w:w="0" w:type="dxa"/>
            </w:tcMar>
            <w:vAlign w:val="bottom"/>
            <w:hideMark/>
          </w:tcPr>
          <w:p w14:paraId="739D8309"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CB8D9B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A844B0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03ED210" w14:textId="77777777" w:rsidR="00000000" w:rsidRDefault="001826C1">
            <w:pPr>
              <w:jc w:val="right"/>
              <w:rPr>
                <w:rFonts w:eastAsia="Times New Roman"/>
                <w:sz w:val="20"/>
                <w:szCs w:val="20"/>
              </w:rPr>
            </w:pPr>
            <w:r>
              <w:rPr>
                <w:rFonts w:eastAsia="Times New Roman"/>
                <w:sz w:val="20"/>
                <w:szCs w:val="20"/>
              </w:rPr>
              <w:t>(9,550</w:t>
            </w:r>
          </w:p>
        </w:tc>
        <w:tc>
          <w:tcPr>
            <w:tcW w:w="0" w:type="auto"/>
            <w:shd w:val="clear" w:color="auto" w:fill="FFFFFF"/>
            <w:tcMar>
              <w:top w:w="0" w:type="dxa"/>
              <w:left w:w="0" w:type="dxa"/>
              <w:bottom w:w="50" w:type="dxa"/>
              <w:right w:w="0" w:type="dxa"/>
            </w:tcMar>
            <w:vAlign w:val="bottom"/>
            <w:hideMark/>
          </w:tcPr>
          <w:p w14:paraId="250D8216"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2444A6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0E7250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E84BF63" w14:textId="77777777" w:rsidR="00000000" w:rsidRDefault="001826C1">
            <w:pPr>
              <w:jc w:val="right"/>
              <w:rPr>
                <w:rFonts w:eastAsia="Times New Roman"/>
                <w:sz w:val="20"/>
                <w:szCs w:val="20"/>
              </w:rPr>
            </w:pPr>
            <w:r>
              <w:rPr>
                <w:rFonts w:eastAsia="Times New Roman"/>
                <w:sz w:val="20"/>
                <w:szCs w:val="20"/>
              </w:rPr>
              <w:t>(4,895</w:t>
            </w:r>
          </w:p>
        </w:tc>
        <w:tc>
          <w:tcPr>
            <w:tcW w:w="0" w:type="auto"/>
            <w:shd w:val="clear" w:color="auto" w:fill="FFFFFF"/>
            <w:tcMar>
              <w:top w:w="0" w:type="dxa"/>
              <w:left w:w="0" w:type="dxa"/>
              <w:bottom w:w="50" w:type="dxa"/>
              <w:right w:w="0" w:type="dxa"/>
            </w:tcMar>
            <w:vAlign w:val="bottom"/>
            <w:hideMark/>
          </w:tcPr>
          <w:p w14:paraId="65AEE8C4" w14:textId="77777777" w:rsidR="00000000" w:rsidRDefault="001826C1">
            <w:pPr>
              <w:rPr>
                <w:rFonts w:eastAsia="Times New Roman"/>
                <w:sz w:val="20"/>
                <w:szCs w:val="20"/>
              </w:rPr>
            </w:pPr>
            <w:r>
              <w:rPr>
                <w:rFonts w:eastAsia="Times New Roman"/>
                <w:sz w:val="20"/>
                <w:szCs w:val="20"/>
              </w:rPr>
              <w:t>)</w:t>
            </w:r>
          </w:p>
        </w:tc>
      </w:tr>
      <w:tr w:rsidR="00000000" w14:paraId="205043E3" w14:textId="77777777">
        <w:tc>
          <w:tcPr>
            <w:tcW w:w="0" w:type="auto"/>
            <w:shd w:val="clear" w:color="auto" w:fill="CCEEFF"/>
            <w:tcMar>
              <w:top w:w="0" w:type="dxa"/>
              <w:left w:w="200" w:type="dxa"/>
              <w:bottom w:w="0" w:type="dxa"/>
              <w:right w:w="0" w:type="dxa"/>
            </w:tcMar>
            <w:vAlign w:val="bottom"/>
            <w:hideMark/>
          </w:tcPr>
          <w:p w14:paraId="529059F4" w14:textId="77777777" w:rsidR="00000000" w:rsidRDefault="001826C1">
            <w:pPr>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vAlign w:val="bottom"/>
            <w:hideMark/>
          </w:tcPr>
          <w:p w14:paraId="06D7C7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1BABE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D7F81" w14:textId="77777777" w:rsidR="00000000" w:rsidRDefault="001826C1">
            <w:pPr>
              <w:jc w:val="right"/>
              <w:rPr>
                <w:rFonts w:eastAsia="Times New Roman"/>
                <w:sz w:val="20"/>
                <w:szCs w:val="20"/>
              </w:rPr>
            </w:pPr>
            <w:r>
              <w:rPr>
                <w:rFonts w:eastAsia="Times New Roman"/>
                <w:sz w:val="20"/>
                <w:szCs w:val="20"/>
              </w:rPr>
              <w:t>12,087,947</w:t>
            </w:r>
          </w:p>
        </w:tc>
        <w:tc>
          <w:tcPr>
            <w:tcW w:w="0" w:type="auto"/>
            <w:shd w:val="clear" w:color="auto" w:fill="CCEEFF"/>
            <w:vAlign w:val="bottom"/>
            <w:hideMark/>
          </w:tcPr>
          <w:p w14:paraId="4C3124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4486B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F019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15F8D5" w14:textId="77777777" w:rsidR="00000000" w:rsidRDefault="001826C1">
            <w:pPr>
              <w:jc w:val="right"/>
              <w:rPr>
                <w:rFonts w:eastAsia="Times New Roman"/>
                <w:sz w:val="20"/>
                <w:szCs w:val="20"/>
              </w:rPr>
            </w:pPr>
            <w:r>
              <w:rPr>
                <w:rFonts w:eastAsia="Times New Roman"/>
                <w:sz w:val="20"/>
                <w:szCs w:val="20"/>
              </w:rPr>
              <w:t>11,721,232</w:t>
            </w:r>
          </w:p>
        </w:tc>
        <w:tc>
          <w:tcPr>
            <w:tcW w:w="0" w:type="auto"/>
            <w:shd w:val="clear" w:color="auto" w:fill="CCEEFF"/>
            <w:vAlign w:val="bottom"/>
            <w:hideMark/>
          </w:tcPr>
          <w:p w14:paraId="5EF7EE4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7DE1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41E4E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F7BBED" w14:textId="77777777" w:rsidR="00000000" w:rsidRDefault="001826C1">
            <w:pPr>
              <w:jc w:val="right"/>
              <w:rPr>
                <w:rFonts w:eastAsia="Times New Roman"/>
                <w:sz w:val="20"/>
                <w:szCs w:val="20"/>
              </w:rPr>
            </w:pPr>
            <w:r>
              <w:rPr>
                <w:rFonts w:eastAsia="Times New Roman"/>
                <w:sz w:val="20"/>
                <w:szCs w:val="20"/>
              </w:rPr>
              <w:t>11,010,432</w:t>
            </w:r>
          </w:p>
        </w:tc>
        <w:tc>
          <w:tcPr>
            <w:tcW w:w="0" w:type="auto"/>
            <w:shd w:val="clear" w:color="auto" w:fill="CCEEFF"/>
            <w:vAlign w:val="bottom"/>
            <w:hideMark/>
          </w:tcPr>
          <w:p w14:paraId="4CF1418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6C78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5845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7F9D78" w14:textId="77777777" w:rsidR="00000000" w:rsidRDefault="001826C1">
            <w:pPr>
              <w:jc w:val="right"/>
              <w:rPr>
                <w:rFonts w:eastAsia="Times New Roman"/>
                <w:sz w:val="20"/>
                <w:szCs w:val="20"/>
              </w:rPr>
            </w:pPr>
            <w:r>
              <w:rPr>
                <w:rFonts w:eastAsia="Times New Roman"/>
                <w:sz w:val="20"/>
                <w:szCs w:val="20"/>
              </w:rPr>
              <w:t>10,036,988</w:t>
            </w:r>
          </w:p>
        </w:tc>
        <w:tc>
          <w:tcPr>
            <w:tcW w:w="0" w:type="auto"/>
            <w:shd w:val="clear" w:color="auto" w:fill="CCEEFF"/>
            <w:vAlign w:val="bottom"/>
            <w:hideMark/>
          </w:tcPr>
          <w:p w14:paraId="2DC8CE8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8CC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B6EC8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9BDD37" w14:textId="77777777" w:rsidR="00000000" w:rsidRDefault="001826C1">
            <w:pPr>
              <w:jc w:val="right"/>
              <w:rPr>
                <w:rFonts w:eastAsia="Times New Roman"/>
                <w:sz w:val="20"/>
                <w:szCs w:val="20"/>
              </w:rPr>
            </w:pPr>
            <w:r>
              <w:rPr>
                <w:rFonts w:eastAsia="Times New Roman"/>
                <w:sz w:val="20"/>
                <w:szCs w:val="20"/>
              </w:rPr>
              <w:t>9,732,806</w:t>
            </w:r>
          </w:p>
        </w:tc>
        <w:tc>
          <w:tcPr>
            <w:tcW w:w="0" w:type="auto"/>
            <w:shd w:val="clear" w:color="auto" w:fill="CCEEFF"/>
            <w:vAlign w:val="bottom"/>
            <w:hideMark/>
          </w:tcPr>
          <w:p w14:paraId="37826458" w14:textId="77777777" w:rsidR="00000000" w:rsidRDefault="001826C1">
            <w:pPr>
              <w:rPr>
                <w:rFonts w:eastAsia="Times New Roman"/>
                <w:sz w:val="20"/>
                <w:szCs w:val="20"/>
              </w:rPr>
            </w:pPr>
            <w:r>
              <w:rPr>
                <w:rFonts w:eastAsia="Times New Roman"/>
                <w:sz w:val="20"/>
                <w:szCs w:val="20"/>
              </w:rPr>
              <w:t> </w:t>
            </w:r>
          </w:p>
        </w:tc>
      </w:tr>
      <w:tr w:rsidR="00000000" w14:paraId="67773440" w14:textId="77777777">
        <w:tc>
          <w:tcPr>
            <w:tcW w:w="0" w:type="auto"/>
            <w:shd w:val="clear" w:color="auto" w:fill="FFFFFF"/>
            <w:tcMar>
              <w:top w:w="0" w:type="dxa"/>
              <w:left w:w="400" w:type="dxa"/>
              <w:bottom w:w="50" w:type="dxa"/>
              <w:right w:w="0" w:type="dxa"/>
            </w:tcMar>
            <w:vAlign w:val="bottom"/>
            <w:hideMark/>
          </w:tcPr>
          <w:p w14:paraId="42490C9E" w14:textId="77777777" w:rsidR="00000000" w:rsidRDefault="001826C1">
            <w:pPr>
              <w:rPr>
                <w:rFonts w:eastAsia="Times New Roman"/>
                <w:sz w:val="20"/>
                <w:szCs w:val="20"/>
              </w:rPr>
            </w:pPr>
            <w:r>
              <w:rPr>
                <w:rFonts w:eastAsia="Times New Roman"/>
                <w:sz w:val="20"/>
                <w:szCs w:val="20"/>
              </w:rPr>
              <w:t>Net loss per common share basic and diluted</w:t>
            </w:r>
          </w:p>
        </w:tc>
        <w:tc>
          <w:tcPr>
            <w:tcW w:w="0" w:type="auto"/>
            <w:shd w:val="clear" w:color="auto" w:fill="FFFFFF"/>
            <w:tcMar>
              <w:top w:w="0" w:type="dxa"/>
              <w:left w:w="0" w:type="dxa"/>
              <w:bottom w:w="50" w:type="dxa"/>
              <w:right w:w="0" w:type="dxa"/>
            </w:tcMar>
            <w:vAlign w:val="bottom"/>
            <w:hideMark/>
          </w:tcPr>
          <w:p w14:paraId="0775E93C"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181627C"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BAC1805" w14:textId="77777777" w:rsidR="00000000" w:rsidRDefault="001826C1">
            <w:pPr>
              <w:jc w:val="right"/>
              <w:rPr>
                <w:rFonts w:eastAsia="Times New Roman"/>
                <w:sz w:val="20"/>
                <w:szCs w:val="20"/>
              </w:rPr>
            </w:pPr>
            <w:r>
              <w:rPr>
                <w:rFonts w:eastAsia="Times New Roman"/>
                <w:sz w:val="20"/>
                <w:szCs w:val="20"/>
              </w:rPr>
              <w:t>(0.60</w:t>
            </w:r>
          </w:p>
        </w:tc>
        <w:tc>
          <w:tcPr>
            <w:tcW w:w="0" w:type="auto"/>
            <w:shd w:val="clear" w:color="auto" w:fill="FFFFFF"/>
            <w:tcMar>
              <w:top w:w="0" w:type="dxa"/>
              <w:left w:w="0" w:type="dxa"/>
              <w:bottom w:w="50" w:type="dxa"/>
              <w:right w:w="0" w:type="dxa"/>
            </w:tcMar>
            <w:vAlign w:val="bottom"/>
            <w:hideMark/>
          </w:tcPr>
          <w:p w14:paraId="44226403"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663AC0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8CB08F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024D5B5" w14:textId="77777777" w:rsidR="00000000" w:rsidRDefault="001826C1">
            <w:pPr>
              <w:jc w:val="right"/>
              <w:rPr>
                <w:rFonts w:eastAsia="Times New Roman"/>
                <w:sz w:val="20"/>
                <w:szCs w:val="20"/>
              </w:rPr>
            </w:pPr>
            <w:r>
              <w:rPr>
                <w:rFonts w:eastAsia="Times New Roman"/>
                <w:sz w:val="20"/>
                <w:szCs w:val="20"/>
              </w:rPr>
              <w:t>(0.59</w:t>
            </w:r>
          </w:p>
        </w:tc>
        <w:tc>
          <w:tcPr>
            <w:tcW w:w="0" w:type="auto"/>
            <w:shd w:val="clear" w:color="auto" w:fill="FFFFFF"/>
            <w:tcMar>
              <w:top w:w="0" w:type="dxa"/>
              <w:left w:w="0" w:type="dxa"/>
              <w:bottom w:w="50" w:type="dxa"/>
              <w:right w:w="0" w:type="dxa"/>
            </w:tcMar>
            <w:vAlign w:val="bottom"/>
            <w:hideMark/>
          </w:tcPr>
          <w:p w14:paraId="30276E00"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3B3C96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34207E6"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735E516" w14:textId="77777777" w:rsidR="00000000" w:rsidRDefault="001826C1">
            <w:pPr>
              <w:jc w:val="right"/>
              <w:rPr>
                <w:rFonts w:eastAsia="Times New Roman"/>
                <w:sz w:val="20"/>
                <w:szCs w:val="20"/>
              </w:rPr>
            </w:pPr>
            <w:r>
              <w:rPr>
                <w:rFonts w:eastAsia="Times New Roman"/>
                <w:sz w:val="20"/>
                <w:szCs w:val="20"/>
              </w:rPr>
              <w:t>(0.69</w:t>
            </w:r>
          </w:p>
        </w:tc>
        <w:tc>
          <w:tcPr>
            <w:tcW w:w="0" w:type="auto"/>
            <w:shd w:val="clear" w:color="auto" w:fill="FFFFFF"/>
            <w:tcMar>
              <w:top w:w="0" w:type="dxa"/>
              <w:left w:w="0" w:type="dxa"/>
              <w:bottom w:w="50" w:type="dxa"/>
              <w:right w:w="0" w:type="dxa"/>
            </w:tcMar>
            <w:vAlign w:val="bottom"/>
            <w:hideMark/>
          </w:tcPr>
          <w:p w14:paraId="59A2515C"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318247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03CC91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6FB76F6" w14:textId="77777777" w:rsidR="00000000" w:rsidRDefault="001826C1">
            <w:pPr>
              <w:jc w:val="right"/>
              <w:rPr>
                <w:rFonts w:eastAsia="Times New Roman"/>
                <w:sz w:val="20"/>
                <w:szCs w:val="20"/>
              </w:rPr>
            </w:pPr>
            <w:r>
              <w:rPr>
                <w:rFonts w:eastAsia="Times New Roman"/>
                <w:sz w:val="20"/>
                <w:szCs w:val="20"/>
              </w:rPr>
              <w:t>(0.95</w:t>
            </w:r>
          </w:p>
        </w:tc>
        <w:tc>
          <w:tcPr>
            <w:tcW w:w="0" w:type="auto"/>
            <w:shd w:val="clear" w:color="auto" w:fill="FFFFFF"/>
            <w:tcMar>
              <w:top w:w="0" w:type="dxa"/>
              <w:left w:w="0" w:type="dxa"/>
              <w:bottom w:w="50" w:type="dxa"/>
              <w:right w:w="0" w:type="dxa"/>
            </w:tcMar>
            <w:vAlign w:val="bottom"/>
            <w:hideMark/>
          </w:tcPr>
          <w:p w14:paraId="780F7BA7"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507B00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2F8C7D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D17985C" w14:textId="77777777" w:rsidR="00000000" w:rsidRDefault="001826C1">
            <w:pPr>
              <w:jc w:val="right"/>
              <w:rPr>
                <w:rFonts w:eastAsia="Times New Roman"/>
                <w:sz w:val="20"/>
                <w:szCs w:val="20"/>
              </w:rPr>
            </w:pPr>
            <w:r>
              <w:rPr>
                <w:rFonts w:eastAsia="Times New Roman"/>
                <w:sz w:val="20"/>
                <w:szCs w:val="20"/>
              </w:rPr>
              <w:t>(0.50</w:t>
            </w:r>
          </w:p>
        </w:tc>
        <w:tc>
          <w:tcPr>
            <w:tcW w:w="0" w:type="auto"/>
            <w:shd w:val="clear" w:color="auto" w:fill="FFFFFF"/>
            <w:tcMar>
              <w:top w:w="0" w:type="dxa"/>
              <w:left w:w="0" w:type="dxa"/>
              <w:bottom w:w="50" w:type="dxa"/>
              <w:right w:w="0" w:type="dxa"/>
            </w:tcMar>
            <w:vAlign w:val="bottom"/>
            <w:hideMark/>
          </w:tcPr>
          <w:p w14:paraId="3D3CFB08" w14:textId="77777777" w:rsidR="00000000" w:rsidRDefault="001826C1">
            <w:pPr>
              <w:rPr>
                <w:rFonts w:eastAsia="Times New Roman"/>
                <w:sz w:val="20"/>
                <w:szCs w:val="20"/>
              </w:rPr>
            </w:pPr>
            <w:r>
              <w:rPr>
                <w:rFonts w:eastAsia="Times New Roman"/>
                <w:sz w:val="20"/>
                <w:szCs w:val="20"/>
              </w:rPr>
              <w:t>)</w:t>
            </w:r>
          </w:p>
        </w:tc>
      </w:tr>
    </w:tbl>
    <w:p w14:paraId="631C6CFD"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21"/>
        <w:gridCol w:w="135"/>
        <w:gridCol w:w="100"/>
        <w:gridCol w:w="550"/>
        <w:gridCol w:w="52"/>
        <w:gridCol w:w="135"/>
        <w:gridCol w:w="100"/>
        <w:gridCol w:w="550"/>
        <w:gridCol w:w="52"/>
        <w:gridCol w:w="135"/>
        <w:gridCol w:w="100"/>
        <w:gridCol w:w="550"/>
        <w:gridCol w:w="52"/>
        <w:gridCol w:w="135"/>
        <w:gridCol w:w="100"/>
        <w:gridCol w:w="550"/>
        <w:gridCol w:w="67"/>
        <w:gridCol w:w="120"/>
        <w:gridCol w:w="100"/>
        <w:gridCol w:w="550"/>
        <w:gridCol w:w="52"/>
      </w:tblGrid>
      <w:tr w:rsidR="00000000" w14:paraId="5125DE52" w14:textId="77777777">
        <w:tc>
          <w:tcPr>
            <w:tcW w:w="0" w:type="auto"/>
            <w:tcMar>
              <w:top w:w="0" w:type="dxa"/>
              <w:left w:w="0" w:type="dxa"/>
              <w:bottom w:w="30" w:type="dxa"/>
              <w:right w:w="0" w:type="dxa"/>
            </w:tcMar>
            <w:vAlign w:val="bottom"/>
            <w:hideMark/>
          </w:tcPr>
          <w:p w14:paraId="548E1BC5" w14:textId="77777777" w:rsidR="00000000" w:rsidRDefault="001826C1">
            <w:pPr>
              <w:rPr>
                <w:rFonts w:eastAsia="Times New Roman"/>
                <w:b/>
                <w:bCs/>
                <w:sz w:val="20"/>
                <w:szCs w:val="20"/>
              </w:rPr>
            </w:pPr>
            <w:r>
              <w:rPr>
                <w:rFonts w:eastAsia="Times New Roman"/>
                <w:b/>
                <w:bCs/>
                <w:sz w:val="20"/>
                <w:szCs w:val="20"/>
              </w:rPr>
              <w:t>Consolidated Balance Sheet Data</w:t>
            </w:r>
          </w:p>
        </w:tc>
        <w:tc>
          <w:tcPr>
            <w:tcW w:w="0" w:type="auto"/>
            <w:tcMar>
              <w:top w:w="0" w:type="dxa"/>
              <w:left w:w="0" w:type="dxa"/>
              <w:bottom w:w="30" w:type="dxa"/>
              <w:right w:w="0" w:type="dxa"/>
            </w:tcMar>
            <w:vAlign w:val="bottom"/>
            <w:hideMark/>
          </w:tcPr>
          <w:p w14:paraId="6ACC4A0D" w14:textId="77777777" w:rsidR="00000000" w:rsidRDefault="001826C1">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14:paraId="3A41CDBC" w14:textId="77777777" w:rsidR="00000000" w:rsidRDefault="001826C1">
            <w:pPr>
              <w:jc w:val="center"/>
              <w:rPr>
                <w:rFonts w:eastAsia="Times New Roman"/>
                <w:b/>
                <w:bCs/>
                <w:sz w:val="20"/>
                <w:szCs w:val="20"/>
              </w:rPr>
            </w:pPr>
            <w:r>
              <w:rPr>
                <w:rFonts w:eastAsia="Times New Roman"/>
                <w:b/>
                <w:bCs/>
                <w:sz w:val="20"/>
                <w:szCs w:val="20"/>
              </w:rPr>
              <w:t>As of December 31,</w:t>
            </w:r>
          </w:p>
        </w:tc>
        <w:tc>
          <w:tcPr>
            <w:tcW w:w="0" w:type="auto"/>
            <w:tcMar>
              <w:top w:w="0" w:type="dxa"/>
              <w:left w:w="0" w:type="dxa"/>
              <w:bottom w:w="30" w:type="dxa"/>
              <w:right w:w="0" w:type="dxa"/>
            </w:tcMar>
            <w:vAlign w:val="bottom"/>
            <w:hideMark/>
          </w:tcPr>
          <w:p w14:paraId="097E6643" w14:textId="77777777" w:rsidR="00000000" w:rsidRDefault="001826C1">
            <w:pPr>
              <w:rPr>
                <w:rFonts w:eastAsia="Times New Roman"/>
                <w:b/>
                <w:bCs/>
                <w:sz w:val="20"/>
                <w:szCs w:val="20"/>
              </w:rPr>
            </w:pPr>
            <w:r>
              <w:rPr>
                <w:rFonts w:eastAsia="Times New Roman"/>
                <w:b/>
                <w:bCs/>
                <w:sz w:val="20"/>
                <w:szCs w:val="20"/>
              </w:rPr>
              <w:t> </w:t>
            </w:r>
          </w:p>
        </w:tc>
      </w:tr>
      <w:tr w:rsidR="00000000" w14:paraId="45338435" w14:textId="77777777">
        <w:tc>
          <w:tcPr>
            <w:tcW w:w="0" w:type="auto"/>
            <w:vAlign w:val="bottom"/>
            <w:hideMark/>
          </w:tcPr>
          <w:p w14:paraId="34CEE2A8"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FDA0BF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09E0C3"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500978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C28F5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D016FA4"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6B24D685"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F46948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BD6572" w14:textId="77777777" w:rsidR="00000000" w:rsidRDefault="001826C1">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14:paraId="69E9B53B"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5DA8B1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C162E4B" w14:textId="77777777" w:rsidR="00000000" w:rsidRDefault="001826C1">
            <w:pPr>
              <w:jc w:val="center"/>
              <w:rPr>
                <w:rFonts w:eastAsia="Times New Roman"/>
                <w:b/>
                <w:bCs/>
                <w:sz w:val="20"/>
                <w:szCs w:val="20"/>
              </w:rPr>
            </w:pPr>
            <w:r>
              <w:rPr>
                <w:rFonts w:eastAsia="Times New Roman"/>
                <w:b/>
                <w:bCs/>
                <w:sz w:val="20"/>
                <w:szCs w:val="20"/>
              </w:rPr>
              <w:t>2016</w:t>
            </w:r>
          </w:p>
        </w:tc>
        <w:tc>
          <w:tcPr>
            <w:tcW w:w="0" w:type="auto"/>
            <w:tcMar>
              <w:top w:w="0" w:type="dxa"/>
              <w:left w:w="0" w:type="dxa"/>
              <w:bottom w:w="30" w:type="dxa"/>
              <w:right w:w="0" w:type="dxa"/>
            </w:tcMar>
            <w:vAlign w:val="bottom"/>
            <w:hideMark/>
          </w:tcPr>
          <w:p w14:paraId="29FADDA5"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815DA1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95C3AFD" w14:textId="77777777" w:rsidR="00000000" w:rsidRDefault="001826C1">
            <w:pPr>
              <w:jc w:val="center"/>
              <w:rPr>
                <w:rFonts w:eastAsia="Times New Roman"/>
                <w:b/>
                <w:bCs/>
                <w:sz w:val="20"/>
                <w:szCs w:val="20"/>
              </w:rPr>
            </w:pPr>
            <w:r>
              <w:rPr>
                <w:rFonts w:eastAsia="Times New Roman"/>
                <w:b/>
                <w:bCs/>
                <w:sz w:val="20"/>
                <w:szCs w:val="20"/>
              </w:rPr>
              <w:t>2015</w:t>
            </w:r>
          </w:p>
        </w:tc>
        <w:tc>
          <w:tcPr>
            <w:tcW w:w="0" w:type="auto"/>
            <w:tcMar>
              <w:top w:w="0" w:type="dxa"/>
              <w:left w:w="0" w:type="dxa"/>
              <w:bottom w:w="30" w:type="dxa"/>
              <w:right w:w="0" w:type="dxa"/>
            </w:tcMar>
            <w:vAlign w:val="bottom"/>
            <w:hideMark/>
          </w:tcPr>
          <w:p w14:paraId="024FA9D8" w14:textId="77777777" w:rsidR="00000000" w:rsidRDefault="001826C1">
            <w:pPr>
              <w:rPr>
                <w:rFonts w:eastAsia="Times New Roman"/>
                <w:b/>
                <w:bCs/>
                <w:sz w:val="20"/>
                <w:szCs w:val="20"/>
              </w:rPr>
            </w:pPr>
            <w:r>
              <w:rPr>
                <w:rFonts w:eastAsia="Times New Roman"/>
                <w:b/>
                <w:bCs/>
                <w:sz w:val="20"/>
                <w:szCs w:val="20"/>
              </w:rPr>
              <w:t> </w:t>
            </w:r>
          </w:p>
        </w:tc>
      </w:tr>
      <w:tr w:rsidR="00000000" w14:paraId="070F3BBD" w14:textId="77777777">
        <w:tc>
          <w:tcPr>
            <w:tcW w:w="0" w:type="auto"/>
            <w:vAlign w:val="bottom"/>
            <w:hideMark/>
          </w:tcPr>
          <w:p w14:paraId="6463BCB2"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614AE888" w14:textId="77777777" w:rsidR="00000000" w:rsidRDefault="001826C1">
            <w:pPr>
              <w:rPr>
                <w:rFonts w:eastAsia="Times New Roman"/>
                <w:sz w:val="20"/>
                <w:szCs w:val="20"/>
              </w:rPr>
            </w:pPr>
            <w:r>
              <w:rPr>
                <w:rFonts w:eastAsia="Times New Roman"/>
                <w:sz w:val="20"/>
                <w:szCs w:val="20"/>
              </w:rPr>
              <w:t> </w:t>
            </w:r>
          </w:p>
        </w:tc>
        <w:tc>
          <w:tcPr>
            <w:tcW w:w="0" w:type="auto"/>
            <w:gridSpan w:val="18"/>
            <w:vAlign w:val="bottom"/>
            <w:hideMark/>
          </w:tcPr>
          <w:p w14:paraId="11C78A84" w14:textId="77777777" w:rsidR="00000000" w:rsidRDefault="001826C1">
            <w:pPr>
              <w:jc w:val="center"/>
              <w:rPr>
                <w:rFonts w:eastAsia="Times New Roman"/>
                <w:sz w:val="20"/>
                <w:szCs w:val="20"/>
              </w:rPr>
            </w:pPr>
            <w:r>
              <w:rPr>
                <w:rFonts w:eastAsia="Times New Roman"/>
                <w:sz w:val="20"/>
                <w:szCs w:val="20"/>
              </w:rPr>
              <w:t>($ in thousands)</w:t>
            </w:r>
          </w:p>
        </w:tc>
        <w:tc>
          <w:tcPr>
            <w:tcW w:w="0" w:type="auto"/>
            <w:vAlign w:val="bottom"/>
            <w:hideMark/>
          </w:tcPr>
          <w:p w14:paraId="2F19AD04" w14:textId="77777777" w:rsidR="00000000" w:rsidRDefault="001826C1">
            <w:pPr>
              <w:rPr>
                <w:rFonts w:eastAsia="Times New Roman"/>
                <w:sz w:val="20"/>
                <w:szCs w:val="20"/>
              </w:rPr>
            </w:pPr>
            <w:r>
              <w:rPr>
                <w:rFonts w:eastAsia="Times New Roman"/>
                <w:sz w:val="20"/>
                <w:szCs w:val="20"/>
              </w:rPr>
              <w:t> </w:t>
            </w:r>
          </w:p>
        </w:tc>
      </w:tr>
      <w:tr w:rsidR="00000000" w14:paraId="0E622773" w14:textId="77777777">
        <w:tc>
          <w:tcPr>
            <w:tcW w:w="2500" w:type="pct"/>
            <w:shd w:val="clear" w:color="auto" w:fill="CCEEFF"/>
            <w:vAlign w:val="bottom"/>
            <w:hideMark/>
          </w:tcPr>
          <w:p w14:paraId="6E73677F" w14:textId="77777777" w:rsidR="00000000" w:rsidRDefault="001826C1">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5C5668EC"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041440"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0989D862" w14:textId="77777777" w:rsidR="00000000" w:rsidRDefault="001826C1">
            <w:pPr>
              <w:jc w:val="right"/>
              <w:rPr>
                <w:rFonts w:eastAsia="Times New Roman"/>
                <w:sz w:val="20"/>
                <w:szCs w:val="20"/>
              </w:rPr>
            </w:pPr>
            <w:r>
              <w:rPr>
                <w:rFonts w:eastAsia="Times New Roman"/>
                <w:sz w:val="20"/>
                <w:szCs w:val="20"/>
              </w:rPr>
              <w:t>19,994</w:t>
            </w:r>
          </w:p>
        </w:tc>
        <w:tc>
          <w:tcPr>
            <w:tcW w:w="50" w:type="pct"/>
            <w:shd w:val="clear" w:color="auto" w:fill="CCEEFF"/>
            <w:vAlign w:val="bottom"/>
            <w:hideMark/>
          </w:tcPr>
          <w:p w14:paraId="083EE845"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061492C"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F412055"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608246C0" w14:textId="77777777" w:rsidR="00000000" w:rsidRDefault="001826C1">
            <w:pPr>
              <w:jc w:val="right"/>
              <w:rPr>
                <w:rFonts w:eastAsia="Times New Roman"/>
                <w:sz w:val="20"/>
                <w:szCs w:val="20"/>
              </w:rPr>
            </w:pPr>
            <w:r>
              <w:rPr>
                <w:rFonts w:eastAsia="Times New Roman"/>
                <w:sz w:val="20"/>
                <w:szCs w:val="20"/>
              </w:rPr>
              <w:t>14,472</w:t>
            </w:r>
          </w:p>
        </w:tc>
        <w:tc>
          <w:tcPr>
            <w:tcW w:w="50" w:type="pct"/>
            <w:shd w:val="clear" w:color="auto" w:fill="CCEEFF"/>
            <w:vAlign w:val="bottom"/>
            <w:hideMark/>
          </w:tcPr>
          <w:p w14:paraId="00E126D8"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89BDFF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EB1896"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4C1B1758" w14:textId="77777777" w:rsidR="00000000" w:rsidRDefault="001826C1">
            <w:pPr>
              <w:jc w:val="right"/>
              <w:rPr>
                <w:rFonts w:eastAsia="Times New Roman"/>
                <w:sz w:val="20"/>
                <w:szCs w:val="20"/>
              </w:rPr>
            </w:pPr>
            <w:r>
              <w:rPr>
                <w:rFonts w:eastAsia="Times New Roman"/>
                <w:sz w:val="20"/>
                <w:szCs w:val="20"/>
              </w:rPr>
              <w:t>4,362</w:t>
            </w:r>
          </w:p>
        </w:tc>
        <w:tc>
          <w:tcPr>
            <w:tcW w:w="50" w:type="pct"/>
            <w:shd w:val="clear" w:color="auto" w:fill="CCEEFF"/>
            <w:vAlign w:val="bottom"/>
            <w:hideMark/>
          </w:tcPr>
          <w:p w14:paraId="465B77B1"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E0B8A48"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C4C2D9"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2673DEBE" w14:textId="77777777" w:rsidR="00000000" w:rsidRDefault="001826C1">
            <w:pPr>
              <w:jc w:val="right"/>
              <w:rPr>
                <w:rFonts w:eastAsia="Times New Roman"/>
                <w:sz w:val="20"/>
                <w:szCs w:val="20"/>
              </w:rPr>
            </w:pPr>
            <w:r>
              <w:rPr>
                <w:rFonts w:eastAsia="Times New Roman"/>
                <w:sz w:val="20"/>
                <w:szCs w:val="20"/>
              </w:rPr>
              <w:t>3,477</w:t>
            </w:r>
          </w:p>
        </w:tc>
        <w:tc>
          <w:tcPr>
            <w:tcW w:w="50" w:type="pct"/>
            <w:shd w:val="clear" w:color="auto" w:fill="CCEEFF"/>
            <w:vAlign w:val="bottom"/>
            <w:hideMark/>
          </w:tcPr>
          <w:p w14:paraId="4634E5AE"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65C2910"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A03762"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45798C15" w14:textId="77777777" w:rsidR="00000000" w:rsidRDefault="001826C1">
            <w:pPr>
              <w:jc w:val="right"/>
              <w:rPr>
                <w:rFonts w:eastAsia="Times New Roman"/>
                <w:sz w:val="20"/>
                <w:szCs w:val="20"/>
              </w:rPr>
            </w:pPr>
            <w:r>
              <w:rPr>
                <w:rFonts w:eastAsia="Times New Roman"/>
                <w:sz w:val="20"/>
                <w:szCs w:val="20"/>
              </w:rPr>
              <w:t>8,040</w:t>
            </w:r>
          </w:p>
        </w:tc>
        <w:tc>
          <w:tcPr>
            <w:tcW w:w="50" w:type="pct"/>
            <w:shd w:val="clear" w:color="auto" w:fill="CCEEFF"/>
            <w:vAlign w:val="bottom"/>
            <w:hideMark/>
          </w:tcPr>
          <w:p w14:paraId="62FFE788" w14:textId="77777777" w:rsidR="00000000" w:rsidRDefault="001826C1">
            <w:pPr>
              <w:rPr>
                <w:rFonts w:eastAsia="Times New Roman"/>
                <w:sz w:val="20"/>
                <w:szCs w:val="20"/>
              </w:rPr>
            </w:pPr>
            <w:r>
              <w:rPr>
                <w:rFonts w:eastAsia="Times New Roman"/>
                <w:sz w:val="20"/>
                <w:szCs w:val="20"/>
              </w:rPr>
              <w:t> </w:t>
            </w:r>
          </w:p>
        </w:tc>
      </w:tr>
      <w:tr w:rsidR="00000000" w14:paraId="51781771" w14:textId="77777777">
        <w:tc>
          <w:tcPr>
            <w:tcW w:w="0" w:type="auto"/>
            <w:shd w:val="clear" w:color="auto" w:fill="FFFFFF"/>
            <w:vAlign w:val="bottom"/>
            <w:hideMark/>
          </w:tcPr>
          <w:p w14:paraId="66900E7D" w14:textId="77777777" w:rsidR="00000000" w:rsidRDefault="001826C1">
            <w:pPr>
              <w:rPr>
                <w:rFonts w:eastAsia="Times New Roman"/>
                <w:sz w:val="20"/>
                <w:szCs w:val="20"/>
              </w:rPr>
            </w:pPr>
            <w:r>
              <w:rPr>
                <w:rFonts w:eastAsia="Times New Roman"/>
                <w:sz w:val="20"/>
                <w:szCs w:val="20"/>
              </w:rPr>
              <w:t>Working capital - net (1)</w:t>
            </w:r>
          </w:p>
        </w:tc>
        <w:tc>
          <w:tcPr>
            <w:tcW w:w="0" w:type="auto"/>
            <w:shd w:val="clear" w:color="auto" w:fill="FFFFFF"/>
            <w:vAlign w:val="bottom"/>
            <w:hideMark/>
          </w:tcPr>
          <w:p w14:paraId="3F88B5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AB361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46570A" w14:textId="77777777" w:rsidR="00000000" w:rsidRDefault="001826C1">
            <w:pPr>
              <w:jc w:val="right"/>
              <w:rPr>
                <w:rFonts w:eastAsia="Times New Roman"/>
                <w:sz w:val="20"/>
                <w:szCs w:val="20"/>
              </w:rPr>
            </w:pPr>
            <w:r>
              <w:rPr>
                <w:rFonts w:eastAsia="Times New Roman"/>
                <w:sz w:val="20"/>
                <w:szCs w:val="20"/>
              </w:rPr>
              <w:t>19,824</w:t>
            </w:r>
          </w:p>
        </w:tc>
        <w:tc>
          <w:tcPr>
            <w:tcW w:w="0" w:type="auto"/>
            <w:shd w:val="clear" w:color="auto" w:fill="FFFFFF"/>
            <w:vAlign w:val="bottom"/>
            <w:hideMark/>
          </w:tcPr>
          <w:p w14:paraId="4685CFE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85D6B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8BFA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0BA704" w14:textId="77777777" w:rsidR="00000000" w:rsidRDefault="001826C1">
            <w:pPr>
              <w:jc w:val="right"/>
              <w:rPr>
                <w:rFonts w:eastAsia="Times New Roman"/>
                <w:sz w:val="20"/>
                <w:szCs w:val="20"/>
              </w:rPr>
            </w:pPr>
            <w:r>
              <w:rPr>
                <w:rFonts w:eastAsia="Times New Roman"/>
                <w:sz w:val="20"/>
                <w:szCs w:val="20"/>
              </w:rPr>
              <w:t>17,916</w:t>
            </w:r>
          </w:p>
        </w:tc>
        <w:tc>
          <w:tcPr>
            <w:tcW w:w="0" w:type="auto"/>
            <w:shd w:val="clear" w:color="auto" w:fill="FFFFFF"/>
            <w:vAlign w:val="bottom"/>
            <w:hideMark/>
          </w:tcPr>
          <w:p w14:paraId="1A13086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369A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D8EC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FCEFDD" w14:textId="77777777" w:rsidR="00000000" w:rsidRDefault="001826C1">
            <w:pPr>
              <w:jc w:val="right"/>
              <w:rPr>
                <w:rFonts w:eastAsia="Times New Roman"/>
                <w:sz w:val="20"/>
                <w:szCs w:val="20"/>
              </w:rPr>
            </w:pPr>
            <w:r>
              <w:rPr>
                <w:rFonts w:eastAsia="Times New Roman"/>
                <w:sz w:val="20"/>
                <w:szCs w:val="20"/>
              </w:rPr>
              <w:t>4,608</w:t>
            </w:r>
          </w:p>
        </w:tc>
        <w:tc>
          <w:tcPr>
            <w:tcW w:w="0" w:type="auto"/>
            <w:shd w:val="clear" w:color="auto" w:fill="FFFFFF"/>
            <w:vAlign w:val="bottom"/>
            <w:hideMark/>
          </w:tcPr>
          <w:p w14:paraId="028A8F3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A3C3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9CBF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32B628" w14:textId="77777777" w:rsidR="00000000" w:rsidRDefault="001826C1">
            <w:pPr>
              <w:jc w:val="right"/>
              <w:rPr>
                <w:rFonts w:eastAsia="Times New Roman"/>
                <w:sz w:val="20"/>
                <w:szCs w:val="20"/>
              </w:rPr>
            </w:pPr>
            <w:r>
              <w:rPr>
                <w:rFonts w:eastAsia="Times New Roman"/>
                <w:sz w:val="20"/>
                <w:szCs w:val="20"/>
              </w:rPr>
              <w:t>(7,418</w:t>
            </w:r>
          </w:p>
        </w:tc>
        <w:tc>
          <w:tcPr>
            <w:tcW w:w="0" w:type="auto"/>
            <w:shd w:val="clear" w:color="auto" w:fill="FFFFFF"/>
            <w:vAlign w:val="bottom"/>
            <w:hideMark/>
          </w:tcPr>
          <w:p w14:paraId="64830295"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106F7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484C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A7284A" w14:textId="77777777" w:rsidR="00000000" w:rsidRDefault="001826C1">
            <w:pPr>
              <w:jc w:val="right"/>
              <w:rPr>
                <w:rFonts w:eastAsia="Times New Roman"/>
                <w:sz w:val="20"/>
                <w:szCs w:val="20"/>
              </w:rPr>
            </w:pPr>
            <w:r>
              <w:rPr>
                <w:rFonts w:eastAsia="Times New Roman"/>
                <w:sz w:val="20"/>
                <w:szCs w:val="20"/>
              </w:rPr>
              <w:t>5,128</w:t>
            </w:r>
          </w:p>
        </w:tc>
        <w:tc>
          <w:tcPr>
            <w:tcW w:w="0" w:type="auto"/>
            <w:shd w:val="clear" w:color="auto" w:fill="FFFFFF"/>
            <w:vAlign w:val="bottom"/>
            <w:hideMark/>
          </w:tcPr>
          <w:p w14:paraId="02C16CD0" w14:textId="77777777" w:rsidR="00000000" w:rsidRDefault="001826C1">
            <w:pPr>
              <w:rPr>
                <w:rFonts w:eastAsia="Times New Roman"/>
                <w:sz w:val="20"/>
                <w:szCs w:val="20"/>
              </w:rPr>
            </w:pPr>
            <w:r>
              <w:rPr>
                <w:rFonts w:eastAsia="Times New Roman"/>
                <w:sz w:val="20"/>
                <w:szCs w:val="20"/>
              </w:rPr>
              <w:t> </w:t>
            </w:r>
          </w:p>
        </w:tc>
      </w:tr>
      <w:tr w:rsidR="00000000" w14:paraId="56AB8713" w14:textId="77777777">
        <w:tc>
          <w:tcPr>
            <w:tcW w:w="0" w:type="auto"/>
            <w:shd w:val="clear" w:color="auto" w:fill="CCEEFF"/>
            <w:vAlign w:val="bottom"/>
            <w:hideMark/>
          </w:tcPr>
          <w:p w14:paraId="07282685" w14:textId="77777777" w:rsidR="00000000" w:rsidRDefault="001826C1">
            <w:pPr>
              <w:rPr>
                <w:rFonts w:eastAsia="Times New Roman"/>
                <w:sz w:val="20"/>
                <w:szCs w:val="20"/>
              </w:rPr>
            </w:pPr>
            <w:r>
              <w:rPr>
                <w:rFonts w:eastAsia="Times New Roman"/>
                <w:sz w:val="20"/>
                <w:szCs w:val="20"/>
              </w:rPr>
              <w:t>Total assets</w:t>
            </w:r>
          </w:p>
        </w:tc>
        <w:tc>
          <w:tcPr>
            <w:tcW w:w="0" w:type="auto"/>
            <w:shd w:val="clear" w:color="auto" w:fill="CCEEFF"/>
            <w:vAlign w:val="bottom"/>
            <w:hideMark/>
          </w:tcPr>
          <w:p w14:paraId="2A5A65F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0701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CC0295" w14:textId="77777777" w:rsidR="00000000" w:rsidRDefault="001826C1">
            <w:pPr>
              <w:jc w:val="right"/>
              <w:rPr>
                <w:rFonts w:eastAsia="Times New Roman"/>
                <w:sz w:val="20"/>
                <w:szCs w:val="20"/>
              </w:rPr>
            </w:pPr>
            <w:r>
              <w:rPr>
                <w:rFonts w:eastAsia="Times New Roman"/>
                <w:sz w:val="20"/>
                <w:szCs w:val="20"/>
              </w:rPr>
              <w:t>56,403</w:t>
            </w:r>
          </w:p>
        </w:tc>
        <w:tc>
          <w:tcPr>
            <w:tcW w:w="0" w:type="auto"/>
            <w:shd w:val="clear" w:color="auto" w:fill="CCEEFF"/>
            <w:vAlign w:val="bottom"/>
            <w:hideMark/>
          </w:tcPr>
          <w:p w14:paraId="498BF8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B60B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44B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558ED6" w14:textId="77777777" w:rsidR="00000000" w:rsidRDefault="001826C1">
            <w:pPr>
              <w:jc w:val="right"/>
              <w:rPr>
                <w:rFonts w:eastAsia="Times New Roman"/>
                <w:sz w:val="20"/>
                <w:szCs w:val="20"/>
              </w:rPr>
            </w:pPr>
            <w:r>
              <w:rPr>
                <w:rFonts w:eastAsia="Times New Roman"/>
                <w:sz w:val="20"/>
                <w:szCs w:val="20"/>
              </w:rPr>
              <w:t>47,623</w:t>
            </w:r>
          </w:p>
        </w:tc>
        <w:tc>
          <w:tcPr>
            <w:tcW w:w="0" w:type="auto"/>
            <w:shd w:val="clear" w:color="auto" w:fill="CCEEFF"/>
            <w:vAlign w:val="bottom"/>
            <w:hideMark/>
          </w:tcPr>
          <w:p w14:paraId="3B55814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4D835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B3A44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B2EAB4" w14:textId="77777777" w:rsidR="00000000" w:rsidRDefault="001826C1">
            <w:pPr>
              <w:jc w:val="right"/>
              <w:rPr>
                <w:rFonts w:eastAsia="Times New Roman"/>
                <w:sz w:val="20"/>
                <w:szCs w:val="20"/>
              </w:rPr>
            </w:pPr>
            <w:r>
              <w:rPr>
                <w:rFonts w:eastAsia="Times New Roman"/>
                <w:sz w:val="20"/>
                <w:szCs w:val="20"/>
              </w:rPr>
              <w:t>25,526</w:t>
            </w:r>
          </w:p>
        </w:tc>
        <w:tc>
          <w:tcPr>
            <w:tcW w:w="0" w:type="auto"/>
            <w:shd w:val="clear" w:color="auto" w:fill="CCEEFF"/>
            <w:vAlign w:val="bottom"/>
            <w:hideMark/>
          </w:tcPr>
          <w:p w14:paraId="52E2AED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5B4C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8BBF2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3215F0" w14:textId="77777777" w:rsidR="00000000" w:rsidRDefault="001826C1">
            <w:pPr>
              <w:jc w:val="right"/>
              <w:rPr>
                <w:rFonts w:eastAsia="Times New Roman"/>
                <w:sz w:val="20"/>
                <w:szCs w:val="20"/>
              </w:rPr>
            </w:pPr>
            <w:r>
              <w:rPr>
                <w:rFonts w:eastAsia="Times New Roman"/>
                <w:sz w:val="20"/>
                <w:szCs w:val="20"/>
              </w:rPr>
              <w:t>28,324</w:t>
            </w:r>
          </w:p>
        </w:tc>
        <w:tc>
          <w:tcPr>
            <w:tcW w:w="0" w:type="auto"/>
            <w:shd w:val="clear" w:color="auto" w:fill="CCEEFF"/>
            <w:vAlign w:val="bottom"/>
            <w:hideMark/>
          </w:tcPr>
          <w:p w14:paraId="1A8063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86E0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607BE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7F079F" w14:textId="77777777" w:rsidR="00000000" w:rsidRDefault="001826C1">
            <w:pPr>
              <w:jc w:val="right"/>
              <w:rPr>
                <w:rFonts w:eastAsia="Times New Roman"/>
                <w:sz w:val="20"/>
                <w:szCs w:val="20"/>
              </w:rPr>
            </w:pPr>
            <w:r>
              <w:rPr>
                <w:rFonts w:eastAsia="Times New Roman"/>
                <w:sz w:val="20"/>
                <w:szCs w:val="20"/>
              </w:rPr>
              <w:t>26,677</w:t>
            </w:r>
          </w:p>
        </w:tc>
        <w:tc>
          <w:tcPr>
            <w:tcW w:w="0" w:type="auto"/>
            <w:shd w:val="clear" w:color="auto" w:fill="CCEEFF"/>
            <w:vAlign w:val="bottom"/>
            <w:hideMark/>
          </w:tcPr>
          <w:p w14:paraId="7F540E0A" w14:textId="77777777" w:rsidR="00000000" w:rsidRDefault="001826C1">
            <w:pPr>
              <w:rPr>
                <w:rFonts w:eastAsia="Times New Roman"/>
                <w:sz w:val="20"/>
                <w:szCs w:val="20"/>
              </w:rPr>
            </w:pPr>
            <w:r>
              <w:rPr>
                <w:rFonts w:eastAsia="Times New Roman"/>
                <w:sz w:val="20"/>
                <w:szCs w:val="20"/>
              </w:rPr>
              <w:t> </w:t>
            </w:r>
          </w:p>
        </w:tc>
      </w:tr>
      <w:tr w:rsidR="00000000" w14:paraId="7F93A71F" w14:textId="77777777">
        <w:tc>
          <w:tcPr>
            <w:tcW w:w="0" w:type="auto"/>
            <w:shd w:val="clear" w:color="auto" w:fill="FFFFFF"/>
            <w:vAlign w:val="bottom"/>
            <w:hideMark/>
          </w:tcPr>
          <w:p w14:paraId="0D69BE0B" w14:textId="77777777" w:rsidR="00000000" w:rsidRDefault="001826C1">
            <w:pPr>
              <w:rPr>
                <w:rFonts w:eastAsia="Times New Roman"/>
                <w:sz w:val="20"/>
                <w:szCs w:val="20"/>
              </w:rPr>
            </w:pPr>
            <w:r>
              <w:rPr>
                <w:rFonts w:eastAsia="Times New Roman"/>
                <w:sz w:val="20"/>
                <w:szCs w:val="20"/>
              </w:rPr>
              <w:t>Long-term debt</w:t>
            </w:r>
          </w:p>
        </w:tc>
        <w:tc>
          <w:tcPr>
            <w:tcW w:w="0" w:type="auto"/>
            <w:shd w:val="clear" w:color="auto" w:fill="FFFFFF"/>
            <w:vAlign w:val="bottom"/>
            <w:hideMark/>
          </w:tcPr>
          <w:p w14:paraId="2CAC732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CB74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45A120" w14:textId="77777777" w:rsidR="00000000" w:rsidRDefault="001826C1">
            <w:pPr>
              <w:jc w:val="right"/>
              <w:rPr>
                <w:rFonts w:eastAsia="Times New Roman"/>
                <w:sz w:val="20"/>
                <w:szCs w:val="20"/>
              </w:rPr>
            </w:pPr>
            <w:r>
              <w:rPr>
                <w:rFonts w:eastAsia="Times New Roman"/>
                <w:sz w:val="20"/>
                <w:szCs w:val="20"/>
              </w:rPr>
              <w:t>83</w:t>
            </w:r>
          </w:p>
        </w:tc>
        <w:tc>
          <w:tcPr>
            <w:tcW w:w="0" w:type="auto"/>
            <w:shd w:val="clear" w:color="auto" w:fill="FFFFFF"/>
            <w:vAlign w:val="bottom"/>
            <w:hideMark/>
          </w:tcPr>
          <w:p w14:paraId="204306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5531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59F0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6913B0" w14:textId="77777777" w:rsidR="00000000" w:rsidRDefault="001826C1">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14:paraId="702500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81FC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ADB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947ED2" w14:textId="77777777" w:rsidR="00000000" w:rsidRDefault="001826C1">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14:paraId="55D2291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7E1E6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62571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B34A24" w14:textId="77777777" w:rsidR="00000000" w:rsidRDefault="001826C1">
            <w:pPr>
              <w:jc w:val="right"/>
              <w:rPr>
                <w:rFonts w:eastAsia="Times New Roman"/>
                <w:sz w:val="20"/>
                <w:szCs w:val="20"/>
              </w:rPr>
            </w:pPr>
            <w:r>
              <w:rPr>
                <w:rFonts w:eastAsia="Times New Roman"/>
                <w:sz w:val="20"/>
                <w:szCs w:val="20"/>
              </w:rPr>
              <w:t>4,200</w:t>
            </w:r>
          </w:p>
        </w:tc>
        <w:tc>
          <w:tcPr>
            <w:tcW w:w="0" w:type="auto"/>
            <w:shd w:val="clear" w:color="auto" w:fill="FFFFFF"/>
            <w:vAlign w:val="bottom"/>
            <w:hideMark/>
          </w:tcPr>
          <w:p w14:paraId="3F3049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9002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BAE6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22AAE3" w14:textId="77777777" w:rsidR="00000000" w:rsidRDefault="001826C1">
            <w:pPr>
              <w:jc w:val="right"/>
              <w:rPr>
                <w:rFonts w:eastAsia="Times New Roman"/>
                <w:sz w:val="20"/>
                <w:szCs w:val="20"/>
              </w:rPr>
            </w:pPr>
            <w:r>
              <w:rPr>
                <w:rFonts w:eastAsia="Times New Roman"/>
                <w:sz w:val="20"/>
                <w:szCs w:val="20"/>
              </w:rPr>
              <w:t>4,903</w:t>
            </w:r>
          </w:p>
        </w:tc>
        <w:tc>
          <w:tcPr>
            <w:tcW w:w="0" w:type="auto"/>
            <w:shd w:val="clear" w:color="auto" w:fill="FFFFFF"/>
            <w:vAlign w:val="bottom"/>
            <w:hideMark/>
          </w:tcPr>
          <w:p w14:paraId="5F028ACC" w14:textId="77777777" w:rsidR="00000000" w:rsidRDefault="001826C1">
            <w:pPr>
              <w:rPr>
                <w:rFonts w:eastAsia="Times New Roman"/>
                <w:sz w:val="20"/>
                <w:szCs w:val="20"/>
              </w:rPr>
            </w:pPr>
            <w:r>
              <w:rPr>
                <w:rFonts w:eastAsia="Times New Roman"/>
                <w:sz w:val="20"/>
                <w:szCs w:val="20"/>
              </w:rPr>
              <w:t> </w:t>
            </w:r>
          </w:p>
        </w:tc>
      </w:tr>
      <w:tr w:rsidR="00000000" w14:paraId="06ECC8F6" w14:textId="77777777">
        <w:tc>
          <w:tcPr>
            <w:tcW w:w="0" w:type="auto"/>
            <w:shd w:val="clear" w:color="auto" w:fill="CCEEFF"/>
            <w:vAlign w:val="bottom"/>
            <w:hideMark/>
          </w:tcPr>
          <w:p w14:paraId="5E7F497F" w14:textId="77777777" w:rsidR="00000000" w:rsidRDefault="001826C1">
            <w:pPr>
              <w:rPr>
                <w:rFonts w:eastAsia="Times New Roman"/>
                <w:sz w:val="20"/>
                <w:szCs w:val="20"/>
              </w:rPr>
            </w:pPr>
            <w:r>
              <w:rPr>
                <w:rFonts w:eastAsia="Times New Roman"/>
                <w:sz w:val="20"/>
                <w:szCs w:val="20"/>
              </w:rPr>
              <w:t>Shareholders’ equity</w:t>
            </w:r>
          </w:p>
        </w:tc>
        <w:tc>
          <w:tcPr>
            <w:tcW w:w="0" w:type="auto"/>
            <w:shd w:val="clear" w:color="auto" w:fill="CCEEFF"/>
            <w:vAlign w:val="bottom"/>
            <w:hideMark/>
          </w:tcPr>
          <w:p w14:paraId="543363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CDD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6F76D9" w14:textId="77777777" w:rsidR="00000000" w:rsidRDefault="001826C1">
            <w:pPr>
              <w:jc w:val="right"/>
              <w:rPr>
                <w:rFonts w:eastAsia="Times New Roman"/>
                <w:sz w:val="20"/>
                <w:szCs w:val="20"/>
              </w:rPr>
            </w:pPr>
            <w:r>
              <w:rPr>
                <w:rFonts w:eastAsia="Times New Roman"/>
                <w:sz w:val="20"/>
                <w:szCs w:val="20"/>
              </w:rPr>
              <w:t>42,838</w:t>
            </w:r>
          </w:p>
        </w:tc>
        <w:tc>
          <w:tcPr>
            <w:tcW w:w="0" w:type="auto"/>
            <w:shd w:val="clear" w:color="auto" w:fill="CCEEFF"/>
            <w:vAlign w:val="bottom"/>
            <w:hideMark/>
          </w:tcPr>
          <w:p w14:paraId="102F43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4E37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B84B5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2E2EA1" w14:textId="77777777" w:rsidR="00000000" w:rsidRDefault="001826C1">
            <w:pPr>
              <w:jc w:val="right"/>
              <w:rPr>
                <w:rFonts w:eastAsia="Times New Roman"/>
                <w:sz w:val="20"/>
                <w:szCs w:val="20"/>
              </w:rPr>
            </w:pPr>
            <w:r>
              <w:rPr>
                <w:rFonts w:eastAsia="Times New Roman"/>
                <w:sz w:val="20"/>
                <w:szCs w:val="20"/>
              </w:rPr>
              <w:t>38,870</w:t>
            </w:r>
          </w:p>
        </w:tc>
        <w:tc>
          <w:tcPr>
            <w:tcW w:w="0" w:type="auto"/>
            <w:shd w:val="clear" w:color="auto" w:fill="CCEEFF"/>
            <w:vAlign w:val="bottom"/>
            <w:hideMark/>
          </w:tcPr>
          <w:p w14:paraId="66BFB44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74B1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C3EF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B5E7FE" w14:textId="77777777" w:rsidR="00000000" w:rsidRDefault="001826C1">
            <w:pPr>
              <w:jc w:val="right"/>
              <w:rPr>
                <w:rFonts w:eastAsia="Times New Roman"/>
                <w:sz w:val="20"/>
                <w:szCs w:val="20"/>
              </w:rPr>
            </w:pPr>
            <w:r>
              <w:rPr>
                <w:rFonts w:eastAsia="Times New Roman"/>
                <w:sz w:val="20"/>
                <w:szCs w:val="20"/>
              </w:rPr>
              <w:t>20,250</w:t>
            </w:r>
          </w:p>
        </w:tc>
        <w:tc>
          <w:tcPr>
            <w:tcW w:w="0" w:type="auto"/>
            <w:shd w:val="clear" w:color="auto" w:fill="CCEEFF"/>
            <w:vAlign w:val="bottom"/>
            <w:hideMark/>
          </w:tcPr>
          <w:p w14:paraId="1691A5D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93BC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BF48A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525D60" w14:textId="77777777" w:rsidR="00000000" w:rsidRDefault="001826C1">
            <w:pPr>
              <w:jc w:val="right"/>
              <w:rPr>
                <w:rFonts w:eastAsia="Times New Roman"/>
                <w:sz w:val="20"/>
                <w:szCs w:val="20"/>
              </w:rPr>
            </w:pPr>
            <w:r>
              <w:rPr>
                <w:rFonts w:eastAsia="Times New Roman"/>
                <w:sz w:val="20"/>
                <w:szCs w:val="20"/>
              </w:rPr>
              <w:t>7,067</w:t>
            </w:r>
          </w:p>
        </w:tc>
        <w:tc>
          <w:tcPr>
            <w:tcW w:w="0" w:type="auto"/>
            <w:shd w:val="clear" w:color="auto" w:fill="CCEEFF"/>
            <w:vAlign w:val="bottom"/>
            <w:hideMark/>
          </w:tcPr>
          <w:p w14:paraId="4DD4DC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1656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02D0E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156052" w14:textId="77777777" w:rsidR="00000000" w:rsidRDefault="001826C1">
            <w:pPr>
              <w:jc w:val="right"/>
              <w:rPr>
                <w:rFonts w:eastAsia="Times New Roman"/>
                <w:sz w:val="20"/>
                <w:szCs w:val="20"/>
              </w:rPr>
            </w:pPr>
            <w:r>
              <w:rPr>
                <w:rFonts w:eastAsia="Times New Roman"/>
                <w:sz w:val="20"/>
                <w:szCs w:val="20"/>
              </w:rPr>
              <w:t>14,892</w:t>
            </w:r>
          </w:p>
        </w:tc>
        <w:tc>
          <w:tcPr>
            <w:tcW w:w="0" w:type="auto"/>
            <w:shd w:val="clear" w:color="auto" w:fill="CCEEFF"/>
            <w:vAlign w:val="bottom"/>
            <w:hideMark/>
          </w:tcPr>
          <w:p w14:paraId="501D1649" w14:textId="77777777" w:rsidR="00000000" w:rsidRDefault="001826C1">
            <w:pPr>
              <w:rPr>
                <w:rFonts w:eastAsia="Times New Roman"/>
                <w:sz w:val="20"/>
                <w:szCs w:val="20"/>
              </w:rPr>
            </w:pPr>
            <w:r>
              <w:rPr>
                <w:rFonts w:eastAsia="Times New Roman"/>
                <w:sz w:val="20"/>
                <w:szCs w:val="20"/>
              </w:rPr>
              <w:t> </w:t>
            </w:r>
          </w:p>
        </w:tc>
      </w:tr>
    </w:tbl>
    <w:p w14:paraId="44E6420F" w14:textId="77777777" w:rsidR="00000000" w:rsidRDefault="001826C1">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7946"/>
      </w:tblGrid>
      <w:tr w:rsidR="00000000" w14:paraId="1AC7A0C3" w14:textId="77777777">
        <w:trPr>
          <w:tblCellSpacing w:w="0" w:type="dxa"/>
        </w:trPr>
        <w:tc>
          <w:tcPr>
            <w:tcW w:w="360" w:type="dxa"/>
            <w:hideMark/>
          </w:tcPr>
          <w:p w14:paraId="5081183C" w14:textId="77777777" w:rsidR="00000000" w:rsidRDefault="001826C1">
            <w:pPr>
              <w:rPr>
                <w:rFonts w:eastAsia="Times New Roman"/>
                <w:sz w:val="20"/>
                <w:szCs w:val="20"/>
              </w:rPr>
            </w:pPr>
            <w:r>
              <w:rPr>
                <w:rFonts w:eastAsia="Times New Roman"/>
                <w:sz w:val="20"/>
                <w:szCs w:val="20"/>
              </w:rPr>
              <w:t>(1)</w:t>
            </w:r>
          </w:p>
        </w:tc>
        <w:tc>
          <w:tcPr>
            <w:tcW w:w="0" w:type="auto"/>
            <w:hideMark/>
          </w:tcPr>
          <w:p w14:paraId="038B8706" w14:textId="77777777" w:rsidR="00000000" w:rsidRDefault="001826C1">
            <w:pPr>
              <w:rPr>
                <w:rFonts w:eastAsia="Times New Roman"/>
                <w:sz w:val="20"/>
                <w:szCs w:val="20"/>
              </w:rPr>
            </w:pPr>
            <w:r>
              <w:rPr>
                <w:rFonts w:eastAsia="Times New Roman"/>
                <w:sz w:val="20"/>
                <w:szCs w:val="20"/>
              </w:rPr>
              <w:t xml:space="preserve">Working </w:t>
            </w:r>
            <w:r>
              <w:rPr>
                <w:rFonts w:eastAsia="Times New Roman"/>
                <w:sz w:val="20"/>
                <w:szCs w:val="20"/>
              </w:rPr>
              <w:t>capital-net is defined as current assets less current liabilities.</w:t>
            </w:r>
          </w:p>
        </w:tc>
      </w:tr>
    </w:tbl>
    <w:p w14:paraId="776F196D"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7"/>
        <w:gridCol w:w="160"/>
        <w:gridCol w:w="100"/>
        <w:gridCol w:w="493"/>
        <w:gridCol w:w="78"/>
        <w:gridCol w:w="161"/>
        <w:gridCol w:w="100"/>
        <w:gridCol w:w="493"/>
        <w:gridCol w:w="78"/>
        <w:gridCol w:w="161"/>
        <w:gridCol w:w="100"/>
        <w:gridCol w:w="493"/>
        <w:gridCol w:w="78"/>
        <w:gridCol w:w="161"/>
        <w:gridCol w:w="100"/>
        <w:gridCol w:w="493"/>
        <w:gridCol w:w="78"/>
        <w:gridCol w:w="161"/>
        <w:gridCol w:w="100"/>
        <w:gridCol w:w="493"/>
        <w:gridCol w:w="78"/>
      </w:tblGrid>
      <w:tr w:rsidR="00000000" w14:paraId="5BBE4EB6" w14:textId="77777777">
        <w:tc>
          <w:tcPr>
            <w:tcW w:w="0" w:type="auto"/>
            <w:tcMar>
              <w:top w:w="0" w:type="dxa"/>
              <w:left w:w="0" w:type="dxa"/>
              <w:bottom w:w="30" w:type="dxa"/>
              <w:right w:w="0" w:type="dxa"/>
            </w:tcMar>
            <w:vAlign w:val="bottom"/>
            <w:hideMark/>
          </w:tcPr>
          <w:p w14:paraId="7C2F5A76" w14:textId="77777777" w:rsidR="00000000" w:rsidRDefault="001826C1">
            <w:pPr>
              <w:rPr>
                <w:rFonts w:eastAsia="Times New Roman"/>
                <w:b/>
                <w:bCs/>
                <w:sz w:val="20"/>
                <w:szCs w:val="20"/>
              </w:rPr>
            </w:pPr>
            <w:r>
              <w:rPr>
                <w:rFonts w:eastAsia="Times New Roman"/>
                <w:b/>
                <w:bCs/>
                <w:sz w:val="20"/>
                <w:szCs w:val="20"/>
              </w:rPr>
              <w:t>Other Financial Data</w:t>
            </w:r>
          </w:p>
        </w:tc>
        <w:tc>
          <w:tcPr>
            <w:tcW w:w="0" w:type="auto"/>
            <w:tcMar>
              <w:top w:w="0" w:type="dxa"/>
              <w:left w:w="0" w:type="dxa"/>
              <w:bottom w:w="30" w:type="dxa"/>
              <w:right w:w="0" w:type="dxa"/>
            </w:tcMar>
            <w:vAlign w:val="bottom"/>
            <w:hideMark/>
          </w:tcPr>
          <w:p w14:paraId="3FAE686A" w14:textId="77777777" w:rsidR="00000000" w:rsidRDefault="001826C1">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14:paraId="20E8749D" w14:textId="77777777" w:rsidR="00000000" w:rsidRDefault="001826C1">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14:paraId="10CE772A" w14:textId="77777777" w:rsidR="00000000" w:rsidRDefault="001826C1">
            <w:pPr>
              <w:rPr>
                <w:rFonts w:eastAsia="Times New Roman"/>
                <w:b/>
                <w:bCs/>
                <w:sz w:val="20"/>
                <w:szCs w:val="20"/>
              </w:rPr>
            </w:pPr>
            <w:r>
              <w:rPr>
                <w:rFonts w:eastAsia="Times New Roman"/>
                <w:b/>
                <w:bCs/>
                <w:sz w:val="20"/>
                <w:szCs w:val="20"/>
              </w:rPr>
              <w:t> </w:t>
            </w:r>
          </w:p>
        </w:tc>
      </w:tr>
      <w:tr w:rsidR="00000000" w14:paraId="5D479E9D" w14:textId="77777777">
        <w:tc>
          <w:tcPr>
            <w:tcW w:w="0" w:type="auto"/>
            <w:vAlign w:val="bottom"/>
            <w:hideMark/>
          </w:tcPr>
          <w:p w14:paraId="2EDE8EC2"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B177EDF"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F6AF50C"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547A481"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87EA5DB"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DAD96DB"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2781104C"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D5B0B0E"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8C3CA96" w14:textId="77777777" w:rsidR="00000000" w:rsidRDefault="001826C1">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14:paraId="1A3FC6AB"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BB5505C"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5D8A2C8" w14:textId="77777777" w:rsidR="00000000" w:rsidRDefault="001826C1">
            <w:pPr>
              <w:jc w:val="center"/>
              <w:rPr>
                <w:rFonts w:eastAsia="Times New Roman"/>
                <w:b/>
                <w:bCs/>
                <w:sz w:val="20"/>
                <w:szCs w:val="20"/>
              </w:rPr>
            </w:pPr>
            <w:r>
              <w:rPr>
                <w:rFonts w:eastAsia="Times New Roman"/>
                <w:b/>
                <w:bCs/>
                <w:sz w:val="20"/>
                <w:szCs w:val="20"/>
              </w:rPr>
              <w:t>2016</w:t>
            </w:r>
          </w:p>
        </w:tc>
        <w:tc>
          <w:tcPr>
            <w:tcW w:w="0" w:type="auto"/>
            <w:tcMar>
              <w:top w:w="0" w:type="dxa"/>
              <w:left w:w="0" w:type="dxa"/>
              <w:bottom w:w="30" w:type="dxa"/>
              <w:right w:w="0" w:type="dxa"/>
            </w:tcMar>
            <w:vAlign w:val="bottom"/>
            <w:hideMark/>
          </w:tcPr>
          <w:p w14:paraId="32E97F77"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2CBC389"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19274D" w14:textId="77777777" w:rsidR="00000000" w:rsidRDefault="001826C1">
            <w:pPr>
              <w:jc w:val="center"/>
              <w:rPr>
                <w:rFonts w:eastAsia="Times New Roman"/>
                <w:b/>
                <w:bCs/>
                <w:sz w:val="20"/>
                <w:szCs w:val="20"/>
              </w:rPr>
            </w:pPr>
            <w:r>
              <w:rPr>
                <w:rFonts w:eastAsia="Times New Roman"/>
                <w:b/>
                <w:bCs/>
                <w:sz w:val="20"/>
                <w:szCs w:val="20"/>
              </w:rPr>
              <w:t>2015</w:t>
            </w:r>
          </w:p>
        </w:tc>
        <w:tc>
          <w:tcPr>
            <w:tcW w:w="0" w:type="auto"/>
            <w:tcMar>
              <w:top w:w="0" w:type="dxa"/>
              <w:left w:w="0" w:type="dxa"/>
              <w:bottom w:w="30" w:type="dxa"/>
              <w:right w:w="0" w:type="dxa"/>
            </w:tcMar>
            <w:vAlign w:val="bottom"/>
            <w:hideMark/>
          </w:tcPr>
          <w:p w14:paraId="46058838" w14:textId="77777777" w:rsidR="00000000" w:rsidRDefault="001826C1">
            <w:pPr>
              <w:rPr>
                <w:rFonts w:eastAsia="Times New Roman"/>
                <w:b/>
                <w:bCs/>
                <w:sz w:val="20"/>
                <w:szCs w:val="20"/>
              </w:rPr>
            </w:pPr>
            <w:r>
              <w:rPr>
                <w:rFonts w:eastAsia="Times New Roman"/>
                <w:b/>
                <w:bCs/>
                <w:sz w:val="20"/>
                <w:szCs w:val="20"/>
              </w:rPr>
              <w:t> </w:t>
            </w:r>
          </w:p>
        </w:tc>
      </w:tr>
      <w:tr w:rsidR="00000000" w14:paraId="2954ECF8" w14:textId="77777777">
        <w:tc>
          <w:tcPr>
            <w:tcW w:w="0" w:type="auto"/>
            <w:vAlign w:val="bottom"/>
            <w:hideMark/>
          </w:tcPr>
          <w:p w14:paraId="1F9CD7CF"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5F0FF3D1" w14:textId="77777777" w:rsidR="00000000" w:rsidRDefault="001826C1">
            <w:pPr>
              <w:rPr>
                <w:rFonts w:eastAsia="Times New Roman"/>
                <w:sz w:val="20"/>
                <w:szCs w:val="20"/>
              </w:rPr>
            </w:pPr>
            <w:r>
              <w:rPr>
                <w:rFonts w:eastAsia="Times New Roman"/>
                <w:sz w:val="20"/>
                <w:szCs w:val="20"/>
              </w:rPr>
              <w:t> </w:t>
            </w:r>
          </w:p>
        </w:tc>
        <w:tc>
          <w:tcPr>
            <w:tcW w:w="0" w:type="auto"/>
            <w:gridSpan w:val="18"/>
            <w:vAlign w:val="bottom"/>
            <w:hideMark/>
          </w:tcPr>
          <w:p w14:paraId="02098E0B" w14:textId="77777777" w:rsidR="00000000" w:rsidRDefault="001826C1">
            <w:pPr>
              <w:jc w:val="center"/>
              <w:rPr>
                <w:rFonts w:eastAsia="Times New Roman"/>
                <w:sz w:val="20"/>
                <w:szCs w:val="20"/>
              </w:rPr>
            </w:pPr>
            <w:r>
              <w:rPr>
                <w:rFonts w:eastAsia="Times New Roman"/>
                <w:sz w:val="20"/>
                <w:szCs w:val="20"/>
              </w:rPr>
              <w:t>($ in thousands)</w:t>
            </w:r>
          </w:p>
        </w:tc>
        <w:tc>
          <w:tcPr>
            <w:tcW w:w="0" w:type="auto"/>
            <w:vAlign w:val="bottom"/>
            <w:hideMark/>
          </w:tcPr>
          <w:p w14:paraId="439AEBCD" w14:textId="77777777" w:rsidR="00000000" w:rsidRDefault="001826C1">
            <w:pPr>
              <w:rPr>
                <w:rFonts w:eastAsia="Times New Roman"/>
                <w:sz w:val="20"/>
                <w:szCs w:val="20"/>
              </w:rPr>
            </w:pPr>
            <w:r>
              <w:rPr>
                <w:rFonts w:eastAsia="Times New Roman"/>
                <w:sz w:val="20"/>
                <w:szCs w:val="20"/>
              </w:rPr>
              <w:t> </w:t>
            </w:r>
          </w:p>
        </w:tc>
      </w:tr>
      <w:tr w:rsidR="00000000" w14:paraId="7F64FA10" w14:textId="77777777">
        <w:tc>
          <w:tcPr>
            <w:tcW w:w="2500" w:type="pct"/>
            <w:shd w:val="clear" w:color="auto" w:fill="CCEEFF"/>
            <w:vAlign w:val="bottom"/>
            <w:hideMark/>
          </w:tcPr>
          <w:p w14:paraId="3A13BA3D" w14:textId="77777777" w:rsidR="00000000" w:rsidRDefault="001826C1">
            <w:pPr>
              <w:rPr>
                <w:rFonts w:eastAsia="Times New Roman"/>
                <w:sz w:val="20"/>
                <w:szCs w:val="20"/>
              </w:rPr>
            </w:pPr>
            <w:r>
              <w:rPr>
                <w:rFonts w:eastAsia="Times New Roman"/>
                <w:sz w:val="20"/>
                <w:szCs w:val="20"/>
              </w:rPr>
              <w:t>Adjusted EBITDA</w:t>
            </w:r>
          </w:p>
        </w:tc>
        <w:tc>
          <w:tcPr>
            <w:tcW w:w="100" w:type="pct"/>
            <w:shd w:val="clear" w:color="auto" w:fill="CCEEFF"/>
            <w:vAlign w:val="bottom"/>
            <w:hideMark/>
          </w:tcPr>
          <w:p w14:paraId="21DC8F54"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57342D6"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51D7E3DB" w14:textId="77777777" w:rsidR="00000000" w:rsidRDefault="001826C1">
            <w:pPr>
              <w:jc w:val="right"/>
              <w:rPr>
                <w:rFonts w:eastAsia="Times New Roman"/>
                <w:sz w:val="20"/>
                <w:szCs w:val="20"/>
              </w:rPr>
            </w:pPr>
            <w:r>
              <w:rPr>
                <w:rFonts w:eastAsia="Times New Roman"/>
                <w:sz w:val="20"/>
                <w:szCs w:val="20"/>
              </w:rPr>
              <w:t>8,101</w:t>
            </w:r>
          </w:p>
        </w:tc>
        <w:tc>
          <w:tcPr>
            <w:tcW w:w="50" w:type="pct"/>
            <w:shd w:val="clear" w:color="auto" w:fill="CCEEFF"/>
            <w:vAlign w:val="bottom"/>
            <w:hideMark/>
          </w:tcPr>
          <w:p w14:paraId="624D39C6"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7AE4C60"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B4EADA"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2BA256DB" w14:textId="77777777" w:rsidR="00000000" w:rsidRDefault="001826C1">
            <w:pPr>
              <w:jc w:val="right"/>
              <w:rPr>
                <w:rFonts w:eastAsia="Times New Roman"/>
                <w:sz w:val="20"/>
                <w:szCs w:val="20"/>
              </w:rPr>
            </w:pPr>
            <w:r>
              <w:rPr>
                <w:rFonts w:eastAsia="Times New Roman"/>
                <w:sz w:val="20"/>
                <w:szCs w:val="20"/>
              </w:rPr>
              <w:t>4,802</w:t>
            </w:r>
          </w:p>
        </w:tc>
        <w:tc>
          <w:tcPr>
            <w:tcW w:w="50" w:type="pct"/>
            <w:shd w:val="clear" w:color="auto" w:fill="CCEEFF"/>
            <w:vAlign w:val="bottom"/>
            <w:hideMark/>
          </w:tcPr>
          <w:p w14:paraId="0DEAE91A"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7FD403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9967466"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3BFC39C8" w14:textId="77777777" w:rsidR="00000000" w:rsidRDefault="001826C1">
            <w:pPr>
              <w:jc w:val="right"/>
              <w:rPr>
                <w:rFonts w:eastAsia="Times New Roman"/>
                <w:sz w:val="20"/>
                <w:szCs w:val="20"/>
              </w:rPr>
            </w:pPr>
            <w:r>
              <w:rPr>
                <w:rFonts w:eastAsia="Times New Roman"/>
                <w:sz w:val="20"/>
                <w:szCs w:val="20"/>
              </w:rPr>
              <w:t>2,291</w:t>
            </w:r>
          </w:p>
        </w:tc>
        <w:tc>
          <w:tcPr>
            <w:tcW w:w="50" w:type="pct"/>
            <w:shd w:val="clear" w:color="auto" w:fill="CCEEFF"/>
            <w:vAlign w:val="bottom"/>
            <w:hideMark/>
          </w:tcPr>
          <w:p w14:paraId="5641877F"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AF7E4C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311B298"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58FD1914" w14:textId="77777777" w:rsidR="00000000" w:rsidRDefault="001826C1">
            <w:pPr>
              <w:jc w:val="right"/>
              <w:rPr>
                <w:rFonts w:eastAsia="Times New Roman"/>
                <w:sz w:val="20"/>
                <w:szCs w:val="20"/>
              </w:rPr>
            </w:pPr>
            <w:r>
              <w:rPr>
                <w:rFonts w:eastAsia="Times New Roman"/>
                <w:sz w:val="20"/>
                <w:szCs w:val="20"/>
              </w:rPr>
              <w:t>(605</w:t>
            </w:r>
          </w:p>
        </w:tc>
        <w:tc>
          <w:tcPr>
            <w:tcW w:w="50" w:type="pct"/>
            <w:shd w:val="clear" w:color="auto" w:fill="CCEEFF"/>
            <w:vAlign w:val="bottom"/>
            <w:hideMark/>
          </w:tcPr>
          <w:p w14:paraId="00B80663"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2ED9C095"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BDEBF1"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7B1183C1" w14:textId="77777777" w:rsidR="00000000" w:rsidRDefault="001826C1">
            <w:pPr>
              <w:jc w:val="right"/>
              <w:rPr>
                <w:rFonts w:eastAsia="Times New Roman"/>
                <w:sz w:val="20"/>
                <w:szCs w:val="20"/>
              </w:rPr>
            </w:pPr>
            <w:r>
              <w:rPr>
                <w:rFonts w:eastAsia="Times New Roman"/>
                <w:sz w:val="20"/>
                <w:szCs w:val="20"/>
              </w:rPr>
              <w:t>(675</w:t>
            </w:r>
          </w:p>
        </w:tc>
        <w:tc>
          <w:tcPr>
            <w:tcW w:w="50" w:type="pct"/>
            <w:shd w:val="clear" w:color="auto" w:fill="CCEEFF"/>
            <w:vAlign w:val="bottom"/>
            <w:hideMark/>
          </w:tcPr>
          <w:p w14:paraId="69F88DCE" w14:textId="77777777" w:rsidR="00000000" w:rsidRDefault="001826C1">
            <w:pPr>
              <w:rPr>
                <w:rFonts w:eastAsia="Times New Roman"/>
                <w:sz w:val="20"/>
                <w:szCs w:val="20"/>
              </w:rPr>
            </w:pPr>
            <w:r>
              <w:rPr>
                <w:rFonts w:eastAsia="Times New Roman"/>
                <w:sz w:val="20"/>
                <w:szCs w:val="20"/>
              </w:rPr>
              <w:t>)</w:t>
            </w:r>
          </w:p>
        </w:tc>
      </w:tr>
    </w:tbl>
    <w:p w14:paraId="5FDA3D09"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EF4F26D" w14:textId="77777777">
        <w:trPr>
          <w:divId w:val="636103026"/>
        </w:trPr>
        <w:tc>
          <w:tcPr>
            <w:tcW w:w="5000" w:type="pct"/>
            <w:hideMark/>
          </w:tcPr>
          <w:p w14:paraId="52645A9C"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5336A42A" w14:textId="77777777">
        <w:tc>
          <w:tcPr>
            <w:tcW w:w="5000" w:type="pct"/>
            <w:hideMark/>
          </w:tcPr>
          <w:p w14:paraId="4605450B" w14:textId="77777777" w:rsidR="00000000" w:rsidRDefault="001826C1">
            <w:pPr>
              <w:jc w:val="center"/>
              <w:rPr>
                <w:rFonts w:eastAsia="Times New Roman"/>
                <w:sz w:val="20"/>
                <w:szCs w:val="20"/>
              </w:rPr>
            </w:pPr>
            <w:r>
              <w:rPr>
                <w:rFonts w:eastAsia="Times New Roman"/>
                <w:sz w:val="20"/>
                <w:szCs w:val="20"/>
              </w:rPr>
              <w:t> </w:t>
            </w:r>
          </w:p>
        </w:tc>
      </w:tr>
    </w:tbl>
    <w:p w14:paraId="7244D20C" w14:textId="77777777" w:rsidR="00000000" w:rsidRDefault="001826C1">
      <w:pPr>
        <w:pStyle w:val="a3"/>
        <w:spacing w:before="0" w:beforeAutospacing="0" w:after="0" w:afterAutospacing="0"/>
        <w:jc w:val="both"/>
        <w:rPr>
          <w:sz w:val="20"/>
          <w:szCs w:val="20"/>
        </w:rPr>
      </w:pPr>
      <w:r>
        <w:rPr>
          <w:sz w:val="20"/>
          <w:szCs w:val="20"/>
        </w:rPr>
        <w:t> </w:t>
      </w:r>
    </w:p>
    <w:p w14:paraId="553AFAB0" w14:textId="77777777" w:rsidR="00000000" w:rsidRDefault="001826C1">
      <w:pPr>
        <w:pStyle w:val="a3"/>
        <w:spacing w:before="0" w:beforeAutospacing="0" w:after="0" w:afterAutospacing="0"/>
        <w:jc w:val="both"/>
        <w:rPr>
          <w:sz w:val="20"/>
          <w:szCs w:val="20"/>
        </w:rPr>
      </w:pPr>
      <w:r>
        <w:rPr>
          <w:sz w:val="20"/>
          <w:szCs w:val="20"/>
        </w:rPr>
        <w:t xml:space="preserve">To </w:t>
      </w:r>
      <w:r>
        <w:rPr>
          <w:sz w:val="20"/>
          <w:szCs w:val="20"/>
        </w:rPr>
        <w:t>provide investors with additional insight and allow for a more comprehensive understanding of the information used by management in its financial and operational decision-making, we supplement our consolidated financial statements presented on a basis cons</w:t>
      </w:r>
      <w:r>
        <w:rPr>
          <w:sz w:val="20"/>
          <w:szCs w:val="20"/>
        </w:rPr>
        <w:t>istent with U.S. generally accepted accounting principles, or GAAP, with adjusted EBITDA, a non-GAAP financial measure of earnings. Adjusted EBITDA represents net income (loss) before income tax expense, interest income, interest expense, depreciation, amo</w:t>
      </w:r>
      <w:r>
        <w:rPr>
          <w:sz w:val="20"/>
          <w:szCs w:val="20"/>
        </w:rPr>
        <w:t>rtization, transaction, integration, restructuring and impairment charges and change in contingent consideration. Our management uses adjusted EBITDA as a financial measure to evaluate the profitability and efficiency of our business model. We use this non</w:t>
      </w:r>
      <w:r>
        <w:rPr>
          <w:sz w:val="20"/>
          <w:szCs w:val="20"/>
        </w:rPr>
        <w:t>-GAAP financial measure to assess the strength of the underlying operations of our business. These adjustments, and the non-GAAP financial measure that is derived from them, provide supplemental information to analyze our operations between periods and ove</w:t>
      </w:r>
      <w:r>
        <w:rPr>
          <w:sz w:val="20"/>
          <w:szCs w:val="20"/>
        </w:rPr>
        <w:t>r time. Investors should consider our non-GAAP financial measure in addition to, and not as a substitute for, financial measures prepared in accordance with GAAP.</w:t>
      </w:r>
    </w:p>
    <w:p w14:paraId="52B0142B" w14:textId="77777777" w:rsidR="00000000" w:rsidRDefault="001826C1">
      <w:pPr>
        <w:pStyle w:val="a3"/>
        <w:spacing w:before="0" w:beforeAutospacing="0" w:after="0" w:afterAutospacing="0"/>
        <w:jc w:val="both"/>
        <w:rPr>
          <w:sz w:val="20"/>
          <w:szCs w:val="20"/>
        </w:rPr>
      </w:pPr>
      <w:r>
        <w:rPr>
          <w:sz w:val="20"/>
          <w:szCs w:val="20"/>
        </w:rPr>
        <w:t> </w:t>
      </w:r>
    </w:p>
    <w:p w14:paraId="4802947B" w14:textId="77777777" w:rsidR="00000000" w:rsidRDefault="001826C1">
      <w:pPr>
        <w:pStyle w:val="a3"/>
        <w:shd w:val="clear" w:color="auto" w:fill="FFFFFF"/>
        <w:spacing w:before="0" w:beforeAutospacing="0" w:after="0" w:afterAutospacing="0"/>
        <w:rPr>
          <w:sz w:val="20"/>
          <w:szCs w:val="20"/>
        </w:rPr>
      </w:pPr>
      <w:r>
        <w:rPr>
          <w:sz w:val="20"/>
          <w:szCs w:val="20"/>
        </w:rPr>
        <w:t>The following table contains a reconciliation of net loss to adjusted EBITDA.</w:t>
      </w:r>
    </w:p>
    <w:p w14:paraId="26070AE0" w14:textId="77777777" w:rsidR="00000000" w:rsidRDefault="001826C1">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9"/>
        <w:gridCol w:w="152"/>
        <w:gridCol w:w="100"/>
        <w:gridCol w:w="485"/>
        <w:gridCol w:w="70"/>
        <w:gridCol w:w="153"/>
        <w:gridCol w:w="100"/>
        <w:gridCol w:w="517"/>
        <w:gridCol w:w="70"/>
        <w:gridCol w:w="153"/>
        <w:gridCol w:w="100"/>
        <w:gridCol w:w="517"/>
        <w:gridCol w:w="70"/>
        <w:gridCol w:w="153"/>
        <w:gridCol w:w="100"/>
        <w:gridCol w:w="517"/>
        <w:gridCol w:w="70"/>
        <w:gridCol w:w="153"/>
        <w:gridCol w:w="100"/>
        <w:gridCol w:w="517"/>
        <w:gridCol w:w="70"/>
      </w:tblGrid>
      <w:tr w:rsidR="00000000" w14:paraId="7DA59F01" w14:textId="77777777">
        <w:tc>
          <w:tcPr>
            <w:tcW w:w="0" w:type="auto"/>
            <w:tcMar>
              <w:top w:w="0" w:type="dxa"/>
              <w:left w:w="0" w:type="dxa"/>
              <w:bottom w:w="30" w:type="dxa"/>
              <w:right w:w="0" w:type="dxa"/>
            </w:tcMar>
            <w:vAlign w:val="bottom"/>
            <w:hideMark/>
          </w:tcPr>
          <w:p w14:paraId="77390532" w14:textId="77777777" w:rsidR="00000000" w:rsidRDefault="001826C1">
            <w:pPr>
              <w:rPr>
                <w:rFonts w:eastAsia="Times New Roman"/>
                <w:b/>
                <w:bCs/>
                <w:sz w:val="20"/>
                <w:szCs w:val="20"/>
              </w:rPr>
            </w:pPr>
            <w:r>
              <w:rPr>
                <w:rFonts w:eastAsia="Times New Roman"/>
                <w:b/>
                <w:bCs/>
                <w:sz w:val="20"/>
                <w:szCs w:val="20"/>
              </w:rPr>
              <w:t>Reconciliat</w:t>
            </w:r>
            <w:r>
              <w:rPr>
                <w:rFonts w:eastAsia="Times New Roman"/>
                <w:b/>
                <w:bCs/>
                <w:sz w:val="20"/>
                <w:szCs w:val="20"/>
              </w:rPr>
              <w:t>ion of net loss</w:t>
            </w:r>
          </w:p>
        </w:tc>
        <w:tc>
          <w:tcPr>
            <w:tcW w:w="0" w:type="auto"/>
            <w:tcMar>
              <w:top w:w="0" w:type="dxa"/>
              <w:left w:w="0" w:type="dxa"/>
              <w:bottom w:w="30" w:type="dxa"/>
              <w:right w:w="0" w:type="dxa"/>
            </w:tcMar>
            <w:vAlign w:val="bottom"/>
            <w:hideMark/>
          </w:tcPr>
          <w:p w14:paraId="6189367D" w14:textId="77777777" w:rsidR="00000000" w:rsidRDefault="001826C1">
            <w:pPr>
              <w:rPr>
                <w:rFonts w:eastAsia="Times New Roman"/>
                <w:b/>
                <w:bCs/>
                <w:sz w:val="20"/>
                <w:szCs w:val="20"/>
              </w:rPr>
            </w:pPr>
            <w:r>
              <w:rPr>
                <w:rFonts w:eastAsia="Times New Roman"/>
                <w:b/>
                <w:bCs/>
                <w:sz w:val="20"/>
                <w:szCs w:val="20"/>
              </w:rPr>
              <w:t> </w:t>
            </w:r>
          </w:p>
        </w:tc>
        <w:tc>
          <w:tcPr>
            <w:tcW w:w="0" w:type="auto"/>
            <w:gridSpan w:val="18"/>
            <w:tcBorders>
              <w:bottom w:val="single" w:sz="12" w:space="0" w:color="000000"/>
            </w:tcBorders>
            <w:vAlign w:val="bottom"/>
            <w:hideMark/>
          </w:tcPr>
          <w:p w14:paraId="67FC45D4" w14:textId="77777777" w:rsidR="00000000" w:rsidRDefault="001826C1">
            <w:pPr>
              <w:jc w:val="center"/>
              <w:rPr>
                <w:rFonts w:eastAsia="Times New Roman"/>
                <w:b/>
                <w:bCs/>
                <w:sz w:val="20"/>
                <w:szCs w:val="20"/>
              </w:rPr>
            </w:pPr>
            <w:r>
              <w:rPr>
                <w:rFonts w:eastAsia="Times New Roman"/>
                <w:b/>
                <w:bCs/>
                <w:sz w:val="20"/>
                <w:szCs w:val="20"/>
              </w:rPr>
              <w:t>Years ended December 31,</w:t>
            </w:r>
          </w:p>
        </w:tc>
        <w:tc>
          <w:tcPr>
            <w:tcW w:w="0" w:type="auto"/>
            <w:tcMar>
              <w:top w:w="0" w:type="dxa"/>
              <w:left w:w="0" w:type="dxa"/>
              <w:bottom w:w="30" w:type="dxa"/>
              <w:right w:w="0" w:type="dxa"/>
            </w:tcMar>
            <w:vAlign w:val="bottom"/>
            <w:hideMark/>
          </w:tcPr>
          <w:p w14:paraId="540FCFD9" w14:textId="77777777" w:rsidR="00000000" w:rsidRDefault="001826C1">
            <w:pPr>
              <w:rPr>
                <w:rFonts w:eastAsia="Times New Roman"/>
                <w:b/>
                <w:bCs/>
                <w:sz w:val="20"/>
                <w:szCs w:val="20"/>
              </w:rPr>
            </w:pPr>
            <w:r>
              <w:rPr>
                <w:rFonts w:eastAsia="Times New Roman"/>
                <w:b/>
                <w:bCs/>
                <w:sz w:val="20"/>
                <w:szCs w:val="20"/>
              </w:rPr>
              <w:t> </w:t>
            </w:r>
          </w:p>
        </w:tc>
      </w:tr>
      <w:tr w:rsidR="00000000" w14:paraId="27256260" w14:textId="77777777">
        <w:tc>
          <w:tcPr>
            <w:tcW w:w="0" w:type="auto"/>
            <w:tcMar>
              <w:top w:w="0" w:type="dxa"/>
              <w:left w:w="0" w:type="dxa"/>
              <w:bottom w:w="30" w:type="dxa"/>
              <w:right w:w="0" w:type="dxa"/>
            </w:tcMar>
            <w:vAlign w:val="bottom"/>
            <w:hideMark/>
          </w:tcPr>
          <w:p w14:paraId="55D1EE23" w14:textId="77777777" w:rsidR="00000000" w:rsidRDefault="001826C1">
            <w:pPr>
              <w:rPr>
                <w:rFonts w:eastAsia="Times New Roman"/>
                <w:b/>
                <w:bCs/>
                <w:sz w:val="20"/>
                <w:szCs w:val="20"/>
              </w:rPr>
            </w:pPr>
            <w:r>
              <w:rPr>
                <w:rFonts w:eastAsia="Times New Roman"/>
                <w:b/>
                <w:bCs/>
                <w:sz w:val="20"/>
                <w:szCs w:val="20"/>
              </w:rPr>
              <w:t>to adjusted EBITDA</w:t>
            </w:r>
          </w:p>
        </w:tc>
        <w:tc>
          <w:tcPr>
            <w:tcW w:w="0" w:type="auto"/>
            <w:tcMar>
              <w:top w:w="0" w:type="dxa"/>
              <w:left w:w="0" w:type="dxa"/>
              <w:bottom w:w="30" w:type="dxa"/>
              <w:right w:w="0" w:type="dxa"/>
            </w:tcMar>
            <w:vAlign w:val="bottom"/>
            <w:hideMark/>
          </w:tcPr>
          <w:p w14:paraId="71A9897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0B380E"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9722FF4"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CA66654"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6B07152"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59F8113B"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CB9F85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5794819" w14:textId="77777777" w:rsidR="00000000" w:rsidRDefault="001826C1">
            <w:pPr>
              <w:jc w:val="center"/>
              <w:rPr>
                <w:rFonts w:eastAsia="Times New Roman"/>
                <w:b/>
                <w:bCs/>
                <w:sz w:val="20"/>
                <w:szCs w:val="20"/>
              </w:rPr>
            </w:pPr>
            <w:r>
              <w:rPr>
                <w:rFonts w:eastAsia="Times New Roman"/>
                <w:b/>
                <w:bCs/>
                <w:sz w:val="20"/>
                <w:szCs w:val="20"/>
              </w:rPr>
              <w:t>2017</w:t>
            </w:r>
          </w:p>
        </w:tc>
        <w:tc>
          <w:tcPr>
            <w:tcW w:w="0" w:type="auto"/>
            <w:tcMar>
              <w:top w:w="0" w:type="dxa"/>
              <w:left w:w="0" w:type="dxa"/>
              <w:bottom w:w="30" w:type="dxa"/>
              <w:right w:w="0" w:type="dxa"/>
            </w:tcMar>
            <w:vAlign w:val="bottom"/>
            <w:hideMark/>
          </w:tcPr>
          <w:p w14:paraId="38CFB1C9"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2E4498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AE5B441" w14:textId="77777777" w:rsidR="00000000" w:rsidRDefault="001826C1">
            <w:pPr>
              <w:jc w:val="center"/>
              <w:rPr>
                <w:rFonts w:eastAsia="Times New Roman"/>
                <w:b/>
                <w:bCs/>
                <w:sz w:val="20"/>
                <w:szCs w:val="20"/>
              </w:rPr>
            </w:pPr>
            <w:r>
              <w:rPr>
                <w:rFonts w:eastAsia="Times New Roman"/>
                <w:b/>
                <w:bCs/>
                <w:sz w:val="20"/>
                <w:szCs w:val="20"/>
              </w:rPr>
              <w:t>2016</w:t>
            </w:r>
          </w:p>
        </w:tc>
        <w:tc>
          <w:tcPr>
            <w:tcW w:w="0" w:type="auto"/>
            <w:tcMar>
              <w:top w:w="0" w:type="dxa"/>
              <w:left w:w="0" w:type="dxa"/>
              <w:bottom w:w="30" w:type="dxa"/>
              <w:right w:w="0" w:type="dxa"/>
            </w:tcMar>
            <w:vAlign w:val="bottom"/>
            <w:hideMark/>
          </w:tcPr>
          <w:p w14:paraId="39411740"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125D2D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161463" w14:textId="77777777" w:rsidR="00000000" w:rsidRDefault="001826C1">
            <w:pPr>
              <w:jc w:val="center"/>
              <w:rPr>
                <w:rFonts w:eastAsia="Times New Roman"/>
                <w:b/>
                <w:bCs/>
                <w:sz w:val="20"/>
                <w:szCs w:val="20"/>
              </w:rPr>
            </w:pPr>
            <w:r>
              <w:rPr>
                <w:rFonts w:eastAsia="Times New Roman"/>
                <w:b/>
                <w:bCs/>
                <w:sz w:val="20"/>
                <w:szCs w:val="20"/>
              </w:rPr>
              <w:t>2015</w:t>
            </w:r>
          </w:p>
        </w:tc>
        <w:tc>
          <w:tcPr>
            <w:tcW w:w="0" w:type="auto"/>
            <w:tcMar>
              <w:top w:w="0" w:type="dxa"/>
              <w:left w:w="0" w:type="dxa"/>
              <w:bottom w:w="30" w:type="dxa"/>
              <w:right w:w="0" w:type="dxa"/>
            </w:tcMar>
            <w:vAlign w:val="bottom"/>
            <w:hideMark/>
          </w:tcPr>
          <w:p w14:paraId="31190018" w14:textId="77777777" w:rsidR="00000000" w:rsidRDefault="001826C1">
            <w:pPr>
              <w:rPr>
                <w:rFonts w:eastAsia="Times New Roman"/>
                <w:b/>
                <w:bCs/>
                <w:sz w:val="20"/>
                <w:szCs w:val="20"/>
              </w:rPr>
            </w:pPr>
            <w:r>
              <w:rPr>
                <w:rFonts w:eastAsia="Times New Roman"/>
                <w:b/>
                <w:bCs/>
                <w:sz w:val="20"/>
                <w:szCs w:val="20"/>
              </w:rPr>
              <w:t> </w:t>
            </w:r>
          </w:p>
        </w:tc>
      </w:tr>
      <w:tr w:rsidR="00000000" w14:paraId="3111939A" w14:textId="77777777">
        <w:tc>
          <w:tcPr>
            <w:tcW w:w="0" w:type="auto"/>
            <w:vAlign w:val="bottom"/>
            <w:hideMark/>
          </w:tcPr>
          <w:p w14:paraId="603BC58E"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7016B9C4" w14:textId="77777777" w:rsidR="00000000" w:rsidRDefault="001826C1">
            <w:pPr>
              <w:rPr>
                <w:rFonts w:eastAsia="Times New Roman"/>
                <w:sz w:val="20"/>
                <w:szCs w:val="20"/>
              </w:rPr>
            </w:pPr>
            <w:r>
              <w:rPr>
                <w:rFonts w:eastAsia="Times New Roman"/>
                <w:sz w:val="20"/>
                <w:szCs w:val="20"/>
              </w:rPr>
              <w:t> </w:t>
            </w:r>
          </w:p>
        </w:tc>
        <w:tc>
          <w:tcPr>
            <w:tcW w:w="0" w:type="auto"/>
            <w:gridSpan w:val="18"/>
            <w:vAlign w:val="bottom"/>
            <w:hideMark/>
          </w:tcPr>
          <w:p w14:paraId="32E18499" w14:textId="77777777" w:rsidR="00000000" w:rsidRDefault="001826C1">
            <w:pPr>
              <w:jc w:val="center"/>
              <w:rPr>
                <w:rFonts w:eastAsia="Times New Roman"/>
                <w:sz w:val="20"/>
                <w:szCs w:val="20"/>
              </w:rPr>
            </w:pPr>
            <w:r>
              <w:rPr>
                <w:rFonts w:eastAsia="Times New Roman"/>
                <w:sz w:val="20"/>
                <w:szCs w:val="20"/>
              </w:rPr>
              <w:t>($ in thousands)</w:t>
            </w:r>
          </w:p>
        </w:tc>
        <w:tc>
          <w:tcPr>
            <w:tcW w:w="0" w:type="auto"/>
            <w:vAlign w:val="bottom"/>
            <w:hideMark/>
          </w:tcPr>
          <w:p w14:paraId="10A8A6BE" w14:textId="77777777" w:rsidR="00000000" w:rsidRDefault="001826C1">
            <w:pPr>
              <w:rPr>
                <w:rFonts w:eastAsia="Times New Roman"/>
                <w:sz w:val="20"/>
                <w:szCs w:val="20"/>
              </w:rPr>
            </w:pPr>
            <w:r>
              <w:rPr>
                <w:rFonts w:eastAsia="Times New Roman"/>
                <w:sz w:val="20"/>
                <w:szCs w:val="20"/>
              </w:rPr>
              <w:t> </w:t>
            </w:r>
          </w:p>
        </w:tc>
      </w:tr>
      <w:tr w:rsidR="00000000" w14:paraId="086B969E" w14:textId="77777777">
        <w:tc>
          <w:tcPr>
            <w:tcW w:w="2500" w:type="pct"/>
            <w:shd w:val="clear" w:color="auto" w:fill="CCEEFF"/>
            <w:vAlign w:val="bottom"/>
            <w:hideMark/>
          </w:tcPr>
          <w:p w14:paraId="0A5846DA" w14:textId="77777777" w:rsidR="00000000" w:rsidRDefault="001826C1">
            <w:pPr>
              <w:rPr>
                <w:rFonts w:eastAsia="Times New Roman"/>
                <w:sz w:val="20"/>
                <w:szCs w:val="20"/>
              </w:rPr>
            </w:pPr>
            <w:r>
              <w:rPr>
                <w:rFonts w:eastAsia="Times New Roman"/>
                <w:sz w:val="20"/>
                <w:szCs w:val="20"/>
              </w:rPr>
              <w:t>Net loss</w:t>
            </w:r>
          </w:p>
        </w:tc>
        <w:tc>
          <w:tcPr>
            <w:tcW w:w="100" w:type="pct"/>
            <w:shd w:val="clear" w:color="auto" w:fill="CCEEFF"/>
            <w:vAlign w:val="bottom"/>
            <w:hideMark/>
          </w:tcPr>
          <w:p w14:paraId="77A2CCB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B959407"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745CA5E2" w14:textId="77777777" w:rsidR="00000000" w:rsidRDefault="001826C1">
            <w:pPr>
              <w:jc w:val="right"/>
              <w:rPr>
                <w:rFonts w:eastAsia="Times New Roman"/>
                <w:sz w:val="20"/>
                <w:szCs w:val="20"/>
              </w:rPr>
            </w:pPr>
            <w:r>
              <w:rPr>
                <w:rFonts w:eastAsia="Times New Roman"/>
                <w:sz w:val="20"/>
                <w:szCs w:val="20"/>
              </w:rPr>
              <w:t>(872</w:t>
            </w:r>
          </w:p>
        </w:tc>
        <w:tc>
          <w:tcPr>
            <w:tcW w:w="50" w:type="pct"/>
            <w:shd w:val="clear" w:color="auto" w:fill="CCEEFF"/>
            <w:vAlign w:val="bottom"/>
            <w:hideMark/>
          </w:tcPr>
          <w:p w14:paraId="2154CB09"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4CFDDC8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2021317"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64A33058" w14:textId="77777777" w:rsidR="00000000" w:rsidRDefault="001826C1">
            <w:pPr>
              <w:jc w:val="right"/>
              <w:rPr>
                <w:rFonts w:eastAsia="Times New Roman"/>
                <w:sz w:val="20"/>
                <w:szCs w:val="20"/>
              </w:rPr>
            </w:pPr>
            <w:r>
              <w:rPr>
                <w:rFonts w:eastAsia="Times New Roman"/>
                <w:sz w:val="20"/>
                <w:szCs w:val="20"/>
              </w:rPr>
              <w:t>(2,138</w:t>
            </w:r>
          </w:p>
        </w:tc>
        <w:tc>
          <w:tcPr>
            <w:tcW w:w="50" w:type="pct"/>
            <w:shd w:val="clear" w:color="auto" w:fill="CCEEFF"/>
            <w:vAlign w:val="bottom"/>
            <w:hideMark/>
          </w:tcPr>
          <w:p w14:paraId="63829BC0"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249DF14A"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A3E63DF"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268A4080" w14:textId="77777777" w:rsidR="00000000" w:rsidRDefault="001826C1">
            <w:pPr>
              <w:jc w:val="right"/>
              <w:rPr>
                <w:rFonts w:eastAsia="Times New Roman"/>
                <w:sz w:val="20"/>
                <w:szCs w:val="20"/>
              </w:rPr>
            </w:pPr>
            <w:r>
              <w:rPr>
                <w:rFonts w:eastAsia="Times New Roman"/>
                <w:sz w:val="20"/>
                <w:szCs w:val="20"/>
              </w:rPr>
              <w:t>(5,565</w:t>
            </w:r>
          </w:p>
        </w:tc>
        <w:tc>
          <w:tcPr>
            <w:tcW w:w="50" w:type="pct"/>
            <w:shd w:val="clear" w:color="auto" w:fill="CCEEFF"/>
            <w:vAlign w:val="bottom"/>
            <w:hideMark/>
          </w:tcPr>
          <w:p w14:paraId="20D923DA"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45412242"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ECC236D"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28780A8E" w14:textId="77777777" w:rsidR="00000000" w:rsidRDefault="001826C1">
            <w:pPr>
              <w:jc w:val="right"/>
              <w:rPr>
                <w:rFonts w:eastAsia="Times New Roman"/>
                <w:sz w:val="20"/>
                <w:szCs w:val="20"/>
              </w:rPr>
            </w:pPr>
            <w:r>
              <w:rPr>
                <w:rFonts w:eastAsia="Times New Roman"/>
                <w:sz w:val="20"/>
                <w:szCs w:val="20"/>
              </w:rPr>
              <w:t>(8,797</w:t>
            </w:r>
          </w:p>
        </w:tc>
        <w:tc>
          <w:tcPr>
            <w:tcW w:w="50" w:type="pct"/>
            <w:shd w:val="clear" w:color="auto" w:fill="CCEEFF"/>
            <w:vAlign w:val="bottom"/>
            <w:hideMark/>
          </w:tcPr>
          <w:p w14:paraId="2039AA1A"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5F3F69F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D1A76A" w14:textId="77777777" w:rsidR="00000000" w:rsidRDefault="001826C1">
            <w:pPr>
              <w:rPr>
                <w:rFonts w:eastAsia="Times New Roman"/>
                <w:sz w:val="20"/>
                <w:szCs w:val="20"/>
              </w:rPr>
            </w:pPr>
            <w:r>
              <w:rPr>
                <w:rFonts w:eastAsia="Times New Roman"/>
                <w:sz w:val="20"/>
                <w:szCs w:val="20"/>
              </w:rPr>
              <w:t>$</w:t>
            </w:r>
          </w:p>
        </w:tc>
        <w:tc>
          <w:tcPr>
            <w:tcW w:w="300" w:type="pct"/>
            <w:shd w:val="clear" w:color="auto" w:fill="CCEEFF"/>
            <w:vAlign w:val="bottom"/>
            <w:hideMark/>
          </w:tcPr>
          <w:p w14:paraId="6C105031" w14:textId="77777777" w:rsidR="00000000" w:rsidRDefault="001826C1">
            <w:pPr>
              <w:jc w:val="right"/>
              <w:rPr>
                <w:rFonts w:eastAsia="Times New Roman"/>
                <w:sz w:val="20"/>
                <w:szCs w:val="20"/>
              </w:rPr>
            </w:pPr>
            <w:r>
              <w:rPr>
                <w:rFonts w:eastAsia="Times New Roman"/>
                <w:sz w:val="20"/>
                <w:szCs w:val="20"/>
              </w:rPr>
              <w:t>(4,688</w:t>
            </w:r>
          </w:p>
        </w:tc>
        <w:tc>
          <w:tcPr>
            <w:tcW w:w="50" w:type="pct"/>
            <w:shd w:val="clear" w:color="auto" w:fill="CCEEFF"/>
            <w:vAlign w:val="bottom"/>
            <w:hideMark/>
          </w:tcPr>
          <w:p w14:paraId="48E15AF7" w14:textId="77777777" w:rsidR="00000000" w:rsidRDefault="001826C1">
            <w:pPr>
              <w:rPr>
                <w:rFonts w:eastAsia="Times New Roman"/>
                <w:sz w:val="20"/>
                <w:szCs w:val="20"/>
              </w:rPr>
            </w:pPr>
            <w:r>
              <w:rPr>
                <w:rFonts w:eastAsia="Times New Roman"/>
                <w:sz w:val="20"/>
                <w:szCs w:val="20"/>
              </w:rPr>
              <w:t>)</w:t>
            </w:r>
          </w:p>
        </w:tc>
      </w:tr>
      <w:tr w:rsidR="00000000" w14:paraId="5ABFF24B" w14:textId="77777777">
        <w:tc>
          <w:tcPr>
            <w:tcW w:w="0" w:type="auto"/>
            <w:shd w:val="clear" w:color="auto" w:fill="FFFFFF"/>
            <w:vAlign w:val="bottom"/>
            <w:hideMark/>
          </w:tcPr>
          <w:p w14:paraId="227DD98E" w14:textId="77777777" w:rsidR="00000000" w:rsidRDefault="001826C1">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510FF23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C8C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75795" w14:textId="77777777" w:rsidR="00000000" w:rsidRDefault="001826C1">
            <w:pPr>
              <w:jc w:val="right"/>
              <w:rPr>
                <w:rFonts w:eastAsia="Times New Roman"/>
                <w:sz w:val="20"/>
                <w:szCs w:val="20"/>
              </w:rPr>
            </w:pPr>
            <w:r>
              <w:rPr>
                <w:rFonts w:eastAsia="Times New Roman"/>
                <w:sz w:val="20"/>
                <w:szCs w:val="20"/>
              </w:rPr>
              <w:t>909</w:t>
            </w:r>
          </w:p>
        </w:tc>
        <w:tc>
          <w:tcPr>
            <w:tcW w:w="0" w:type="auto"/>
            <w:shd w:val="clear" w:color="auto" w:fill="FFFFFF"/>
            <w:vAlign w:val="bottom"/>
            <w:hideMark/>
          </w:tcPr>
          <w:p w14:paraId="6327A8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761B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18EB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FDF072" w14:textId="77777777" w:rsidR="00000000" w:rsidRDefault="001826C1">
            <w:pPr>
              <w:jc w:val="right"/>
              <w:rPr>
                <w:rFonts w:eastAsia="Times New Roman"/>
                <w:sz w:val="20"/>
                <w:szCs w:val="20"/>
              </w:rPr>
            </w:pPr>
            <w:r>
              <w:rPr>
                <w:rFonts w:eastAsia="Times New Roman"/>
                <w:sz w:val="20"/>
                <w:szCs w:val="20"/>
              </w:rPr>
              <w:t>689</w:t>
            </w:r>
          </w:p>
        </w:tc>
        <w:tc>
          <w:tcPr>
            <w:tcW w:w="0" w:type="auto"/>
            <w:shd w:val="clear" w:color="auto" w:fill="FFFFFF"/>
            <w:vAlign w:val="bottom"/>
            <w:hideMark/>
          </w:tcPr>
          <w:p w14:paraId="33FE0B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F9B5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A965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A50920" w14:textId="77777777" w:rsidR="00000000" w:rsidRDefault="001826C1">
            <w:pPr>
              <w:jc w:val="right"/>
              <w:rPr>
                <w:rFonts w:eastAsia="Times New Roman"/>
                <w:sz w:val="20"/>
                <w:szCs w:val="20"/>
              </w:rPr>
            </w:pPr>
            <w:r>
              <w:rPr>
                <w:rFonts w:eastAsia="Times New Roman"/>
                <w:sz w:val="20"/>
                <w:szCs w:val="20"/>
              </w:rPr>
              <w:t>634</w:t>
            </w:r>
          </w:p>
        </w:tc>
        <w:tc>
          <w:tcPr>
            <w:tcW w:w="0" w:type="auto"/>
            <w:shd w:val="clear" w:color="auto" w:fill="FFFFFF"/>
            <w:vAlign w:val="bottom"/>
            <w:hideMark/>
          </w:tcPr>
          <w:p w14:paraId="745BD42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E60F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EB3BE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656B80" w14:textId="77777777" w:rsidR="00000000" w:rsidRDefault="001826C1">
            <w:pPr>
              <w:jc w:val="right"/>
              <w:rPr>
                <w:rFonts w:eastAsia="Times New Roman"/>
                <w:sz w:val="20"/>
                <w:szCs w:val="20"/>
              </w:rPr>
            </w:pPr>
            <w:r>
              <w:rPr>
                <w:rFonts w:eastAsia="Times New Roman"/>
                <w:sz w:val="20"/>
                <w:szCs w:val="20"/>
              </w:rPr>
              <w:t>527</w:t>
            </w:r>
          </w:p>
        </w:tc>
        <w:tc>
          <w:tcPr>
            <w:tcW w:w="0" w:type="auto"/>
            <w:shd w:val="clear" w:color="auto" w:fill="FFFFFF"/>
            <w:vAlign w:val="bottom"/>
            <w:hideMark/>
          </w:tcPr>
          <w:p w14:paraId="15D9FDF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F0DF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B0562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65589" w14:textId="77777777" w:rsidR="00000000" w:rsidRDefault="001826C1">
            <w:pPr>
              <w:jc w:val="right"/>
              <w:rPr>
                <w:rFonts w:eastAsia="Times New Roman"/>
                <w:sz w:val="20"/>
                <w:szCs w:val="20"/>
              </w:rPr>
            </w:pPr>
            <w:r>
              <w:rPr>
                <w:rFonts w:eastAsia="Times New Roman"/>
                <w:sz w:val="20"/>
                <w:szCs w:val="20"/>
              </w:rPr>
              <w:t>420</w:t>
            </w:r>
          </w:p>
        </w:tc>
        <w:tc>
          <w:tcPr>
            <w:tcW w:w="0" w:type="auto"/>
            <w:shd w:val="clear" w:color="auto" w:fill="FFFFFF"/>
            <w:vAlign w:val="bottom"/>
            <w:hideMark/>
          </w:tcPr>
          <w:p w14:paraId="336C3F2A" w14:textId="77777777" w:rsidR="00000000" w:rsidRDefault="001826C1">
            <w:pPr>
              <w:rPr>
                <w:rFonts w:eastAsia="Times New Roman"/>
                <w:sz w:val="20"/>
                <w:szCs w:val="20"/>
              </w:rPr>
            </w:pPr>
            <w:r>
              <w:rPr>
                <w:rFonts w:eastAsia="Times New Roman"/>
                <w:sz w:val="20"/>
                <w:szCs w:val="20"/>
              </w:rPr>
              <w:t> </w:t>
            </w:r>
          </w:p>
        </w:tc>
      </w:tr>
      <w:tr w:rsidR="00000000" w14:paraId="20A772D1" w14:textId="77777777">
        <w:tc>
          <w:tcPr>
            <w:tcW w:w="0" w:type="auto"/>
            <w:shd w:val="clear" w:color="auto" w:fill="CCEEFF"/>
            <w:vAlign w:val="bottom"/>
            <w:hideMark/>
          </w:tcPr>
          <w:p w14:paraId="10BEFE64" w14:textId="77777777" w:rsidR="00000000" w:rsidRDefault="001826C1">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14:paraId="0A31FF5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1CC1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829BB" w14:textId="77777777" w:rsidR="00000000" w:rsidRDefault="001826C1">
            <w:pPr>
              <w:jc w:val="right"/>
              <w:rPr>
                <w:rFonts w:eastAsia="Times New Roman"/>
                <w:sz w:val="20"/>
                <w:szCs w:val="20"/>
              </w:rPr>
            </w:pPr>
            <w:r>
              <w:rPr>
                <w:rFonts w:eastAsia="Times New Roman"/>
                <w:sz w:val="20"/>
                <w:szCs w:val="20"/>
              </w:rPr>
              <w:t>2,097</w:t>
            </w:r>
          </w:p>
        </w:tc>
        <w:tc>
          <w:tcPr>
            <w:tcW w:w="0" w:type="auto"/>
            <w:shd w:val="clear" w:color="auto" w:fill="CCEEFF"/>
            <w:vAlign w:val="bottom"/>
            <w:hideMark/>
          </w:tcPr>
          <w:p w14:paraId="74D5C25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EB5B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DEFDF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C27CB9" w14:textId="77777777" w:rsidR="00000000" w:rsidRDefault="001826C1">
            <w:pPr>
              <w:jc w:val="right"/>
              <w:rPr>
                <w:rFonts w:eastAsia="Times New Roman"/>
                <w:sz w:val="20"/>
                <w:szCs w:val="20"/>
              </w:rPr>
            </w:pPr>
            <w:r>
              <w:rPr>
                <w:rFonts w:eastAsia="Times New Roman"/>
                <w:sz w:val="20"/>
                <w:szCs w:val="20"/>
              </w:rPr>
              <w:t>2,165</w:t>
            </w:r>
          </w:p>
        </w:tc>
        <w:tc>
          <w:tcPr>
            <w:tcW w:w="0" w:type="auto"/>
            <w:shd w:val="clear" w:color="auto" w:fill="CCEEFF"/>
            <w:vAlign w:val="bottom"/>
            <w:hideMark/>
          </w:tcPr>
          <w:p w14:paraId="1937865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28CB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1BC9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0953ED" w14:textId="77777777" w:rsidR="00000000" w:rsidRDefault="001826C1">
            <w:pPr>
              <w:jc w:val="right"/>
              <w:rPr>
                <w:rFonts w:eastAsia="Times New Roman"/>
                <w:sz w:val="20"/>
                <w:szCs w:val="20"/>
              </w:rPr>
            </w:pPr>
            <w:r>
              <w:rPr>
                <w:rFonts w:eastAsia="Times New Roman"/>
                <w:sz w:val="20"/>
                <w:szCs w:val="20"/>
              </w:rPr>
              <w:t>3,666</w:t>
            </w:r>
          </w:p>
        </w:tc>
        <w:tc>
          <w:tcPr>
            <w:tcW w:w="0" w:type="auto"/>
            <w:shd w:val="clear" w:color="auto" w:fill="CCEEFF"/>
            <w:vAlign w:val="bottom"/>
            <w:hideMark/>
          </w:tcPr>
          <w:p w14:paraId="13E572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721C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AF03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308338" w14:textId="77777777" w:rsidR="00000000" w:rsidRDefault="001826C1">
            <w:pPr>
              <w:jc w:val="right"/>
              <w:rPr>
                <w:rFonts w:eastAsia="Times New Roman"/>
                <w:sz w:val="20"/>
                <w:szCs w:val="20"/>
              </w:rPr>
            </w:pPr>
            <w:r>
              <w:rPr>
                <w:rFonts w:eastAsia="Times New Roman"/>
                <w:sz w:val="20"/>
                <w:szCs w:val="20"/>
              </w:rPr>
              <w:t>4,581</w:t>
            </w:r>
          </w:p>
        </w:tc>
        <w:tc>
          <w:tcPr>
            <w:tcW w:w="0" w:type="auto"/>
            <w:shd w:val="clear" w:color="auto" w:fill="CCEEFF"/>
            <w:vAlign w:val="bottom"/>
            <w:hideMark/>
          </w:tcPr>
          <w:p w14:paraId="0926CF5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D07D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525E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F8ADB4" w14:textId="77777777" w:rsidR="00000000" w:rsidRDefault="001826C1">
            <w:pPr>
              <w:jc w:val="right"/>
              <w:rPr>
                <w:rFonts w:eastAsia="Times New Roman"/>
                <w:sz w:val="20"/>
                <w:szCs w:val="20"/>
              </w:rPr>
            </w:pPr>
            <w:r>
              <w:rPr>
                <w:rFonts w:eastAsia="Times New Roman"/>
                <w:sz w:val="20"/>
                <w:szCs w:val="20"/>
              </w:rPr>
              <w:t>4,179</w:t>
            </w:r>
          </w:p>
        </w:tc>
        <w:tc>
          <w:tcPr>
            <w:tcW w:w="0" w:type="auto"/>
            <w:shd w:val="clear" w:color="auto" w:fill="CCEEFF"/>
            <w:vAlign w:val="bottom"/>
            <w:hideMark/>
          </w:tcPr>
          <w:p w14:paraId="592CA449" w14:textId="77777777" w:rsidR="00000000" w:rsidRDefault="001826C1">
            <w:pPr>
              <w:rPr>
                <w:rFonts w:eastAsia="Times New Roman"/>
                <w:sz w:val="20"/>
                <w:szCs w:val="20"/>
              </w:rPr>
            </w:pPr>
            <w:r>
              <w:rPr>
                <w:rFonts w:eastAsia="Times New Roman"/>
                <w:sz w:val="20"/>
                <w:szCs w:val="20"/>
              </w:rPr>
              <w:t> </w:t>
            </w:r>
          </w:p>
        </w:tc>
      </w:tr>
      <w:tr w:rsidR="00000000" w14:paraId="0DEF4928" w14:textId="77777777">
        <w:tc>
          <w:tcPr>
            <w:tcW w:w="0" w:type="auto"/>
            <w:shd w:val="clear" w:color="auto" w:fill="FFFFFF"/>
            <w:vAlign w:val="bottom"/>
            <w:hideMark/>
          </w:tcPr>
          <w:p w14:paraId="52EC7DC9" w14:textId="77777777" w:rsidR="00000000" w:rsidRDefault="001826C1">
            <w:pPr>
              <w:rPr>
                <w:rFonts w:eastAsia="Times New Roman"/>
                <w:sz w:val="20"/>
                <w:szCs w:val="20"/>
              </w:rPr>
            </w:pPr>
            <w:r>
              <w:rPr>
                <w:rFonts w:eastAsia="Times New Roman"/>
                <w:sz w:val="20"/>
                <w:szCs w:val="20"/>
              </w:rPr>
              <w:t>Foreign exchange loss (gain) / other expense</w:t>
            </w:r>
          </w:p>
        </w:tc>
        <w:tc>
          <w:tcPr>
            <w:tcW w:w="0" w:type="auto"/>
            <w:shd w:val="clear" w:color="auto" w:fill="FFFFFF"/>
            <w:vAlign w:val="bottom"/>
            <w:hideMark/>
          </w:tcPr>
          <w:p w14:paraId="55A27B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5F7A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F5078B" w14:textId="77777777" w:rsidR="00000000" w:rsidRDefault="001826C1">
            <w:pPr>
              <w:jc w:val="right"/>
              <w:rPr>
                <w:rFonts w:eastAsia="Times New Roman"/>
                <w:sz w:val="20"/>
                <w:szCs w:val="20"/>
              </w:rPr>
            </w:pPr>
            <w:r>
              <w:rPr>
                <w:rFonts w:eastAsia="Times New Roman"/>
                <w:sz w:val="20"/>
                <w:szCs w:val="20"/>
              </w:rPr>
              <w:t>827</w:t>
            </w:r>
          </w:p>
        </w:tc>
        <w:tc>
          <w:tcPr>
            <w:tcW w:w="0" w:type="auto"/>
            <w:shd w:val="clear" w:color="auto" w:fill="FFFFFF"/>
            <w:vAlign w:val="bottom"/>
            <w:hideMark/>
          </w:tcPr>
          <w:p w14:paraId="352F39A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C2E96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80B6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F7CB2B" w14:textId="77777777" w:rsidR="00000000" w:rsidRDefault="001826C1">
            <w:pPr>
              <w:jc w:val="right"/>
              <w:rPr>
                <w:rFonts w:eastAsia="Times New Roman"/>
                <w:sz w:val="20"/>
                <w:szCs w:val="20"/>
              </w:rPr>
            </w:pPr>
            <w:r>
              <w:rPr>
                <w:rFonts w:eastAsia="Times New Roman"/>
                <w:sz w:val="20"/>
                <w:szCs w:val="20"/>
              </w:rPr>
              <w:t>(435</w:t>
            </w:r>
          </w:p>
        </w:tc>
        <w:tc>
          <w:tcPr>
            <w:tcW w:w="0" w:type="auto"/>
            <w:shd w:val="clear" w:color="auto" w:fill="FFFFFF"/>
            <w:vAlign w:val="bottom"/>
            <w:hideMark/>
          </w:tcPr>
          <w:p w14:paraId="0C39F542"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682A7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52D2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60F685" w14:textId="77777777" w:rsidR="00000000" w:rsidRDefault="001826C1">
            <w:pPr>
              <w:jc w:val="right"/>
              <w:rPr>
                <w:rFonts w:eastAsia="Times New Roman"/>
                <w:sz w:val="20"/>
                <w:szCs w:val="20"/>
              </w:rPr>
            </w:pPr>
            <w:r>
              <w:rPr>
                <w:rFonts w:eastAsia="Times New Roman"/>
                <w:sz w:val="20"/>
                <w:szCs w:val="20"/>
              </w:rPr>
              <w:t>(249</w:t>
            </w:r>
          </w:p>
        </w:tc>
        <w:tc>
          <w:tcPr>
            <w:tcW w:w="0" w:type="auto"/>
            <w:shd w:val="clear" w:color="auto" w:fill="FFFFFF"/>
            <w:vAlign w:val="bottom"/>
            <w:hideMark/>
          </w:tcPr>
          <w:p w14:paraId="3BDE3DA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7F135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4CB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2C03F0" w14:textId="77777777" w:rsidR="00000000" w:rsidRDefault="001826C1">
            <w:pPr>
              <w:jc w:val="right"/>
              <w:rPr>
                <w:rFonts w:eastAsia="Times New Roman"/>
                <w:sz w:val="20"/>
                <w:szCs w:val="20"/>
              </w:rPr>
            </w:pPr>
            <w:r>
              <w:rPr>
                <w:rFonts w:eastAsia="Times New Roman"/>
                <w:sz w:val="20"/>
                <w:szCs w:val="20"/>
              </w:rPr>
              <w:t>53</w:t>
            </w:r>
          </w:p>
        </w:tc>
        <w:tc>
          <w:tcPr>
            <w:tcW w:w="0" w:type="auto"/>
            <w:shd w:val="clear" w:color="auto" w:fill="FFFFFF"/>
            <w:vAlign w:val="bottom"/>
            <w:hideMark/>
          </w:tcPr>
          <w:p w14:paraId="1FA0076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4990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27358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3E80B2" w14:textId="77777777" w:rsidR="00000000" w:rsidRDefault="001826C1">
            <w:pPr>
              <w:jc w:val="right"/>
              <w:rPr>
                <w:rFonts w:eastAsia="Times New Roman"/>
                <w:sz w:val="20"/>
                <w:szCs w:val="20"/>
              </w:rPr>
            </w:pPr>
            <w:r>
              <w:rPr>
                <w:rFonts w:eastAsia="Times New Roman"/>
                <w:sz w:val="20"/>
                <w:szCs w:val="20"/>
              </w:rPr>
              <w:t>(170</w:t>
            </w:r>
          </w:p>
        </w:tc>
        <w:tc>
          <w:tcPr>
            <w:tcW w:w="0" w:type="auto"/>
            <w:shd w:val="clear" w:color="auto" w:fill="FFFFFF"/>
            <w:vAlign w:val="bottom"/>
            <w:hideMark/>
          </w:tcPr>
          <w:p w14:paraId="4DDC0D19" w14:textId="77777777" w:rsidR="00000000" w:rsidRDefault="001826C1">
            <w:pPr>
              <w:rPr>
                <w:rFonts w:eastAsia="Times New Roman"/>
                <w:sz w:val="20"/>
                <w:szCs w:val="20"/>
              </w:rPr>
            </w:pPr>
            <w:r>
              <w:rPr>
                <w:rFonts w:eastAsia="Times New Roman"/>
                <w:sz w:val="20"/>
                <w:szCs w:val="20"/>
              </w:rPr>
              <w:t>)</w:t>
            </w:r>
          </w:p>
        </w:tc>
      </w:tr>
      <w:tr w:rsidR="00000000" w14:paraId="1DF2177C" w14:textId="77777777">
        <w:tc>
          <w:tcPr>
            <w:tcW w:w="0" w:type="auto"/>
            <w:shd w:val="clear" w:color="auto" w:fill="CCEEFF"/>
            <w:vAlign w:val="bottom"/>
            <w:hideMark/>
          </w:tcPr>
          <w:p w14:paraId="2FD64B8A" w14:textId="77777777" w:rsidR="00000000" w:rsidRDefault="001826C1">
            <w:pPr>
              <w:rPr>
                <w:rFonts w:eastAsia="Times New Roman"/>
                <w:sz w:val="20"/>
                <w:szCs w:val="20"/>
              </w:rPr>
            </w:pPr>
            <w:r>
              <w:rPr>
                <w:rFonts w:eastAsia="Times New Roman"/>
                <w:sz w:val="20"/>
                <w:szCs w:val="20"/>
              </w:rPr>
              <w:t>Interest expense - net</w:t>
            </w:r>
          </w:p>
        </w:tc>
        <w:tc>
          <w:tcPr>
            <w:tcW w:w="0" w:type="auto"/>
            <w:shd w:val="clear" w:color="auto" w:fill="CCEEFF"/>
            <w:vAlign w:val="bottom"/>
            <w:hideMark/>
          </w:tcPr>
          <w:p w14:paraId="4B1CB5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7D8D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A9B633" w14:textId="77777777" w:rsidR="00000000" w:rsidRDefault="001826C1">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14:paraId="07BF88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E1F6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AFB1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36381" w14:textId="77777777" w:rsidR="00000000" w:rsidRDefault="001826C1">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14:paraId="334D01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373A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DC04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9F5592" w14:textId="77777777" w:rsidR="00000000" w:rsidRDefault="001826C1">
            <w:pPr>
              <w:jc w:val="right"/>
              <w:rPr>
                <w:rFonts w:eastAsia="Times New Roman"/>
                <w:sz w:val="20"/>
                <w:szCs w:val="20"/>
              </w:rPr>
            </w:pPr>
            <w:r>
              <w:rPr>
                <w:rFonts w:eastAsia="Times New Roman"/>
                <w:sz w:val="20"/>
                <w:szCs w:val="20"/>
              </w:rPr>
              <w:t>1,307</w:t>
            </w:r>
          </w:p>
        </w:tc>
        <w:tc>
          <w:tcPr>
            <w:tcW w:w="0" w:type="auto"/>
            <w:shd w:val="clear" w:color="auto" w:fill="CCEEFF"/>
            <w:vAlign w:val="bottom"/>
            <w:hideMark/>
          </w:tcPr>
          <w:p w14:paraId="67A2A55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AD081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1D2B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24888C" w14:textId="77777777" w:rsidR="00000000" w:rsidRDefault="001826C1">
            <w:pPr>
              <w:jc w:val="right"/>
              <w:rPr>
                <w:rFonts w:eastAsia="Times New Roman"/>
                <w:sz w:val="20"/>
                <w:szCs w:val="20"/>
              </w:rPr>
            </w:pPr>
            <w:r>
              <w:rPr>
                <w:rFonts w:eastAsia="Times New Roman"/>
                <w:sz w:val="20"/>
                <w:szCs w:val="20"/>
              </w:rPr>
              <w:t>646</w:t>
            </w:r>
          </w:p>
        </w:tc>
        <w:tc>
          <w:tcPr>
            <w:tcW w:w="0" w:type="auto"/>
            <w:shd w:val="clear" w:color="auto" w:fill="CCEEFF"/>
            <w:vAlign w:val="bottom"/>
            <w:hideMark/>
          </w:tcPr>
          <w:p w14:paraId="709718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A26E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76A4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8823F" w14:textId="77777777" w:rsidR="00000000" w:rsidRDefault="001826C1">
            <w:pPr>
              <w:jc w:val="right"/>
              <w:rPr>
                <w:rFonts w:eastAsia="Times New Roman"/>
                <w:sz w:val="20"/>
                <w:szCs w:val="20"/>
              </w:rPr>
            </w:pPr>
            <w:r>
              <w:rPr>
                <w:rFonts w:eastAsia="Times New Roman"/>
                <w:sz w:val="20"/>
                <w:szCs w:val="20"/>
              </w:rPr>
              <w:t>262</w:t>
            </w:r>
          </w:p>
        </w:tc>
        <w:tc>
          <w:tcPr>
            <w:tcW w:w="0" w:type="auto"/>
            <w:shd w:val="clear" w:color="auto" w:fill="CCEEFF"/>
            <w:vAlign w:val="bottom"/>
            <w:hideMark/>
          </w:tcPr>
          <w:p w14:paraId="3CC99F53" w14:textId="77777777" w:rsidR="00000000" w:rsidRDefault="001826C1">
            <w:pPr>
              <w:rPr>
                <w:rFonts w:eastAsia="Times New Roman"/>
                <w:sz w:val="20"/>
                <w:szCs w:val="20"/>
              </w:rPr>
            </w:pPr>
            <w:r>
              <w:rPr>
                <w:rFonts w:eastAsia="Times New Roman"/>
                <w:sz w:val="20"/>
                <w:szCs w:val="20"/>
              </w:rPr>
              <w:t> </w:t>
            </w:r>
          </w:p>
        </w:tc>
      </w:tr>
      <w:tr w:rsidR="00000000" w14:paraId="4B9A2AC0" w14:textId="77777777">
        <w:tc>
          <w:tcPr>
            <w:tcW w:w="0" w:type="auto"/>
            <w:shd w:val="clear" w:color="auto" w:fill="FFFFFF"/>
            <w:vAlign w:val="bottom"/>
            <w:hideMark/>
          </w:tcPr>
          <w:p w14:paraId="6B7BABD6" w14:textId="77777777" w:rsidR="00000000" w:rsidRDefault="001826C1">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14:paraId="027C2F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23C9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E3C39A" w14:textId="77777777" w:rsidR="00000000" w:rsidRDefault="001826C1">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14:paraId="30D39C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56B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86F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8DAD38" w14:textId="77777777" w:rsidR="00000000" w:rsidRDefault="001826C1">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14:paraId="713B2D0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63C91F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B93C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3FA278" w14:textId="77777777" w:rsidR="00000000" w:rsidRDefault="001826C1">
            <w:pPr>
              <w:jc w:val="right"/>
              <w:rPr>
                <w:rFonts w:eastAsia="Times New Roman"/>
                <w:sz w:val="20"/>
                <w:szCs w:val="20"/>
              </w:rPr>
            </w:pPr>
            <w:r>
              <w:rPr>
                <w:rFonts w:eastAsia="Times New Roman"/>
                <w:sz w:val="20"/>
                <w:szCs w:val="20"/>
              </w:rPr>
              <w:t>68</w:t>
            </w:r>
          </w:p>
        </w:tc>
        <w:tc>
          <w:tcPr>
            <w:tcW w:w="0" w:type="auto"/>
            <w:shd w:val="clear" w:color="auto" w:fill="FFFFFF"/>
            <w:vAlign w:val="bottom"/>
            <w:hideMark/>
          </w:tcPr>
          <w:p w14:paraId="2948A09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45E0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C657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1E589F" w14:textId="77777777" w:rsidR="00000000" w:rsidRDefault="001826C1">
            <w:pPr>
              <w:jc w:val="right"/>
              <w:rPr>
                <w:rFonts w:eastAsia="Times New Roman"/>
                <w:sz w:val="20"/>
                <w:szCs w:val="20"/>
              </w:rPr>
            </w:pPr>
            <w:r>
              <w:rPr>
                <w:rFonts w:eastAsia="Times New Roman"/>
                <w:sz w:val="20"/>
                <w:szCs w:val="20"/>
              </w:rPr>
              <w:t>197</w:t>
            </w:r>
          </w:p>
        </w:tc>
        <w:tc>
          <w:tcPr>
            <w:tcW w:w="0" w:type="auto"/>
            <w:shd w:val="clear" w:color="auto" w:fill="FFFFFF"/>
            <w:vAlign w:val="bottom"/>
            <w:hideMark/>
          </w:tcPr>
          <w:p w14:paraId="003A9E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D623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14BB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6A2220" w14:textId="77777777" w:rsidR="00000000" w:rsidRDefault="001826C1">
            <w:pPr>
              <w:jc w:val="right"/>
              <w:rPr>
                <w:rFonts w:eastAsia="Times New Roman"/>
                <w:sz w:val="20"/>
                <w:szCs w:val="20"/>
              </w:rPr>
            </w:pPr>
            <w:r>
              <w:rPr>
                <w:rFonts w:eastAsia="Times New Roman"/>
                <w:sz w:val="20"/>
                <w:szCs w:val="20"/>
              </w:rPr>
              <w:t>138</w:t>
            </w:r>
          </w:p>
        </w:tc>
        <w:tc>
          <w:tcPr>
            <w:tcW w:w="0" w:type="auto"/>
            <w:shd w:val="clear" w:color="auto" w:fill="FFFFFF"/>
            <w:vAlign w:val="bottom"/>
            <w:hideMark/>
          </w:tcPr>
          <w:p w14:paraId="51ABEC6E" w14:textId="77777777" w:rsidR="00000000" w:rsidRDefault="001826C1">
            <w:pPr>
              <w:rPr>
                <w:rFonts w:eastAsia="Times New Roman"/>
                <w:sz w:val="20"/>
                <w:szCs w:val="20"/>
              </w:rPr>
            </w:pPr>
            <w:r>
              <w:rPr>
                <w:rFonts w:eastAsia="Times New Roman"/>
                <w:sz w:val="20"/>
                <w:szCs w:val="20"/>
              </w:rPr>
              <w:t> </w:t>
            </w:r>
          </w:p>
        </w:tc>
      </w:tr>
      <w:tr w:rsidR="00000000" w14:paraId="626A25EA" w14:textId="77777777">
        <w:tc>
          <w:tcPr>
            <w:tcW w:w="0" w:type="auto"/>
            <w:shd w:val="clear" w:color="auto" w:fill="CCEEFF"/>
            <w:vAlign w:val="bottom"/>
            <w:hideMark/>
          </w:tcPr>
          <w:p w14:paraId="7466EC13" w14:textId="77777777" w:rsidR="00000000" w:rsidRDefault="001826C1">
            <w:pPr>
              <w:rPr>
                <w:rFonts w:eastAsia="Times New Roman"/>
                <w:sz w:val="20"/>
                <w:szCs w:val="20"/>
              </w:rPr>
            </w:pPr>
            <w:r>
              <w:rPr>
                <w:rFonts w:eastAsia="Times New Roman"/>
                <w:sz w:val="20"/>
                <w:szCs w:val="20"/>
              </w:rPr>
              <w:t>Stock-based compensation expense</w:t>
            </w:r>
          </w:p>
        </w:tc>
        <w:tc>
          <w:tcPr>
            <w:tcW w:w="0" w:type="auto"/>
            <w:shd w:val="clear" w:color="auto" w:fill="CCEEFF"/>
            <w:vAlign w:val="bottom"/>
            <w:hideMark/>
          </w:tcPr>
          <w:p w14:paraId="2B7B9D6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5310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A437AD" w14:textId="77777777" w:rsidR="00000000" w:rsidRDefault="001826C1">
            <w:pPr>
              <w:jc w:val="right"/>
              <w:rPr>
                <w:rFonts w:eastAsia="Times New Roman"/>
                <w:sz w:val="20"/>
                <w:szCs w:val="20"/>
              </w:rPr>
            </w:pPr>
            <w:r>
              <w:rPr>
                <w:rFonts w:eastAsia="Times New Roman"/>
                <w:sz w:val="20"/>
                <w:szCs w:val="20"/>
              </w:rPr>
              <w:t>3,215</w:t>
            </w:r>
          </w:p>
        </w:tc>
        <w:tc>
          <w:tcPr>
            <w:tcW w:w="0" w:type="auto"/>
            <w:shd w:val="clear" w:color="auto" w:fill="CCEEFF"/>
            <w:vAlign w:val="bottom"/>
            <w:hideMark/>
          </w:tcPr>
          <w:p w14:paraId="2FF8D7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6CE9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3784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DD5EEA" w14:textId="77777777" w:rsidR="00000000" w:rsidRDefault="001826C1">
            <w:pPr>
              <w:jc w:val="right"/>
              <w:rPr>
                <w:rFonts w:eastAsia="Times New Roman"/>
                <w:sz w:val="20"/>
                <w:szCs w:val="20"/>
              </w:rPr>
            </w:pPr>
            <w:r>
              <w:rPr>
                <w:rFonts w:eastAsia="Times New Roman"/>
                <w:sz w:val="20"/>
                <w:szCs w:val="20"/>
              </w:rPr>
              <w:t>2,464</w:t>
            </w:r>
          </w:p>
        </w:tc>
        <w:tc>
          <w:tcPr>
            <w:tcW w:w="0" w:type="auto"/>
            <w:shd w:val="clear" w:color="auto" w:fill="CCEEFF"/>
            <w:vAlign w:val="bottom"/>
            <w:hideMark/>
          </w:tcPr>
          <w:p w14:paraId="708F18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A2B9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BAEF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82FBC9" w14:textId="77777777" w:rsidR="00000000" w:rsidRDefault="001826C1">
            <w:pPr>
              <w:jc w:val="right"/>
              <w:rPr>
                <w:rFonts w:eastAsia="Times New Roman"/>
                <w:sz w:val="20"/>
                <w:szCs w:val="20"/>
              </w:rPr>
            </w:pPr>
            <w:r>
              <w:rPr>
                <w:rFonts w:eastAsia="Times New Roman"/>
                <w:sz w:val="20"/>
                <w:szCs w:val="20"/>
              </w:rPr>
              <w:t>1,487</w:t>
            </w:r>
          </w:p>
        </w:tc>
        <w:tc>
          <w:tcPr>
            <w:tcW w:w="0" w:type="auto"/>
            <w:shd w:val="clear" w:color="auto" w:fill="CCEEFF"/>
            <w:vAlign w:val="bottom"/>
            <w:hideMark/>
          </w:tcPr>
          <w:p w14:paraId="730212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8419D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E0244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B683E" w14:textId="77777777" w:rsidR="00000000" w:rsidRDefault="001826C1">
            <w:pPr>
              <w:jc w:val="right"/>
              <w:rPr>
                <w:rFonts w:eastAsia="Times New Roman"/>
                <w:sz w:val="20"/>
                <w:szCs w:val="20"/>
              </w:rPr>
            </w:pPr>
            <w:r>
              <w:rPr>
                <w:rFonts w:eastAsia="Times New Roman"/>
                <w:sz w:val="20"/>
                <w:szCs w:val="20"/>
              </w:rPr>
              <w:t>1,928</w:t>
            </w:r>
          </w:p>
        </w:tc>
        <w:tc>
          <w:tcPr>
            <w:tcW w:w="0" w:type="auto"/>
            <w:shd w:val="clear" w:color="auto" w:fill="CCEEFF"/>
            <w:vAlign w:val="bottom"/>
            <w:hideMark/>
          </w:tcPr>
          <w:p w14:paraId="543AE6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B5C7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A12EF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94527D" w14:textId="77777777" w:rsidR="00000000" w:rsidRDefault="001826C1">
            <w:pPr>
              <w:jc w:val="right"/>
              <w:rPr>
                <w:rFonts w:eastAsia="Times New Roman"/>
                <w:sz w:val="20"/>
                <w:szCs w:val="20"/>
              </w:rPr>
            </w:pPr>
            <w:r>
              <w:rPr>
                <w:rFonts w:eastAsia="Times New Roman"/>
                <w:sz w:val="20"/>
                <w:szCs w:val="20"/>
              </w:rPr>
              <w:t>629</w:t>
            </w:r>
          </w:p>
        </w:tc>
        <w:tc>
          <w:tcPr>
            <w:tcW w:w="0" w:type="auto"/>
            <w:shd w:val="clear" w:color="auto" w:fill="CCEEFF"/>
            <w:vAlign w:val="bottom"/>
            <w:hideMark/>
          </w:tcPr>
          <w:p w14:paraId="212D5031" w14:textId="77777777" w:rsidR="00000000" w:rsidRDefault="001826C1">
            <w:pPr>
              <w:rPr>
                <w:rFonts w:eastAsia="Times New Roman"/>
                <w:sz w:val="20"/>
                <w:szCs w:val="20"/>
              </w:rPr>
            </w:pPr>
            <w:r>
              <w:rPr>
                <w:rFonts w:eastAsia="Times New Roman"/>
                <w:sz w:val="20"/>
                <w:szCs w:val="20"/>
              </w:rPr>
              <w:t> </w:t>
            </w:r>
          </w:p>
        </w:tc>
      </w:tr>
      <w:tr w:rsidR="00000000" w14:paraId="1C6B4614" w14:textId="77777777">
        <w:tc>
          <w:tcPr>
            <w:tcW w:w="0" w:type="auto"/>
            <w:shd w:val="clear" w:color="auto" w:fill="FFFFFF"/>
            <w:vAlign w:val="bottom"/>
            <w:hideMark/>
          </w:tcPr>
          <w:p w14:paraId="1D3D721A" w14:textId="77777777" w:rsidR="00000000" w:rsidRDefault="001826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594F1F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68B8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859B10" w14:textId="77777777" w:rsidR="00000000" w:rsidRDefault="001826C1">
            <w:pPr>
              <w:jc w:val="right"/>
              <w:rPr>
                <w:rFonts w:eastAsia="Times New Roman"/>
                <w:sz w:val="20"/>
                <w:szCs w:val="20"/>
              </w:rPr>
            </w:pPr>
            <w:r>
              <w:rPr>
                <w:rFonts w:eastAsia="Times New Roman"/>
                <w:sz w:val="20"/>
                <w:szCs w:val="20"/>
              </w:rPr>
              <w:t>1,736</w:t>
            </w:r>
          </w:p>
        </w:tc>
        <w:tc>
          <w:tcPr>
            <w:tcW w:w="0" w:type="auto"/>
            <w:shd w:val="clear" w:color="auto" w:fill="FFFFFF"/>
            <w:vAlign w:val="bottom"/>
            <w:hideMark/>
          </w:tcPr>
          <w:p w14:paraId="1F9A76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BEF8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413E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004B5E" w14:textId="77777777" w:rsidR="00000000" w:rsidRDefault="001826C1">
            <w:pPr>
              <w:jc w:val="right"/>
              <w:rPr>
                <w:rFonts w:eastAsia="Times New Roman"/>
                <w:sz w:val="20"/>
                <w:szCs w:val="20"/>
              </w:rPr>
            </w:pPr>
            <w:r>
              <w:rPr>
                <w:rFonts w:eastAsia="Times New Roman"/>
                <w:sz w:val="20"/>
                <w:szCs w:val="20"/>
              </w:rPr>
              <w:t>1,891</w:t>
            </w:r>
          </w:p>
        </w:tc>
        <w:tc>
          <w:tcPr>
            <w:tcW w:w="0" w:type="auto"/>
            <w:shd w:val="clear" w:color="auto" w:fill="FFFFFF"/>
            <w:vAlign w:val="bottom"/>
            <w:hideMark/>
          </w:tcPr>
          <w:p w14:paraId="105839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B03E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6734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5C3BF2" w14:textId="77777777" w:rsidR="00000000" w:rsidRDefault="001826C1">
            <w:pPr>
              <w:jc w:val="right"/>
              <w:rPr>
                <w:rFonts w:eastAsia="Times New Roman"/>
                <w:sz w:val="20"/>
                <w:szCs w:val="20"/>
              </w:rPr>
            </w:pPr>
            <w:r>
              <w:rPr>
                <w:rFonts w:eastAsia="Times New Roman"/>
                <w:sz w:val="20"/>
                <w:szCs w:val="20"/>
              </w:rPr>
              <w:t>515</w:t>
            </w:r>
          </w:p>
        </w:tc>
        <w:tc>
          <w:tcPr>
            <w:tcW w:w="0" w:type="auto"/>
            <w:shd w:val="clear" w:color="auto" w:fill="FFFFFF"/>
            <w:vAlign w:val="bottom"/>
            <w:hideMark/>
          </w:tcPr>
          <w:p w14:paraId="4A7472C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6326A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CF10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C4D94C" w14:textId="77777777" w:rsidR="00000000" w:rsidRDefault="001826C1">
            <w:pPr>
              <w:jc w:val="right"/>
              <w:rPr>
                <w:rFonts w:eastAsia="Times New Roman"/>
                <w:sz w:val="20"/>
                <w:szCs w:val="20"/>
              </w:rPr>
            </w:pPr>
            <w:r>
              <w:rPr>
                <w:rFonts w:eastAsia="Times New Roman"/>
                <w:sz w:val="20"/>
                <w:szCs w:val="20"/>
              </w:rPr>
              <w:t>976</w:t>
            </w:r>
          </w:p>
        </w:tc>
        <w:tc>
          <w:tcPr>
            <w:tcW w:w="0" w:type="auto"/>
            <w:shd w:val="clear" w:color="auto" w:fill="FFFFFF"/>
            <w:vAlign w:val="bottom"/>
            <w:hideMark/>
          </w:tcPr>
          <w:p w14:paraId="4AD11B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13A83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28E8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7B8BC2" w14:textId="77777777" w:rsidR="00000000" w:rsidRDefault="001826C1">
            <w:pPr>
              <w:jc w:val="right"/>
              <w:rPr>
                <w:rFonts w:eastAsia="Times New Roman"/>
                <w:sz w:val="20"/>
                <w:szCs w:val="20"/>
              </w:rPr>
            </w:pPr>
            <w:r>
              <w:rPr>
                <w:rFonts w:eastAsia="Times New Roman"/>
                <w:sz w:val="20"/>
                <w:szCs w:val="20"/>
              </w:rPr>
              <w:t>341</w:t>
            </w:r>
          </w:p>
        </w:tc>
        <w:tc>
          <w:tcPr>
            <w:tcW w:w="0" w:type="auto"/>
            <w:shd w:val="clear" w:color="auto" w:fill="FFFFFF"/>
            <w:vAlign w:val="bottom"/>
            <w:hideMark/>
          </w:tcPr>
          <w:p w14:paraId="3EAD60E7" w14:textId="77777777" w:rsidR="00000000" w:rsidRDefault="001826C1">
            <w:pPr>
              <w:rPr>
                <w:rFonts w:eastAsia="Times New Roman"/>
                <w:sz w:val="20"/>
                <w:szCs w:val="20"/>
              </w:rPr>
            </w:pPr>
            <w:r>
              <w:rPr>
                <w:rFonts w:eastAsia="Times New Roman"/>
                <w:sz w:val="20"/>
                <w:szCs w:val="20"/>
              </w:rPr>
              <w:t> </w:t>
            </w:r>
          </w:p>
        </w:tc>
      </w:tr>
      <w:tr w:rsidR="00000000" w14:paraId="3F938A93" w14:textId="77777777">
        <w:tc>
          <w:tcPr>
            <w:tcW w:w="0" w:type="auto"/>
            <w:shd w:val="clear" w:color="auto" w:fill="CCEEFF"/>
            <w:vAlign w:val="bottom"/>
            <w:hideMark/>
          </w:tcPr>
          <w:p w14:paraId="5A6C1DAB"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00BB10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6192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3F76FF" w14:textId="77777777" w:rsidR="00000000" w:rsidRDefault="001826C1">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14:paraId="2AC5093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FE51E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99C2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CC1937"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FF0297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72EBC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CC2A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8E1293" w14:textId="77777777" w:rsidR="00000000" w:rsidRDefault="001826C1">
            <w:pPr>
              <w:jc w:val="right"/>
              <w:rPr>
                <w:rFonts w:eastAsia="Times New Roman"/>
                <w:sz w:val="20"/>
                <w:szCs w:val="20"/>
              </w:rPr>
            </w:pPr>
            <w:r>
              <w:rPr>
                <w:rFonts w:eastAsia="Times New Roman"/>
                <w:sz w:val="20"/>
                <w:szCs w:val="20"/>
              </w:rPr>
              <w:t>276</w:t>
            </w:r>
          </w:p>
        </w:tc>
        <w:tc>
          <w:tcPr>
            <w:tcW w:w="0" w:type="auto"/>
            <w:shd w:val="clear" w:color="auto" w:fill="CCEEFF"/>
            <w:vAlign w:val="bottom"/>
            <w:hideMark/>
          </w:tcPr>
          <w:p w14:paraId="7E6B88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61FFB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9B9A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71895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AAF87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F9CD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5004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C7826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4E3507D" w14:textId="77777777" w:rsidR="00000000" w:rsidRDefault="001826C1">
            <w:pPr>
              <w:rPr>
                <w:rFonts w:eastAsia="Times New Roman"/>
                <w:sz w:val="20"/>
                <w:szCs w:val="20"/>
              </w:rPr>
            </w:pPr>
            <w:r>
              <w:rPr>
                <w:rFonts w:eastAsia="Times New Roman"/>
                <w:sz w:val="20"/>
                <w:szCs w:val="20"/>
              </w:rPr>
              <w:t> </w:t>
            </w:r>
          </w:p>
        </w:tc>
      </w:tr>
      <w:tr w:rsidR="00000000" w14:paraId="7FBFAA2D" w14:textId="77777777">
        <w:tc>
          <w:tcPr>
            <w:tcW w:w="0" w:type="auto"/>
            <w:shd w:val="clear" w:color="auto" w:fill="FFFFFF"/>
            <w:tcMar>
              <w:top w:w="0" w:type="dxa"/>
              <w:left w:w="0" w:type="dxa"/>
              <w:bottom w:w="30" w:type="dxa"/>
              <w:right w:w="0" w:type="dxa"/>
            </w:tcMar>
            <w:vAlign w:val="bottom"/>
            <w:hideMark/>
          </w:tcPr>
          <w:p w14:paraId="1A3807F7"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72964B0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C9EDA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AF7895" w14:textId="77777777" w:rsidR="00000000" w:rsidRDefault="001826C1">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14:paraId="09B1E69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8E6F4A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44C2C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F0F56E" w14:textId="77777777" w:rsidR="00000000" w:rsidRDefault="001826C1">
            <w:pPr>
              <w:jc w:val="right"/>
              <w:rPr>
                <w:rFonts w:eastAsia="Times New Roman"/>
                <w:sz w:val="20"/>
                <w:szCs w:val="20"/>
              </w:rPr>
            </w:pPr>
            <w:r>
              <w:rPr>
                <w:rFonts w:eastAsia="Times New Roman"/>
                <w:sz w:val="20"/>
                <w:szCs w:val="20"/>
              </w:rPr>
              <w:t>73</w:t>
            </w:r>
          </w:p>
        </w:tc>
        <w:tc>
          <w:tcPr>
            <w:tcW w:w="0" w:type="auto"/>
            <w:shd w:val="clear" w:color="auto" w:fill="FFFFFF"/>
            <w:tcMar>
              <w:top w:w="0" w:type="dxa"/>
              <w:left w:w="0" w:type="dxa"/>
              <w:bottom w:w="30" w:type="dxa"/>
              <w:right w:w="0" w:type="dxa"/>
            </w:tcMar>
            <w:vAlign w:val="bottom"/>
            <w:hideMark/>
          </w:tcPr>
          <w:p w14:paraId="56044C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DE7BAA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EFE67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6948C2" w14:textId="77777777" w:rsidR="00000000" w:rsidRDefault="001826C1">
            <w:pPr>
              <w:jc w:val="right"/>
              <w:rPr>
                <w:rFonts w:eastAsia="Times New Roman"/>
                <w:sz w:val="20"/>
                <w:szCs w:val="20"/>
              </w:rPr>
            </w:pPr>
            <w:r>
              <w:rPr>
                <w:rFonts w:eastAsia="Times New Roman"/>
                <w:sz w:val="20"/>
                <w:szCs w:val="20"/>
              </w:rPr>
              <w:t>152</w:t>
            </w:r>
          </w:p>
        </w:tc>
        <w:tc>
          <w:tcPr>
            <w:tcW w:w="0" w:type="auto"/>
            <w:shd w:val="clear" w:color="auto" w:fill="FFFFFF"/>
            <w:tcMar>
              <w:top w:w="0" w:type="dxa"/>
              <w:left w:w="0" w:type="dxa"/>
              <w:bottom w:w="30" w:type="dxa"/>
              <w:right w:w="0" w:type="dxa"/>
            </w:tcMar>
            <w:vAlign w:val="bottom"/>
            <w:hideMark/>
          </w:tcPr>
          <w:p w14:paraId="5D1919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6E250F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485C9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A14A5F6" w14:textId="77777777" w:rsidR="00000000" w:rsidRDefault="001826C1">
            <w:pPr>
              <w:jc w:val="right"/>
              <w:rPr>
                <w:rFonts w:eastAsia="Times New Roman"/>
                <w:sz w:val="20"/>
                <w:szCs w:val="20"/>
              </w:rPr>
            </w:pPr>
            <w:r>
              <w:rPr>
                <w:rFonts w:eastAsia="Times New Roman"/>
                <w:sz w:val="20"/>
                <w:szCs w:val="20"/>
              </w:rPr>
              <w:t>(716</w:t>
            </w:r>
          </w:p>
        </w:tc>
        <w:tc>
          <w:tcPr>
            <w:tcW w:w="0" w:type="auto"/>
            <w:shd w:val="clear" w:color="auto" w:fill="FFFFFF"/>
            <w:tcMar>
              <w:top w:w="0" w:type="dxa"/>
              <w:left w:w="0" w:type="dxa"/>
              <w:bottom w:w="30" w:type="dxa"/>
              <w:right w:w="0" w:type="dxa"/>
            </w:tcMar>
            <w:vAlign w:val="bottom"/>
            <w:hideMark/>
          </w:tcPr>
          <w:p w14:paraId="252F7C13"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9B7B71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F81DE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9F6534" w14:textId="77777777" w:rsidR="00000000" w:rsidRDefault="001826C1">
            <w:pPr>
              <w:jc w:val="right"/>
              <w:rPr>
                <w:rFonts w:eastAsia="Times New Roman"/>
                <w:sz w:val="20"/>
                <w:szCs w:val="20"/>
              </w:rPr>
            </w:pPr>
            <w:r>
              <w:rPr>
                <w:rFonts w:eastAsia="Times New Roman"/>
                <w:sz w:val="20"/>
                <w:szCs w:val="20"/>
              </w:rPr>
              <w:t>(1,786</w:t>
            </w:r>
          </w:p>
        </w:tc>
        <w:tc>
          <w:tcPr>
            <w:tcW w:w="0" w:type="auto"/>
            <w:shd w:val="clear" w:color="auto" w:fill="FFFFFF"/>
            <w:tcMar>
              <w:top w:w="0" w:type="dxa"/>
              <w:left w:w="0" w:type="dxa"/>
              <w:bottom w:w="30" w:type="dxa"/>
              <w:right w:w="0" w:type="dxa"/>
            </w:tcMar>
            <w:vAlign w:val="bottom"/>
            <w:hideMark/>
          </w:tcPr>
          <w:p w14:paraId="01FA70A2" w14:textId="77777777" w:rsidR="00000000" w:rsidRDefault="001826C1">
            <w:pPr>
              <w:rPr>
                <w:rFonts w:eastAsia="Times New Roman"/>
                <w:sz w:val="20"/>
                <w:szCs w:val="20"/>
              </w:rPr>
            </w:pPr>
            <w:r>
              <w:rPr>
                <w:rFonts w:eastAsia="Times New Roman"/>
                <w:sz w:val="20"/>
                <w:szCs w:val="20"/>
              </w:rPr>
              <w:t>)</w:t>
            </w:r>
          </w:p>
        </w:tc>
      </w:tr>
      <w:tr w:rsidR="00000000" w14:paraId="1F7993F1" w14:textId="77777777">
        <w:tc>
          <w:tcPr>
            <w:tcW w:w="0" w:type="auto"/>
            <w:shd w:val="clear" w:color="auto" w:fill="CCEEFF"/>
            <w:tcMar>
              <w:top w:w="0" w:type="dxa"/>
              <w:left w:w="200" w:type="dxa"/>
              <w:bottom w:w="50" w:type="dxa"/>
              <w:right w:w="0" w:type="dxa"/>
            </w:tcMar>
            <w:vAlign w:val="bottom"/>
            <w:hideMark/>
          </w:tcPr>
          <w:p w14:paraId="76F06A72" w14:textId="77777777" w:rsidR="00000000" w:rsidRDefault="001826C1">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0030902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215E713"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D4EC0BB" w14:textId="77777777" w:rsidR="00000000" w:rsidRDefault="001826C1">
            <w:pPr>
              <w:jc w:val="right"/>
              <w:rPr>
                <w:rFonts w:eastAsia="Times New Roman"/>
                <w:sz w:val="20"/>
                <w:szCs w:val="20"/>
              </w:rPr>
            </w:pPr>
            <w:r>
              <w:rPr>
                <w:rFonts w:eastAsia="Times New Roman"/>
                <w:sz w:val="20"/>
                <w:szCs w:val="20"/>
              </w:rPr>
              <w:t>8,101</w:t>
            </w:r>
          </w:p>
        </w:tc>
        <w:tc>
          <w:tcPr>
            <w:tcW w:w="0" w:type="auto"/>
            <w:shd w:val="clear" w:color="auto" w:fill="CCEEFF"/>
            <w:tcMar>
              <w:top w:w="0" w:type="dxa"/>
              <w:left w:w="0" w:type="dxa"/>
              <w:bottom w:w="50" w:type="dxa"/>
              <w:right w:w="0" w:type="dxa"/>
            </w:tcMar>
            <w:vAlign w:val="bottom"/>
            <w:hideMark/>
          </w:tcPr>
          <w:p w14:paraId="5144C5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660BF3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89559E1"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4A5FAF4" w14:textId="77777777" w:rsidR="00000000" w:rsidRDefault="001826C1">
            <w:pPr>
              <w:jc w:val="right"/>
              <w:rPr>
                <w:rFonts w:eastAsia="Times New Roman"/>
                <w:sz w:val="20"/>
                <w:szCs w:val="20"/>
              </w:rPr>
            </w:pPr>
            <w:r>
              <w:rPr>
                <w:rFonts w:eastAsia="Times New Roman"/>
                <w:sz w:val="20"/>
                <w:szCs w:val="20"/>
              </w:rPr>
              <w:t>4,802</w:t>
            </w:r>
          </w:p>
        </w:tc>
        <w:tc>
          <w:tcPr>
            <w:tcW w:w="0" w:type="auto"/>
            <w:shd w:val="clear" w:color="auto" w:fill="CCEEFF"/>
            <w:tcMar>
              <w:top w:w="0" w:type="dxa"/>
              <w:left w:w="0" w:type="dxa"/>
              <w:bottom w:w="50" w:type="dxa"/>
              <w:right w:w="0" w:type="dxa"/>
            </w:tcMar>
            <w:vAlign w:val="bottom"/>
            <w:hideMark/>
          </w:tcPr>
          <w:p w14:paraId="1E996A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E8E5D7C"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6A55363"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F7CC1D2" w14:textId="77777777" w:rsidR="00000000" w:rsidRDefault="001826C1">
            <w:pPr>
              <w:jc w:val="right"/>
              <w:rPr>
                <w:rFonts w:eastAsia="Times New Roman"/>
                <w:sz w:val="20"/>
                <w:szCs w:val="20"/>
              </w:rPr>
            </w:pPr>
            <w:r>
              <w:rPr>
                <w:rFonts w:eastAsia="Times New Roman"/>
                <w:sz w:val="20"/>
                <w:szCs w:val="20"/>
              </w:rPr>
              <w:t>2,291</w:t>
            </w:r>
          </w:p>
        </w:tc>
        <w:tc>
          <w:tcPr>
            <w:tcW w:w="0" w:type="auto"/>
            <w:shd w:val="clear" w:color="auto" w:fill="CCEEFF"/>
            <w:tcMar>
              <w:top w:w="0" w:type="dxa"/>
              <w:left w:w="0" w:type="dxa"/>
              <w:bottom w:w="50" w:type="dxa"/>
              <w:right w:w="0" w:type="dxa"/>
            </w:tcMar>
            <w:vAlign w:val="bottom"/>
            <w:hideMark/>
          </w:tcPr>
          <w:p w14:paraId="702492B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61D796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3C664A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D10B337" w14:textId="77777777" w:rsidR="00000000" w:rsidRDefault="001826C1">
            <w:pPr>
              <w:jc w:val="right"/>
              <w:rPr>
                <w:rFonts w:eastAsia="Times New Roman"/>
                <w:sz w:val="20"/>
                <w:szCs w:val="20"/>
              </w:rPr>
            </w:pPr>
            <w:r>
              <w:rPr>
                <w:rFonts w:eastAsia="Times New Roman"/>
                <w:sz w:val="20"/>
                <w:szCs w:val="20"/>
              </w:rPr>
              <w:t>(605</w:t>
            </w:r>
          </w:p>
        </w:tc>
        <w:tc>
          <w:tcPr>
            <w:tcW w:w="0" w:type="auto"/>
            <w:shd w:val="clear" w:color="auto" w:fill="CCEEFF"/>
            <w:tcMar>
              <w:top w:w="0" w:type="dxa"/>
              <w:left w:w="0" w:type="dxa"/>
              <w:bottom w:w="50" w:type="dxa"/>
              <w:right w:w="0" w:type="dxa"/>
            </w:tcMar>
            <w:vAlign w:val="bottom"/>
            <w:hideMark/>
          </w:tcPr>
          <w:p w14:paraId="24B7F65C"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072F5CC"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54C6CC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FF6B836" w14:textId="77777777" w:rsidR="00000000" w:rsidRDefault="001826C1">
            <w:pPr>
              <w:jc w:val="right"/>
              <w:rPr>
                <w:rFonts w:eastAsia="Times New Roman"/>
                <w:sz w:val="20"/>
                <w:szCs w:val="20"/>
              </w:rPr>
            </w:pPr>
            <w:r>
              <w:rPr>
                <w:rFonts w:eastAsia="Times New Roman"/>
                <w:sz w:val="20"/>
                <w:szCs w:val="20"/>
              </w:rPr>
              <w:t>(675</w:t>
            </w:r>
          </w:p>
        </w:tc>
        <w:tc>
          <w:tcPr>
            <w:tcW w:w="0" w:type="auto"/>
            <w:shd w:val="clear" w:color="auto" w:fill="CCEEFF"/>
            <w:tcMar>
              <w:top w:w="0" w:type="dxa"/>
              <w:left w:w="0" w:type="dxa"/>
              <w:bottom w:w="50" w:type="dxa"/>
              <w:right w:w="0" w:type="dxa"/>
            </w:tcMar>
            <w:vAlign w:val="bottom"/>
            <w:hideMark/>
          </w:tcPr>
          <w:p w14:paraId="2705AAE3" w14:textId="77777777" w:rsidR="00000000" w:rsidRDefault="001826C1">
            <w:pPr>
              <w:rPr>
                <w:rFonts w:eastAsia="Times New Roman"/>
                <w:sz w:val="20"/>
                <w:szCs w:val="20"/>
              </w:rPr>
            </w:pPr>
            <w:r>
              <w:rPr>
                <w:rFonts w:eastAsia="Times New Roman"/>
                <w:sz w:val="20"/>
                <w:szCs w:val="20"/>
              </w:rPr>
              <w:t>)</w:t>
            </w:r>
          </w:p>
        </w:tc>
      </w:tr>
    </w:tbl>
    <w:p w14:paraId="162D5759" w14:textId="77777777" w:rsidR="00000000" w:rsidRDefault="001826C1">
      <w:pPr>
        <w:pStyle w:val="a3"/>
        <w:shd w:val="clear" w:color="auto" w:fill="FFFFFF"/>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0E49BAB" w14:textId="77777777">
        <w:trPr>
          <w:divId w:val="1775789152"/>
        </w:trPr>
        <w:tc>
          <w:tcPr>
            <w:tcW w:w="5000" w:type="pct"/>
            <w:hideMark/>
          </w:tcPr>
          <w:p w14:paraId="647CC028"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6BC985A7" w14:textId="77777777">
        <w:tc>
          <w:tcPr>
            <w:tcW w:w="5000" w:type="pct"/>
            <w:hideMark/>
          </w:tcPr>
          <w:p w14:paraId="7D34C07D" w14:textId="77777777" w:rsidR="00000000" w:rsidRDefault="001826C1">
            <w:pPr>
              <w:jc w:val="center"/>
              <w:rPr>
                <w:rFonts w:eastAsia="Times New Roman"/>
                <w:sz w:val="20"/>
                <w:szCs w:val="20"/>
              </w:rPr>
            </w:pPr>
            <w:r>
              <w:rPr>
                <w:rFonts w:eastAsia="Times New Roman"/>
                <w:sz w:val="20"/>
                <w:szCs w:val="20"/>
              </w:rPr>
              <w:t> </w:t>
            </w:r>
          </w:p>
        </w:tc>
      </w:tr>
    </w:tbl>
    <w:p w14:paraId="2D193674" w14:textId="77777777" w:rsidR="00000000" w:rsidRDefault="001826C1">
      <w:pPr>
        <w:pStyle w:val="a3"/>
        <w:spacing w:before="0" w:beforeAutospacing="0" w:after="0" w:afterAutospacing="0"/>
        <w:rPr>
          <w:sz w:val="20"/>
          <w:szCs w:val="20"/>
        </w:rPr>
      </w:pPr>
      <w:r>
        <w:rPr>
          <w:b/>
          <w:bCs/>
          <w:sz w:val="20"/>
          <w:szCs w:val="20"/>
        </w:rPr>
        <w:t> </w:t>
      </w:r>
    </w:p>
    <w:p w14:paraId="3B4AD170" w14:textId="77777777" w:rsidR="00000000" w:rsidRDefault="001826C1">
      <w:pPr>
        <w:pStyle w:val="a3"/>
        <w:spacing w:before="0" w:beforeAutospacing="0" w:after="0" w:afterAutospacing="0"/>
        <w:jc w:val="both"/>
        <w:rPr>
          <w:b/>
          <w:bCs/>
          <w:sz w:val="20"/>
          <w:szCs w:val="20"/>
        </w:rPr>
      </w:pPr>
      <w:bookmarkStart w:id="11" w:name="a_012"/>
      <w:bookmarkEnd w:id="11"/>
      <w:r>
        <w:rPr>
          <w:b/>
          <w:bCs/>
          <w:sz w:val="20"/>
          <w:szCs w:val="20"/>
        </w:rPr>
        <w:t>Item 7. Management’</w:t>
      </w:r>
      <w:r>
        <w:rPr>
          <w:b/>
          <w:bCs/>
          <w:sz w:val="20"/>
          <w:szCs w:val="20"/>
        </w:rPr>
        <w:t>s Discussion and Analysis of Financial Condition and Results of Operations</w:t>
      </w:r>
    </w:p>
    <w:p w14:paraId="40519299" w14:textId="77777777" w:rsidR="00000000" w:rsidRDefault="001826C1">
      <w:pPr>
        <w:pStyle w:val="a3"/>
        <w:spacing w:before="0" w:beforeAutospacing="0" w:after="0" w:afterAutospacing="0"/>
        <w:rPr>
          <w:sz w:val="20"/>
          <w:szCs w:val="20"/>
        </w:rPr>
      </w:pPr>
      <w:r>
        <w:rPr>
          <w:b/>
          <w:bCs/>
          <w:sz w:val="20"/>
          <w:szCs w:val="20"/>
        </w:rPr>
        <w:t> </w:t>
      </w:r>
    </w:p>
    <w:p w14:paraId="1471DA6A" w14:textId="77777777" w:rsidR="00000000" w:rsidRDefault="001826C1">
      <w:pPr>
        <w:pStyle w:val="a3"/>
        <w:spacing w:before="0" w:beforeAutospacing="0" w:after="0" w:afterAutospacing="0"/>
        <w:jc w:val="both"/>
        <w:rPr>
          <w:sz w:val="20"/>
          <w:szCs w:val="20"/>
        </w:rPr>
      </w:pPr>
      <w:r>
        <w:rPr>
          <w:sz w:val="20"/>
          <w:szCs w:val="20"/>
        </w:rPr>
        <w:t xml:space="preserve">The following is a discussion of our consolidated financial condition and results of operations for the years ended December 31, 2019 and 2018 and other factors that are expected </w:t>
      </w:r>
      <w:r>
        <w:rPr>
          <w:sz w:val="20"/>
          <w:szCs w:val="20"/>
        </w:rPr>
        <w:t>to affect our prospective financial condition. The following discussion and analysis should be read together with our Consolidated Financial Statements and related notes beginning on page F-1 of this Annual Report on Form 10-K.</w:t>
      </w:r>
    </w:p>
    <w:p w14:paraId="6ED4DE62" w14:textId="77777777" w:rsidR="00000000" w:rsidRDefault="001826C1">
      <w:pPr>
        <w:pStyle w:val="a3"/>
        <w:spacing w:before="0" w:beforeAutospacing="0" w:after="0" w:afterAutospacing="0"/>
        <w:jc w:val="both"/>
        <w:rPr>
          <w:sz w:val="20"/>
          <w:szCs w:val="20"/>
        </w:rPr>
      </w:pPr>
      <w:r>
        <w:rPr>
          <w:sz w:val="20"/>
          <w:szCs w:val="20"/>
        </w:rPr>
        <w:t> </w:t>
      </w:r>
    </w:p>
    <w:p w14:paraId="7764598C" w14:textId="77777777" w:rsidR="00000000" w:rsidRDefault="001826C1">
      <w:pPr>
        <w:pStyle w:val="a3"/>
        <w:spacing w:before="0" w:beforeAutospacing="0" w:after="0" w:afterAutospacing="0"/>
        <w:jc w:val="both"/>
        <w:rPr>
          <w:sz w:val="20"/>
          <w:szCs w:val="20"/>
        </w:rPr>
      </w:pPr>
      <w:r>
        <w:rPr>
          <w:sz w:val="20"/>
          <w:szCs w:val="20"/>
        </w:rPr>
        <w:t>Some of the statements set</w:t>
      </w:r>
      <w:r>
        <w:rPr>
          <w:sz w:val="20"/>
          <w:szCs w:val="20"/>
        </w:rPr>
        <w:t xml:space="preserve"> forth in this section are forward-looking statements relating to our future results of operations. Our actual results may vary from the results anticipated by these statements. Please see “</w:t>
      </w:r>
      <w:r>
        <w:rPr>
          <w:i/>
          <w:iCs/>
          <w:sz w:val="20"/>
          <w:szCs w:val="20"/>
        </w:rPr>
        <w:t>Forward-Looking Statements</w:t>
      </w:r>
      <w:r>
        <w:rPr>
          <w:sz w:val="20"/>
          <w:szCs w:val="20"/>
        </w:rPr>
        <w:t>” on page 2 of this Annual Report on For</w:t>
      </w:r>
      <w:r>
        <w:rPr>
          <w:sz w:val="20"/>
          <w:szCs w:val="20"/>
        </w:rPr>
        <w:t>m 10-K.</w:t>
      </w:r>
    </w:p>
    <w:p w14:paraId="5FCC4B1D" w14:textId="77777777" w:rsidR="00000000" w:rsidRDefault="001826C1">
      <w:pPr>
        <w:pStyle w:val="a3"/>
        <w:spacing w:before="0" w:beforeAutospacing="0" w:after="0" w:afterAutospacing="0"/>
        <w:rPr>
          <w:sz w:val="20"/>
          <w:szCs w:val="20"/>
        </w:rPr>
      </w:pPr>
      <w:r>
        <w:rPr>
          <w:b/>
          <w:bCs/>
          <w:sz w:val="20"/>
          <w:szCs w:val="20"/>
        </w:rPr>
        <w:t> </w:t>
      </w:r>
    </w:p>
    <w:p w14:paraId="3B6A9018" w14:textId="77777777" w:rsidR="00000000" w:rsidRDefault="001826C1">
      <w:pPr>
        <w:pStyle w:val="a3"/>
        <w:spacing w:before="0" w:beforeAutospacing="0" w:after="0" w:afterAutospacing="0"/>
        <w:rPr>
          <w:sz w:val="20"/>
          <w:szCs w:val="20"/>
        </w:rPr>
      </w:pPr>
      <w:r>
        <w:rPr>
          <w:b/>
          <w:bCs/>
          <w:sz w:val="20"/>
          <w:szCs w:val="20"/>
        </w:rPr>
        <w:t>Overview</w:t>
      </w:r>
    </w:p>
    <w:p w14:paraId="0226CC87" w14:textId="77777777" w:rsidR="00000000" w:rsidRDefault="001826C1">
      <w:pPr>
        <w:pStyle w:val="a3"/>
        <w:spacing w:before="0" w:beforeAutospacing="0" w:after="0" w:afterAutospacing="0"/>
        <w:rPr>
          <w:sz w:val="20"/>
          <w:szCs w:val="20"/>
        </w:rPr>
      </w:pPr>
      <w:r>
        <w:rPr>
          <w:b/>
          <w:bCs/>
          <w:sz w:val="20"/>
          <w:szCs w:val="20"/>
        </w:rPr>
        <w:t> </w:t>
      </w:r>
    </w:p>
    <w:p w14:paraId="2581086C" w14:textId="77777777" w:rsidR="00000000" w:rsidRDefault="001826C1">
      <w:pPr>
        <w:pStyle w:val="a3"/>
        <w:spacing w:before="0" w:beforeAutospacing="0" w:after="0" w:afterAutospacing="0"/>
        <w:jc w:val="both"/>
        <w:rPr>
          <w:sz w:val="20"/>
          <w:szCs w:val="20"/>
        </w:rPr>
      </w:pPr>
      <w:r>
        <w:rPr>
          <w:sz w:val="20"/>
          <w:szCs w:val="20"/>
        </w:rPr>
        <w:t>The Company is a healthcare information technology company that provides a suite of proprietary web-based solutions and business services to healthcare providers. Our integrated Software-as-a-Service (“SaaS”) platform and business serv</w:t>
      </w:r>
      <w:r>
        <w:rPr>
          <w:sz w:val="20"/>
          <w:szCs w:val="20"/>
        </w:rPr>
        <w:t>ices are designed to help our clients increase revenues, streamline workflows and make better business and clinical decisions, while reducing administrative burdens and operating costs. These solutions and services include:</w:t>
      </w:r>
    </w:p>
    <w:p w14:paraId="622CE59C" w14:textId="77777777" w:rsidR="00000000" w:rsidRDefault="001826C1">
      <w:pPr>
        <w:pStyle w:val="a3"/>
        <w:spacing w:before="0" w:beforeAutospacing="0" w:after="0" w:afterAutospacing="0"/>
        <w:jc w:val="both"/>
        <w:rPr>
          <w:sz w:val="20"/>
          <w:szCs w:val="20"/>
        </w:rPr>
      </w:pPr>
      <w:r>
        <w:rPr>
          <w:sz w:val="20"/>
          <w:szCs w:val="20"/>
        </w:rPr>
        <w:t> </w:t>
      </w:r>
    </w:p>
    <w:p w14:paraId="6F71825D" w14:textId="77777777" w:rsidR="00000000" w:rsidRDefault="001826C1">
      <w:pPr>
        <w:pStyle w:val="a3"/>
        <w:spacing w:before="0" w:beforeAutospacing="0" w:after="0" w:afterAutospacing="0"/>
        <w:jc w:val="both"/>
        <w:rPr>
          <w:sz w:val="20"/>
          <w:szCs w:val="20"/>
        </w:rPr>
      </w:pPr>
      <w:r>
        <w:rPr>
          <w:sz w:val="20"/>
          <w:szCs w:val="20"/>
        </w:rPr>
        <w:t>Healthcare IT:</w:t>
      </w:r>
    </w:p>
    <w:p w14:paraId="70A30AD1"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360"/>
        <w:gridCol w:w="360"/>
        <w:gridCol w:w="360"/>
        <w:gridCol w:w="360"/>
        <w:gridCol w:w="6146"/>
      </w:tblGrid>
      <w:tr w:rsidR="00000000" w14:paraId="5DC321D7" w14:textId="77777777">
        <w:tc>
          <w:tcPr>
            <w:tcW w:w="0" w:type="auto"/>
            <w:hideMark/>
          </w:tcPr>
          <w:p w14:paraId="39E2D675"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E4A1AF3" w14:textId="77777777" w:rsidR="00000000" w:rsidRDefault="001826C1">
            <w:pPr>
              <w:jc w:val="both"/>
              <w:rPr>
                <w:rFonts w:eastAsia="Times New Roman"/>
                <w:sz w:val="20"/>
                <w:szCs w:val="20"/>
              </w:rPr>
            </w:pPr>
            <w:r>
              <w:rPr>
                <w:rFonts w:eastAsia="Times New Roman"/>
                <w:sz w:val="20"/>
                <w:szCs w:val="20"/>
              </w:rPr>
              <w:t>●</w:t>
            </w:r>
          </w:p>
        </w:tc>
        <w:tc>
          <w:tcPr>
            <w:tcW w:w="0" w:type="auto"/>
            <w:gridSpan w:val="5"/>
            <w:hideMark/>
          </w:tcPr>
          <w:p w14:paraId="0BF8AAF5" w14:textId="77777777" w:rsidR="00000000" w:rsidRDefault="001826C1">
            <w:pPr>
              <w:jc w:val="both"/>
              <w:rPr>
                <w:rFonts w:eastAsia="Times New Roman"/>
                <w:sz w:val="20"/>
                <w:szCs w:val="20"/>
              </w:rPr>
            </w:pPr>
            <w:r>
              <w:rPr>
                <w:rFonts w:eastAsia="Times New Roman"/>
                <w:sz w:val="20"/>
                <w:szCs w:val="20"/>
              </w:rPr>
              <w:t>Revenue cycle management (“RCM”) services;</w:t>
            </w:r>
          </w:p>
        </w:tc>
      </w:tr>
      <w:tr w:rsidR="00000000" w14:paraId="1EF78E1C" w14:textId="77777777">
        <w:tc>
          <w:tcPr>
            <w:tcW w:w="0" w:type="auto"/>
            <w:hideMark/>
          </w:tcPr>
          <w:p w14:paraId="21F60EB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79F8BF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EC9B53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B39A5DE" w14:textId="77777777" w:rsidR="00000000" w:rsidRDefault="001826C1">
            <w:pPr>
              <w:jc w:val="both"/>
              <w:rPr>
                <w:rFonts w:eastAsia="Times New Roman"/>
                <w:sz w:val="20"/>
                <w:szCs w:val="20"/>
              </w:rPr>
            </w:pPr>
            <w:r>
              <w:rPr>
                <w:rFonts w:eastAsia="Times New Roman"/>
                <w:sz w:val="20"/>
                <w:szCs w:val="20"/>
              </w:rPr>
              <w:t>○</w:t>
            </w:r>
          </w:p>
        </w:tc>
        <w:tc>
          <w:tcPr>
            <w:tcW w:w="0" w:type="auto"/>
            <w:gridSpan w:val="3"/>
            <w:hideMark/>
          </w:tcPr>
          <w:p w14:paraId="4D9D19E7" w14:textId="77777777" w:rsidR="00000000" w:rsidRDefault="001826C1">
            <w:pPr>
              <w:jc w:val="both"/>
              <w:rPr>
                <w:rFonts w:eastAsia="Times New Roman"/>
                <w:sz w:val="20"/>
                <w:szCs w:val="20"/>
              </w:rPr>
            </w:pPr>
            <w:r>
              <w:rPr>
                <w:rFonts w:eastAsia="Times New Roman"/>
                <w:sz w:val="20"/>
                <w:szCs w:val="20"/>
              </w:rPr>
              <w:t>Proprietary, healthcare IT solutions, which is part of our RCM services, including:</w:t>
            </w:r>
          </w:p>
        </w:tc>
      </w:tr>
      <w:tr w:rsidR="00000000" w14:paraId="77B9D187" w14:textId="77777777">
        <w:tc>
          <w:tcPr>
            <w:tcW w:w="360" w:type="dxa"/>
            <w:hideMark/>
          </w:tcPr>
          <w:p w14:paraId="1A137DD3" w14:textId="77777777" w:rsidR="00000000" w:rsidRDefault="001826C1">
            <w:pPr>
              <w:jc w:val="both"/>
              <w:rPr>
                <w:rFonts w:eastAsia="Times New Roman"/>
                <w:sz w:val="20"/>
                <w:szCs w:val="20"/>
              </w:rPr>
            </w:pPr>
            <w:r>
              <w:rPr>
                <w:rFonts w:eastAsia="Times New Roman"/>
                <w:sz w:val="20"/>
                <w:szCs w:val="20"/>
              </w:rPr>
              <w:t> </w:t>
            </w:r>
          </w:p>
        </w:tc>
        <w:tc>
          <w:tcPr>
            <w:tcW w:w="360" w:type="dxa"/>
            <w:hideMark/>
          </w:tcPr>
          <w:p w14:paraId="78CEBD39" w14:textId="77777777" w:rsidR="00000000" w:rsidRDefault="001826C1">
            <w:pPr>
              <w:jc w:val="both"/>
              <w:rPr>
                <w:rFonts w:eastAsia="Times New Roman"/>
                <w:sz w:val="20"/>
                <w:szCs w:val="20"/>
              </w:rPr>
            </w:pPr>
            <w:r>
              <w:rPr>
                <w:rFonts w:eastAsia="Times New Roman"/>
                <w:sz w:val="20"/>
                <w:szCs w:val="20"/>
              </w:rPr>
              <w:t> </w:t>
            </w:r>
          </w:p>
        </w:tc>
        <w:tc>
          <w:tcPr>
            <w:tcW w:w="360" w:type="dxa"/>
            <w:hideMark/>
          </w:tcPr>
          <w:p w14:paraId="2E3E2F0A" w14:textId="77777777" w:rsidR="00000000" w:rsidRDefault="001826C1">
            <w:pPr>
              <w:jc w:val="both"/>
              <w:rPr>
                <w:rFonts w:eastAsia="Times New Roman"/>
                <w:sz w:val="20"/>
                <w:szCs w:val="20"/>
              </w:rPr>
            </w:pPr>
            <w:r>
              <w:rPr>
                <w:rFonts w:eastAsia="Times New Roman"/>
                <w:sz w:val="20"/>
                <w:szCs w:val="20"/>
              </w:rPr>
              <w:t> </w:t>
            </w:r>
          </w:p>
        </w:tc>
        <w:tc>
          <w:tcPr>
            <w:tcW w:w="360" w:type="dxa"/>
            <w:hideMark/>
          </w:tcPr>
          <w:p w14:paraId="229F6BE0" w14:textId="77777777" w:rsidR="00000000" w:rsidRDefault="001826C1">
            <w:pPr>
              <w:jc w:val="both"/>
              <w:rPr>
                <w:rFonts w:eastAsia="Times New Roman"/>
                <w:sz w:val="20"/>
                <w:szCs w:val="20"/>
              </w:rPr>
            </w:pPr>
          </w:p>
        </w:tc>
        <w:tc>
          <w:tcPr>
            <w:tcW w:w="360" w:type="dxa"/>
            <w:hideMark/>
          </w:tcPr>
          <w:p w14:paraId="58FA30AA" w14:textId="77777777" w:rsidR="00000000" w:rsidRDefault="001826C1">
            <w:pPr>
              <w:jc w:val="both"/>
              <w:rPr>
                <w:rFonts w:eastAsia="Times New Roman"/>
                <w:sz w:val="20"/>
                <w:szCs w:val="20"/>
              </w:rPr>
            </w:pPr>
            <w:r>
              <w:rPr>
                <w:rFonts w:eastAsia="Times New Roman"/>
                <w:sz w:val="20"/>
                <w:szCs w:val="20"/>
              </w:rPr>
              <w:t> </w:t>
            </w:r>
          </w:p>
        </w:tc>
        <w:tc>
          <w:tcPr>
            <w:tcW w:w="360" w:type="dxa"/>
            <w:hideMark/>
          </w:tcPr>
          <w:p w14:paraId="1129BDC1"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09616058" w14:textId="77777777" w:rsidR="00000000" w:rsidRDefault="001826C1">
            <w:pPr>
              <w:jc w:val="both"/>
              <w:rPr>
                <w:rFonts w:eastAsia="Times New Roman"/>
                <w:sz w:val="20"/>
                <w:szCs w:val="20"/>
              </w:rPr>
            </w:pPr>
            <w:r>
              <w:rPr>
                <w:rFonts w:eastAsia="Times New Roman"/>
                <w:sz w:val="20"/>
                <w:szCs w:val="20"/>
              </w:rPr>
              <w:t>Electronic health records,</w:t>
            </w:r>
          </w:p>
        </w:tc>
      </w:tr>
      <w:tr w:rsidR="00000000" w14:paraId="11CB216C" w14:textId="77777777">
        <w:tc>
          <w:tcPr>
            <w:tcW w:w="0" w:type="auto"/>
            <w:hideMark/>
          </w:tcPr>
          <w:p w14:paraId="2EA825C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3BDEEF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885C2B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E8AB9EC" w14:textId="77777777" w:rsidR="00000000" w:rsidRDefault="001826C1">
            <w:pPr>
              <w:jc w:val="both"/>
              <w:rPr>
                <w:rFonts w:eastAsia="Times New Roman"/>
                <w:sz w:val="20"/>
                <w:szCs w:val="20"/>
              </w:rPr>
            </w:pPr>
          </w:p>
        </w:tc>
        <w:tc>
          <w:tcPr>
            <w:tcW w:w="0" w:type="auto"/>
            <w:hideMark/>
          </w:tcPr>
          <w:p w14:paraId="1B0B605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E7C8A28"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2ACCE71E" w14:textId="77777777" w:rsidR="00000000" w:rsidRDefault="001826C1">
            <w:pPr>
              <w:jc w:val="both"/>
              <w:rPr>
                <w:rFonts w:eastAsia="Times New Roman"/>
                <w:sz w:val="20"/>
                <w:szCs w:val="20"/>
              </w:rPr>
            </w:pPr>
            <w:r>
              <w:rPr>
                <w:rFonts w:eastAsia="Times New Roman"/>
                <w:sz w:val="20"/>
                <w:szCs w:val="20"/>
              </w:rPr>
              <w:t xml:space="preserve">Practice </w:t>
            </w:r>
            <w:r>
              <w:rPr>
                <w:rFonts w:eastAsia="Times New Roman"/>
                <w:sz w:val="20"/>
                <w:szCs w:val="20"/>
              </w:rPr>
              <w:t>management software and related tools,</w:t>
            </w:r>
          </w:p>
        </w:tc>
      </w:tr>
      <w:tr w:rsidR="00000000" w14:paraId="7989B6E1" w14:textId="77777777">
        <w:tc>
          <w:tcPr>
            <w:tcW w:w="0" w:type="auto"/>
            <w:hideMark/>
          </w:tcPr>
          <w:p w14:paraId="38CDF69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078D35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650B96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1E65800" w14:textId="77777777" w:rsidR="00000000" w:rsidRDefault="001826C1">
            <w:pPr>
              <w:jc w:val="both"/>
              <w:rPr>
                <w:rFonts w:eastAsia="Times New Roman"/>
                <w:sz w:val="20"/>
                <w:szCs w:val="20"/>
              </w:rPr>
            </w:pPr>
          </w:p>
        </w:tc>
        <w:tc>
          <w:tcPr>
            <w:tcW w:w="0" w:type="auto"/>
            <w:hideMark/>
          </w:tcPr>
          <w:p w14:paraId="1CCAC3D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9C76EF7"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62F8B020" w14:textId="77777777" w:rsidR="00000000" w:rsidRDefault="001826C1">
            <w:pPr>
              <w:jc w:val="both"/>
              <w:rPr>
                <w:rFonts w:eastAsia="Times New Roman"/>
                <w:sz w:val="20"/>
                <w:szCs w:val="20"/>
              </w:rPr>
            </w:pPr>
            <w:r>
              <w:rPr>
                <w:rFonts w:eastAsia="Times New Roman"/>
                <w:sz w:val="20"/>
                <w:szCs w:val="20"/>
              </w:rPr>
              <w:t>Mobile Health (“mHealth”) solutions,</w:t>
            </w:r>
          </w:p>
        </w:tc>
      </w:tr>
      <w:tr w:rsidR="00000000" w14:paraId="44E58619" w14:textId="77777777">
        <w:tc>
          <w:tcPr>
            <w:tcW w:w="0" w:type="auto"/>
            <w:hideMark/>
          </w:tcPr>
          <w:p w14:paraId="3339CE3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BA93D8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6AAD95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3616C6C" w14:textId="77777777" w:rsidR="00000000" w:rsidRDefault="001826C1">
            <w:pPr>
              <w:jc w:val="both"/>
              <w:rPr>
                <w:rFonts w:eastAsia="Times New Roman"/>
                <w:sz w:val="20"/>
                <w:szCs w:val="20"/>
              </w:rPr>
            </w:pPr>
          </w:p>
        </w:tc>
        <w:tc>
          <w:tcPr>
            <w:tcW w:w="0" w:type="auto"/>
            <w:hideMark/>
          </w:tcPr>
          <w:p w14:paraId="5B89487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CAD15C1"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57286CDF" w14:textId="77777777" w:rsidR="00000000" w:rsidRDefault="001826C1">
            <w:pPr>
              <w:jc w:val="both"/>
              <w:rPr>
                <w:rFonts w:eastAsia="Times New Roman"/>
                <w:sz w:val="20"/>
                <w:szCs w:val="20"/>
              </w:rPr>
            </w:pPr>
            <w:r>
              <w:rPr>
                <w:rFonts w:eastAsia="Times New Roman"/>
                <w:sz w:val="20"/>
                <w:szCs w:val="20"/>
              </w:rPr>
              <w:t>Healthcare claims clearinghouse, and</w:t>
            </w:r>
          </w:p>
        </w:tc>
      </w:tr>
      <w:tr w:rsidR="00000000" w14:paraId="42499360" w14:textId="77777777">
        <w:tc>
          <w:tcPr>
            <w:tcW w:w="0" w:type="auto"/>
            <w:hideMark/>
          </w:tcPr>
          <w:p w14:paraId="345633D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A0E9E6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DDEFE0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EC51A80" w14:textId="77777777" w:rsidR="00000000" w:rsidRDefault="001826C1">
            <w:pPr>
              <w:jc w:val="both"/>
              <w:rPr>
                <w:rFonts w:eastAsia="Times New Roman"/>
                <w:sz w:val="20"/>
                <w:szCs w:val="20"/>
              </w:rPr>
            </w:pPr>
          </w:p>
        </w:tc>
        <w:tc>
          <w:tcPr>
            <w:tcW w:w="0" w:type="auto"/>
            <w:hideMark/>
          </w:tcPr>
          <w:p w14:paraId="6A96A24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FDC4859"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30D04DE8" w14:textId="77777777" w:rsidR="00000000" w:rsidRDefault="001826C1">
            <w:pPr>
              <w:jc w:val="both"/>
              <w:rPr>
                <w:rFonts w:eastAsia="Times New Roman"/>
                <w:sz w:val="20"/>
                <w:szCs w:val="20"/>
              </w:rPr>
            </w:pPr>
            <w:r>
              <w:rPr>
                <w:rFonts w:eastAsia="Times New Roman"/>
                <w:sz w:val="20"/>
                <w:szCs w:val="20"/>
              </w:rPr>
              <w:t xml:space="preserve">Business </w:t>
            </w:r>
            <w:r>
              <w:rPr>
                <w:rFonts w:eastAsia="Times New Roman"/>
                <w:sz w:val="20"/>
                <w:szCs w:val="20"/>
              </w:rPr>
              <w:t>intelligence, customized applications, interfaces and a variety of other technology solutions that support our healthcare clients.</w:t>
            </w:r>
          </w:p>
        </w:tc>
      </w:tr>
    </w:tbl>
    <w:p w14:paraId="1BA79867" w14:textId="77777777" w:rsidR="00000000" w:rsidRDefault="001826C1">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8908F75" w14:textId="77777777">
        <w:tc>
          <w:tcPr>
            <w:tcW w:w="360" w:type="dxa"/>
            <w:hideMark/>
          </w:tcPr>
          <w:p w14:paraId="078E68AF" w14:textId="77777777" w:rsidR="00000000" w:rsidRDefault="001826C1">
            <w:pPr>
              <w:jc w:val="both"/>
              <w:rPr>
                <w:rFonts w:eastAsia="Times New Roman"/>
                <w:sz w:val="20"/>
                <w:szCs w:val="20"/>
              </w:rPr>
            </w:pPr>
            <w:r>
              <w:rPr>
                <w:rFonts w:eastAsia="Times New Roman"/>
                <w:sz w:val="20"/>
                <w:szCs w:val="20"/>
              </w:rPr>
              <w:t> </w:t>
            </w:r>
          </w:p>
        </w:tc>
        <w:tc>
          <w:tcPr>
            <w:tcW w:w="360" w:type="dxa"/>
            <w:hideMark/>
          </w:tcPr>
          <w:p w14:paraId="7D52BD10"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6A2C178E" w14:textId="77777777" w:rsidR="00000000" w:rsidRDefault="001826C1">
            <w:pPr>
              <w:jc w:val="both"/>
              <w:rPr>
                <w:rFonts w:eastAsia="Times New Roman"/>
                <w:sz w:val="20"/>
                <w:szCs w:val="20"/>
              </w:rPr>
            </w:pPr>
            <w:r>
              <w:rPr>
                <w:rFonts w:eastAsia="Times New Roman"/>
                <w:sz w:val="20"/>
                <w:szCs w:val="20"/>
              </w:rPr>
              <w:t>Group purchasing services.</w:t>
            </w:r>
          </w:p>
        </w:tc>
      </w:tr>
    </w:tbl>
    <w:p w14:paraId="1CDC526C" w14:textId="77777777" w:rsidR="00000000" w:rsidRDefault="001826C1">
      <w:pPr>
        <w:pStyle w:val="a3"/>
        <w:spacing w:before="0" w:beforeAutospacing="0" w:after="0" w:afterAutospacing="0"/>
        <w:jc w:val="both"/>
        <w:rPr>
          <w:sz w:val="20"/>
          <w:szCs w:val="20"/>
        </w:rPr>
      </w:pPr>
      <w:r>
        <w:rPr>
          <w:sz w:val="20"/>
          <w:szCs w:val="20"/>
        </w:rPr>
        <w:t> </w:t>
      </w:r>
    </w:p>
    <w:p w14:paraId="4B52C7AF" w14:textId="77777777" w:rsidR="00000000" w:rsidRDefault="001826C1">
      <w:pPr>
        <w:pStyle w:val="a3"/>
        <w:spacing w:before="0" w:beforeAutospacing="0" w:after="0" w:afterAutospacing="0"/>
        <w:jc w:val="both"/>
        <w:rPr>
          <w:sz w:val="20"/>
          <w:szCs w:val="20"/>
        </w:rPr>
      </w:pPr>
      <w:r>
        <w:rPr>
          <w:sz w:val="20"/>
          <w:szCs w:val="20"/>
        </w:rPr>
        <w:t>Practice Management:</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363F6620" w14:textId="77777777">
        <w:tc>
          <w:tcPr>
            <w:tcW w:w="360" w:type="dxa"/>
            <w:hideMark/>
          </w:tcPr>
          <w:p w14:paraId="41C3653B" w14:textId="77777777" w:rsidR="00000000" w:rsidRDefault="001826C1">
            <w:pPr>
              <w:jc w:val="both"/>
              <w:rPr>
                <w:rFonts w:eastAsia="Times New Roman"/>
                <w:sz w:val="20"/>
                <w:szCs w:val="20"/>
              </w:rPr>
            </w:pPr>
            <w:r>
              <w:rPr>
                <w:rFonts w:eastAsia="Times New Roman"/>
                <w:sz w:val="20"/>
                <w:szCs w:val="20"/>
              </w:rPr>
              <w:t> </w:t>
            </w:r>
          </w:p>
        </w:tc>
        <w:tc>
          <w:tcPr>
            <w:tcW w:w="360" w:type="dxa"/>
            <w:hideMark/>
          </w:tcPr>
          <w:p w14:paraId="000F6E6A"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6B0B9426" w14:textId="77777777" w:rsidR="00000000" w:rsidRDefault="001826C1">
            <w:pPr>
              <w:jc w:val="both"/>
              <w:rPr>
                <w:rFonts w:eastAsia="Times New Roman"/>
                <w:sz w:val="20"/>
                <w:szCs w:val="20"/>
              </w:rPr>
            </w:pPr>
            <w:r>
              <w:rPr>
                <w:rFonts w:eastAsia="Times New Roman"/>
                <w:sz w:val="20"/>
                <w:szCs w:val="20"/>
              </w:rPr>
              <w:t xml:space="preserve">Comprehensive </w:t>
            </w:r>
            <w:r>
              <w:rPr>
                <w:rFonts w:eastAsia="Times New Roman"/>
                <w:sz w:val="20"/>
                <w:szCs w:val="20"/>
              </w:rPr>
              <w:t>practice management services; and</w:t>
            </w:r>
          </w:p>
        </w:tc>
      </w:tr>
      <w:tr w:rsidR="00000000" w14:paraId="42396F36" w14:textId="77777777">
        <w:tc>
          <w:tcPr>
            <w:tcW w:w="0" w:type="auto"/>
            <w:hideMark/>
          </w:tcPr>
          <w:p w14:paraId="393DA58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D0405F6"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6E6560A4" w14:textId="77777777" w:rsidR="00000000" w:rsidRDefault="001826C1">
            <w:pPr>
              <w:jc w:val="both"/>
              <w:rPr>
                <w:rFonts w:eastAsia="Times New Roman"/>
                <w:sz w:val="20"/>
                <w:szCs w:val="20"/>
              </w:rPr>
            </w:pPr>
            <w:r>
              <w:rPr>
                <w:rFonts w:eastAsia="Times New Roman"/>
                <w:sz w:val="20"/>
                <w:szCs w:val="20"/>
              </w:rPr>
              <w:t>Telemedicine services.</w:t>
            </w:r>
          </w:p>
        </w:tc>
      </w:tr>
    </w:tbl>
    <w:p w14:paraId="306C395E" w14:textId="77777777" w:rsidR="00000000" w:rsidRDefault="001826C1">
      <w:pPr>
        <w:pStyle w:val="a3"/>
        <w:spacing w:before="0" w:beforeAutospacing="0" w:after="0" w:afterAutospacing="0"/>
        <w:jc w:val="both"/>
        <w:rPr>
          <w:sz w:val="20"/>
          <w:szCs w:val="20"/>
        </w:rPr>
      </w:pPr>
      <w:r>
        <w:rPr>
          <w:sz w:val="20"/>
          <w:szCs w:val="20"/>
        </w:rPr>
        <w:t> </w:t>
      </w:r>
    </w:p>
    <w:p w14:paraId="42E1A151" w14:textId="77777777" w:rsidR="00000000" w:rsidRDefault="001826C1">
      <w:pPr>
        <w:pStyle w:val="a3"/>
        <w:shd w:val="clear" w:color="auto" w:fill="FFFFFF"/>
        <w:spacing w:before="0" w:beforeAutospacing="0" w:after="0" w:afterAutospacing="0"/>
        <w:jc w:val="both"/>
        <w:rPr>
          <w:sz w:val="20"/>
          <w:szCs w:val="20"/>
        </w:rPr>
      </w:pPr>
      <w:r>
        <w:rPr>
          <w:sz w:val="20"/>
          <w:szCs w:val="20"/>
        </w:rPr>
        <w:t>Our offshore operations in Pakistan and Sri Lanka together accounted for approximately 14% and 22% of total expenses for the years ended December 31, 2019 and 2018, respectively. A significan</w:t>
      </w:r>
      <w:r>
        <w:rPr>
          <w:sz w:val="20"/>
          <w:szCs w:val="20"/>
        </w:rPr>
        <w:t>t portion of those expenses were personnel-related costs (approximately 78% and 79% of foreign costs for the years ended December 31, 2019 and 2018, respectively). Because personnel-related costs are significantly lower in Pakistan and Sri Lanka than in th</w:t>
      </w:r>
      <w:r>
        <w:rPr>
          <w:sz w:val="20"/>
          <w:szCs w:val="20"/>
        </w:rPr>
        <w:t xml:space="preserve">e U.S. and many other offshore locations, we believe our offshore operations give us a competitive advantage over many industry participants. All of the medical billing companies that we have acquired used domestic labor or subcontractors from higher cost </w:t>
      </w:r>
      <w:r>
        <w:rPr>
          <w:sz w:val="20"/>
          <w:szCs w:val="20"/>
        </w:rPr>
        <w:t>locations to provide all or a substantial portion of their services. We are able to achieve significant cost reductions as we shift these labor costs to our offshore operations.</w:t>
      </w:r>
    </w:p>
    <w:p w14:paraId="64F675EB"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E169BE0" w14:textId="77777777" w:rsidR="00000000" w:rsidRDefault="001826C1">
      <w:pPr>
        <w:pStyle w:val="a3"/>
        <w:shd w:val="clear" w:color="auto" w:fill="FFFFFF"/>
        <w:spacing w:before="0" w:beforeAutospacing="0" w:after="0" w:afterAutospacing="0"/>
        <w:rPr>
          <w:sz w:val="20"/>
          <w:szCs w:val="20"/>
        </w:rPr>
      </w:pPr>
      <w:r>
        <w:rPr>
          <w:b/>
          <w:bCs/>
          <w:sz w:val="20"/>
          <w:szCs w:val="20"/>
        </w:rPr>
        <w:t>Key Performance Measures</w:t>
      </w:r>
    </w:p>
    <w:p w14:paraId="2466C29C" w14:textId="77777777" w:rsidR="00000000" w:rsidRDefault="001826C1">
      <w:pPr>
        <w:pStyle w:val="a3"/>
        <w:shd w:val="clear" w:color="auto" w:fill="FFFFFF"/>
        <w:spacing w:before="0" w:beforeAutospacing="0" w:after="0" w:afterAutospacing="0"/>
        <w:rPr>
          <w:sz w:val="20"/>
          <w:szCs w:val="20"/>
        </w:rPr>
      </w:pPr>
      <w:r>
        <w:rPr>
          <w:sz w:val="20"/>
          <w:szCs w:val="20"/>
        </w:rPr>
        <w:t> </w:t>
      </w:r>
    </w:p>
    <w:p w14:paraId="1544932C"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 xml:space="preserve">consider numerous factors in assessing our performance. Key performance measures used by management include adjusted EBITDA, adjusted operating income, adjusted operating margin, adjusted net income and adjusted net income per share. These key performance </w:t>
      </w:r>
      <w:r>
        <w:rPr>
          <w:sz w:val="20"/>
          <w:szCs w:val="20"/>
        </w:rPr>
        <w:t>measures are non-GAAP financial measures, which we believe better enable management and investors to analyze and compare the underlying business results from period to period.</w:t>
      </w:r>
    </w:p>
    <w:p w14:paraId="02CEB0D1"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E61ED62" w14:textId="77777777" w:rsidR="00000000" w:rsidRDefault="001826C1">
      <w:pPr>
        <w:pStyle w:val="a3"/>
        <w:shd w:val="clear" w:color="auto" w:fill="FFFFFF"/>
        <w:spacing w:before="0" w:beforeAutospacing="0" w:after="0" w:afterAutospacing="0"/>
        <w:jc w:val="both"/>
        <w:rPr>
          <w:sz w:val="20"/>
          <w:szCs w:val="20"/>
        </w:rPr>
      </w:pPr>
      <w:r>
        <w:rPr>
          <w:sz w:val="20"/>
          <w:szCs w:val="20"/>
        </w:rPr>
        <w:t>These non-GAAP financial measures should not be considered in isolation, or as</w:t>
      </w:r>
      <w:r>
        <w:rPr>
          <w:sz w:val="20"/>
          <w:szCs w:val="20"/>
        </w:rPr>
        <w:t xml:space="preserve"> a substitute for or superior to, financial measures calculated in accordance with accounting principles generally accepted in the United States of America (“GAAP”). Moreover, these non-GAAP financial measures have limitations in that they do not reflect a</w:t>
      </w:r>
      <w:r>
        <w:rPr>
          <w:sz w:val="20"/>
          <w:szCs w:val="20"/>
        </w:rPr>
        <w:t>ll the items associated with the operations of our business as determined in accordance with GAAP. We compensate for these limitations by analyzing current and future results on a GAAP basis, as well as a non-GAAP basis, and we provide reconciliations from</w:t>
      </w:r>
      <w:r>
        <w:rPr>
          <w:sz w:val="20"/>
          <w:szCs w:val="20"/>
        </w:rPr>
        <w:t xml:space="preserve"> the most directly comparable GAAP financial measures to the non-GAAP financial measures. Our non-GAAP financial measures may not be comparable to similarly titled measures of other companies. Other companies, including companies in our industry, may calcu</w:t>
      </w:r>
      <w:r>
        <w:rPr>
          <w:sz w:val="20"/>
          <w:szCs w:val="20"/>
        </w:rPr>
        <w:t>late similarly titled non-GAAP financial measures differently than we do, limiting the usefulness of those measures for comparative purposes.</w:t>
      </w:r>
    </w:p>
    <w:p w14:paraId="1DDCAFE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0417137" w14:textId="77777777">
        <w:trPr>
          <w:divId w:val="1748842224"/>
        </w:trPr>
        <w:tc>
          <w:tcPr>
            <w:tcW w:w="5000" w:type="pct"/>
            <w:hideMark/>
          </w:tcPr>
          <w:p w14:paraId="36561A73"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030C00A0" w14:textId="77777777">
        <w:tc>
          <w:tcPr>
            <w:tcW w:w="5000" w:type="pct"/>
            <w:hideMark/>
          </w:tcPr>
          <w:p w14:paraId="09A110BE" w14:textId="77777777" w:rsidR="00000000" w:rsidRDefault="001826C1">
            <w:pPr>
              <w:jc w:val="center"/>
              <w:rPr>
                <w:rFonts w:eastAsia="Times New Roman"/>
                <w:sz w:val="20"/>
                <w:szCs w:val="20"/>
              </w:rPr>
            </w:pPr>
            <w:r>
              <w:rPr>
                <w:rFonts w:eastAsia="Times New Roman"/>
                <w:sz w:val="20"/>
                <w:szCs w:val="20"/>
              </w:rPr>
              <w:t> </w:t>
            </w:r>
          </w:p>
        </w:tc>
      </w:tr>
    </w:tbl>
    <w:p w14:paraId="7E80A50E" w14:textId="77777777" w:rsidR="00000000" w:rsidRDefault="001826C1">
      <w:pPr>
        <w:pStyle w:val="a3"/>
        <w:spacing w:before="0" w:beforeAutospacing="0" w:after="0" w:afterAutospacing="0" w:line="256" w:lineRule="auto"/>
        <w:rPr>
          <w:sz w:val="20"/>
          <w:szCs w:val="20"/>
        </w:rPr>
      </w:pPr>
      <w:r>
        <w:rPr>
          <w:sz w:val="20"/>
          <w:szCs w:val="20"/>
        </w:rPr>
        <w:t> </w:t>
      </w:r>
    </w:p>
    <w:p w14:paraId="28490D5D" w14:textId="77777777" w:rsidR="00000000" w:rsidRDefault="001826C1">
      <w:pPr>
        <w:pStyle w:val="a3"/>
        <w:shd w:val="clear" w:color="auto" w:fill="FFFFFF"/>
        <w:spacing w:before="0" w:beforeAutospacing="0" w:after="0" w:afterAutospacing="0"/>
        <w:jc w:val="both"/>
        <w:rPr>
          <w:sz w:val="20"/>
          <w:szCs w:val="20"/>
        </w:rPr>
      </w:pPr>
      <w:r>
        <w:rPr>
          <w:sz w:val="20"/>
          <w:szCs w:val="20"/>
        </w:rPr>
        <w:t>Adjusted EBITDA, adjusted operating income, adjusted operating margin, adjusted net income and adjuste</w:t>
      </w:r>
      <w:r>
        <w:rPr>
          <w:sz w:val="20"/>
          <w:szCs w:val="20"/>
        </w:rPr>
        <w:t>d net income per share provide an alternative view of performance used by management and we believe that an investor’s understanding of our performance is enhanced by disclosing these adjusted performance measures.</w:t>
      </w:r>
    </w:p>
    <w:p w14:paraId="15927C5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FB890A9"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Adjusted EBITDA excludes the following </w:t>
      </w:r>
      <w:r>
        <w:rPr>
          <w:sz w:val="20"/>
          <w:szCs w:val="20"/>
        </w:rPr>
        <w:t>elements which are included in GAAP net income (loss):</w:t>
      </w:r>
    </w:p>
    <w:p w14:paraId="56927DA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4B94BCE5" w14:textId="77777777">
        <w:tc>
          <w:tcPr>
            <w:tcW w:w="360" w:type="dxa"/>
            <w:hideMark/>
          </w:tcPr>
          <w:p w14:paraId="4CEC77B1" w14:textId="77777777" w:rsidR="00000000" w:rsidRDefault="001826C1">
            <w:pPr>
              <w:rPr>
                <w:rFonts w:eastAsia="Times New Roman"/>
                <w:sz w:val="20"/>
                <w:szCs w:val="20"/>
              </w:rPr>
            </w:pPr>
            <w:r>
              <w:rPr>
                <w:rFonts w:eastAsia="Times New Roman"/>
                <w:sz w:val="20"/>
                <w:szCs w:val="20"/>
              </w:rPr>
              <w:t> </w:t>
            </w:r>
          </w:p>
        </w:tc>
        <w:tc>
          <w:tcPr>
            <w:tcW w:w="360" w:type="dxa"/>
            <w:hideMark/>
          </w:tcPr>
          <w:p w14:paraId="26B8A854" w14:textId="77777777" w:rsidR="00000000" w:rsidRDefault="001826C1">
            <w:pPr>
              <w:rPr>
                <w:rFonts w:eastAsia="Times New Roman"/>
                <w:sz w:val="20"/>
                <w:szCs w:val="20"/>
              </w:rPr>
            </w:pPr>
            <w:r>
              <w:rPr>
                <w:rFonts w:eastAsia="Times New Roman"/>
                <w:sz w:val="20"/>
                <w:szCs w:val="20"/>
              </w:rPr>
              <w:t>●</w:t>
            </w:r>
          </w:p>
        </w:tc>
        <w:tc>
          <w:tcPr>
            <w:tcW w:w="0" w:type="auto"/>
            <w:hideMark/>
          </w:tcPr>
          <w:p w14:paraId="151E6EFE" w14:textId="77777777" w:rsidR="00000000" w:rsidRDefault="001826C1">
            <w:pPr>
              <w:rPr>
                <w:rFonts w:eastAsia="Times New Roman"/>
                <w:sz w:val="20"/>
                <w:szCs w:val="20"/>
              </w:rPr>
            </w:pPr>
            <w:r>
              <w:rPr>
                <w:rFonts w:eastAsia="Times New Roman"/>
                <w:sz w:val="20"/>
                <w:szCs w:val="20"/>
              </w:rPr>
              <w:t>Income tax provision (benefit) or the cash requirements to pay our taxes;</w:t>
            </w:r>
          </w:p>
        </w:tc>
      </w:tr>
      <w:tr w:rsidR="00000000" w14:paraId="59DF89F2" w14:textId="77777777">
        <w:tc>
          <w:tcPr>
            <w:tcW w:w="0" w:type="auto"/>
            <w:hideMark/>
          </w:tcPr>
          <w:p w14:paraId="241F86FE" w14:textId="77777777" w:rsidR="00000000" w:rsidRDefault="001826C1">
            <w:pPr>
              <w:rPr>
                <w:rFonts w:eastAsia="Times New Roman"/>
                <w:sz w:val="20"/>
                <w:szCs w:val="20"/>
              </w:rPr>
            </w:pPr>
            <w:r>
              <w:rPr>
                <w:rFonts w:eastAsia="Times New Roman"/>
                <w:sz w:val="20"/>
                <w:szCs w:val="20"/>
              </w:rPr>
              <w:t> </w:t>
            </w:r>
          </w:p>
        </w:tc>
        <w:tc>
          <w:tcPr>
            <w:tcW w:w="0" w:type="auto"/>
            <w:hideMark/>
          </w:tcPr>
          <w:p w14:paraId="688A8408" w14:textId="77777777" w:rsidR="00000000" w:rsidRDefault="001826C1">
            <w:pPr>
              <w:rPr>
                <w:rFonts w:eastAsia="Times New Roman"/>
                <w:sz w:val="20"/>
                <w:szCs w:val="20"/>
              </w:rPr>
            </w:pPr>
            <w:r>
              <w:rPr>
                <w:rFonts w:eastAsia="Times New Roman"/>
                <w:sz w:val="20"/>
                <w:szCs w:val="20"/>
              </w:rPr>
              <w:t>●</w:t>
            </w:r>
          </w:p>
        </w:tc>
        <w:tc>
          <w:tcPr>
            <w:tcW w:w="0" w:type="auto"/>
            <w:hideMark/>
          </w:tcPr>
          <w:p w14:paraId="24F804DE" w14:textId="77777777" w:rsidR="00000000" w:rsidRDefault="001826C1">
            <w:pPr>
              <w:jc w:val="both"/>
              <w:rPr>
                <w:rFonts w:eastAsia="Times New Roman"/>
                <w:sz w:val="20"/>
                <w:szCs w:val="20"/>
              </w:rPr>
            </w:pPr>
            <w:r>
              <w:rPr>
                <w:rFonts w:eastAsia="Times New Roman"/>
                <w:sz w:val="20"/>
                <w:szCs w:val="20"/>
              </w:rPr>
              <w:t xml:space="preserve">Interest </w:t>
            </w:r>
            <w:r>
              <w:rPr>
                <w:rFonts w:eastAsia="Times New Roman"/>
                <w:sz w:val="20"/>
                <w:szCs w:val="20"/>
              </w:rPr>
              <w:t>expense, or the cash requirements necessary to service interest on principal payments on our debt;</w:t>
            </w:r>
          </w:p>
        </w:tc>
      </w:tr>
      <w:tr w:rsidR="00000000" w14:paraId="464E298E" w14:textId="77777777">
        <w:tc>
          <w:tcPr>
            <w:tcW w:w="0" w:type="auto"/>
            <w:hideMark/>
          </w:tcPr>
          <w:p w14:paraId="6FBBE5D3" w14:textId="77777777" w:rsidR="00000000" w:rsidRDefault="001826C1">
            <w:pPr>
              <w:rPr>
                <w:rFonts w:eastAsia="Times New Roman"/>
                <w:sz w:val="20"/>
                <w:szCs w:val="20"/>
              </w:rPr>
            </w:pPr>
            <w:r>
              <w:rPr>
                <w:rFonts w:eastAsia="Times New Roman"/>
                <w:sz w:val="20"/>
                <w:szCs w:val="20"/>
              </w:rPr>
              <w:t> </w:t>
            </w:r>
          </w:p>
        </w:tc>
        <w:tc>
          <w:tcPr>
            <w:tcW w:w="0" w:type="auto"/>
            <w:hideMark/>
          </w:tcPr>
          <w:p w14:paraId="166CB27C" w14:textId="77777777" w:rsidR="00000000" w:rsidRDefault="001826C1">
            <w:pPr>
              <w:rPr>
                <w:rFonts w:eastAsia="Times New Roman"/>
                <w:sz w:val="20"/>
                <w:szCs w:val="20"/>
              </w:rPr>
            </w:pPr>
            <w:r>
              <w:rPr>
                <w:rFonts w:eastAsia="Times New Roman"/>
                <w:sz w:val="20"/>
                <w:szCs w:val="20"/>
              </w:rPr>
              <w:t>●</w:t>
            </w:r>
          </w:p>
        </w:tc>
        <w:tc>
          <w:tcPr>
            <w:tcW w:w="0" w:type="auto"/>
            <w:hideMark/>
          </w:tcPr>
          <w:p w14:paraId="63080900" w14:textId="77777777" w:rsidR="00000000" w:rsidRDefault="001826C1">
            <w:pPr>
              <w:rPr>
                <w:rFonts w:eastAsia="Times New Roman"/>
                <w:sz w:val="20"/>
                <w:szCs w:val="20"/>
              </w:rPr>
            </w:pPr>
            <w:r>
              <w:rPr>
                <w:rFonts w:eastAsia="Times New Roman"/>
                <w:sz w:val="20"/>
                <w:szCs w:val="20"/>
              </w:rPr>
              <w:t>Foreign exchange (gains) and losses and other non-operating expenses;</w:t>
            </w:r>
          </w:p>
        </w:tc>
      </w:tr>
      <w:tr w:rsidR="00000000" w14:paraId="16BC4AFF" w14:textId="77777777">
        <w:tc>
          <w:tcPr>
            <w:tcW w:w="0" w:type="auto"/>
            <w:hideMark/>
          </w:tcPr>
          <w:p w14:paraId="3F9CFD49" w14:textId="77777777" w:rsidR="00000000" w:rsidRDefault="001826C1">
            <w:pPr>
              <w:rPr>
                <w:rFonts w:eastAsia="Times New Roman"/>
                <w:sz w:val="20"/>
                <w:szCs w:val="20"/>
              </w:rPr>
            </w:pPr>
            <w:r>
              <w:rPr>
                <w:rFonts w:eastAsia="Times New Roman"/>
                <w:sz w:val="20"/>
                <w:szCs w:val="20"/>
              </w:rPr>
              <w:t> </w:t>
            </w:r>
          </w:p>
        </w:tc>
        <w:tc>
          <w:tcPr>
            <w:tcW w:w="0" w:type="auto"/>
            <w:hideMark/>
          </w:tcPr>
          <w:p w14:paraId="04ADA50D" w14:textId="77777777" w:rsidR="00000000" w:rsidRDefault="001826C1">
            <w:pPr>
              <w:rPr>
                <w:rFonts w:eastAsia="Times New Roman"/>
                <w:sz w:val="20"/>
                <w:szCs w:val="20"/>
              </w:rPr>
            </w:pPr>
            <w:r>
              <w:rPr>
                <w:rFonts w:eastAsia="Times New Roman"/>
                <w:sz w:val="20"/>
                <w:szCs w:val="20"/>
              </w:rPr>
              <w:t>●</w:t>
            </w:r>
          </w:p>
        </w:tc>
        <w:tc>
          <w:tcPr>
            <w:tcW w:w="0" w:type="auto"/>
            <w:hideMark/>
          </w:tcPr>
          <w:p w14:paraId="14A19ACC" w14:textId="77777777" w:rsidR="00000000" w:rsidRDefault="001826C1">
            <w:pPr>
              <w:rPr>
                <w:rFonts w:eastAsia="Times New Roman"/>
                <w:sz w:val="20"/>
                <w:szCs w:val="20"/>
              </w:rPr>
            </w:pPr>
            <w:r>
              <w:rPr>
                <w:rFonts w:eastAsia="Times New Roman"/>
                <w:sz w:val="20"/>
                <w:szCs w:val="20"/>
              </w:rPr>
              <w:t>Stock-based compensation expense and cash-settled awards, based on changes in</w:t>
            </w:r>
            <w:r>
              <w:rPr>
                <w:rFonts w:eastAsia="Times New Roman"/>
                <w:sz w:val="20"/>
                <w:szCs w:val="20"/>
              </w:rPr>
              <w:t xml:space="preserve"> the stock price;</w:t>
            </w:r>
          </w:p>
        </w:tc>
      </w:tr>
      <w:tr w:rsidR="00000000" w14:paraId="6CD4EEBA" w14:textId="77777777">
        <w:tc>
          <w:tcPr>
            <w:tcW w:w="0" w:type="auto"/>
            <w:hideMark/>
          </w:tcPr>
          <w:p w14:paraId="5095C5AB" w14:textId="77777777" w:rsidR="00000000" w:rsidRDefault="001826C1">
            <w:pPr>
              <w:rPr>
                <w:rFonts w:eastAsia="Times New Roman"/>
                <w:sz w:val="20"/>
                <w:szCs w:val="20"/>
              </w:rPr>
            </w:pPr>
            <w:r>
              <w:rPr>
                <w:rFonts w:eastAsia="Times New Roman"/>
                <w:sz w:val="20"/>
                <w:szCs w:val="20"/>
              </w:rPr>
              <w:t> </w:t>
            </w:r>
          </w:p>
        </w:tc>
        <w:tc>
          <w:tcPr>
            <w:tcW w:w="0" w:type="auto"/>
            <w:hideMark/>
          </w:tcPr>
          <w:p w14:paraId="1CCD1155" w14:textId="77777777" w:rsidR="00000000" w:rsidRDefault="001826C1">
            <w:pPr>
              <w:rPr>
                <w:rFonts w:eastAsia="Times New Roman"/>
                <w:sz w:val="20"/>
                <w:szCs w:val="20"/>
              </w:rPr>
            </w:pPr>
            <w:r>
              <w:rPr>
                <w:rFonts w:eastAsia="Times New Roman"/>
                <w:sz w:val="20"/>
                <w:szCs w:val="20"/>
              </w:rPr>
              <w:t>●</w:t>
            </w:r>
          </w:p>
        </w:tc>
        <w:tc>
          <w:tcPr>
            <w:tcW w:w="0" w:type="auto"/>
            <w:hideMark/>
          </w:tcPr>
          <w:p w14:paraId="021EA60D" w14:textId="77777777" w:rsidR="00000000" w:rsidRDefault="001826C1">
            <w:pPr>
              <w:rPr>
                <w:rFonts w:eastAsia="Times New Roman"/>
                <w:sz w:val="20"/>
                <w:szCs w:val="20"/>
              </w:rPr>
            </w:pPr>
            <w:r>
              <w:rPr>
                <w:rFonts w:eastAsia="Times New Roman"/>
                <w:sz w:val="20"/>
                <w:szCs w:val="20"/>
              </w:rPr>
              <w:t>Depreciation and amortization charges;</w:t>
            </w:r>
          </w:p>
        </w:tc>
      </w:tr>
      <w:tr w:rsidR="00000000" w14:paraId="6AE3C3D4" w14:textId="77777777">
        <w:tc>
          <w:tcPr>
            <w:tcW w:w="0" w:type="auto"/>
            <w:hideMark/>
          </w:tcPr>
          <w:p w14:paraId="3FD743A5" w14:textId="77777777" w:rsidR="00000000" w:rsidRDefault="001826C1">
            <w:pPr>
              <w:rPr>
                <w:rFonts w:eastAsia="Times New Roman"/>
                <w:sz w:val="20"/>
                <w:szCs w:val="20"/>
              </w:rPr>
            </w:pPr>
            <w:r>
              <w:rPr>
                <w:rFonts w:eastAsia="Times New Roman"/>
                <w:sz w:val="20"/>
                <w:szCs w:val="20"/>
              </w:rPr>
              <w:t> </w:t>
            </w:r>
          </w:p>
        </w:tc>
        <w:tc>
          <w:tcPr>
            <w:tcW w:w="0" w:type="auto"/>
            <w:hideMark/>
          </w:tcPr>
          <w:p w14:paraId="404AD4E7" w14:textId="77777777" w:rsidR="00000000" w:rsidRDefault="001826C1">
            <w:pPr>
              <w:rPr>
                <w:rFonts w:eastAsia="Times New Roman"/>
                <w:sz w:val="20"/>
                <w:szCs w:val="20"/>
              </w:rPr>
            </w:pPr>
            <w:r>
              <w:rPr>
                <w:rFonts w:eastAsia="Times New Roman"/>
                <w:sz w:val="20"/>
                <w:szCs w:val="20"/>
              </w:rPr>
              <w:t>●</w:t>
            </w:r>
          </w:p>
        </w:tc>
        <w:tc>
          <w:tcPr>
            <w:tcW w:w="0" w:type="auto"/>
            <w:hideMark/>
          </w:tcPr>
          <w:p w14:paraId="11D67218" w14:textId="77777777" w:rsidR="00000000" w:rsidRDefault="001826C1">
            <w:pPr>
              <w:jc w:val="both"/>
              <w:rPr>
                <w:rFonts w:eastAsia="Times New Roman"/>
                <w:sz w:val="20"/>
                <w:szCs w:val="20"/>
              </w:rPr>
            </w:pPr>
            <w:r>
              <w:rPr>
                <w:rFonts w:eastAsia="Times New Roman"/>
                <w:sz w:val="20"/>
                <w:szCs w:val="20"/>
              </w:rPr>
              <w:t xml:space="preserve">Integration </w:t>
            </w:r>
            <w:r>
              <w:rPr>
                <w:rFonts w:eastAsia="Times New Roman"/>
                <w:sz w:val="20"/>
                <w:szCs w:val="20"/>
              </w:rPr>
              <w:t>costs, such as severance amounts paid to employees from acquired businesses and transaction costs, such as brokerage fees, pre-acquisition accounting costs and legal fees, exit costs related to contractual agreements;</w:t>
            </w:r>
          </w:p>
        </w:tc>
      </w:tr>
      <w:tr w:rsidR="00000000" w14:paraId="482348AD" w14:textId="77777777">
        <w:tc>
          <w:tcPr>
            <w:tcW w:w="0" w:type="auto"/>
            <w:hideMark/>
          </w:tcPr>
          <w:p w14:paraId="3EDC964D" w14:textId="77777777" w:rsidR="00000000" w:rsidRDefault="001826C1">
            <w:pPr>
              <w:rPr>
                <w:rFonts w:eastAsia="Times New Roman"/>
                <w:sz w:val="20"/>
                <w:szCs w:val="20"/>
              </w:rPr>
            </w:pPr>
            <w:r>
              <w:rPr>
                <w:rFonts w:eastAsia="Times New Roman"/>
                <w:sz w:val="20"/>
                <w:szCs w:val="20"/>
              </w:rPr>
              <w:t> </w:t>
            </w:r>
          </w:p>
        </w:tc>
        <w:tc>
          <w:tcPr>
            <w:tcW w:w="0" w:type="auto"/>
            <w:hideMark/>
          </w:tcPr>
          <w:p w14:paraId="2F7ECC3C" w14:textId="77777777" w:rsidR="00000000" w:rsidRDefault="001826C1">
            <w:pPr>
              <w:rPr>
                <w:rFonts w:eastAsia="Times New Roman"/>
                <w:sz w:val="20"/>
                <w:szCs w:val="20"/>
              </w:rPr>
            </w:pPr>
            <w:r>
              <w:rPr>
                <w:rFonts w:eastAsia="Times New Roman"/>
                <w:sz w:val="20"/>
                <w:szCs w:val="20"/>
              </w:rPr>
              <w:t>●</w:t>
            </w:r>
          </w:p>
        </w:tc>
        <w:tc>
          <w:tcPr>
            <w:tcW w:w="0" w:type="auto"/>
            <w:hideMark/>
          </w:tcPr>
          <w:p w14:paraId="2E6DDF7B" w14:textId="77777777" w:rsidR="00000000" w:rsidRDefault="001826C1">
            <w:pPr>
              <w:rPr>
                <w:rFonts w:eastAsia="Times New Roman"/>
                <w:sz w:val="20"/>
                <w:szCs w:val="20"/>
              </w:rPr>
            </w:pPr>
            <w:r>
              <w:rPr>
                <w:rFonts w:eastAsia="Times New Roman"/>
                <w:sz w:val="20"/>
                <w:szCs w:val="20"/>
              </w:rPr>
              <w:t>Restructuring and impairment char</w:t>
            </w:r>
            <w:r>
              <w:rPr>
                <w:rFonts w:eastAsia="Times New Roman"/>
                <w:sz w:val="20"/>
                <w:szCs w:val="20"/>
              </w:rPr>
              <w:t>ges; and</w:t>
            </w:r>
          </w:p>
        </w:tc>
      </w:tr>
      <w:tr w:rsidR="00000000" w14:paraId="0067E914" w14:textId="77777777">
        <w:tc>
          <w:tcPr>
            <w:tcW w:w="0" w:type="auto"/>
            <w:hideMark/>
          </w:tcPr>
          <w:p w14:paraId="0CA7EA45" w14:textId="77777777" w:rsidR="00000000" w:rsidRDefault="001826C1">
            <w:pPr>
              <w:rPr>
                <w:rFonts w:eastAsia="Times New Roman"/>
                <w:sz w:val="20"/>
                <w:szCs w:val="20"/>
              </w:rPr>
            </w:pPr>
            <w:r>
              <w:rPr>
                <w:rFonts w:eastAsia="Times New Roman"/>
                <w:sz w:val="20"/>
                <w:szCs w:val="20"/>
              </w:rPr>
              <w:t> </w:t>
            </w:r>
          </w:p>
        </w:tc>
        <w:tc>
          <w:tcPr>
            <w:tcW w:w="0" w:type="auto"/>
            <w:hideMark/>
          </w:tcPr>
          <w:p w14:paraId="20D30F3E" w14:textId="77777777" w:rsidR="00000000" w:rsidRDefault="001826C1">
            <w:pPr>
              <w:rPr>
                <w:rFonts w:eastAsia="Times New Roman"/>
                <w:sz w:val="20"/>
                <w:szCs w:val="20"/>
              </w:rPr>
            </w:pPr>
            <w:r>
              <w:rPr>
                <w:rFonts w:eastAsia="Times New Roman"/>
                <w:sz w:val="20"/>
                <w:szCs w:val="20"/>
              </w:rPr>
              <w:t>●</w:t>
            </w:r>
          </w:p>
        </w:tc>
        <w:tc>
          <w:tcPr>
            <w:tcW w:w="0" w:type="auto"/>
            <w:hideMark/>
          </w:tcPr>
          <w:p w14:paraId="5BFC7D83" w14:textId="77777777" w:rsidR="00000000" w:rsidRDefault="001826C1">
            <w:pPr>
              <w:rPr>
                <w:rFonts w:eastAsia="Times New Roman"/>
                <w:sz w:val="20"/>
                <w:szCs w:val="20"/>
              </w:rPr>
            </w:pPr>
            <w:r>
              <w:rPr>
                <w:rFonts w:eastAsia="Times New Roman"/>
                <w:sz w:val="20"/>
                <w:szCs w:val="20"/>
              </w:rPr>
              <w:t>Changes in contingent consideration.</w:t>
            </w:r>
          </w:p>
        </w:tc>
      </w:tr>
    </w:tbl>
    <w:p w14:paraId="2D65599E" w14:textId="77777777" w:rsidR="00000000" w:rsidRDefault="001826C1">
      <w:pPr>
        <w:pStyle w:val="a3"/>
        <w:spacing w:before="0" w:beforeAutospacing="0" w:after="0" w:afterAutospacing="0"/>
        <w:jc w:val="both"/>
        <w:rPr>
          <w:sz w:val="20"/>
          <w:szCs w:val="20"/>
        </w:rPr>
      </w:pPr>
      <w:r>
        <w:rPr>
          <w:sz w:val="20"/>
          <w:szCs w:val="20"/>
        </w:rPr>
        <w:t> </w:t>
      </w:r>
    </w:p>
    <w:p w14:paraId="242BC277" w14:textId="77777777" w:rsidR="00000000" w:rsidRDefault="001826C1">
      <w:pPr>
        <w:pStyle w:val="a3"/>
        <w:spacing w:before="0" w:beforeAutospacing="0" w:after="0" w:afterAutospacing="0"/>
        <w:jc w:val="both"/>
        <w:rPr>
          <w:sz w:val="20"/>
          <w:szCs w:val="20"/>
        </w:rPr>
      </w:pPr>
      <w:r>
        <w:rPr>
          <w:sz w:val="20"/>
          <w:szCs w:val="20"/>
        </w:rPr>
        <w:t>Set forth below is a presentation of our adjusted EBITDA for the years ended December 31, 2019 and 2018:</w:t>
      </w:r>
    </w:p>
    <w:p w14:paraId="3DD01CB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39"/>
        <w:gridCol w:w="119"/>
        <w:gridCol w:w="100"/>
        <w:gridCol w:w="916"/>
        <w:gridCol w:w="67"/>
        <w:gridCol w:w="120"/>
        <w:gridCol w:w="100"/>
        <w:gridCol w:w="917"/>
        <w:gridCol w:w="67"/>
      </w:tblGrid>
      <w:tr w:rsidR="00000000" w14:paraId="4790F2FA" w14:textId="77777777">
        <w:tc>
          <w:tcPr>
            <w:tcW w:w="0" w:type="auto"/>
            <w:vAlign w:val="bottom"/>
            <w:hideMark/>
          </w:tcPr>
          <w:p w14:paraId="73EA1E8C"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7A2D60B"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CFA677F"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6D614495" w14:textId="77777777" w:rsidR="00000000" w:rsidRDefault="001826C1">
            <w:pPr>
              <w:rPr>
                <w:rFonts w:eastAsia="Times New Roman"/>
                <w:b/>
                <w:bCs/>
                <w:sz w:val="20"/>
                <w:szCs w:val="20"/>
              </w:rPr>
            </w:pPr>
            <w:r>
              <w:rPr>
                <w:rFonts w:eastAsia="Times New Roman"/>
                <w:b/>
                <w:bCs/>
                <w:sz w:val="20"/>
                <w:szCs w:val="20"/>
              </w:rPr>
              <w:t> </w:t>
            </w:r>
          </w:p>
        </w:tc>
      </w:tr>
      <w:tr w:rsidR="00000000" w14:paraId="76893F58" w14:textId="77777777">
        <w:tc>
          <w:tcPr>
            <w:tcW w:w="0" w:type="auto"/>
            <w:vAlign w:val="bottom"/>
            <w:hideMark/>
          </w:tcPr>
          <w:p w14:paraId="1EC63B9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5E7B584"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52B5742"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3ABF2B56"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2EE4A19"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A9D8257"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279E149B" w14:textId="77777777" w:rsidR="00000000" w:rsidRDefault="001826C1">
            <w:pPr>
              <w:rPr>
                <w:rFonts w:eastAsia="Times New Roman"/>
                <w:b/>
                <w:bCs/>
                <w:sz w:val="20"/>
                <w:szCs w:val="20"/>
              </w:rPr>
            </w:pPr>
            <w:r>
              <w:rPr>
                <w:rFonts w:eastAsia="Times New Roman"/>
                <w:b/>
                <w:bCs/>
                <w:sz w:val="20"/>
                <w:szCs w:val="20"/>
              </w:rPr>
              <w:t> </w:t>
            </w:r>
          </w:p>
        </w:tc>
      </w:tr>
      <w:tr w:rsidR="00000000" w14:paraId="6E26465A" w14:textId="77777777">
        <w:tc>
          <w:tcPr>
            <w:tcW w:w="0" w:type="auto"/>
            <w:vAlign w:val="bottom"/>
            <w:hideMark/>
          </w:tcPr>
          <w:p w14:paraId="0A500649"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3B0DE6FA" w14:textId="77777777" w:rsidR="00000000" w:rsidRDefault="001826C1">
            <w:pPr>
              <w:rPr>
                <w:rFonts w:eastAsia="Times New Roman"/>
                <w:sz w:val="20"/>
                <w:szCs w:val="20"/>
              </w:rPr>
            </w:pPr>
            <w:r>
              <w:rPr>
                <w:rFonts w:eastAsia="Times New Roman"/>
                <w:sz w:val="20"/>
                <w:szCs w:val="20"/>
              </w:rPr>
              <w:t> </w:t>
            </w:r>
          </w:p>
        </w:tc>
        <w:tc>
          <w:tcPr>
            <w:tcW w:w="0" w:type="auto"/>
            <w:gridSpan w:val="6"/>
            <w:vAlign w:val="bottom"/>
            <w:hideMark/>
          </w:tcPr>
          <w:p w14:paraId="1F62D11A" w14:textId="77777777" w:rsidR="00000000" w:rsidRDefault="001826C1">
            <w:pPr>
              <w:jc w:val="center"/>
              <w:rPr>
                <w:rFonts w:eastAsia="Times New Roman"/>
                <w:sz w:val="20"/>
                <w:szCs w:val="20"/>
              </w:rPr>
            </w:pPr>
            <w:r>
              <w:rPr>
                <w:rFonts w:eastAsia="Times New Roman"/>
                <w:sz w:val="20"/>
                <w:szCs w:val="20"/>
              </w:rPr>
              <w:t>($ in thousands)</w:t>
            </w:r>
          </w:p>
        </w:tc>
        <w:tc>
          <w:tcPr>
            <w:tcW w:w="0" w:type="auto"/>
            <w:vAlign w:val="bottom"/>
            <w:hideMark/>
          </w:tcPr>
          <w:p w14:paraId="2CFC827A" w14:textId="77777777" w:rsidR="00000000" w:rsidRDefault="001826C1">
            <w:pPr>
              <w:rPr>
                <w:rFonts w:eastAsia="Times New Roman"/>
                <w:sz w:val="20"/>
                <w:szCs w:val="20"/>
              </w:rPr>
            </w:pPr>
            <w:r>
              <w:rPr>
                <w:rFonts w:eastAsia="Times New Roman"/>
                <w:sz w:val="20"/>
                <w:szCs w:val="20"/>
              </w:rPr>
              <w:t> </w:t>
            </w:r>
          </w:p>
        </w:tc>
      </w:tr>
      <w:tr w:rsidR="00000000" w14:paraId="0430BBAB" w14:textId="77777777">
        <w:tc>
          <w:tcPr>
            <w:tcW w:w="3200" w:type="pct"/>
            <w:shd w:val="clear" w:color="auto" w:fill="CCEEFF"/>
            <w:tcMar>
              <w:top w:w="0" w:type="dxa"/>
              <w:left w:w="0" w:type="dxa"/>
              <w:bottom w:w="50" w:type="dxa"/>
              <w:right w:w="0" w:type="dxa"/>
            </w:tcMar>
            <w:vAlign w:val="bottom"/>
            <w:hideMark/>
          </w:tcPr>
          <w:p w14:paraId="4D65E833" w14:textId="77777777" w:rsidR="00000000" w:rsidRDefault="001826C1">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5989CFF5" w14:textId="77777777" w:rsidR="00000000" w:rsidRDefault="001826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16FBC545" w14:textId="77777777" w:rsidR="00000000" w:rsidRDefault="001826C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53CBA4AF" w14:textId="77777777" w:rsidR="00000000" w:rsidRDefault="001826C1">
            <w:pPr>
              <w:jc w:val="right"/>
              <w:rPr>
                <w:rFonts w:eastAsia="Times New Roman"/>
                <w:sz w:val="20"/>
                <w:szCs w:val="20"/>
              </w:rPr>
            </w:pPr>
            <w:r>
              <w:rPr>
                <w:rFonts w:eastAsia="Times New Roman"/>
                <w:sz w:val="20"/>
                <w:szCs w:val="20"/>
              </w:rPr>
              <w:t>64,439</w:t>
            </w:r>
          </w:p>
        </w:tc>
        <w:tc>
          <w:tcPr>
            <w:tcW w:w="50" w:type="pct"/>
            <w:shd w:val="clear" w:color="auto" w:fill="CCEEFF"/>
            <w:tcMar>
              <w:top w:w="0" w:type="dxa"/>
              <w:left w:w="0" w:type="dxa"/>
              <w:bottom w:w="50" w:type="dxa"/>
              <w:right w:w="0" w:type="dxa"/>
            </w:tcMar>
            <w:vAlign w:val="bottom"/>
            <w:hideMark/>
          </w:tcPr>
          <w:p w14:paraId="4679A564"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43CAC2AC" w14:textId="77777777" w:rsidR="00000000" w:rsidRDefault="001826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49B160D" w14:textId="77777777" w:rsidR="00000000" w:rsidRDefault="001826C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5CA9DB32" w14:textId="77777777" w:rsidR="00000000" w:rsidRDefault="001826C1">
            <w:pPr>
              <w:jc w:val="right"/>
              <w:rPr>
                <w:rFonts w:eastAsia="Times New Roman"/>
                <w:sz w:val="20"/>
                <w:szCs w:val="20"/>
              </w:rPr>
            </w:pPr>
            <w:r>
              <w:rPr>
                <w:rFonts w:eastAsia="Times New Roman"/>
                <w:sz w:val="20"/>
                <w:szCs w:val="20"/>
              </w:rPr>
              <w:t>50,546</w:t>
            </w:r>
          </w:p>
        </w:tc>
        <w:tc>
          <w:tcPr>
            <w:tcW w:w="50" w:type="pct"/>
            <w:shd w:val="clear" w:color="auto" w:fill="CCEEFF"/>
            <w:tcMar>
              <w:top w:w="0" w:type="dxa"/>
              <w:left w:w="0" w:type="dxa"/>
              <w:bottom w:w="50" w:type="dxa"/>
              <w:right w:w="0" w:type="dxa"/>
            </w:tcMar>
            <w:vAlign w:val="bottom"/>
            <w:hideMark/>
          </w:tcPr>
          <w:p w14:paraId="7B4AEB45" w14:textId="77777777" w:rsidR="00000000" w:rsidRDefault="001826C1">
            <w:pPr>
              <w:rPr>
                <w:rFonts w:eastAsia="Times New Roman"/>
                <w:sz w:val="20"/>
                <w:szCs w:val="20"/>
              </w:rPr>
            </w:pPr>
            <w:r>
              <w:rPr>
                <w:rFonts w:eastAsia="Times New Roman"/>
                <w:sz w:val="20"/>
                <w:szCs w:val="20"/>
              </w:rPr>
              <w:t> </w:t>
            </w:r>
          </w:p>
        </w:tc>
      </w:tr>
      <w:tr w:rsidR="00000000" w14:paraId="02FB2137" w14:textId="77777777">
        <w:tc>
          <w:tcPr>
            <w:tcW w:w="0" w:type="auto"/>
            <w:shd w:val="clear" w:color="auto" w:fill="FFFFFF"/>
            <w:vAlign w:val="bottom"/>
            <w:hideMark/>
          </w:tcPr>
          <w:p w14:paraId="5C9C3D8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F042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22AB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17C2E0"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F9BE7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089C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81EE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5C38F"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26BF74E" w14:textId="77777777" w:rsidR="00000000" w:rsidRDefault="001826C1">
            <w:pPr>
              <w:rPr>
                <w:rFonts w:eastAsia="Times New Roman"/>
                <w:sz w:val="20"/>
                <w:szCs w:val="20"/>
              </w:rPr>
            </w:pPr>
            <w:r>
              <w:rPr>
                <w:rFonts w:eastAsia="Times New Roman"/>
                <w:sz w:val="20"/>
                <w:szCs w:val="20"/>
              </w:rPr>
              <w:t> </w:t>
            </w:r>
          </w:p>
        </w:tc>
      </w:tr>
      <w:tr w:rsidR="00000000" w14:paraId="1BBBAD58" w14:textId="77777777">
        <w:tc>
          <w:tcPr>
            <w:tcW w:w="0" w:type="auto"/>
            <w:shd w:val="clear" w:color="auto" w:fill="CCEEFF"/>
            <w:tcMar>
              <w:top w:w="0" w:type="dxa"/>
              <w:left w:w="200" w:type="dxa"/>
              <w:bottom w:w="0" w:type="dxa"/>
              <w:right w:w="0" w:type="dxa"/>
            </w:tcMar>
            <w:vAlign w:val="bottom"/>
            <w:hideMark/>
          </w:tcPr>
          <w:p w14:paraId="7735DF18" w14:textId="77777777" w:rsidR="00000000" w:rsidRDefault="001826C1">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68BCA1A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93A6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6ADDE6" w14:textId="77777777" w:rsidR="00000000" w:rsidRDefault="001826C1">
            <w:pPr>
              <w:jc w:val="right"/>
              <w:rPr>
                <w:rFonts w:eastAsia="Times New Roman"/>
                <w:sz w:val="20"/>
                <w:szCs w:val="20"/>
              </w:rPr>
            </w:pPr>
            <w:r>
              <w:rPr>
                <w:rFonts w:eastAsia="Times New Roman"/>
                <w:sz w:val="20"/>
                <w:szCs w:val="20"/>
              </w:rPr>
              <w:t>(872</w:t>
            </w:r>
          </w:p>
        </w:tc>
        <w:tc>
          <w:tcPr>
            <w:tcW w:w="0" w:type="auto"/>
            <w:shd w:val="clear" w:color="auto" w:fill="CCEEFF"/>
            <w:vAlign w:val="bottom"/>
            <w:hideMark/>
          </w:tcPr>
          <w:p w14:paraId="2CCFA1B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47C99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20E0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4FDB72" w14:textId="77777777" w:rsidR="00000000" w:rsidRDefault="001826C1">
            <w:pPr>
              <w:jc w:val="right"/>
              <w:rPr>
                <w:rFonts w:eastAsia="Times New Roman"/>
                <w:sz w:val="20"/>
                <w:szCs w:val="20"/>
              </w:rPr>
            </w:pPr>
            <w:r>
              <w:rPr>
                <w:rFonts w:eastAsia="Times New Roman"/>
                <w:sz w:val="20"/>
                <w:szCs w:val="20"/>
              </w:rPr>
              <w:t>(2,138</w:t>
            </w:r>
          </w:p>
        </w:tc>
        <w:tc>
          <w:tcPr>
            <w:tcW w:w="0" w:type="auto"/>
            <w:shd w:val="clear" w:color="auto" w:fill="CCEEFF"/>
            <w:vAlign w:val="bottom"/>
            <w:hideMark/>
          </w:tcPr>
          <w:p w14:paraId="3DA27051" w14:textId="77777777" w:rsidR="00000000" w:rsidRDefault="001826C1">
            <w:pPr>
              <w:rPr>
                <w:rFonts w:eastAsia="Times New Roman"/>
                <w:sz w:val="20"/>
                <w:szCs w:val="20"/>
              </w:rPr>
            </w:pPr>
            <w:r>
              <w:rPr>
                <w:rFonts w:eastAsia="Times New Roman"/>
                <w:sz w:val="20"/>
                <w:szCs w:val="20"/>
              </w:rPr>
              <w:t>)</w:t>
            </w:r>
          </w:p>
        </w:tc>
      </w:tr>
      <w:tr w:rsidR="00000000" w14:paraId="788A8703" w14:textId="77777777">
        <w:tc>
          <w:tcPr>
            <w:tcW w:w="0" w:type="auto"/>
            <w:shd w:val="clear" w:color="auto" w:fill="FFFFFF"/>
            <w:vAlign w:val="bottom"/>
            <w:hideMark/>
          </w:tcPr>
          <w:p w14:paraId="09F5BB4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D35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8D0E2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63F69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F78FD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570B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4F85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B5FE6D"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8EE499A" w14:textId="77777777" w:rsidR="00000000" w:rsidRDefault="001826C1">
            <w:pPr>
              <w:rPr>
                <w:rFonts w:eastAsia="Times New Roman"/>
                <w:sz w:val="20"/>
                <w:szCs w:val="20"/>
              </w:rPr>
            </w:pPr>
            <w:r>
              <w:rPr>
                <w:rFonts w:eastAsia="Times New Roman"/>
                <w:sz w:val="20"/>
                <w:szCs w:val="20"/>
              </w:rPr>
              <w:t> </w:t>
            </w:r>
          </w:p>
        </w:tc>
      </w:tr>
      <w:tr w:rsidR="00000000" w14:paraId="31F0B6DC" w14:textId="77777777">
        <w:tc>
          <w:tcPr>
            <w:tcW w:w="0" w:type="auto"/>
            <w:shd w:val="clear" w:color="auto" w:fill="CCEEFF"/>
            <w:tcMar>
              <w:top w:w="0" w:type="dxa"/>
              <w:left w:w="200" w:type="dxa"/>
              <w:bottom w:w="0" w:type="dxa"/>
              <w:right w:w="0" w:type="dxa"/>
            </w:tcMar>
            <w:vAlign w:val="bottom"/>
            <w:hideMark/>
          </w:tcPr>
          <w:p w14:paraId="756A77C5" w14:textId="77777777" w:rsidR="00000000" w:rsidRDefault="001826C1">
            <w:pPr>
              <w:rPr>
                <w:rFonts w:eastAsia="Times New Roman"/>
                <w:sz w:val="20"/>
                <w:szCs w:val="20"/>
              </w:rPr>
            </w:pPr>
            <w:r>
              <w:rPr>
                <w:rFonts w:eastAsia="Times New Roman"/>
                <w:sz w:val="20"/>
                <w:szCs w:val="20"/>
              </w:rPr>
              <w:t>Provision (benefit) for income taxes</w:t>
            </w:r>
          </w:p>
        </w:tc>
        <w:tc>
          <w:tcPr>
            <w:tcW w:w="0" w:type="auto"/>
            <w:shd w:val="clear" w:color="auto" w:fill="CCEEFF"/>
            <w:vAlign w:val="bottom"/>
            <w:hideMark/>
          </w:tcPr>
          <w:p w14:paraId="1081C0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B618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D0E94B" w14:textId="77777777" w:rsidR="00000000" w:rsidRDefault="001826C1">
            <w:pPr>
              <w:jc w:val="right"/>
              <w:rPr>
                <w:rFonts w:eastAsia="Times New Roman"/>
                <w:sz w:val="20"/>
                <w:szCs w:val="20"/>
              </w:rPr>
            </w:pPr>
            <w:r>
              <w:rPr>
                <w:rFonts w:eastAsia="Times New Roman"/>
                <w:sz w:val="20"/>
                <w:szCs w:val="20"/>
              </w:rPr>
              <w:t>193</w:t>
            </w:r>
          </w:p>
        </w:tc>
        <w:tc>
          <w:tcPr>
            <w:tcW w:w="0" w:type="auto"/>
            <w:shd w:val="clear" w:color="auto" w:fill="CCEEFF"/>
            <w:vAlign w:val="bottom"/>
            <w:hideMark/>
          </w:tcPr>
          <w:p w14:paraId="7992CFB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3787C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60D78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382D28" w14:textId="77777777" w:rsidR="00000000" w:rsidRDefault="001826C1">
            <w:pPr>
              <w:jc w:val="right"/>
              <w:rPr>
                <w:rFonts w:eastAsia="Times New Roman"/>
                <w:sz w:val="20"/>
                <w:szCs w:val="20"/>
              </w:rPr>
            </w:pPr>
            <w:r>
              <w:rPr>
                <w:rFonts w:eastAsia="Times New Roman"/>
                <w:sz w:val="20"/>
                <w:szCs w:val="20"/>
              </w:rPr>
              <w:t>(157</w:t>
            </w:r>
          </w:p>
        </w:tc>
        <w:tc>
          <w:tcPr>
            <w:tcW w:w="0" w:type="auto"/>
            <w:shd w:val="clear" w:color="auto" w:fill="CCEEFF"/>
            <w:vAlign w:val="bottom"/>
            <w:hideMark/>
          </w:tcPr>
          <w:p w14:paraId="51292156" w14:textId="77777777" w:rsidR="00000000" w:rsidRDefault="001826C1">
            <w:pPr>
              <w:rPr>
                <w:rFonts w:eastAsia="Times New Roman"/>
                <w:sz w:val="20"/>
                <w:szCs w:val="20"/>
              </w:rPr>
            </w:pPr>
            <w:r>
              <w:rPr>
                <w:rFonts w:eastAsia="Times New Roman"/>
                <w:sz w:val="20"/>
                <w:szCs w:val="20"/>
              </w:rPr>
              <w:t>)</w:t>
            </w:r>
          </w:p>
        </w:tc>
      </w:tr>
      <w:tr w:rsidR="00000000" w14:paraId="540DB32F" w14:textId="77777777">
        <w:tc>
          <w:tcPr>
            <w:tcW w:w="0" w:type="auto"/>
            <w:shd w:val="clear" w:color="auto" w:fill="FFFFFF"/>
            <w:tcMar>
              <w:top w:w="0" w:type="dxa"/>
              <w:left w:w="200" w:type="dxa"/>
              <w:bottom w:w="0" w:type="dxa"/>
              <w:right w:w="0" w:type="dxa"/>
            </w:tcMar>
            <w:vAlign w:val="bottom"/>
            <w:hideMark/>
          </w:tcPr>
          <w:p w14:paraId="7AA3EEDC" w14:textId="77777777" w:rsidR="00000000" w:rsidRDefault="001826C1">
            <w:pPr>
              <w:rPr>
                <w:rFonts w:eastAsia="Times New Roman"/>
                <w:sz w:val="20"/>
                <w:szCs w:val="20"/>
              </w:rPr>
            </w:pPr>
            <w:r>
              <w:rPr>
                <w:rFonts w:eastAsia="Times New Roman"/>
                <w:sz w:val="20"/>
                <w:szCs w:val="20"/>
              </w:rPr>
              <w:t>Net interest expense</w:t>
            </w:r>
          </w:p>
        </w:tc>
        <w:tc>
          <w:tcPr>
            <w:tcW w:w="0" w:type="auto"/>
            <w:shd w:val="clear" w:color="auto" w:fill="FFFFFF"/>
            <w:vAlign w:val="bottom"/>
            <w:hideMark/>
          </w:tcPr>
          <w:p w14:paraId="7E0F5F0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BECD7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DC3FCA" w14:textId="77777777" w:rsidR="00000000" w:rsidRDefault="001826C1">
            <w:pPr>
              <w:jc w:val="right"/>
              <w:rPr>
                <w:rFonts w:eastAsia="Times New Roman"/>
                <w:sz w:val="20"/>
                <w:szCs w:val="20"/>
              </w:rPr>
            </w:pPr>
            <w:r>
              <w:rPr>
                <w:rFonts w:eastAsia="Times New Roman"/>
                <w:sz w:val="20"/>
                <w:szCs w:val="20"/>
              </w:rPr>
              <w:t>121</w:t>
            </w:r>
          </w:p>
        </w:tc>
        <w:tc>
          <w:tcPr>
            <w:tcW w:w="0" w:type="auto"/>
            <w:shd w:val="clear" w:color="auto" w:fill="FFFFFF"/>
            <w:vAlign w:val="bottom"/>
            <w:hideMark/>
          </w:tcPr>
          <w:p w14:paraId="64881D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D207F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87DF6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14782" w14:textId="77777777" w:rsidR="00000000" w:rsidRDefault="001826C1">
            <w:pPr>
              <w:jc w:val="right"/>
              <w:rPr>
                <w:rFonts w:eastAsia="Times New Roman"/>
                <w:sz w:val="20"/>
                <w:szCs w:val="20"/>
              </w:rPr>
            </w:pPr>
            <w:r>
              <w:rPr>
                <w:rFonts w:eastAsia="Times New Roman"/>
                <w:sz w:val="20"/>
                <w:szCs w:val="20"/>
              </w:rPr>
              <w:t>250</w:t>
            </w:r>
          </w:p>
        </w:tc>
        <w:tc>
          <w:tcPr>
            <w:tcW w:w="0" w:type="auto"/>
            <w:shd w:val="clear" w:color="auto" w:fill="FFFFFF"/>
            <w:vAlign w:val="bottom"/>
            <w:hideMark/>
          </w:tcPr>
          <w:p w14:paraId="737113B3" w14:textId="77777777" w:rsidR="00000000" w:rsidRDefault="001826C1">
            <w:pPr>
              <w:rPr>
                <w:rFonts w:eastAsia="Times New Roman"/>
                <w:sz w:val="20"/>
                <w:szCs w:val="20"/>
              </w:rPr>
            </w:pPr>
            <w:r>
              <w:rPr>
                <w:rFonts w:eastAsia="Times New Roman"/>
                <w:sz w:val="20"/>
                <w:szCs w:val="20"/>
              </w:rPr>
              <w:t> </w:t>
            </w:r>
          </w:p>
        </w:tc>
      </w:tr>
      <w:tr w:rsidR="00000000" w14:paraId="5D198BAC" w14:textId="77777777">
        <w:tc>
          <w:tcPr>
            <w:tcW w:w="0" w:type="auto"/>
            <w:shd w:val="clear" w:color="auto" w:fill="CCEEFF"/>
            <w:tcMar>
              <w:top w:w="0" w:type="dxa"/>
              <w:left w:w="200" w:type="dxa"/>
              <w:bottom w:w="0" w:type="dxa"/>
              <w:right w:w="0" w:type="dxa"/>
            </w:tcMar>
            <w:vAlign w:val="bottom"/>
            <w:hideMark/>
          </w:tcPr>
          <w:p w14:paraId="2CA00757" w14:textId="77777777" w:rsidR="00000000" w:rsidRDefault="001826C1">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124652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D1ED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945162" w14:textId="77777777" w:rsidR="00000000" w:rsidRDefault="001826C1">
            <w:pPr>
              <w:jc w:val="right"/>
              <w:rPr>
                <w:rFonts w:eastAsia="Times New Roman"/>
                <w:sz w:val="20"/>
                <w:szCs w:val="20"/>
              </w:rPr>
            </w:pPr>
            <w:r>
              <w:rPr>
                <w:rFonts w:eastAsia="Times New Roman"/>
                <w:sz w:val="20"/>
                <w:szCs w:val="20"/>
              </w:rPr>
              <w:t>827</w:t>
            </w:r>
          </w:p>
        </w:tc>
        <w:tc>
          <w:tcPr>
            <w:tcW w:w="0" w:type="auto"/>
            <w:shd w:val="clear" w:color="auto" w:fill="CCEEFF"/>
            <w:vAlign w:val="bottom"/>
            <w:hideMark/>
          </w:tcPr>
          <w:p w14:paraId="4302F7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E8DC6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5BEAA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44F776" w14:textId="77777777" w:rsidR="00000000" w:rsidRDefault="001826C1">
            <w:pPr>
              <w:jc w:val="right"/>
              <w:rPr>
                <w:rFonts w:eastAsia="Times New Roman"/>
                <w:sz w:val="20"/>
                <w:szCs w:val="20"/>
              </w:rPr>
            </w:pPr>
            <w:r>
              <w:rPr>
                <w:rFonts w:eastAsia="Times New Roman"/>
                <w:sz w:val="20"/>
                <w:szCs w:val="20"/>
              </w:rPr>
              <w:t>(435</w:t>
            </w:r>
          </w:p>
        </w:tc>
        <w:tc>
          <w:tcPr>
            <w:tcW w:w="0" w:type="auto"/>
            <w:shd w:val="clear" w:color="auto" w:fill="CCEEFF"/>
            <w:vAlign w:val="bottom"/>
            <w:hideMark/>
          </w:tcPr>
          <w:p w14:paraId="1CD61CBF" w14:textId="77777777" w:rsidR="00000000" w:rsidRDefault="001826C1">
            <w:pPr>
              <w:rPr>
                <w:rFonts w:eastAsia="Times New Roman"/>
                <w:sz w:val="20"/>
                <w:szCs w:val="20"/>
              </w:rPr>
            </w:pPr>
            <w:r>
              <w:rPr>
                <w:rFonts w:eastAsia="Times New Roman"/>
                <w:sz w:val="20"/>
                <w:szCs w:val="20"/>
              </w:rPr>
              <w:t>)</w:t>
            </w:r>
          </w:p>
        </w:tc>
      </w:tr>
      <w:tr w:rsidR="00000000" w14:paraId="3D088E88" w14:textId="77777777">
        <w:tc>
          <w:tcPr>
            <w:tcW w:w="0" w:type="auto"/>
            <w:shd w:val="clear" w:color="auto" w:fill="FFFFFF"/>
            <w:tcMar>
              <w:top w:w="0" w:type="dxa"/>
              <w:left w:w="200" w:type="dxa"/>
              <w:bottom w:w="0" w:type="dxa"/>
              <w:right w:w="0" w:type="dxa"/>
            </w:tcMar>
            <w:vAlign w:val="bottom"/>
            <w:hideMark/>
          </w:tcPr>
          <w:p w14:paraId="38103FD8" w14:textId="77777777" w:rsidR="00000000" w:rsidRDefault="001826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626E0CB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E9F0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BFA839" w14:textId="77777777" w:rsidR="00000000" w:rsidRDefault="001826C1">
            <w:pPr>
              <w:jc w:val="right"/>
              <w:rPr>
                <w:rFonts w:eastAsia="Times New Roman"/>
                <w:sz w:val="20"/>
                <w:szCs w:val="20"/>
              </w:rPr>
            </w:pPr>
            <w:r>
              <w:rPr>
                <w:rFonts w:eastAsia="Times New Roman"/>
                <w:sz w:val="20"/>
                <w:szCs w:val="20"/>
              </w:rPr>
              <w:t>3,215</w:t>
            </w:r>
          </w:p>
        </w:tc>
        <w:tc>
          <w:tcPr>
            <w:tcW w:w="0" w:type="auto"/>
            <w:shd w:val="clear" w:color="auto" w:fill="FFFFFF"/>
            <w:vAlign w:val="bottom"/>
            <w:hideMark/>
          </w:tcPr>
          <w:p w14:paraId="7AA564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1156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264A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0084D8" w14:textId="77777777" w:rsidR="00000000" w:rsidRDefault="001826C1">
            <w:pPr>
              <w:jc w:val="right"/>
              <w:rPr>
                <w:rFonts w:eastAsia="Times New Roman"/>
                <w:sz w:val="20"/>
                <w:szCs w:val="20"/>
              </w:rPr>
            </w:pPr>
            <w:r>
              <w:rPr>
                <w:rFonts w:eastAsia="Times New Roman"/>
                <w:sz w:val="20"/>
                <w:szCs w:val="20"/>
              </w:rPr>
              <w:t>2,464</w:t>
            </w:r>
          </w:p>
        </w:tc>
        <w:tc>
          <w:tcPr>
            <w:tcW w:w="0" w:type="auto"/>
            <w:shd w:val="clear" w:color="auto" w:fill="FFFFFF"/>
            <w:vAlign w:val="bottom"/>
            <w:hideMark/>
          </w:tcPr>
          <w:p w14:paraId="08F513E3" w14:textId="77777777" w:rsidR="00000000" w:rsidRDefault="001826C1">
            <w:pPr>
              <w:rPr>
                <w:rFonts w:eastAsia="Times New Roman"/>
                <w:sz w:val="20"/>
                <w:szCs w:val="20"/>
              </w:rPr>
            </w:pPr>
            <w:r>
              <w:rPr>
                <w:rFonts w:eastAsia="Times New Roman"/>
                <w:sz w:val="20"/>
                <w:szCs w:val="20"/>
              </w:rPr>
              <w:t> </w:t>
            </w:r>
          </w:p>
        </w:tc>
      </w:tr>
      <w:tr w:rsidR="00000000" w14:paraId="261524A3" w14:textId="77777777">
        <w:tc>
          <w:tcPr>
            <w:tcW w:w="0" w:type="auto"/>
            <w:shd w:val="clear" w:color="auto" w:fill="CCEEFF"/>
            <w:tcMar>
              <w:top w:w="0" w:type="dxa"/>
              <w:left w:w="200" w:type="dxa"/>
              <w:bottom w:w="0" w:type="dxa"/>
              <w:right w:w="0" w:type="dxa"/>
            </w:tcMar>
            <w:vAlign w:val="bottom"/>
            <w:hideMark/>
          </w:tcPr>
          <w:p w14:paraId="0C50D18C" w14:textId="77777777" w:rsidR="00000000" w:rsidRDefault="001826C1">
            <w:pPr>
              <w:rPr>
                <w:rFonts w:eastAsia="Times New Roman"/>
                <w:sz w:val="20"/>
                <w:szCs w:val="20"/>
              </w:rPr>
            </w:pPr>
            <w:r>
              <w:rPr>
                <w:rFonts w:eastAsia="Times New Roman"/>
                <w:sz w:val="20"/>
                <w:szCs w:val="20"/>
              </w:rPr>
              <w:t>Depreciation and amortization</w:t>
            </w:r>
          </w:p>
        </w:tc>
        <w:tc>
          <w:tcPr>
            <w:tcW w:w="0" w:type="auto"/>
            <w:shd w:val="clear" w:color="auto" w:fill="CCEEFF"/>
            <w:vAlign w:val="bottom"/>
            <w:hideMark/>
          </w:tcPr>
          <w:p w14:paraId="1383AF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DF01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58CAA5" w14:textId="77777777" w:rsidR="00000000" w:rsidRDefault="001826C1">
            <w:pPr>
              <w:jc w:val="right"/>
              <w:rPr>
                <w:rFonts w:eastAsia="Times New Roman"/>
                <w:sz w:val="20"/>
                <w:szCs w:val="20"/>
              </w:rPr>
            </w:pPr>
            <w:r>
              <w:rPr>
                <w:rFonts w:eastAsia="Times New Roman"/>
                <w:sz w:val="20"/>
                <w:szCs w:val="20"/>
              </w:rPr>
              <w:t>3,006</w:t>
            </w:r>
          </w:p>
        </w:tc>
        <w:tc>
          <w:tcPr>
            <w:tcW w:w="0" w:type="auto"/>
            <w:shd w:val="clear" w:color="auto" w:fill="CCEEFF"/>
            <w:vAlign w:val="bottom"/>
            <w:hideMark/>
          </w:tcPr>
          <w:p w14:paraId="7C62D9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2FB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C8A82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E83C15" w14:textId="77777777" w:rsidR="00000000" w:rsidRDefault="001826C1">
            <w:pPr>
              <w:jc w:val="right"/>
              <w:rPr>
                <w:rFonts w:eastAsia="Times New Roman"/>
                <w:sz w:val="20"/>
                <w:szCs w:val="20"/>
              </w:rPr>
            </w:pPr>
            <w:r>
              <w:rPr>
                <w:rFonts w:eastAsia="Times New Roman"/>
                <w:sz w:val="20"/>
                <w:szCs w:val="20"/>
              </w:rPr>
              <w:t>2,854</w:t>
            </w:r>
          </w:p>
        </w:tc>
        <w:tc>
          <w:tcPr>
            <w:tcW w:w="0" w:type="auto"/>
            <w:shd w:val="clear" w:color="auto" w:fill="CCEEFF"/>
            <w:vAlign w:val="bottom"/>
            <w:hideMark/>
          </w:tcPr>
          <w:p w14:paraId="7B55CFE3" w14:textId="77777777" w:rsidR="00000000" w:rsidRDefault="001826C1">
            <w:pPr>
              <w:rPr>
                <w:rFonts w:eastAsia="Times New Roman"/>
                <w:sz w:val="20"/>
                <w:szCs w:val="20"/>
              </w:rPr>
            </w:pPr>
            <w:r>
              <w:rPr>
                <w:rFonts w:eastAsia="Times New Roman"/>
                <w:sz w:val="20"/>
                <w:szCs w:val="20"/>
              </w:rPr>
              <w:t> </w:t>
            </w:r>
          </w:p>
        </w:tc>
      </w:tr>
      <w:tr w:rsidR="00000000" w14:paraId="16E657EF" w14:textId="77777777">
        <w:tc>
          <w:tcPr>
            <w:tcW w:w="0" w:type="auto"/>
            <w:shd w:val="clear" w:color="auto" w:fill="FFFFFF"/>
            <w:tcMar>
              <w:top w:w="0" w:type="dxa"/>
              <w:left w:w="200" w:type="dxa"/>
              <w:bottom w:w="0" w:type="dxa"/>
              <w:right w:w="0" w:type="dxa"/>
            </w:tcMar>
            <w:vAlign w:val="bottom"/>
            <w:hideMark/>
          </w:tcPr>
          <w:p w14:paraId="142B4DB8" w14:textId="77777777" w:rsidR="00000000" w:rsidRDefault="001826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5C5150C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94C05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A32EC9" w14:textId="77777777" w:rsidR="00000000" w:rsidRDefault="001826C1">
            <w:pPr>
              <w:jc w:val="right"/>
              <w:rPr>
                <w:rFonts w:eastAsia="Times New Roman"/>
                <w:sz w:val="20"/>
                <w:szCs w:val="20"/>
              </w:rPr>
            </w:pPr>
            <w:r>
              <w:rPr>
                <w:rFonts w:eastAsia="Times New Roman"/>
                <w:sz w:val="20"/>
                <w:szCs w:val="20"/>
              </w:rPr>
              <w:t>1,736</w:t>
            </w:r>
          </w:p>
        </w:tc>
        <w:tc>
          <w:tcPr>
            <w:tcW w:w="0" w:type="auto"/>
            <w:shd w:val="clear" w:color="auto" w:fill="FFFFFF"/>
            <w:vAlign w:val="bottom"/>
            <w:hideMark/>
          </w:tcPr>
          <w:p w14:paraId="2646877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C703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E2B1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B1BB50" w14:textId="77777777" w:rsidR="00000000" w:rsidRDefault="001826C1">
            <w:pPr>
              <w:jc w:val="right"/>
              <w:rPr>
                <w:rFonts w:eastAsia="Times New Roman"/>
                <w:sz w:val="20"/>
                <w:szCs w:val="20"/>
              </w:rPr>
            </w:pPr>
            <w:r>
              <w:rPr>
                <w:rFonts w:eastAsia="Times New Roman"/>
                <w:sz w:val="20"/>
                <w:szCs w:val="20"/>
              </w:rPr>
              <w:t>1,891</w:t>
            </w:r>
          </w:p>
        </w:tc>
        <w:tc>
          <w:tcPr>
            <w:tcW w:w="0" w:type="auto"/>
            <w:shd w:val="clear" w:color="auto" w:fill="FFFFFF"/>
            <w:vAlign w:val="bottom"/>
            <w:hideMark/>
          </w:tcPr>
          <w:p w14:paraId="1B6BF017" w14:textId="77777777" w:rsidR="00000000" w:rsidRDefault="001826C1">
            <w:pPr>
              <w:rPr>
                <w:rFonts w:eastAsia="Times New Roman"/>
                <w:sz w:val="20"/>
                <w:szCs w:val="20"/>
              </w:rPr>
            </w:pPr>
            <w:r>
              <w:rPr>
                <w:rFonts w:eastAsia="Times New Roman"/>
                <w:sz w:val="20"/>
                <w:szCs w:val="20"/>
              </w:rPr>
              <w:t> </w:t>
            </w:r>
          </w:p>
        </w:tc>
      </w:tr>
      <w:tr w:rsidR="00000000" w14:paraId="67AB6A85" w14:textId="77777777">
        <w:tc>
          <w:tcPr>
            <w:tcW w:w="0" w:type="auto"/>
            <w:shd w:val="clear" w:color="auto" w:fill="CCEEFF"/>
            <w:tcMar>
              <w:top w:w="0" w:type="dxa"/>
              <w:left w:w="200" w:type="dxa"/>
              <w:bottom w:w="0" w:type="dxa"/>
              <w:right w:w="0" w:type="dxa"/>
            </w:tcMar>
            <w:vAlign w:val="bottom"/>
            <w:hideMark/>
          </w:tcPr>
          <w:p w14:paraId="1DC81A6F"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20AAC7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A316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A0A2EC" w14:textId="77777777" w:rsidR="00000000" w:rsidRDefault="001826C1">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14:paraId="0E9728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FC7E5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88DC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8899B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87E12FF" w14:textId="77777777" w:rsidR="00000000" w:rsidRDefault="001826C1">
            <w:pPr>
              <w:rPr>
                <w:rFonts w:eastAsia="Times New Roman"/>
                <w:sz w:val="20"/>
                <w:szCs w:val="20"/>
              </w:rPr>
            </w:pPr>
            <w:r>
              <w:rPr>
                <w:rFonts w:eastAsia="Times New Roman"/>
                <w:sz w:val="20"/>
                <w:szCs w:val="20"/>
              </w:rPr>
              <w:t> </w:t>
            </w:r>
          </w:p>
        </w:tc>
      </w:tr>
      <w:tr w:rsidR="00000000" w14:paraId="33BBD0E4" w14:textId="77777777">
        <w:tc>
          <w:tcPr>
            <w:tcW w:w="0" w:type="auto"/>
            <w:shd w:val="clear" w:color="auto" w:fill="FFFFFF"/>
            <w:tcMar>
              <w:top w:w="0" w:type="dxa"/>
              <w:left w:w="200" w:type="dxa"/>
              <w:bottom w:w="30" w:type="dxa"/>
              <w:right w:w="0" w:type="dxa"/>
            </w:tcMar>
            <w:vAlign w:val="bottom"/>
            <w:hideMark/>
          </w:tcPr>
          <w:p w14:paraId="36225EC3"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5F9A2EA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FC0E3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BA1625" w14:textId="77777777" w:rsidR="00000000" w:rsidRDefault="001826C1">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14:paraId="55F04BD4"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E99DB4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F7F30A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D795C89" w14:textId="77777777" w:rsidR="00000000" w:rsidRDefault="001826C1">
            <w:pPr>
              <w:jc w:val="right"/>
              <w:rPr>
                <w:rFonts w:eastAsia="Times New Roman"/>
                <w:sz w:val="20"/>
                <w:szCs w:val="20"/>
              </w:rPr>
            </w:pPr>
            <w:r>
              <w:rPr>
                <w:rFonts w:eastAsia="Times New Roman"/>
                <w:sz w:val="20"/>
                <w:szCs w:val="20"/>
              </w:rPr>
              <w:t>73</w:t>
            </w:r>
          </w:p>
        </w:tc>
        <w:tc>
          <w:tcPr>
            <w:tcW w:w="0" w:type="auto"/>
            <w:shd w:val="clear" w:color="auto" w:fill="FFFFFF"/>
            <w:tcMar>
              <w:top w:w="0" w:type="dxa"/>
              <w:left w:w="0" w:type="dxa"/>
              <w:bottom w:w="30" w:type="dxa"/>
              <w:right w:w="0" w:type="dxa"/>
            </w:tcMar>
            <w:vAlign w:val="bottom"/>
            <w:hideMark/>
          </w:tcPr>
          <w:p w14:paraId="33E0020F" w14:textId="77777777" w:rsidR="00000000" w:rsidRDefault="001826C1">
            <w:pPr>
              <w:rPr>
                <w:rFonts w:eastAsia="Times New Roman"/>
                <w:sz w:val="20"/>
                <w:szCs w:val="20"/>
              </w:rPr>
            </w:pPr>
            <w:r>
              <w:rPr>
                <w:rFonts w:eastAsia="Times New Roman"/>
                <w:sz w:val="20"/>
                <w:szCs w:val="20"/>
              </w:rPr>
              <w:t> </w:t>
            </w:r>
          </w:p>
        </w:tc>
      </w:tr>
      <w:tr w:rsidR="00000000" w14:paraId="51C111FE" w14:textId="77777777">
        <w:tc>
          <w:tcPr>
            <w:tcW w:w="0" w:type="auto"/>
            <w:shd w:val="clear" w:color="auto" w:fill="CCEEFF"/>
            <w:tcMar>
              <w:top w:w="0" w:type="dxa"/>
              <w:left w:w="0" w:type="dxa"/>
              <w:bottom w:w="50" w:type="dxa"/>
              <w:right w:w="0" w:type="dxa"/>
            </w:tcMar>
            <w:vAlign w:val="bottom"/>
            <w:hideMark/>
          </w:tcPr>
          <w:p w14:paraId="474993B1" w14:textId="77777777" w:rsidR="00000000" w:rsidRDefault="001826C1">
            <w:pPr>
              <w:rPr>
                <w:rFonts w:eastAsia="Times New Roman"/>
                <w:sz w:val="20"/>
                <w:szCs w:val="20"/>
              </w:rPr>
            </w:pPr>
            <w:r>
              <w:rPr>
                <w:rFonts w:eastAsia="Times New Roman"/>
                <w:sz w:val="20"/>
                <w:szCs w:val="20"/>
              </w:rPr>
              <w:t>Adjusted EBITDA</w:t>
            </w:r>
          </w:p>
        </w:tc>
        <w:tc>
          <w:tcPr>
            <w:tcW w:w="0" w:type="auto"/>
            <w:shd w:val="clear" w:color="auto" w:fill="CCEEFF"/>
            <w:tcMar>
              <w:top w:w="0" w:type="dxa"/>
              <w:left w:w="0" w:type="dxa"/>
              <w:bottom w:w="50" w:type="dxa"/>
              <w:right w:w="0" w:type="dxa"/>
            </w:tcMar>
            <w:vAlign w:val="bottom"/>
            <w:hideMark/>
          </w:tcPr>
          <w:p w14:paraId="6CB3D779"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4A5E258E" w14:textId="77777777" w:rsidR="00000000" w:rsidRDefault="001826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18D3A84F" w14:textId="77777777" w:rsidR="00000000" w:rsidRDefault="001826C1">
            <w:pPr>
              <w:jc w:val="right"/>
              <w:rPr>
                <w:rFonts w:eastAsia="Times New Roman"/>
                <w:b/>
                <w:bCs/>
                <w:sz w:val="20"/>
                <w:szCs w:val="20"/>
              </w:rPr>
            </w:pPr>
            <w:r>
              <w:rPr>
                <w:rFonts w:eastAsia="Times New Roman"/>
                <w:b/>
                <w:bCs/>
                <w:sz w:val="20"/>
                <w:szCs w:val="20"/>
              </w:rPr>
              <w:t>8,101</w:t>
            </w:r>
          </w:p>
        </w:tc>
        <w:tc>
          <w:tcPr>
            <w:tcW w:w="0" w:type="auto"/>
            <w:shd w:val="clear" w:color="auto" w:fill="CCEEFF"/>
            <w:tcMar>
              <w:top w:w="0" w:type="dxa"/>
              <w:left w:w="0" w:type="dxa"/>
              <w:bottom w:w="50" w:type="dxa"/>
              <w:right w:w="0" w:type="dxa"/>
            </w:tcMar>
            <w:vAlign w:val="bottom"/>
            <w:hideMark/>
          </w:tcPr>
          <w:p w14:paraId="0AEC8B83" w14:textId="77777777" w:rsidR="00000000" w:rsidRDefault="001826C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2FB0C588"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2B96BAF0" w14:textId="77777777" w:rsidR="00000000" w:rsidRDefault="001826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508E5C6F" w14:textId="77777777" w:rsidR="00000000" w:rsidRDefault="001826C1">
            <w:pPr>
              <w:jc w:val="right"/>
              <w:rPr>
                <w:rFonts w:eastAsia="Times New Roman"/>
                <w:b/>
                <w:bCs/>
                <w:sz w:val="20"/>
                <w:szCs w:val="20"/>
              </w:rPr>
            </w:pPr>
            <w:r>
              <w:rPr>
                <w:rFonts w:eastAsia="Times New Roman"/>
                <w:b/>
                <w:bCs/>
                <w:sz w:val="20"/>
                <w:szCs w:val="20"/>
              </w:rPr>
              <w:t>4,802</w:t>
            </w:r>
          </w:p>
        </w:tc>
        <w:tc>
          <w:tcPr>
            <w:tcW w:w="0" w:type="auto"/>
            <w:shd w:val="clear" w:color="auto" w:fill="CCEEFF"/>
            <w:tcMar>
              <w:top w:w="0" w:type="dxa"/>
              <w:left w:w="0" w:type="dxa"/>
              <w:bottom w:w="50" w:type="dxa"/>
              <w:right w:w="0" w:type="dxa"/>
            </w:tcMar>
            <w:vAlign w:val="bottom"/>
            <w:hideMark/>
          </w:tcPr>
          <w:p w14:paraId="007CE09A" w14:textId="77777777" w:rsidR="00000000" w:rsidRDefault="001826C1">
            <w:pPr>
              <w:rPr>
                <w:rFonts w:eastAsia="Times New Roman"/>
                <w:b/>
                <w:bCs/>
                <w:sz w:val="20"/>
                <w:szCs w:val="20"/>
              </w:rPr>
            </w:pPr>
            <w:r>
              <w:rPr>
                <w:rFonts w:eastAsia="Times New Roman"/>
                <w:b/>
                <w:bCs/>
                <w:sz w:val="20"/>
                <w:szCs w:val="20"/>
              </w:rPr>
              <w:t> </w:t>
            </w:r>
          </w:p>
        </w:tc>
      </w:tr>
    </w:tbl>
    <w:p w14:paraId="76DC10E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380FB67"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operating income and adjusted operating margin exclude the following elements which are included in GAAP operating income (loss):</w:t>
      </w:r>
    </w:p>
    <w:p w14:paraId="363992E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18D9DA26" w14:textId="77777777">
        <w:tc>
          <w:tcPr>
            <w:tcW w:w="360" w:type="dxa"/>
            <w:hideMark/>
          </w:tcPr>
          <w:p w14:paraId="59C69FAF" w14:textId="77777777" w:rsidR="00000000" w:rsidRDefault="001826C1">
            <w:pPr>
              <w:rPr>
                <w:rFonts w:eastAsia="Times New Roman"/>
                <w:sz w:val="20"/>
                <w:szCs w:val="20"/>
              </w:rPr>
            </w:pPr>
            <w:r>
              <w:rPr>
                <w:rFonts w:eastAsia="Times New Roman"/>
                <w:sz w:val="20"/>
                <w:szCs w:val="20"/>
              </w:rPr>
              <w:t> </w:t>
            </w:r>
          </w:p>
        </w:tc>
        <w:tc>
          <w:tcPr>
            <w:tcW w:w="360" w:type="dxa"/>
            <w:hideMark/>
          </w:tcPr>
          <w:p w14:paraId="33E8D3A4" w14:textId="77777777" w:rsidR="00000000" w:rsidRDefault="001826C1">
            <w:pPr>
              <w:rPr>
                <w:rFonts w:eastAsia="Times New Roman"/>
                <w:sz w:val="20"/>
                <w:szCs w:val="20"/>
              </w:rPr>
            </w:pPr>
            <w:r>
              <w:rPr>
                <w:rFonts w:eastAsia="Times New Roman"/>
                <w:sz w:val="20"/>
                <w:szCs w:val="20"/>
              </w:rPr>
              <w:t>●</w:t>
            </w:r>
          </w:p>
        </w:tc>
        <w:tc>
          <w:tcPr>
            <w:tcW w:w="0" w:type="auto"/>
            <w:hideMark/>
          </w:tcPr>
          <w:p w14:paraId="060C16F8" w14:textId="77777777" w:rsidR="00000000" w:rsidRDefault="001826C1">
            <w:pPr>
              <w:rPr>
                <w:rFonts w:eastAsia="Times New Roman"/>
                <w:sz w:val="20"/>
                <w:szCs w:val="20"/>
              </w:rPr>
            </w:pPr>
            <w:r>
              <w:rPr>
                <w:rFonts w:eastAsia="Times New Roman"/>
                <w:sz w:val="20"/>
                <w:szCs w:val="20"/>
              </w:rPr>
              <w:t>Stock-based compensation expense and cash-settled awards, based on changes in the stock price;</w:t>
            </w:r>
          </w:p>
        </w:tc>
      </w:tr>
      <w:tr w:rsidR="00000000" w14:paraId="7EDE129F" w14:textId="77777777">
        <w:tc>
          <w:tcPr>
            <w:tcW w:w="0" w:type="auto"/>
            <w:hideMark/>
          </w:tcPr>
          <w:p w14:paraId="7892A42A" w14:textId="77777777" w:rsidR="00000000" w:rsidRDefault="001826C1">
            <w:pPr>
              <w:rPr>
                <w:rFonts w:eastAsia="Times New Roman"/>
                <w:sz w:val="20"/>
                <w:szCs w:val="20"/>
              </w:rPr>
            </w:pPr>
            <w:r>
              <w:rPr>
                <w:rFonts w:eastAsia="Times New Roman"/>
                <w:sz w:val="20"/>
                <w:szCs w:val="20"/>
              </w:rPr>
              <w:t> </w:t>
            </w:r>
          </w:p>
        </w:tc>
        <w:tc>
          <w:tcPr>
            <w:tcW w:w="0" w:type="auto"/>
            <w:hideMark/>
          </w:tcPr>
          <w:p w14:paraId="2CB0E096" w14:textId="77777777" w:rsidR="00000000" w:rsidRDefault="001826C1">
            <w:pPr>
              <w:rPr>
                <w:rFonts w:eastAsia="Times New Roman"/>
                <w:sz w:val="20"/>
                <w:szCs w:val="20"/>
              </w:rPr>
            </w:pPr>
            <w:r>
              <w:rPr>
                <w:rFonts w:eastAsia="Times New Roman"/>
                <w:sz w:val="20"/>
                <w:szCs w:val="20"/>
              </w:rPr>
              <w:t>●</w:t>
            </w:r>
          </w:p>
        </w:tc>
        <w:tc>
          <w:tcPr>
            <w:tcW w:w="0" w:type="auto"/>
            <w:hideMark/>
          </w:tcPr>
          <w:p w14:paraId="18A4A1C0" w14:textId="77777777" w:rsidR="00000000" w:rsidRDefault="001826C1">
            <w:pPr>
              <w:rPr>
                <w:rFonts w:eastAsia="Times New Roman"/>
                <w:sz w:val="20"/>
                <w:szCs w:val="20"/>
              </w:rPr>
            </w:pPr>
            <w:r>
              <w:rPr>
                <w:rFonts w:eastAsia="Times New Roman"/>
                <w:sz w:val="20"/>
                <w:szCs w:val="20"/>
              </w:rPr>
              <w:t>Amortization of purchased intangible assets;</w:t>
            </w:r>
          </w:p>
        </w:tc>
      </w:tr>
      <w:tr w:rsidR="00000000" w14:paraId="1440ECCB" w14:textId="77777777">
        <w:tc>
          <w:tcPr>
            <w:tcW w:w="0" w:type="auto"/>
            <w:hideMark/>
          </w:tcPr>
          <w:p w14:paraId="287D4FBB" w14:textId="77777777" w:rsidR="00000000" w:rsidRDefault="001826C1">
            <w:pPr>
              <w:rPr>
                <w:rFonts w:eastAsia="Times New Roman"/>
                <w:sz w:val="20"/>
                <w:szCs w:val="20"/>
              </w:rPr>
            </w:pPr>
            <w:r>
              <w:rPr>
                <w:rFonts w:eastAsia="Times New Roman"/>
                <w:sz w:val="20"/>
                <w:szCs w:val="20"/>
              </w:rPr>
              <w:t> </w:t>
            </w:r>
          </w:p>
        </w:tc>
        <w:tc>
          <w:tcPr>
            <w:tcW w:w="0" w:type="auto"/>
            <w:hideMark/>
          </w:tcPr>
          <w:p w14:paraId="6A68770C" w14:textId="77777777" w:rsidR="00000000" w:rsidRDefault="001826C1">
            <w:pPr>
              <w:rPr>
                <w:rFonts w:eastAsia="Times New Roman"/>
                <w:sz w:val="20"/>
                <w:szCs w:val="20"/>
              </w:rPr>
            </w:pPr>
            <w:r>
              <w:rPr>
                <w:rFonts w:eastAsia="Times New Roman"/>
                <w:sz w:val="20"/>
                <w:szCs w:val="20"/>
              </w:rPr>
              <w:t>●</w:t>
            </w:r>
          </w:p>
        </w:tc>
        <w:tc>
          <w:tcPr>
            <w:tcW w:w="0" w:type="auto"/>
            <w:hideMark/>
          </w:tcPr>
          <w:p w14:paraId="44ABF774" w14:textId="77777777" w:rsidR="00000000" w:rsidRDefault="001826C1">
            <w:pPr>
              <w:jc w:val="both"/>
              <w:rPr>
                <w:rFonts w:eastAsia="Times New Roman"/>
                <w:sz w:val="20"/>
                <w:szCs w:val="20"/>
              </w:rPr>
            </w:pPr>
            <w:r>
              <w:rPr>
                <w:rFonts w:eastAsia="Times New Roman"/>
                <w:sz w:val="20"/>
                <w:szCs w:val="20"/>
              </w:rPr>
              <w:t xml:space="preserve">Integration costs, such as severance amounts paid to employees from acquired businesses and transaction costs, such as brokerage fees, pre-acquisition accounting costs and legal fees, exit costs related to </w:t>
            </w:r>
            <w:r>
              <w:rPr>
                <w:rFonts w:eastAsia="Times New Roman"/>
                <w:sz w:val="20"/>
                <w:szCs w:val="20"/>
              </w:rPr>
              <w:t>contractual agreements;</w:t>
            </w:r>
          </w:p>
        </w:tc>
      </w:tr>
      <w:tr w:rsidR="00000000" w14:paraId="2C2A846F" w14:textId="77777777">
        <w:tc>
          <w:tcPr>
            <w:tcW w:w="0" w:type="auto"/>
            <w:hideMark/>
          </w:tcPr>
          <w:p w14:paraId="19C8DE72" w14:textId="77777777" w:rsidR="00000000" w:rsidRDefault="001826C1">
            <w:pPr>
              <w:rPr>
                <w:rFonts w:eastAsia="Times New Roman"/>
                <w:sz w:val="20"/>
                <w:szCs w:val="20"/>
              </w:rPr>
            </w:pPr>
            <w:r>
              <w:rPr>
                <w:rFonts w:eastAsia="Times New Roman"/>
                <w:sz w:val="20"/>
                <w:szCs w:val="20"/>
              </w:rPr>
              <w:t> </w:t>
            </w:r>
          </w:p>
        </w:tc>
        <w:tc>
          <w:tcPr>
            <w:tcW w:w="0" w:type="auto"/>
            <w:hideMark/>
          </w:tcPr>
          <w:p w14:paraId="4A0A85D1" w14:textId="77777777" w:rsidR="00000000" w:rsidRDefault="001826C1">
            <w:pPr>
              <w:rPr>
                <w:rFonts w:eastAsia="Times New Roman"/>
                <w:sz w:val="20"/>
                <w:szCs w:val="20"/>
              </w:rPr>
            </w:pPr>
            <w:r>
              <w:rPr>
                <w:rFonts w:eastAsia="Times New Roman"/>
                <w:sz w:val="20"/>
                <w:szCs w:val="20"/>
              </w:rPr>
              <w:t>●</w:t>
            </w:r>
          </w:p>
        </w:tc>
        <w:tc>
          <w:tcPr>
            <w:tcW w:w="0" w:type="auto"/>
            <w:hideMark/>
          </w:tcPr>
          <w:p w14:paraId="10BC8AEE" w14:textId="77777777" w:rsidR="00000000" w:rsidRDefault="001826C1">
            <w:pPr>
              <w:rPr>
                <w:rFonts w:eastAsia="Times New Roman"/>
                <w:sz w:val="20"/>
                <w:szCs w:val="20"/>
              </w:rPr>
            </w:pPr>
            <w:r>
              <w:rPr>
                <w:rFonts w:eastAsia="Times New Roman"/>
                <w:sz w:val="20"/>
                <w:szCs w:val="20"/>
              </w:rPr>
              <w:t>Restructuring and impairment charges; and</w:t>
            </w:r>
          </w:p>
        </w:tc>
      </w:tr>
      <w:tr w:rsidR="00000000" w14:paraId="4C35ABA5" w14:textId="77777777">
        <w:tc>
          <w:tcPr>
            <w:tcW w:w="0" w:type="auto"/>
            <w:hideMark/>
          </w:tcPr>
          <w:p w14:paraId="76276419" w14:textId="77777777" w:rsidR="00000000" w:rsidRDefault="001826C1">
            <w:pPr>
              <w:rPr>
                <w:rFonts w:eastAsia="Times New Roman"/>
                <w:sz w:val="20"/>
                <w:szCs w:val="20"/>
              </w:rPr>
            </w:pPr>
            <w:r>
              <w:rPr>
                <w:rFonts w:eastAsia="Times New Roman"/>
                <w:sz w:val="20"/>
                <w:szCs w:val="20"/>
              </w:rPr>
              <w:t> </w:t>
            </w:r>
          </w:p>
        </w:tc>
        <w:tc>
          <w:tcPr>
            <w:tcW w:w="0" w:type="auto"/>
            <w:hideMark/>
          </w:tcPr>
          <w:p w14:paraId="603801C0" w14:textId="77777777" w:rsidR="00000000" w:rsidRDefault="001826C1">
            <w:pPr>
              <w:rPr>
                <w:rFonts w:eastAsia="Times New Roman"/>
                <w:sz w:val="20"/>
                <w:szCs w:val="20"/>
              </w:rPr>
            </w:pPr>
            <w:r>
              <w:rPr>
                <w:rFonts w:eastAsia="Times New Roman"/>
                <w:sz w:val="20"/>
                <w:szCs w:val="20"/>
              </w:rPr>
              <w:t>●</w:t>
            </w:r>
          </w:p>
        </w:tc>
        <w:tc>
          <w:tcPr>
            <w:tcW w:w="0" w:type="auto"/>
            <w:hideMark/>
          </w:tcPr>
          <w:p w14:paraId="5FA80787" w14:textId="77777777" w:rsidR="00000000" w:rsidRDefault="001826C1">
            <w:pPr>
              <w:rPr>
                <w:rFonts w:eastAsia="Times New Roman"/>
                <w:sz w:val="20"/>
                <w:szCs w:val="20"/>
              </w:rPr>
            </w:pPr>
            <w:r>
              <w:rPr>
                <w:rFonts w:eastAsia="Times New Roman"/>
                <w:sz w:val="20"/>
                <w:szCs w:val="20"/>
              </w:rPr>
              <w:t>Changes in contingent consideration.</w:t>
            </w:r>
          </w:p>
        </w:tc>
      </w:tr>
    </w:tbl>
    <w:p w14:paraId="4206BE7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D351ADA" w14:textId="77777777">
        <w:trPr>
          <w:divId w:val="1285578051"/>
        </w:trPr>
        <w:tc>
          <w:tcPr>
            <w:tcW w:w="5000" w:type="pct"/>
            <w:hideMark/>
          </w:tcPr>
          <w:p w14:paraId="17C5E028"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40BDF98B" w14:textId="77777777">
        <w:tc>
          <w:tcPr>
            <w:tcW w:w="5000" w:type="pct"/>
            <w:hideMark/>
          </w:tcPr>
          <w:p w14:paraId="1953D924" w14:textId="77777777" w:rsidR="00000000" w:rsidRDefault="001826C1">
            <w:pPr>
              <w:jc w:val="center"/>
              <w:rPr>
                <w:rFonts w:eastAsia="Times New Roman"/>
                <w:sz w:val="20"/>
                <w:szCs w:val="20"/>
              </w:rPr>
            </w:pPr>
            <w:r>
              <w:rPr>
                <w:rFonts w:eastAsia="Times New Roman"/>
                <w:sz w:val="20"/>
                <w:szCs w:val="20"/>
              </w:rPr>
              <w:t> </w:t>
            </w:r>
          </w:p>
        </w:tc>
      </w:tr>
    </w:tbl>
    <w:p w14:paraId="531B1D91" w14:textId="77777777" w:rsidR="00000000" w:rsidRDefault="001826C1">
      <w:pPr>
        <w:pStyle w:val="a3"/>
        <w:spacing w:before="0" w:beforeAutospacing="0" w:after="0" w:afterAutospacing="0" w:line="256" w:lineRule="auto"/>
        <w:rPr>
          <w:sz w:val="20"/>
          <w:szCs w:val="20"/>
        </w:rPr>
      </w:pPr>
      <w:r>
        <w:rPr>
          <w:sz w:val="20"/>
          <w:szCs w:val="20"/>
        </w:rPr>
        <w:t> </w:t>
      </w:r>
    </w:p>
    <w:p w14:paraId="524A15DF"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Set </w:t>
      </w:r>
      <w:r>
        <w:rPr>
          <w:sz w:val="20"/>
          <w:szCs w:val="20"/>
        </w:rPr>
        <w:t>forth below is a presentation of our adjusted operating income and adjusted operating margin, which represents adjusted operating income as a percentage of net revenue, for the years ended December 31, 2019 and 2018:</w:t>
      </w:r>
    </w:p>
    <w:p w14:paraId="7F35EFD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199"/>
        <w:gridCol w:w="79"/>
        <w:gridCol w:w="100"/>
        <w:gridCol w:w="876"/>
        <w:gridCol w:w="167"/>
        <w:gridCol w:w="80"/>
        <w:gridCol w:w="100"/>
        <w:gridCol w:w="877"/>
        <w:gridCol w:w="167"/>
      </w:tblGrid>
      <w:tr w:rsidR="00000000" w14:paraId="6BA6EA95" w14:textId="77777777">
        <w:tc>
          <w:tcPr>
            <w:tcW w:w="0" w:type="auto"/>
            <w:vAlign w:val="bottom"/>
            <w:hideMark/>
          </w:tcPr>
          <w:p w14:paraId="533DFCAA"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12FA93"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F2393B2"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22E5F9A5" w14:textId="77777777" w:rsidR="00000000" w:rsidRDefault="001826C1">
            <w:pPr>
              <w:rPr>
                <w:rFonts w:eastAsia="Times New Roman"/>
                <w:b/>
                <w:bCs/>
                <w:sz w:val="20"/>
                <w:szCs w:val="20"/>
              </w:rPr>
            </w:pPr>
            <w:r>
              <w:rPr>
                <w:rFonts w:eastAsia="Times New Roman"/>
                <w:b/>
                <w:bCs/>
                <w:sz w:val="20"/>
                <w:szCs w:val="20"/>
              </w:rPr>
              <w:t> </w:t>
            </w:r>
          </w:p>
        </w:tc>
      </w:tr>
      <w:tr w:rsidR="00000000" w14:paraId="2E8BB6A2" w14:textId="77777777">
        <w:tc>
          <w:tcPr>
            <w:tcW w:w="0" w:type="auto"/>
            <w:vAlign w:val="bottom"/>
            <w:hideMark/>
          </w:tcPr>
          <w:p w14:paraId="7D824671"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D5680C"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B0545BC"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4513208"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9F95CF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E700D2E"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4BB65FF2" w14:textId="77777777" w:rsidR="00000000" w:rsidRDefault="001826C1">
            <w:pPr>
              <w:rPr>
                <w:rFonts w:eastAsia="Times New Roman"/>
                <w:b/>
                <w:bCs/>
                <w:sz w:val="20"/>
                <w:szCs w:val="20"/>
              </w:rPr>
            </w:pPr>
            <w:r>
              <w:rPr>
                <w:rFonts w:eastAsia="Times New Roman"/>
                <w:b/>
                <w:bCs/>
                <w:sz w:val="20"/>
                <w:szCs w:val="20"/>
              </w:rPr>
              <w:t> </w:t>
            </w:r>
          </w:p>
        </w:tc>
      </w:tr>
      <w:tr w:rsidR="00000000" w14:paraId="577FD45C" w14:textId="77777777">
        <w:tc>
          <w:tcPr>
            <w:tcW w:w="0" w:type="auto"/>
            <w:vAlign w:val="bottom"/>
            <w:hideMark/>
          </w:tcPr>
          <w:p w14:paraId="40EA3806"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7474097B" w14:textId="77777777" w:rsidR="00000000" w:rsidRDefault="001826C1">
            <w:pPr>
              <w:rPr>
                <w:rFonts w:eastAsia="Times New Roman"/>
                <w:sz w:val="20"/>
                <w:szCs w:val="20"/>
              </w:rPr>
            </w:pPr>
            <w:r>
              <w:rPr>
                <w:rFonts w:eastAsia="Times New Roman"/>
                <w:sz w:val="20"/>
                <w:szCs w:val="20"/>
              </w:rPr>
              <w:t> </w:t>
            </w:r>
          </w:p>
        </w:tc>
        <w:tc>
          <w:tcPr>
            <w:tcW w:w="0" w:type="auto"/>
            <w:gridSpan w:val="6"/>
            <w:vAlign w:val="bottom"/>
            <w:hideMark/>
          </w:tcPr>
          <w:p w14:paraId="229CA294" w14:textId="77777777" w:rsidR="00000000" w:rsidRDefault="001826C1">
            <w:pPr>
              <w:jc w:val="center"/>
              <w:rPr>
                <w:rFonts w:eastAsia="Times New Roman"/>
                <w:sz w:val="20"/>
                <w:szCs w:val="20"/>
              </w:rPr>
            </w:pPr>
            <w:r>
              <w:rPr>
                <w:rFonts w:eastAsia="Times New Roman"/>
                <w:sz w:val="20"/>
                <w:szCs w:val="20"/>
              </w:rPr>
              <w:t>($ in thousands)</w:t>
            </w:r>
          </w:p>
        </w:tc>
        <w:tc>
          <w:tcPr>
            <w:tcW w:w="0" w:type="auto"/>
            <w:vAlign w:val="bottom"/>
            <w:hideMark/>
          </w:tcPr>
          <w:p w14:paraId="6E15DB02" w14:textId="77777777" w:rsidR="00000000" w:rsidRDefault="001826C1">
            <w:pPr>
              <w:rPr>
                <w:rFonts w:eastAsia="Times New Roman"/>
                <w:sz w:val="20"/>
                <w:szCs w:val="20"/>
              </w:rPr>
            </w:pPr>
            <w:r>
              <w:rPr>
                <w:rFonts w:eastAsia="Times New Roman"/>
                <w:sz w:val="20"/>
                <w:szCs w:val="20"/>
              </w:rPr>
              <w:t> </w:t>
            </w:r>
          </w:p>
        </w:tc>
      </w:tr>
      <w:tr w:rsidR="00000000" w14:paraId="259CE4C9" w14:textId="77777777">
        <w:tc>
          <w:tcPr>
            <w:tcW w:w="3200" w:type="pct"/>
            <w:shd w:val="clear" w:color="auto" w:fill="CCEEFF"/>
            <w:tcMar>
              <w:top w:w="0" w:type="dxa"/>
              <w:left w:w="0" w:type="dxa"/>
              <w:bottom w:w="50" w:type="dxa"/>
              <w:right w:w="0" w:type="dxa"/>
            </w:tcMar>
            <w:vAlign w:val="bottom"/>
            <w:hideMark/>
          </w:tcPr>
          <w:p w14:paraId="5E02B858" w14:textId="77777777" w:rsidR="00000000" w:rsidRDefault="001826C1">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50" w:type="dxa"/>
              <w:right w:w="0" w:type="dxa"/>
            </w:tcMar>
            <w:vAlign w:val="bottom"/>
            <w:hideMark/>
          </w:tcPr>
          <w:p w14:paraId="2966E987" w14:textId="77777777" w:rsidR="00000000" w:rsidRDefault="001826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C19A68C" w14:textId="77777777" w:rsidR="00000000" w:rsidRDefault="001826C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2F174624" w14:textId="77777777" w:rsidR="00000000" w:rsidRDefault="001826C1">
            <w:pPr>
              <w:jc w:val="right"/>
              <w:rPr>
                <w:rFonts w:eastAsia="Times New Roman"/>
                <w:sz w:val="20"/>
                <w:szCs w:val="20"/>
              </w:rPr>
            </w:pPr>
            <w:r>
              <w:rPr>
                <w:rFonts w:eastAsia="Times New Roman"/>
                <w:sz w:val="20"/>
                <w:szCs w:val="20"/>
              </w:rPr>
              <w:t>64,439</w:t>
            </w:r>
          </w:p>
        </w:tc>
        <w:tc>
          <w:tcPr>
            <w:tcW w:w="50" w:type="pct"/>
            <w:shd w:val="clear" w:color="auto" w:fill="CCEEFF"/>
            <w:tcMar>
              <w:top w:w="0" w:type="dxa"/>
              <w:left w:w="0" w:type="dxa"/>
              <w:bottom w:w="50" w:type="dxa"/>
              <w:right w:w="0" w:type="dxa"/>
            </w:tcMar>
            <w:vAlign w:val="bottom"/>
            <w:hideMark/>
          </w:tcPr>
          <w:p w14:paraId="2AEAA188"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064398B4" w14:textId="77777777" w:rsidR="00000000" w:rsidRDefault="001826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6A45F101" w14:textId="77777777" w:rsidR="00000000" w:rsidRDefault="001826C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CCEEFF"/>
            <w:vAlign w:val="bottom"/>
            <w:hideMark/>
          </w:tcPr>
          <w:p w14:paraId="183B955F" w14:textId="77777777" w:rsidR="00000000" w:rsidRDefault="001826C1">
            <w:pPr>
              <w:jc w:val="right"/>
              <w:rPr>
                <w:rFonts w:eastAsia="Times New Roman"/>
                <w:sz w:val="20"/>
                <w:szCs w:val="20"/>
              </w:rPr>
            </w:pPr>
            <w:r>
              <w:rPr>
                <w:rFonts w:eastAsia="Times New Roman"/>
                <w:sz w:val="20"/>
                <w:szCs w:val="20"/>
              </w:rPr>
              <w:t>50,546</w:t>
            </w:r>
          </w:p>
        </w:tc>
        <w:tc>
          <w:tcPr>
            <w:tcW w:w="50" w:type="pct"/>
            <w:shd w:val="clear" w:color="auto" w:fill="CCEEFF"/>
            <w:tcMar>
              <w:top w:w="0" w:type="dxa"/>
              <w:left w:w="0" w:type="dxa"/>
              <w:bottom w:w="50" w:type="dxa"/>
              <w:right w:w="0" w:type="dxa"/>
            </w:tcMar>
            <w:vAlign w:val="bottom"/>
            <w:hideMark/>
          </w:tcPr>
          <w:p w14:paraId="40DE2777" w14:textId="77777777" w:rsidR="00000000" w:rsidRDefault="001826C1">
            <w:pPr>
              <w:rPr>
                <w:rFonts w:eastAsia="Times New Roman"/>
                <w:sz w:val="20"/>
                <w:szCs w:val="20"/>
              </w:rPr>
            </w:pPr>
            <w:r>
              <w:rPr>
                <w:rFonts w:eastAsia="Times New Roman"/>
                <w:sz w:val="20"/>
                <w:szCs w:val="20"/>
              </w:rPr>
              <w:t> </w:t>
            </w:r>
          </w:p>
        </w:tc>
      </w:tr>
      <w:tr w:rsidR="00000000" w14:paraId="6B568A18" w14:textId="77777777">
        <w:tc>
          <w:tcPr>
            <w:tcW w:w="0" w:type="auto"/>
            <w:shd w:val="clear" w:color="auto" w:fill="FFFFFF"/>
            <w:vAlign w:val="bottom"/>
            <w:hideMark/>
          </w:tcPr>
          <w:p w14:paraId="0F01C3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BE355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125AF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37E32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B126F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444A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B36E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D576D6"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33CB773" w14:textId="77777777" w:rsidR="00000000" w:rsidRDefault="001826C1">
            <w:pPr>
              <w:rPr>
                <w:rFonts w:eastAsia="Times New Roman"/>
                <w:sz w:val="20"/>
                <w:szCs w:val="20"/>
              </w:rPr>
            </w:pPr>
            <w:r>
              <w:rPr>
                <w:rFonts w:eastAsia="Times New Roman"/>
                <w:sz w:val="20"/>
                <w:szCs w:val="20"/>
              </w:rPr>
              <w:t> </w:t>
            </w:r>
          </w:p>
        </w:tc>
      </w:tr>
      <w:tr w:rsidR="00000000" w14:paraId="75D4C032" w14:textId="77777777">
        <w:tc>
          <w:tcPr>
            <w:tcW w:w="0" w:type="auto"/>
            <w:shd w:val="clear" w:color="auto" w:fill="CCEEFF"/>
            <w:tcMar>
              <w:top w:w="0" w:type="dxa"/>
              <w:left w:w="200" w:type="dxa"/>
              <w:bottom w:w="0" w:type="dxa"/>
              <w:right w:w="0" w:type="dxa"/>
            </w:tcMar>
            <w:vAlign w:val="bottom"/>
            <w:hideMark/>
          </w:tcPr>
          <w:p w14:paraId="71FCBA52" w14:textId="77777777" w:rsidR="00000000" w:rsidRDefault="001826C1">
            <w:pPr>
              <w:rPr>
                <w:rFonts w:eastAsia="Times New Roman"/>
                <w:sz w:val="20"/>
                <w:szCs w:val="20"/>
              </w:rPr>
            </w:pPr>
            <w:r>
              <w:rPr>
                <w:rFonts w:eastAsia="Times New Roman"/>
                <w:sz w:val="20"/>
                <w:szCs w:val="20"/>
              </w:rPr>
              <w:t>GAAP net loss</w:t>
            </w:r>
          </w:p>
        </w:tc>
        <w:tc>
          <w:tcPr>
            <w:tcW w:w="0" w:type="auto"/>
            <w:shd w:val="clear" w:color="auto" w:fill="CCEEFF"/>
            <w:vAlign w:val="bottom"/>
            <w:hideMark/>
          </w:tcPr>
          <w:p w14:paraId="0784C2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271C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900A59" w14:textId="77777777" w:rsidR="00000000" w:rsidRDefault="001826C1">
            <w:pPr>
              <w:jc w:val="right"/>
              <w:rPr>
                <w:rFonts w:eastAsia="Times New Roman"/>
                <w:sz w:val="20"/>
                <w:szCs w:val="20"/>
              </w:rPr>
            </w:pPr>
            <w:r>
              <w:rPr>
                <w:rFonts w:eastAsia="Times New Roman"/>
                <w:sz w:val="20"/>
                <w:szCs w:val="20"/>
              </w:rPr>
              <w:t>(872</w:t>
            </w:r>
          </w:p>
        </w:tc>
        <w:tc>
          <w:tcPr>
            <w:tcW w:w="0" w:type="auto"/>
            <w:shd w:val="clear" w:color="auto" w:fill="CCEEFF"/>
            <w:vAlign w:val="bottom"/>
            <w:hideMark/>
          </w:tcPr>
          <w:p w14:paraId="0EE9DC84"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CBD61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6102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9E5C55" w14:textId="77777777" w:rsidR="00000000" w:rsidRDefault="001826C1">
            <w:pPr>
              <w:jc w:val="right"/>
              <w:rPr>
                <w:rFonts w:eastAsia="Times New Roman"/>
                <w:sz w:val="20"/>
                <w:szCs w:val="20"/>
              </w:rPr>
            </w:pPr>
            <w:r>
              <w:rPr>
                <w:rFonts w:eastAsia="Times New Roman"/>
                <w:sz w:val="20"/>
                <w:szCs w:val="20"/>
              </w:rPr>
              <w:t>(2,138</w:t>
            </w:r>
          </w:p>
        </w:tc>
        <w:tc>
          <w:tcPr>
            <w:tcW w:w="0" w:type="auto"/>
            <w:shd w:val="clear" w:color="auto" w:fill="CCEEFF"/>
            <w:vAlign w:val="bottom"/>
            <w:hideMark/>
          </w:tcPr>
          <w:p w14:paraId="724901BE" w14:textId="77777777" w:rsidR="00000000" w:rsidRDefault="001826C1">
            <w:pPr>
              <w:rPr>
                <w:rFonts w:eastAsia="Times New Roman"/>
                <w:sz w:val="20"/>
                <w:szCs w:val="20"/>
              </w:rPr>
            </w:pPr>
            <w:r>
              <w:rPr>
                <w:rFonts w:eastAsia="Times New Roman"/>
                <w:sz w:val="20"/>
                <w:szCs w:val="20"/>
              </w:rPr>
              <w:t>)</w:t>
            </w:r>
          </w:p>
        </w:tc>
      </w:tr>
      <w:tr w:rsidR="00000000" w14:paraId="63085E04" w14:textId="77777777">
        <w:tc>
          <w:tcPr>
            <w:tcW w:w="0" w:type="auto"/>
            <w:shd w:val="clear" w:color="auto" w:fill="FFFFFF"/>
            <w:tcMar>
              <w:top w:w="0" w:type="dxa"/>
              <w:left w:w="200" w:type="dxa"/>
              <w:bottom w:w="0" w:type="dxa"/>
              <w:right w:w="0" w:type="dxa"/>
            </w:tcMar>
            <w:vAlign w:val="bottom"/>
            <w:hideMark/>
          </w:tcPr>
          <w:p w14:paraId="7DDE26D6" w14:textId="77777777" w:rsidR="00000000" w:rsidRDefault="001826C1">
            <w:pPr>
              <w:rPr>
                <w:rFonts w:eastAsia="Times New Roman"/>
                <w:sz w:val="20"/>
                <w:szCs w:val="20"/>
              </w:rPr>
            </w:pPr>
            <w:r>
              <w:rPr>
                <w:rFonts w:eastAsia="Times New Roman"/>
                <w:sz w:val="20"/>
                <w:szCs w:val="20"/>
              </w:rPr>
              <w:t>Provision (benefit) for income taxes</w:t>
            </w:r>
          </w:p>
        </w:tc>
        <w:tc>
          <w:tcPr>
            <w:tcW w:w="0" w:type="auto"/>
            <w:shd w:val="clear" w:color="auto" w:fill="FFFFFF"/>
            <w:vAlign w:val="bottom"/>
            <w:hideMark/>
          </w:tcPr>
          <w:p w14:paraId="4E84D6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25E8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66CD88" w14:textId="77777777" w:rsidR="00000000" w:rsidRDefault="001826C1">
            <w:pPr>
              <w:jc w:val="right"/>
              <w:rPr>
                <w:rFonts w:eastAsia="Times New Roman"/>
                <w:sz w:val="20"/>
                <w:szCs w:val="20"/>
              </w:rPr>
            </w:pPr>
            <w:r>
              <w:rPr>
                <w:rFonts w:eastAsia="Times New Roman"/>
                <w:sz w:val="20"/>
                <w:szCs w:val="20"/>
              </w:rPr>
              <w:t>193</w:t>
            </w:r>
          </w:p>
        </w:tc>
        <w:tc>
          <w:tcPr>
            <w:tcW w:w="0" w:type="auto"/>
            <w:shd w:val="clear" w:color="auto" w:fill="FFFFFF"/>
            <w:vAlign w:val="bottom"/>
            <w:hideMark/>
          </w:tcPr>
          <w:p w14:paraId="68E79B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BD0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9CE9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AB3653" w14:textId="77777777" w:rsidR="00000000" w:rsidRDefault="001826C1">
            <w:pPr>
              <w:jc w:val="right"/>
              <w:rPr>
                <w:rFonts w:eastAsia="Times New Roman"/>
                <w:sz w:val="20"/>
                <w:szCs w:val="20"/>
              </w:rPr>
            </w:pPr>
            <w:r>
              <w:rPr>
                <w:rFonts w:eastAsia="Times New Roman"/>
                <w:sz w:val="20"/>
                <w:szCs w:val="20"/>
              </w:rPr>
              <w:t>(157</w:t>
            </w:r>
          </w:p>
        </w:tc>
        <w:tc>
          <w:tcPr>
            <w:tcW w:w="0" w:type="auto"/>
            <w:shd w:val="clear" w:color="auto" w:fill="FFFFFF"/>
            <w:vAlign w:val="bottom"/>
            <w:hideMark/>
          </w:tcPr>
          <w:p w14:paraId="104FDE1B" w14:textId="77777777" w:rsidR="00000000" w:rsidRDefault="001826C1">
            <w:pPr>
              <w:rPr>
                <w:rFonts w:eastAsia="Times New Roman"/>
                <w:sz w:val="20"/>
                <w:szCs w:val="20"/>
              </w:rPr>
            </w:pPr>
            <w:r>
              <w:rPr>
                <w:rFonts w:eastAsia="Times New Roman"/>
                <w:sz w:val="20"/>
                <w:szCs w:val="20"/>
              </w:rPr>
              <w:t>)</w:t>
            </w:r>
          </w:p>
        </w:tc>
      </w:tr>
      <w:tr w:rsidR="00000000" w14:paraId="3538419D" w14:textId="77777777">
        <w:tc>
          <w:tcPr>
            <w:tcW w:w="0" w:type="auto"/>
            <w:shd w:val="clear" w:color="auto" w:fill="CCEEFF"/>
            <w:tcMar>
              <w:top w:w="0" w:type="dxa"/>
              <w:left w:w="200" w:type="dxa"/>
              <w:bottom w:w="0" w:type="dxa"/>
              <w:right w:w="0" w:type="dxa"/>
            </w:tcMar>
            <w:vAlign w:val="bottom"/>
            <w:hideMark/>
          </w:tcPr>
          <w:p w14:paraId="530B9FBC" w14:textId="77777777" w:rsidR="00000000" w:rsidRDefault="001826C1">
            <w:pPr>
              <w:rPr>
                <w:rFonts w:eastAsia="Times New Roman"/>
                <w:sz w:val="20"/>
                <w:szCs w:val="20"/>
              </w:rPr>
            </w:pPr>
            <w:r>
              <w:rPr>
                <w:rFonts w:eastAsia="Times New Roman"/>
                <w:sz w:val="20"/>
                <w:szCs w:val="20"/>
              </w:rPr>
              <w:t>Net interest expense</w:t>
            </w:r>
          </w:p>
        </w:tc>
        <w:tc>
          <w:tcPr>
            <w:tcW w:w="0" w:type="auto"/>
            <w:shd w:val="clear" w:color="auto" w:fill="CCEEFF"/>
            <w:vAlign w:val="bottom"/>
            <w:hideMark/>
          </w:tcPr>
          <w:p w14:paraId="7FFBD8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B8DA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9DC393" w14:textId="77777777" w:rsidR="00000000" w:rsidRDefault="001826C1">
            <w:pPr>
              <w:jc w:val="right"/>
              <w:rPr>
                <w:rFonts w:eastAsia="Times New Roman"/>
                <w:sz w:val="20"/>
                <w:szCs w:val="20"/>
              </w:rPr>
            </w:pPr>
            <w:r>
              <w:rPr>
                <w:rFonts w:eastAsia="Times New Roman"/>
                <w:sz w:val="20"/>
                <w:szCs w:val="20"/>
              </w:rPr>
              <w:t>121</w:t>
            </w:r>
          </w:p>
        </w:tc>
        <w:tc>
          <w:tcPr>
            <w:tcW w:w="0" w:type="auto"/>
            <w:shd w:val="clear" w:color="auto" w:fill="CCEEFF"/>
            <w:vAlign w:val="bottom"/>
            <w:hideMark/>
          </w:tcPr>
          <w:p w14:paraId="2864DB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49B73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0717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298E69" w14:textId="77777777" w:rsidR="00000000" w:rsidRDefault="001826C1">
            <w:pPr>
              <w:jc w:val="right"/>
              <w:rPr>
                <w:rFonts w:eastAsia="Times New Roman"/>
                <w:sz w:val="20"/>
                <w:szCs w:val="20"/>
              </w:rPr>
            </w:pPr>
            <w:r>
              <w:rPr>
                <w:rFonts w:eastAsia="Times New Roman"/>
                <w:sz w:val="20"/>
                <w:szCs w:val="20"/>
              </w:rPr>
              <w:t>250</w:t>
            </w:r>
          </w:p>
        </w:tc>
        <w:tc>
          <w:tcPr>
            <w:tcW w:w="0" w:type="auto"/>
            <w:shd w:val="clear" w:color="auto" w:fill="CCEEFF"/>
            <w:vAlign w:val="bottom"/>
            <w:hideMark/>
          </w:tcPr>
          <w:p w14:paraId="534911AF" w14:textId="77777777" w:rsidR="00000000" w:rsidRDefault="001826C1">
            <w:pPr>
              <w:rPr>
                <w:rFonts w:eastAsia="Times New Roman"/>
                <w:sz w:val="20"/>
                <w:szCs w:val="20"/>
              </w:rPr>
            </w:pPr>
            <w:r>
              <w:rPr>
                <w:rFonts w:eastAsia="Times New Roman"/>
                <w:sz w:val="20"/>
                <w:szCs w:val="20"/>
              </w:rPr>
              <w:t> </w:t>
            </w:r>
          </w:p>
        </w:tc>
      </w:tr>
      <w:tr w:rsidR="00000000" w14:paraId="0E02C449" w14:textId="77777777">
        <w:tc>
          <w:tcPr>
            <w:tcW w:w="0" w:type="auto"/>
            <w:shd w:val="clear" w:color="auto" w:fill="FFFFFF"/>
            <w:tcMar>
              <w:top w:w="0" w:type="dxa"/>
              <w:left w:w="200" w:type="dxa"/>
              <w:bottom w:w="30" w:type="dxa"/>
              <w:right w:w="0" w:type="dxa"/>
            </w:tcMar>
            <w:vAlign w:val="bottom"/>
            <w:hideMark/>
          </w:tcPr>
          <w:p w14:paraId="4A39F21C" w14:textId="77777777" w:rsidR="00000000" w:rsidRDefault="001826C1">
            <w:pPr>
              <w:rPr>
                <w:rFonts w:eastAsia="Times New Roman"/>
                <w:sz w:val="20"/>
                <w:szCs w:val="20"/>
              </w:rPr>
            </w:pPr>
            <w:r>
              <w:rPr>
                <w:rFonts w:eastAsia="Times New Roman"/>
                <w:sz w:val="20"/>
                <w:szCs w:val="20"/>
              </w:rPr>
              <w:t>Other expense (income) - net</w:t>
            </w:r>
          </w:p>
        </w:tc>
        <w:tc>
          <w:tcPr>
            <w:tcW w:w="0" w:type="auto"/>
            <w:shd w:val="clear" w:color="auto" w:fill="FFFFFF"/>
            <w:tcMar>
              <w:top w:w="0" w:type="dxa"/>
              <w:left w:w="0" w:type="dxa"/>
              <w:bottom w:w="30" w:type="dxa"/>
              <w:right w:w="0" w:type="dxa"/>
            </w:tcMar>
            <w:vAlign w:val="bottom"/>
            <w:hideMark/>
          </w:tcPr>
          <w:p w14:paraId="2C0A005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BC50E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1790124" w14:textId="77777777" w:rsidR="00000000" w:rsidRDefault="001826C1">
            <w:pPr>
              <w:jc w:val="right"/>
              <w:rPr>
                <w:rFonts w:eastAsia="Times New Roman"/>
                <w:sz w:val="20"/>
                <w:szCs w:val="20"/>
              </w:rPr>
            </w:pPr>
            <w:r>
              <w:rPr>
                <w:rFonts w:eastAsia="Times New Roman"/>
                <w:sz w:val="20"/>
                <w:szCs w:val="20"/>
              </w:rPr>
              <w:t>626</w:t>
            </w:r>
          </w:p>
        </w:tc>
        <w:tc>
          <w:tcPr>
            <w:tcW w:w="0" w:type="auto"/>
            <w:shd w:val="clear" w:color="auto" w:fill="FFFFFF"/>
            <w:tcMar>
              <w:top w:w="0" w:type="dxa"/>
              <w:left w:w="0" w:type="dxa"/>
              <w:bottom w:w="30" w:type="dxa"/>
              <w:right w:w="0" w:type="dxa"/>
            </w:tcMar>
            <w:vAlign w:val="bottom"/>
            <w:hideMark/>
          </w:tcPr>
          <w:p w14:paraId="2A2D9DA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305751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68FAD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6D13DB" w14:textId="77777777" w:rsidR="00000000" w:rsidRDefault="001826C1">
            <w:pPr>
              <w:jc w:val="right"/>
              <w:rPr>
                <w:rFonts w:eastAsia="Times New Roman"/>
                <w:sz w:val="20"/>
                <w:szCs w:val="20"/>
              </w:rPr>
            </w:pPr>
            <w:r>
              <w:rPr>
                <w:rFonts w:eastAsia="Times New Roman"/>
                <w:sz w:val="20"/>
                <w:szCs w:val="20"/>
              </w:rPr>
              <w:t>(494</w:t>
            </w:r>
          </w:p>
        </w:tc>
        <w:tc>
          <w:tcPr>
            <w:tcW w:w="0" w:type="auto"/>
            <w:shd w:val="clear" w:color="auto" w:fill="FFFFFF"/>
            <w:tcMar>
              <w:top w:w="0" w:type="dxa"/>
              <w:left w:w="0" w:type="dxa"/>
              <w:bottom w:w="30" w:type="dxa"/>
              <w:right w:w="0" w:type="dxa"/>
            </w:tcMar>
            <w:vAlign w:val="bottom"/>
            <w:hideMark/>
          </w:tcPr>
          <w:p w14:paraId="7C9F801D" w14:textId="77777777" w:rsidR="00000000" w:rsidRDefault="001826C1">
            <w:pPr>
              <w:rPr>
                <w:rFonts w:eastAsia="Times New Roman"/>
                <w:sz w:val="20"/>
                <w:szCs w:val="20"/>
              </w:rPr>
            </w:pPr>
            <w:r>
              <w:rPr>
                <w:rFonts w:eastAsia="Times New Roman"/>
                <w:sz w:val="20"/>
                <w:szCs w:val="20"/>
              </w:rPr>
              <w:t>)</w:t>
            </w:r>
          </w:p>
        </w:tc>
      </w:tr>
      <w:tr w:rsidR="00000000" w14:paraId="14B745B5" w14:textId="77777777">
        <w:tc>
          <w:tcPr>
            <w:tcW w:w="0" w:type="auto"/>
            <w:shd w:val="clear" w:color="auto" w:fill="CCEEFF"/>
            <w:vAlign w:val="bottom"/>
            <w:hideMark/>
          </w:tcPr>
          <w:p w14:paraId="1B30DFCA" w14:textId="77777777" w:rsidR="00000000" w:rsidRDefault="001826C1">
            <w:pPr>
              <w:rPr>
                <w:rFonts w:eastAsia="Times New Roman"/>
                <w:sz w:val="20"/>
                <w:szCs w:val="20"/>
              </w:rPr>
            </w:pPr>
            <w:r>
              <w:rPr>
                <w:rFonts w:eastAsia="Times New Roman"/>
                <w:sz w:val="20"/>
                <w:szCs w:val="20"/>
              </w:rPr>
              <w:t>GAAP operating income (loss)</w:t>
            </w:r>
          </w:p>
        </w:tc>
        <w:tc>
          <w:tcPr>
            <w:tcW w:w="0" w:type="auto"/>
            <w:shd w:val="clear" w:color="auto" w:fill="CCEEFF"/>
            <w:vAlign w:val="bottom"/>
            <w:hideMark/>
          </w:tcPr>
          <w:p w14:paraId="3D0615D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816B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0E40AB" w14:textId="77777777" w:rsidR="00000000" w:rsidRDefault="001826C1">
            <w:pPr>
              <w:jc w:val="right"/>
              <w:rPr>
                <w:rFonts w:eastAsia="Times New Roman"/>
                <w:sz w:val="20"/>
                <w:szCs w:val="20"/>
              </w:rPr>
            </w:pPr>
            <w:r>
              <w:rPr>
                <w:rFonts w:eastAsia="Times New Roman"/>
                <w:sz w:val="20"/>
                <w:szCs w:val="20"/>
              </w:rPr>
              <w:t>68</w:t>
            </w:r>
          </w:p>
        </w:tc>
        <w:tc>
          <w:tcPr>
            <w:tcW w:w="0" w:type="auto"/>
            <w:shd w:val="clear" w:color="auto" w:fill="CCEEFF"/>
            <w:vAlign w:val="bottom"/>
            <w:hideMark/>
          </w:tcPr>
          <w:p w14:paraId="12D3BD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105E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00603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77D653" w14:textId="77777777" w:rsidR="00000000" w:rsidRDefault="001826C1">
            <w:pPr>
              <w:jc w:val="right"/>
              <w:rPr>
                <w:rFonts w:eastAsia="Times New Roman"/>
                <w:sz w:val="20"/>
                <w:szCs w:val="20"/>
              </w:rPr>
            </w:pPr>
            <w:r>
              <w:rPr>
                <w:rFonts w:eastAsia="Times New Roman"/>
                <w:sz w:val="20"/>
                <w:szCs w:val="20"/>
              </w:rPr>
              <w:t>(2,539</w:t>
            </w:r>
          </w:p>
        </w:tc>
        <w:tc>
          <w:tcPr>
            <w:tcW w:w="0" w:type="auto"/>
            <w:shd w:val="clear" w:color="auto" w:fill="CCEEFF"/>
            <w:vAlign w:val="bottom"/>
            <w:hideMark/>
          </w:tcPr>
          <w:p w14:paraId="1C661EC6" w14:textId="77777777" w:rsidR="00000000" w:rsidRDefault="001826C1">
            <w:pPr>
              <w:rPr>
                <w:rFonts w:eastAsia="Times New Roman"/>
                <w:sz w:val="20"/>
                <w:szCs w:val="20"/>
              </w:rPr>
            </w:pPr>
            <w:r>
              <w:rPr>
                <w:rFonts w:eastAsia="Times New Roman"/>
                <w:sz w:val="20"/>
                <w:szCs w:val="20"/>
              </w:rPr>
              <w:t>)</w:t>
            </w:r>
          </w:p>
        </w:tc>
      </w:tr>
      <w:tr w:rsidR="00000000" w14:paraId="600876A8" w14:textId="77777777">
        <w:tc>
          <w:tcPr>
            <w:tcW w:w="0" w:type="auto"/>
            <w:shd w:val="clear" w:color="auto" w:fill="FFFFFF"/>
            <w:tcMar>
              <w:top w:w="0" w:type="dxa"/>
              <w:left w:w="200" w:type="dxa"/>
              <w:bottom w:w="0" w:type="dxa"/>
              <w:right w:w="0" w:type="dxa"/>
            </w:tcMar>
            <w:vAlign w:val="bottom"/>
            <w:hideMark/>
          </w:tcPr>
          <w:p w14:paraId="55F9F7EF" w14:textId="77777777" w:rsidR="00000000" w:rsidRDefault="001826C1">
            <w:pPr>
              <w:rPr>
                <w:rFonts w:eastAsia="Times New Roman"/>
                <w:sz w:val="20"/>
                <w:szCs w:val="20"/>
              </w:rPr>
            </w:pPr>
            <w:r>
              <w:rPr>
                <w:rFonts w:eastAsia="Times New Roman"/>
                <w:sz w:val="20"/>
                <w:szCs w:val="20"/>
              </w:rPr>
              <w:t>GAAP operating margin</w:t>
            </w:r>
          </w:p>
        </w:tc>
        <w:tc>
          <w:tcPr>
            <w:tcW w:w="0" w:type="auto"/>
            <w:shd w:val="clear" w:color="auto" w:fill="FFFFFF"/>
            <w:vAlign w:val="bottom"/>
            <w:hideMark/>
          </w:tcPr>
          <w:p w14:paraId="71A97B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E417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642E16" w14:textId="77777777" w:rsidR="00000000" w:rsidRDefault="001826C1">
            <w:pPr>
              <w:jc w:val="right"/>
              <w:rPr>
                <w:rFonts w:eastAsia="Times New Roman"/>
                <w:sz w:val="20"/>
                <w:szCs w:val="20"/>
              </w:rPr>
            </w:pPr>
            <w:r>
              <w:rPr>
                <w:rFonts w:eastAsia="Times New Roman"/>
                <w:sz w:val="20"/>
                <w:szCs w:val="20"/>
              </w:rPr>
              <w:t>0.1</w:t>
            </w:r>
          </w:p>
        </w:tc>
        <w:tc>
          <w:tcPr>
            <w:tcW w:w="0" w:type="auto"/>
            <w:shd w:val="clear" w:color="auto" w:fill="FFFFFF"/>
            <w:vAlign w:val="bottom"/>
            <w:hideMark/>
          </w:tcPr>
          <w:p w14:paraId="5848A1E9"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57850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A2C1A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EB3A65" w14:textId="77777777" w:rsidR="00000000" w:rsidRDefault="001826C1">
            <w:pPr>
              <w:jc w:val="right"/>
              <w:rPr>
                <w:rFonts w:eastAsia="Times New Roman"/>
                <w:sz w:val="20"/>
                <w:szCs w:val="20"/>
              </w:rPr>
            </w:pPr>
            <w:r>
              <w:rPr>
                <w:rFonts w:eastAsia="Times New Roman"/>
                <w:sz w:val="20"/>
                <w:szCs w:val="20"/>
              </w:rPr>
              <w:t>(5.0)</w:t>
            </w:r>
          </w:p>
        </w:tc>
        <w:tc>
          <w:tcPr>
            <w:tcW w:w="0" w:type="auto"/>
            <w:shd w:val="clear" w:color="auto" w:fill="FFFFFF"/>
            <w:vAlign w:val="bottom"/>
            <w:hideMark/>
          </w:tcPr>
          <w:p w14:paraId="1C2C06AA" w14:textId="77777777" w:rsidR="00000000" w:rsidRDefault="001826C1">
            <w:pPr>
              <w:rPr>
                <w:rFonts w:eastAsia="Times New Roman"/>
                <w:sz w:val="20"/>
                <w:szCs w:val="20"/>
              </w:rPr>
            </w:pPr>
            <w:r>
              <w:rPr>
                <w:rFonts w:eastAsia="Times New Roman"/>
                <w:sz w:val="20"/>
                <w:szCs w:val="20"/>
              </w:rPr>
              <w:t>%</w:t>
            </w:r>
          </w:p>
        </w:tc>
      </w:tr>
      <w:tr w:rsidR="00000000" w14:paraId="069E5BDA" w14:textId="77777777">
        <w:tc>
          <w:tcPr>
            <w:tcW w:w="0" w:type="auto"/>
            <w:shd w:val="clear" w:color="auto" w:fill="CCEEFF"/>
            <w:vAlign w:val="bottom"/>
            <w:hideMark/>
          </w:tcPr>
          <w:p w14:paraId="3FBCEF2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2EDEF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C8D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4FD7BD"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91423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9E498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76E8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B217A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642AAC7" w14:textId="77777777" w:rsidR="00000000" w:rsidRDefault="001826C1">
            <w:pPr>
              <w:rPr>
                <w:rFonts w:eastAsia="Times New Roman"/>
                <w:sz w:val="20"/>
                <w:szCs w:val="20"/>
              </w:rPr>
            </w:pPr>
            <w:r>
              <w:rPr>
                <w:rFonts w:eastAsia="Times New Roman"/>
                <w:sz w:val="20"/>
                <w:szCs w:val="20"/>
              </w:rPr>
              <w:t> </w:t>
            </w:r>
          </w:p>
        </w:tc>
      </w:tr>
      <w:tr w:rsidR="00000000" w14:paraId="1A6F0190" w14:textId="77777777">
        <w:tc>
          <w:tcPr>
            <w:tcW w:w="0" w:type="auto"/>
            <w:shd w:val="clear" w:color="auto" w:fill="FFFFFF"/>
            <w:tcMar>
              <w:top w:w="0" w:type="dxa"/>
              <w:left w:w="200" w:type="dxa"/>
              <w:bottom w:w="0" w:type="dxa"/>
              <w:right w:w="0" w:type="dxa"/>
            </w:tcMar>
            <w:vAlign w:val="bottom"/>
            <w:hideMark/>
          </w:tcPr>
          <w:p w14:paraId="04367F95" w14:textId="77777777" w:rsidR="00000000" w:rsidRDefault="001826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39C932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980C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EA06B" w14:textId="77777777" w:rsidR="00000000" w:rsidRDefault="001826C1">
            <w:pPr>
              <w:jc w:val="right"/>
              <w:rPr>
                <w:rFonts w:eastAsia="Times New Roman"/>
                <w:sz w:val="20"/>
                <w:szCs w:val="20"/>
              </w:rPr>
            </w:pPr>
            <w:r>
              <w:rPr>
                <w:rFonts w:eastAsia="Times New Roman"/>
                <w:sz w:val="20"/>
                <w:szCs w:val="20"/>
              </w:rPr>
              <w:t>3,215</w:t>
            </w:r>
          </w:p>
        </w:tc>
        <w:tc>
          <w:tcPr>
            <w:tcW w:w="0" w:type="auto"/>
            <w:shd w:val="clear" w:color="auto" w:fill="FFFFFF"/>
            <w:vAlign w:val="bottom"/>
            <w:hideMark/>
          </w:tcPr>
          <w:p w14:paraId="528D1D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AD23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442C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746B3A" w14:textId="77777777" w:rsidR="00000000" w:rsidRDefault="001826C1">
            <w:pPr>
              <w:jc w:val="right"/>
              <w:rPr>
                <w:rFonts w:eastAsia="Times New Roman"/>
                <w:sz w:val="20"/>
                <w:szCs w:val="20"/>
              </w:rPr>
            </w:pPr>
            <w:r>
              <w:rPr>
                <w:rFonts w:eastAsia="Times New Roman"/>
                <w:sz w:val="20"/>
                <w:szCs w:val="20"/>
              </w:rPr>
              <w:t>2,464</w:t>
            </w:r>
          </w:p>
        </w:tc>
        <w:tc>
          <w:tcPr>
            <w:tcW w:w="0" w:type="auto"/>
            <w:shd w:val="clear" w:color="auto" w:fill="FFFFFF"/>
            <w:vAlign w:val="bottom"/>
            <w:hideMark/>
          </w:tcPr>
          <w:p w14:paraId="3E428ED9" w14:textId="77777777" w:rsidR="00000000" w:rsidRDefault="001826C1">
            <w:pPr>
              <w:rPr>
                <w:rFonts w:eastAsia="Times New Roman"/>
                <w:sz w:val="20"/>
                <w:szCs w:val="20"/>
              </w:rPr>
            </w:pPr>
            <w:r>
              <w:rPr>
                <w:rFonts w:eastAsia="Times New Roman"/>
                <w:sz w:val="20"/>
                <w:szCs w:val="20"/>
              </w:rPr>
              <w:t> </w:t>
            </w:r>
          </w:p>
        </w:tc>
      </w:tr>
      <w:tr w:rsidR="00000000" w14:paraId="6CEF3903" w14:textId="77777777">
        <w:tc>
          <w:tcPr>
            <w:tcW w:w="0" w:type="auto"/>
            <w:shd w:val="clear" w:color="auto" w:fill="CCEEFF"/>
            <w:tcMar>
              <w:top w:w="0" w:type="dxa"/>
              <w:left w:w="200" w:type="dxa"/>
              <w:bottom w:w="0" w:type="dxa"/>
              <w:right w:w="0" w:type="dxa"/>
            </w:tcMar>
            <w:vAlign w:val="bottom"/>
            <w:hideMark/>
          </w:tcPr>
          <w:p w14:paraId="2F9BA5EA" w14:textId="77777777" w:rsidR="00000000" w:rsidRDefault="001826C1">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0138C9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8845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EBF696" w14:textId="77777777" w:rsidR="00000000" w:rsidRDefault="001826C1">
            <w:pPr>
              <w:jc w:val="right"/>
              <w:rPr>
                <w:rFonts w:eastAsia="Times New Roman"/>
                <w:sz w:val="20"/>
                <w:szCs w:val="20"/>
              </w:rPr>
            </w:pPr>
            <w:r>
              <w:rPr>
                <w:rFonts w:eastAsia="Times New Roman"/>
                <w:sz w:val="20"/>
                <w:szCs w:val="20"/>
              </w:rPr>
              <w:t>1,877</w:t>
            </w:r>
          </w:p>
        </w:tc>
        <w:tc>
          <w:tcPr>
            <w:tcW w:w="0" w:type="auto"/>
            <w:shd w:val="clear" w:color="auto" w:fill="CCEEFF"/>
            <w:vAlign w:val="bottom"/>
            <w:hideMark/>
          </w:tcPr>
          <w:p w14:paraId="6F5FC7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7F53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B59F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EB940" w14:textId="77777777" w:rsidR="00000000" w:rsidRDefault="001826C1">
            <w:pPr>
              <w:jc w:val="right"/>
              <w:rPr>
                <w:rFonts w:eastAsia="Times New Roman"/>
                <w:sz w:val="20"/>
                <w:szCs w:val="20"/>
              </w:rPr>
            </w:pPr>
            <w:r>
              <w:rPr>
                <w:rFonts w:eastAsia="Times New Roman"/>
                <w:sz w:val="20"/>
                <w:szCs w:val="20"/>
              </w:rPr>
              <w:t>1,828</w:t>
            </w:r>
          </w:p>
        </w:tc>
        <w:tc>
          <w:tcPr>
            <w:tcW w:w="0" w:type="auto"/>
            <w:shd w:val="clear" w:color="auto" w:fill="CCEEFF"/>
            <w:vAlign w:val="bottom"/>
            <w:hideMark/>
          </w:tcPr>
          <w:p w14:paraId="6305B4A0" w14:textId="77777777" w:rsidR="00000000" w:rsidRDefault="001826C1">
            <w:pPr>
              <w:rPr>
                <w:rFonts w:eastAsia="Times New Roman"/>
                <w:sz w:val="20"/>
                <w:szCs w:val="20"/>
              </w:rPr>
            </w:pPr>
            <w:r>
              <w:rPr>
                <w:rFonts w:eastAsia="Times New Roman"/>
                <w:sz w:val="20"/>
                <w:szCs w:val="20"/>
              </w:rPr>
              <w:t> </w:t>
            </w:r>
          </w:p>
        </w:tc>
      </w:tr>
      <w:tr w:rsidR="00000000" w14:paraId="0D57923C" w14:textId="77777777">
        <w:tc>
          <w:tcPr>
            <w:tcW w:w="0" w:type="auto"/>
            <w:shd w:val="clear" w:color="auto" w:fill="FFFFFF"/>
            <w:tcMar>
              <w:top w:w="0" w:type="dxa"/>
              <w:left w:w="200" w:type="dxa"/>
              <w:bottom w:w="0" w:type="dxa"/>
              <w:right w:w="0" w:type="dxa"/>
            </w:tcMar>
            <w:vAlign w:val="bottom"/>
            <w:hideMark/>
          </w:tcPr>
          <w:p w14:paraId="306B0E98" w14:textId="77777777" w:rsidR="00000000" w:rsidRDefault="001826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161BA34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53AE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512784" w14:textId="77777777" w:rsidR="00000000" w:rsidRDefault="001826C1">
            <w:pPr>
              <w:jc w:val="right"/>
              <w:rPr>
                <w:rFonts w:eastAsia="Times New Roman"/>
                <w:sz w:val="20"/>
                <w:szCs w:val="20"/>
              </w:rPr>
            </w:pPr>
            <w:r>
              <w:rPr>
                <w:rFonts w:eastAsia="Times New Roman"/>
                <w:sz w:val="20"/>
                <w:szCs w:val="20"/>
              </w:rPr>
              <w:t>1,736</w:t>
            </w:r>
          </w:p>
        </w:tc>
        <w:tc>
          <w:tcPr>
            <w:tcW w:w="0" w:type="auto"/>
            <w:shd w:val="clear" w:color="auto" w:fill="FFFFFF"/>
            <w:vAlign w:val="bottom"/>
            <w:hideMark/>
          </w:tcPr>
          <w:p w14:paraId="1A65D1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1DB1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3072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A8EFEE" w14:textId="77777777" w:rsidR="00000000" w:rsidRDefault="001826C1">
            <w:pPr>
              <w:jc w:val="right"/>
              <w:rPr>
                <w:rFonts w:eastAsia="Times New Roman"/>
                <w:sz w:val="20"/>
                <w:szCs w:val="20"/>
              </w:rPr>
            </w:pPr>
            <w:r>
              <w:rPr>
                <w:rFonts w:eastAsia="Times New Roman"/>
                <w:sz w:val="20"/>
                <w:szCs w:val="20"/>
              </w:rPr>
              <w:t>1,891</w:t>
            </w:r>
          </w:p>
        </w:tc>
        <w:tc>
          <w:tcPr>
            <w:tcW w:w="0" w:type="auto"/>
            <w:shd w:val="clear" w:color="auto" w:fill="FFFFFF"/>
            <w:vAlign w:val="bottom"/>
            <w:hideMark/>
          </w:tcPr>
          <w:p w14:paraId="3E097EF0" w14:textId="77777777" w:rsidR="00000000" w:rsidRDefault="001826C1">
            <w:pPr>
              <w:rPr>
                <w:rFonts w:eastAsia="Times New Roman"/>
                <w:sz w:val="20"/>
                <w:szCs w:val="20"/>
              </w:rPr>
            </w:pPr>
            <w:r>
              <w:rPr>
                <w:rFonts w:eastAsia="Times New Roman"/>
                <w:sz w:val="20"/>
                <w:szCs w:val="20"/>
              </w:rPr>
              <w:t> </w:t>
            </w:r>
          </w:p>
        </w:tc>
      </w:tr>
      <w:tr w:rsidR="00000000" w14:paraId="182F9486" w14:textId="77777777">
        <w:tc>
          <w:tcPr>
            <w:tcW w:w="0" w:type="auto"/>
            <w:shd w:val="clear" w:color="auto" w:fill="CCEEFF"/>
            <w:tcMar>
              <w:top w:w="0" w:type="dxa"/>
              <w:left w:w="200" w:type="dxa"/>
              <w:bottom w:w="0" w:type="dxa"/>
              <w:right w:w="0" w:type="dxa"/>
            </w:tcMar>
            <w:vAlign w:val="bottom"/>
            <w:hideMark/>
          </w:tcPr>
          <w:p w14:paraId="7391C17D"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39B8D3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9199D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C774AB" w14:textId="77777777" w:rsidR="00000000" w:rsidRDefault="001826C1">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14:paraId="4CD39A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D5D5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62CE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B741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DC20B11" w14:textId="77777777" w:rsidR="00000000" w:rsidRDefault="001826C1">
            <w:pPr>
              <w:rPr>
                <w:rFonts w:eastAsia="Times New Roman"/>
                <w:sz w:val="20"/>
                <w:szCs w:val="20"/>
              </w:rPr>
            </w:pPr>
            <w:r>
              <w:rPr>
                <w:rFonts w:eastAsia="Times New Roman"/>
                <w:sz w:val="20"/>
                <w:szCs w:val="20"/>
              </w:rPr>
              <w:t> </w:t>
            </w:r>
          </w:p>
        </w:tc>
      </w:tr>
      <w:tr w:rsidR="00000000" w14:paraId="54627F96" w14:textId="77777777">
        <w:tc>
          <w:tcPr>
            <w:tcW w:w="0" w:type="auto"/>
            <w:shd w:val="clear" w:color="auto" w:fill="FFFFFF"/>
            <w:tcMar>
              <w:top w:w="0" w:type="dxa"/>
              <w:left w:w="200" w:type="dxa"/>
              <w:bottom w:w="30" w:type="dxa"/>
              <w:right w:w="0" w:type="dxa"/>
            </w:tcMar>
            <w:vAlign w:val="bottom"/>
            <w:hideMark/>
          </w:tcPr>
          <w:p w14:paraId="74618A34"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FFFFFF"/>
            <w:tcMar>
              <w:top w:w="0" w:type="dxa"/>
              <w:left w:w="0" w:type="dxa"/>
              <w:bottom w:w="30" w:type="dxa"/>
              <w:right w:w="0" w:type="dxa"/>
            </w:tcMar>
            <w:vAlign w:val="bottom"/>
            <w:hideMark/>
          </w:tcPr>
          <w:p w14:paraId="5CFFEF9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965F1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0CC131C" w14:textId="77777777" w:rsidR="00000000" w:rsidRDefault="001826C1">
            <w:pPr>
              <w:jc w:val="right"/>
              <w:rPr>
                <w:rFonts w:eastAsia="Times New Roman"/>
                <w:sz w:val="20"/>
                <w:szCs w:val="20"/>
              </w:rPr>
            </w:pPr>
            <w:r>
              <w:rPr>
                <w:rFonts w:eastAsia="Times New Roman"/>
                <w:sz w:val="20"/>
                <w:szCs w:val="20"/>
              </w:rPr>
              <w:t>(344</w:t>
            </w:r>
          </w:p>
        </w:tc>
        <w:tc>
          <w:tcPr>
            <w:tcW w:w="0" w:type="auto"/>
            <w:shd w:val="clear" w:color="auto" w:fill="FFFFFF"/>
            <w:tcMar>
              <w:top w:w="0" w:type="dxa"/>
              <w:left w:w="0" w:type="dxa"/>
              <w:bottom w:w="30" w:type="dxa"/>
              <w:right w:w="0" w:type="dxa"/>
            </w:tcMar>
            <w:vAlign w:val="bottom"/>
            <w:hideMark/>
          </w:tcPr>
          <w:p w14:paraId="1005F3C3"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F654A7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E6B42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9974AF" w14:textId="77777777" w:rsidR="00000000" w:rsidRDefault="001826C1">
            <w:pPr>
              <w:jc w:val="right"/>
              <w:rPr>
                <w:rFonts w:eastAsia="Times New Roman"/>
                <w:sz w:val="20"/>
                <w:szCs w:val="20"/>
              </w:rPr>
            </w:pPr>
            <w:r>
              <w:rPr>
                <w:rFonts w:eastAsia="Times New Roman"/>
                <w:sz w:val="20"/>
                <w:szCs w:val="20"/>
              </w:rPr>
              <w:t>73</w:t>
            </w:r>
          </w:p>
        </w:tc>
        <w:tc>
          <w:tcPr>
            <w:tcW w:w="0" w:type="auto"/>
            <w:shd w:val="clear" w:color="auto" w:fill="FFFFFF"/>
            <w:tcMar>
              <w:top w:w="0" w:type="dxa"/>
              <w:left w:w="0" w:type="dxa"/>
              <w:bottom w:w="30" w:type="dxa"/>
              <w:right w:w="0" w:type="dxa"/>
            </w:tcMar>
            <w:vAlign w:val="bottom"/>
            <w:hideMark/>
          </w:tcPr>
          <w:p w14:paraId="061E52FE" w14:textId="77777777" w:rsidR="00000000" w:rsidRDefault="001826C1">
            <w:pPr>
              <w:rPr>
                <w:rFonts w:eastAsia="Times New Roman"/>
                <w:sz w:val="20"/>
                <w:szCs w:val="20"/>
              </w:rPr>
            </w:pPr>
            <w:r>
              <w:rPr>
                <w:rFonts w:eastAsia="Times New Roman"/>
                <w:sz w:val="20"/>
                <w:szCs w:val="20"/>
              </w:rPr>
              <w:t> </w:t>
            </w:r>
          </w:p>
        </w:tc>
      </w:tr>
      <w:tr w:rsidR="00000000" w14:paraId="3839B504" w14:textId="77777777">
        <w:tc>
          <w:tcPr>
            <w:tcW w:w="0" w:type="auto"/>
            <w:shd w:val="clear" w:color="auto" w:fill="CCEEFF"/>
            <w:tcMar>
              <w:top w:w="0" w:type="dxa"/>
              <w:left w:w="0" w:type="dxa"/>
              <w:bottom w:w="50" w:type="dxa"/>
              <w:right w:w="0" w:type="dxa"/>
            </w:tcMar>
            <w:vAlign w:val="bottom"/>
            <w:hideMark/>
          </w:tcPr>
          <w:p w14:paraId="61C588DD" w14:textId="77777777" w:rsidR="00000000" w:rsidRDefault="001826C1">
            <w:pPr>
              <w:rPr>
                <w:rFonts w:eastAsia="Times New Roman"/>
                <w:sz w:val="20"/>
                <w:szCs w:val="20"/>
              </w:rPr>
            </w:pPr>
            <w:r>
              <w:rPr>
                <w:rFonts w:eastAsia="Times New Roman"/>
                <w:sz w:val="20"/>
                <w:szCs w:val="20"/>
              </w:rPr>
              <w:t>Non-GAAP adjusted operating income</w:t>
            </w:r>
          </w:p>
        </w:tc>
        <w:tc>
          <w:tcPr>
            <w:tcW w:w="0" w:type="auto"/>
            <w:shd w:val="clear" w:color="auto" w:fill="CCEEFF"/>
            <w:tcMar>
              <w:top w:w="0" w:type="dxa"/>
              <w:left w:w="0" w:type="dxa"/>
              <w:bottom w:w="50" w:type="dxa"/>
              <w:right w:w="0" w:type="dxa"/>
            </w:tcMar>
            <w:vAlign w:val="bottom"/>
            <w:hideMark/>
          </w:tcPr>
          <w:p w14:paraId="72206B49"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0C0CA07" w14:textId="77777777" w:rsidR="00000000" w:rsidRDefault="001826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5F1347C8" w14:textId="77777777" w:rsidR="00000000" w:rsidRDefault="001826C1">
            <w:pPr>
              <w:jc w:val="right"/>
              <w:rPr>
                <w:rFonts w:eastAsia="Times New Roman"/>
                <w:b/>
                <w:bCs/>
                <w:sz w:val="20"/>
                <w:szCs w:val="20"/>
              </w:rPr>
            </w:pPr>
            <w:r>
              <w:rPr>
                <w:rFonts w:eastAsia="Times New Roman"/>
                <w:b/>
                <w:bCs/>
                <w:sz w:val="20"/>
                <w:szCs w:val="20"/>
              </w:rPr>
              <w:t>6,771</w:t>
            </w:r>
          </w:p>
        </w:tc>
        <w:tc>
          <w:tcPr>
            <w:tcW w:w="0" w:type="auto"/>
            <w:shd w:val="clear" w:color="auto" w:fill="CCEEFF"/>
            <w:tcMar>
              <w:top w:w="0" w:type="dxa"/>
              <w:left w:w="0" w:type="dxa"/>
              <w:bottom w:w="50" w:type="dxa"/>
              <w:right w:w="0" w:type="dxa"/>
            </w:tcMar>
            <w:vAlign w:val="bottom"/>
            <w:hideMark/>
          </w:tcPr>
          <w:p w14:paraId="01B5AA50" w14:textId="77777777" w:rsidR="00000000" w:rsidRDefault="001826C1">
            <w:pPr>
              <w:rPr>
                <w:rFonts w:eastAsia="Times New Roman"/>
                <w:b/>
                <w:bCs/>
                <w:sz w:val="20"/>
                <w:szCs w:val="20"/>
              </w:rPr>
            </w:pPr>
            <w:r>
              <w:rPr>
                <w:rFonts w:eastAsia="Times New Roman"/>
                <w:b/>
                <w:bCs/>
                <w:sz w:val="20"/>
                <w:szCs w:val="20"/>
              </w:rPr>
              <w:t> </w:t>
            </w:r>
          </w:p>
        </w:tc>
        <w:tc>
          <w:tcPr>
            <w:tcW w:w="0" w:type="auto"/>
            <w:shd w:val="clear" w:color="auto" w:fill="CCEEFF"/>
            <w:tcMar>
              <w:top w:w="0" w:type="dxa"/>
              <w:left w:w="0" w:type="dxa"/>
              <w:bottom w:w="50" w:type="dxa"/>
              <w:right w:w="0" w:type="dxa"/>
            </w:tcMar>
            <w:vAlign w:val="bottom"/>
            <w:hideMark/>
          </w:tcPr>
          <w:p w14:paraId="31536CB2"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CCEEFF"/>
            <w:vAlign w:val="bottom"/>
            <w:hideMark/>
          </w:tcPr>
          <w:p w14:paraId="687DB3E4" w14:textId="77777777" w:rsidR="00000000" w:rsidRDefault="001826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CCEEFF"/>
            <w:vAlign w:val="bottom"/>
            <w:hideMark/>
          </w:tcPr>
          <w:p w14:paraId="396B30C2" w14:textId="77777777" w:rsidR="00000000" w:rsidRDefault="001826C1">
            <w:pPr>
              <w:jc w:val="right"/>
              <w:rPr>
                <w:rFonts w:eastAsia="Times New Roman"/>
                <w:b/>
                <w:bCs/>
                <w:sz w:val="20"/>
                <w:szCs w:val="20"/>
              </w:rPr>
            </w:pPr>
            <w:r>
              <w:rPr>
                <w:rFonts w:eastAsia="Times New Roman"/>
                <w:b/>
                <w:bCs/>
                <w:sz w:val="20"/>
                <w:szCs w:val="20"/>
              </w:rPr>
              <w:t>3,717</w:t>
            </w:r>
          </w:p>
        </w:tc>
        <w:tc>
          <w:tcPr>
            <w:tcW w:w="0" w:type="auto"/>
            <w:shd w:val="clear" w:color="auto" w:fill="CCEEFF"/>
            <w:tcMar>
              <w:top w:w="0" w:type="dxa"/>
              <w:left w:w="0" w:type="dxa"/>
              <w:bottom w:w="50" w:type="dxa"/>
              <w:right w:w="0" w:type="dxa"/>
            </w:tcMar>
            <w:vAlign w:val="bottom"/>
            <w:hideMark/>
          </w:tcPr>
          <w:p w14:paraId="603A50C6" w14:textId="77777777" w:rsidR="00000000" w:rsidRDefault="001826C1">
            <w:pPr>
              <w:rPr>
                <w:rFonts w:eastAsia="Times New Roman"/>
                <w:b/>
                <w:bCs/>
                <w:sz w:val="20"/>
                <w:szCs w:val="20"/>
              </w:rPr>
            </w:pPr>
            <w:r>
              <w:rPr>
                <w:rFonts w:eastAsia="Times New Roman"/>
                <w:b/>
                <w:bCs/>
                <w:sz w:val="20"/>
                <w:szCs w:val="20"/>
              </w:rPr>
              <w:t> </w:t>
            </w:r>
          </w:p>
        </w:tc>
      </w:tr>
      <w:tr w:rsidR="00000000" w14:paraId="36A6136C" w14:textId="77777777">
        <w:tc>
          <w:tcPr>
            <w:tcW w:w="0" w:type="auto"/>
            <w:shd w:val="clear" w:color="auto" w:fill="FFFFFF"/>
            <w:tcMar>
              <w:top w:w="0" w:type="dxa"/>
              <w:left w:w="200" w:type="dxa"/>
              <w:bottom w:w="0" w:type="dxa"/>
              <w:right w:w="0" w:type="dxa"/>
            </w:tcMar>
            <w:vAlign w:val="bottom"/>
            <w:hideMark/>
          </w:tcPr>
          <w:p w14:paraId="18E22250" w14:textId="77777777" w:rsidR="00000000" w:rsidRDefault="001826C1">
            <w:pPr>
              <w:rPr>
                <w:rFonts w:eastAsia="Times New Roman"/>
                <w:sz w:val="20"/>
                <w:szCs w:val="20"/>
              </w:rPr>
            </w:pPr>
            <w:r>
              <w:rPr>
                <w:rFonts w:eastAsia="Times New Roman"/>
                <w:sz w:val="20"/>
                <w:szCs w:val="20"/>
              </w:rPr>
              <w:t>Non-GAAP adjusted operating margin</w:t>
            </w:r>
          </w:p>
        </w:tc>
        <w:tc>
          <w:tcPr>
            <w:tcW w:w="0" w:type="auto"/>
            <w:shd w:val="clear" w:color="auto" w:fill="FFFFFF"/>
            <w:vAlign w:val="bottom"/>
            <w:hideMark/>
          </w:tcPr>
          <w:p w14:paraId="364B11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CB5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B8A867" w14:textId="77777777" w:rsidR="00000000" w:rsidRDefault="001826C1">
            <w:pPr>
              <w:jc w:val="right"/>
              <w:rPr>
                <w:rFonts w:eastAsia="Times New Roman"/>
                <w:sz w:val="20"/>
                <w:szCs w:val="20"/>
              </w:rPr>
            </w:pPr>
            <w:r>
              <w:rPr>
                <w:rFonts w:eastAsia="Times New Roman"/>
                <w:sz w:val="20"/>
                <w:szCs w:val="20"/>
              </w:rPr>
              <w:t>10.5</w:t>
            </w:r>
          </w:p>
        </w:tc>
        <w:tc>
          <w:tcPr>
            <w:tcW w:w="0" w:type="auto"/>
            <w:shd w:val="clear" w:color="auto" w:fill="FFFFFF"/>
            <w:vAlign w:val="bottom"/>
            <w:hideMark/>
          </w:tcPr>
          <w:p w14:paraId="7421445E"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B48B8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E9EEA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753EC0" w14:textId="77777777" w:rsidR="00000000" w:rsidRDefault="001826C1">
            <w:pPr>
              <w:jc w:val="right"/>
              <w:rPr>
                <w:rFonts w:eastAsia="Times New Roman"/>
                <w:sz w:val="20"/>
                <w:szCs w:val="20"/>
              </w:rPr>
            </w:pPr>
            <w:r>
              <w:rPr>
                <w:rFonts w:eastAsia="Times New Roman"/>
                <w:sz w:val="20"/>
                <w:szCs w:val="20"/>
              </w:rPr>
              <w:t>7.4</w:t>
            </w:r>
          </w:p>
        </w:tc>
        <w:tc>
          <w:tcPr>
            <w:tcW w:w="0" w:type="auto"/>
            <w:shd w:val="clear" w:color="auto" w:fill="FFFFFF"/>
            <w:vAlign w:val="bottom"/>
            <w:hideMark/>
          </w:tcPr>
          <w:p w14:paraId="38F5540C" w14:textId="77777777" w:rsidR="00000000" w:rsidRDefault="001826C1">
            <w:pPr>
              <w:rPr>
                <w:rFonts w:eastAsia="Times New Roman"/>
                <w:sz w:val="20"/>
                <w:szCs w:val="20"/>
              </w:rPr>
            </w:pPr>
            <w:r>
              <w:rPr>
                <w:rFonts w:eastAsia="Times New Roman"/>
                <w:sz w:val="20"/>
                <w:szCs w:val="20"/>
              </w:rPr>
              <w:t>%</w:t>
            </w:r>
          </w:p>
        </w:tc>
      </w:tr>
    </w:tbl>
    <w:p w14:paraId="1C43DF8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2E29727"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Adjusted </w:t>
      </w:r>
      <w:r>
        <w:rPr>
          <w:sz w:val="20"/>
          <w:szCs w:val="20"/>
        </w:rPr>
        <w:t>net income and adjusted net income per share exclude the following elements which are included in GAAP net income (loss):</w:t>
      </w:r>
    </w:p>
    <w:p w14:paraId="79CDA8F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14:paraId="2CC071DC" w14:textId="77777777">
        <w:tc>
          <w:tcPr>
            <w:tcW w:w="360" w:type="dxa"/>
            <w:hideMark/>
          </w:tcPr>
          <w:p w14:paraId="61D78728" w14:textId="77777777" w:rsidR="00000000" w:rsidRDefault="001826C1">
            <w:pPr>
              <w:rPr>
                <w:rFonts w:eastAsia="Times New Roman"/>
                <w:sz w:val="20"/>
                <w:szCs w:val="20"/>
              </w:rPr>
            </w:pPr>
            <w:r>
              <w:rPr>
                <w:rFonts w:eastAsia="Times New Roman"/>
                <w:sz w:val="20"/>
                <w:szCs w:val="20"/>
              </w:rPr>
              <w:t> </w:t>
            </w:r>
          </w:p>
        </w:tc>
        <w:tc>
          <w:tcPr>
            <w:tcW w:w="360" w:type="dxa"/>
            <w:hideMark/>
          </w:tcPr>
          <w:p w14:paraId="246906BD" w14:textId="77777777" w:rsidR="00000000" w:rsidRDefault="001826C1">
            <w:pPr>
              <w:rPr>
                <w:rFonts w:eastAsia="Times New Roman"/>
                <w:sz w:val="20"/>
                <w:szCs w:val="20"/>
              </w:rPr>
            </w:pPr>
            <w:r>
              <w:rPr>
                <w:rFonts w:eastAsia="Times New Roman"/>
                <w:sz w:val="20"/>
                <w:szCs w:val="20"/>
              </w:rPr>
              <w:t>●</w:t>
            </w:r>
          </w:p>
        </w:tc>
        <w:tc>
          <w:tcPr>
            <w:tcW w:w="0" w:type="auto"/>
            <w:hideMark/>
          </w:tcPr>
          <w:p w14:paraId="6C344824" w14:textId="77777777" w:rsidR="00000000" w:rsidRDefault="001826C1">
            <w:pPr>
              <w:rPr>
                <w:rFonts w:eastAsia="Times New Roman"/>
                <w:sz w:val="20"/>
                <w:szCs w:val="20"/>
              </w:rPr>
            </w:pPr>
            <w:r>
              <w:rPr>
                <w:rFonts w:eastAsia="Times New Roman"/>
                <w:sz w:val="20"/>
                <w:szCs w:val="20"/>
              </w:rPr>
              <w:t>Foreign exchange (gains) and losses and other non-operating expenses;</w:t>
            </w:r>
          </w:p>
        </w:tc>
      </w:tr>
      <w:tr w:rsidR="00000000" w14:paraId="38B805A1" w14:textId="77777777">
        <w:tc>
          <w:tcPr>
            <w:tcW w:w="0" w:type="auto"/>
            <w:hideMark/>
          </w:tcPr>
          <w:p w14:paraId="6DDCC43C" w14:textId="77777777" w:rsidR="00000000" w:rsidRDefault="001826C1">
            <w:pPr>
              <w:rPr>
                <w:rFonts w:eastAsia="Times New Roman"/>
                <w:sz w:val="20"/>
                <w:szCs w:val="20"/>
              </w:rPr>
            </w:pPr>
            <w:r>
              <w:rPr>
                <w:rFonts w:eastAsia="Times New Roman"/>
                <w:sz w:val="20"/>
                <w:szCs w:val="20"/>
              </w:rPr>
              <w:t> </w:t>
            </w:r>
          </w:p>
        </w:tc>
        <w:tc>
          <w:tcPr>
            <w:tcW w:w="0" w:type="auto"/>
            <w:hideMark/>
          </w:tcPr>
          <w:p w14:paraId="49611E4B" w14:textId="77777777" w:rsidR="00000000" w:rsidRDefault="001826C1">
            <w:pPr>
              <w:rPr>
                <w:rFonts w:eastAsia="Times New Roman"/>
                <w:sz w:val="20"/>
                <w:szCs w:val="20"/>
              </w:rPr>
            </w:pPr>
            <w:r>
              <w:rPr>
                <w:rFonts w:eastAsia="Times New Roman"/>
                <w:sz w:val="20"/>
                <w:szCs w:val="20"/>
              </w:rPr>
              <w:t>●</w:t>
            </w:r>
          </w:p>
        </w:tc>
        <w:tc>
          <w:tcPr>
            <w:tcW w:w="0" w:type="auto"/>
            <w:hideMark/>
          </w:tcPr>
          <w:p w14:paraId="2DD3FDB0" w14:textId="77777777" w:rsidR="00000000" w:rsidRDefault="001826C1">
            <w:pPr>
              <w:rPr>
                <w:rFonts w:eastAsia="Times New Roman"/>
                <w:sz w:val="20"/>
                <w:szCs w:val="20"/>
              </w:rPr>
            </w:pPr>
            <w:r>
              <w:rPr>
                <w:rFonts w:eastAsia="Times New Roman"/>
                <w:sz w:val="20"/>
                <w:szCs w:val="20"/>
              </w:rPr>
              <w:t xml:space="preserve">Stock-based </w:t>
            </w:r>
            <w:r>
              <w:rPr>
                <w:rFonts w:eastAsia="Times New Roman"/>
                <w:sz w:val="20"/>
                <w:szCs w:val="20"/>
              </w:rPr>
              <w:t>compensation expense and cash-settled awards, based on changes in the stock price;</w:t>
            </w:r>
          </w:p>
        </w:tc>
      </w:tr>
      <w:tr w:rsidR="00000000" w14:paraId="569F819F" w14:textId="77777777">
        <w:tc>
          <w:tcPr>
            <w:tcW w:w="0" w:type="auto"/>
            <w:hideMark/>
          </w:tcPr>
          <w:p w14:paraId="06BCD047" w14:textId="77777777" w:rsidR="00000000" w:rsidRDefault="001826C1">
            <w:pPr>
              <w:rPr>
                <w:rFonts w:eastAsia="Times New Roman"/>
                <w:sz w:val="20"/>
                <w:szCs w:val="20"/>
              </w:rPr>
            </w:pPr>
            <w:r>
              <w:rPr>
                <w:rFonts w:eastAsia="Times New Roman"/>
                <w:sz w:val="20"/>
                <w:szCs w:val="20"/>
              </w:rPr>
              <w:t> </w:t>
            </w:r>
          </w:p>
        </w:tc>
        <w:tc>
          <w:tcPr>
            <w:tcW w:w="0" w:type="auto"/>
            <w:hideMark/>
          </w:tcPr>
          <w:p w14:paraId="148EDEA8" w14:textId="77777777" w:rsidR="00000000" w:rsidRDefault="001826C1">
            <w:pPr>
              <w:rPr>
                <w:rFonts w:eastAsia="Times New Roman"/>
                <w:sz w:val="20"/>
                <w:szCs w:val="20"/>
              </w:rPr>
            </w:pPr>
            <w:r>
              <w:rPr>
                <w:rFonts w:eastAsia="Times New Roman"/>
                <w:sz w:val="20"/>
                <w:szCs w:val="20"/>
              </w:rPr>
              <w:t>●</w:t>
            </w:r>
          </w:p>
        </w:tc>
        <w:tc>
          <w:tcPr>
            <w:tcW w:w="0" w:type="auto"/>
            <w:hideMark/>
          </w:tcPr>
          <w:p w14:paraId="4800829C" w14:textId="77777777" w:rsidR="00000000" w:rsidRDefault="001826C1">
            <w:pPr>
              <w:rPr>
                <w:rFonts w:eastAsia="Times New Roman"/>
                <w:sz w:val="20"/>
                <w:szCs w:val="20"/>
              </w:rPr>
            </w:pPr>
            <w:r>
              <w:rPr>
                <w:rFonts w:eastAsia="Times New Roman"/>
                <w:sz w:val="20"/>
                <w:szCs w:val="20"/>
              </w:rPr>
              <w:t>Amortization of purchased intangible assets;</w:t>
            </w:r>
          </w:p>
        </w:tc>
      </w:tr>
      <w:tr w:rsidR="00000000" w14:paraId="22365C4C" w14:textId="77777777">
        <w:tc>
          <w:tcPr>
            <w:tcW w:w="0" w:type="auto"/>
            <w:hideMark/>
          </w:tcPr>
          <w:p w14:paraId="403CA0A1" w14:textId="77777777" w:rsidR="00000000" w:rsidRDefault="001826C1">
            <w:pPr>
              <w:rPr>
                <w:rFonts w:eastAsia="Times New Roman"/>
                <w:sz w:val="20"/>
                <w:szCs w:val="20"/>
              </w:rPr>
            </w:pPr>
            <w:r>
              <w:rPr>
                <w:rFonts w:eastAsia="Times New Roman"/>
                <w:sz w:val="20"/>
                <w:szCs w:val="20"/>
              </w:rPr>
              <w:t> </w:t>
            </w:r>
          </w:p>
        </w:tc>
        <w:tc>
          <w:tcPr>
            <w:tcW w:w="0" w:type="auto"/>
            <w:hideMark/>
          </w:tcPr>
          <w:p w14:paraId="70EB2198" w14:textId="77777777" w:rsidR="00000000" w:rsidRDefault="001826C1">
            <w:pPr>
              <w:rPr>
                <w:rFonts w:eastAsia="Times New Roman"/>
                <w:sz w:val="20"/>
                <w:szCs w:val="20"/>
              </w:rPr>
            </w:pPr>
            <w:r>
              <w:rPr>
                <w:rFonts w:eastAsia="Times New Roman"/>
                <w:sz w:val="20"/>
                <w:szCs w:val="20"/>
              </w:rPr>
              <w:t>●</w:t>
            </w:r>
          </w:p>
        </w:tc>
        <w:tc>
          <w:tcPr>
            <w:tcW w:w="0" w:type="auto"/>
            <w:hideMark/>
          </w:tcPr>
          <w:p w14:paraId="0774ADA6" w14:textId="77777777" w:rsidR="00000000" w:rsidRDefault="001826C1">
            <w:pPr>
              <w:jc w:val="both"/>
              <w:rPr>
                <w:rFonts w:eastAsia="Times New Roman"/>
                <w:sz w:val="20"/>
                <w:szCs w:val="20"/>
              </w:rPr>
            </w:pPr>
            <w:r>
              <w:rPr>
                <w:rFonts w:eastAsia="Times New Roman"/>
                <w:sz w:val="20"/>
                <w:szCs w:val="20"/>
              </w:rPr>
              <w:t>Integration costs, such as severance amounts paid to employees from acquired businesses and transaction costs, such as</w:t>
            </w:r>
            <w:r>
              <w:rPr>
                <w:rFonts w:eastAsia="Times New Roman"/>
                <w:sz w:val="20"/>
                <w:szCs w:val="20"/>
              </w:rPr>
              <w:t xml:space="preserve"> brokerage fees, pre-acquisition accounting costs and legal fees, exit costs related to contractual agreements;</w:t>
            </w:r>
          </w:p>
        </w:tc>
      </w:tr>
      <w:tr w:rsidR="00000000" w14:paraId="7F4E80CC" w14:textId="77777777">
        <w:tc>
          <w:tcPr>
            <w:tcW w:w="0" w:type="auto"/>
            <w:hideMark/>
          </w:tcPr>
          <w:p w14:paraId="1A7FA2C8" w14:textId="77777777" w:rsidR="00000000" w:rsidRDefault="001826C1">
            <w:pPr>
              <w:rPr>
                <w:rFonts w:eastAsia="Times New Roman"/>
                <w:sz w:val="20"/>
                <w:szCs w:val="20"/>
              </w:rPr>
            </w:pPr>
            <w:r>
              <w:rPr>
                <w:rFonts w:eastAsia="Times New Roman"/>
                <w:sz w:val="20"/>
                <w:szCs w:val="20"/>
              </w:rPr>
              <w:t> </w:t>
            </w:r>
          </w:p>
        </w:tc>
        <w:tc>
          <w:tcPr>
            <w:tcW w:w="0" w:type="auto"/>
            <w:hideMark/>
          </w:tcPr>
          <w:p w14:paraId="2D949DF6" w14:textId="77777777" w:rsidR="00000000" w:rsidRDefault="001826C1">
            <w:pPr>
              <w:rPr>
                <w:rFonts w:eastAsia="Times New Roman"/>
                <w:sz w:val="20"/>
                <w:szCs w:val="20"/>
              </w:rPr>
            </w:pPr>
            <w:r>
              <w:rPr>
                <w:rFonts w:eastAsia="Times New Roman"/>
                <w:sz w:val="20"/>
                <w:szCs w:val="20"/>
              </w:rPr>
              <w:t>●</w:t>
            </w:r>
          </w:p>
        </w:tc>
        <w:tc>
          <w:tcPr>
            <w:tcW w:w="0" w:type="auto"/>
            <w:hideMark/>
          </w:tcPr>
          <w:p w14:paraId="397CAEE6" w14:textId="77777777" w:rsidR="00000000" w:rsidRDefault="001826C1">
            <w:pPr>
              <w:rPr>
                <w:rFonts w:eastAsia="Times New Roman"/>
                <w:sz w:val="20"/>
                <w:szCs w:val="20"/>
              </w:rPr>
            </w:pPr>
            <w:r>
              <w:rPr>
                <w:rFonts w:eastAsia="Times New Roman"/>
                <w:sz w:val="20"/>
                <w:szCs w:val="20"/>
              </w:rPr>
              <w:t>Restructuring and impairment charges;</w:t>
            </w:r>
          </w:p>
        </w:tc>
      </w:tr>
      <w:tr w:rsidR="00000000" w14:paraId="544D5D77" w14:textId="77777777">
        <w:tc>
          <w:tcPr>
            <w:tcW w:w="0" w:type="auto"/>
            <w:hideMark/>
          </w:tcPr>
          <w:p w14:paraId="01B00AC0" w14:textId="77777777" w:rsidR="00000000" w:rsidRDefault="001826C1">
            <w:pPr>
              <w:rPr>
                <w:rFonts w:eastAsia="Times New Roman"/>
                <w:sz w:val="20"/>
                <w:szCs w:val="20"/>
              </w:rPr>
            </w:pPr>
            <w:r>
              <w:rPr>
                <w:rFonts w:eastAsia="Times New Roman"/>
                <w:sz w:val="20"/>
                <w:szCs w:val="20"/>
              </w:rPr>
              <w:t> </w:t>
            </w:r>
          </w:p>
        </w:tc>
        <w:tc>
          <w:tcPr>
            <w:tcW w:w="0" w:type="auto"/>
            <w:hideMark/>
          </w:tcPr>
          <w:p w14:paraId="599905F2" w14:textId="77777777" w:rsidR="00000000" w:rsidRDefault="001826C1">
            <w:pPr>
              <w:rPr>
                <w:rFonts w:eastAsia="Times New Roman"/>
                <w:sz w:val="20"/>
                <w:szCs w:val="20"/>
              </w:rPr>
            </w:pPr>
            <w:r>
              <w:rPr>
                <w:rFonts w:eastAsia="Times New Roman"/>
                <w:sz w:val="20"/>
                <w:szCs w:val="20"/>
              </w:rPr>
              <w:t>●</w:t>
            </w:r>
          </w:p>
        </w:tc>
        <w:tc>
          <w:tcPr>
            <w:tcW w:w="0" w:type="auto"/>
            <w:hideMark/>
          </w:tcPr>
          <w:p w14:paraId="5E85F679" w14:textId="77777777" w:rsidR="00000000" w:rsidRDefault="001826C1">
            <w:pPr>
              <w:rPr>
                <w:rFonts w:eastAsia="Times New Roman"/>
                <w:sz w:val="20"/>
                <w:szCs w:val="20"/>
              </w:rPr>
            </w:pPr>
            <w:r>
              <w:rPr>
                <w:rFonts w:eastAsia="Times New Roman"/>
                <w:sz w:val="20"/>
                <w:szCs w:val="20"/>
              </w:rPr>
              <w:t>Changes in contingent consideration; and</w:t>
            </w:r>
          </w:p>
        </w:tc>
      </w:tr>
      <w:tr w:rsidR="00000000" w14:paraId="16E4EB54" w14:textId="77777777">
        <w:tc>
          <w:tcPr>
            <w:tcW w:w="0" w:type="auto"/>
            <w:hideMark/>
          </w:tcPr>
          <w:p w14:paraId="37079272" w14:textId="77777777" w:rsidR="00000000" w:rsidRDefault="001826C1">
            <w:pPr>
              <w:rPr>
                <w:rFonts w:eastAsia="Times New Roman"/>
                <w:sz w:val="20"/>
                <w:szCs w:val="20"/>
              </w:rPr>
            </w:pPr>
            <w:r>
              <w:rPr>
                <w:rFonts w:eastAsia="Times New Roman"/>
                <w:sz w:val="20"/>
                <w:szCs w:val="20"/>
              </w:rPr>
              <w:t> </w:t>
            </w:r>
          </w:p>
        </w:tc>
        <w:tc>
          <w:tcPr>
            <w:tcW w:w="0" w:type="auto"/>
            <w:hideMark/>
          </w:tcPr>
          <w:p w14:paraId="3889EEB0" w14:textId="77777777" w:rsidR="00000000" w:rsidRDefault="001826C1">
            <w:pPr>
              <w:rPr>
                <w:rFonts w:eastAsia="Times New Roman"/>
                <w:sz w:val="20"/>
                <w:szCs w:val="20"/>
              </w:rPr>
            </w:pPr>
            <w:r>
              <w:rPr>
                <w:rFonts w:eastAsia="Times New Roman"/>
                <w:sz w:val="20"/>
                <w:szCs w:val="20"/>
              </w:rPr>
              <w:t>●</w:t>
            </w:r>
          </w:p>
        </w:tc>
        <w:tc>
          <w:tcPr>
            <w:tcW w:w="0" w:type="auto"/>
            <w:hideMark/>
          </w:tcPr>
          <w:p w14:paraId="1E96B686" w14:textId="77777777" w:rsidR="00000000" w:rsidRDefault="001826C1">
            <w:pPr>
              <w:rPr>
                <w:rFonts w:eastAsia="Times New Roman"/>
                <w:sz w:val="20"/>
                <w:szCs w:val="20"/>
              </w:rPr>
            </w:pPr>
            <w:r>
              <w:rPr>
                <w:rFonts w:eastAsia="Times New Roman"/>
                <w:sz w:val="20"/>
                <w:szCs w:val="20"/>
              </w:rPr>
              <w:t xml:space="preserve">Income </w:t>
            </w:r>
            <w:r>
              <w:rPr>
                <w:rFonts w:eastAsia="Times New Roman"/>
                <w:sz w:val="20"/>
                <w:szCs w:val="20"/>
              </w:rPr>
              <w:t>tax expense (benefit) resulting from the amortization of goodwill related to our acquisitions.</w:t>
            </w:r>
          </w:p>
        </w:tc>
      </w:tr>
    </w:tbl>
    <w:p w14:paraId="6724B547" w14:textId="77777777" w:rsidR="00000000" w:rsidRDefault="001826C1">
      <w:pPr>
        <w:pStyle w:val="a3"/>
        <w:shd w:val="clear" w:color="auto" w:fill="FFFFFF"/>
        <w:spacing w:before="0" w:beforeAutospacing="0" w:after="0" w:afterAutospacing="0"/>
        <w:ind w:left="720"/>
        <w:jc w:val="both"/>
        <w:rPr>
          <w:sz w:val="20"/>
          <w:szCs w:val="20"/>
        </w:rPr>
      </w:pPr>
      <w:r>
        <w:rPr>
          <w:sz w:val="20"/>
          <w:szCs w:val="20"/>
        </w:rPr>
        <w:t> </w:t>
      </w:r>
    </w:p>
    <w:p w14:paraId="064B54BD" w14:textId="77777777" w:rsidR="00000000" w:rsidRDefault="001826C1">
      <w:pPr>
        <w:pStyle w:val="a3"/>
        <w:shd w:val="clear" w:color="auto" w:fill="FFFFFF"/>
        <w:spacing w:before="0" w:beforeAutospacing="0" w:after="0" w:afterAutospacing="0"/>
        <w:jc w:val="both"/>
        <w:rPr>
          <w:sz w:val="20"/>
          <w:szCs w:val="20"/>
        </w:rPr>
      </w:pPr>
      <w:r>
        <w:rPr>
          <w:sz w:val="20"/>
          <w:szCs w:val="20"/>
          <w:shd w:val="clear" w:color="auto" w:fill="FFFFFF"/>
        </w:rPr>
        <w:t>No tax effect has been provided in computing non-GAAP adjusted net income and non-GAAP adjusted net income per share as the Company has sufficient carry forwa</w:t>
      </w:r>
      <w:r>
        <w:rPr>
          <w:sz w:val="20"/>
          <w:szCs w:val="20"/>
          <w:shd w:val="clear" w:color="auto" w:fill="FFFFFF"/>
        </w:rPr>
        <w:t xml:space="preserve">rd losses to offset the applicable income taxes. </w:t>
      </w:r>
      <w:r>
        <w:rPr>
          <w:sz w:val="20"/>
          <w:szCs w:val="20"/>
        </w:rPr>
        <w:t>The following table shows our reconciliation of GAAP net loss to non-GAAP adjusted net income for the years ended December 31, 2019 and 2018:</w:t>
      </w:r>
    </w:p>
    <w:p w14:paraId="12FE986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30A7095" w14:textId="77777777">
        <w:trPr>
          <w:divId w:val="384835584"/>
        </w:trPr>
        <w:tc>
          <w:tcPr>
            <w:tcW w:w="5000" w:type="pct"/>
            <w:hideMark/>
          </w:tcPr>
          <w:p w14:paraId="4C2859D0"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14F70262" w14:textId="77777777">
        <w:tc>
          <w:tcPr>
            <w:tcW w:w="5000" w:type="pct"/>
            <w:hideMark/>
          </w:tcPr>
          <w:p w14:paraId="028DCCD0" w14:textId="77777777" w:rsidR="00000000" w:rsidRDefault="001826C1">
            <w:pPr>
              <w:jc w:val="center"/>
              <w:rPr>
                <w:rFonts w:eastAsia="Times New Roman"/>
                <w:sz w:val="20"/>
                <w:szCs w:val="20"/>
              </w:rPr>
            </w:pPr>
            <w:r>
              <w:rPr>
                <w:rFonts w:eastAsia="Times New Roman"/>
                <w:sz w:val="20"/>
                <w:szCs w:val="20"/>
              </w:rPr>
              <w:t> </w:t>
            </w:r>
          </w:p>
        </w:tc>
      </w:tr>
    </w:tbl>
    <w:p w14:paraId="632333A2" w14:textId="77777777" w:rsidR="00000000" w:rsidRDefault="001826C1">
      <w:pPr>
        <w:pStyle w:val="a3"/>
        <w:spacing w:before="0" w:beforeAutospacing="0" w:after="0" w:afterAutospacing="0" w:line="256" w:lineRule="auto"/>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178"/>
        <w:gridCol w:w="142"/>
        <w:gridCol w:w="100"/>
        <w:gridCol w:w="1338"/>
        <w:gridCol w:w="67"/>
        <w:gridCol w:w="143"/>
        <w:gridCol w:w="100"/>
        <w:gridCol w:w="1339"/>
        <w:gridCol w:w="68"/>
      </w:tblGrid>
      <w:tr w:rsidR="00000000" w14:paraId="58EF81A4" w14:textId="77777777">
        <w:tc>
          <w:tcPr>
            <w:tcW w:w="0" w:type="auto"/>
            <w:vAlign w:val="bottom"/>
            <w:hideMark/>
          </w:tcPr>
          <w:p w14:paraId="5880AA0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B071EF6"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B3BB675"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7CD38057" w14:textId="77777777" w:rsidR="00000000" w:rsidRDefault="001826C1">
            <w:pPr>
              <w:rPr>
                <w:rFonts w:eastAsia="Times New Roman"/>
                <w:b/>
                <w:bCs/>
                <w:sz w:val="20"/>
                <w:szCs w:val="20"/>
              </w:rPr>
            </w:pPr>
            <w:r>
              <w:rPr>
                <w:rFonts w:eastAsia="Times New Roman"/>
                <w:b/>
                <w:bCs/>
                <w:sz w:val="20"/>
                <w:szCs w:val="20"/>
              </w:rPr>
              <w:t> </w:t>
            </w:r>
          </w:p>
        </w:tc>
      </w:tr>
      <w:tr w:rsidR="00000000" w14:paraId="443F069E" w14:textId="77777777">
        <w:tc>
          <w:tcPr>
            <w:tcW w:w="0" w:type="auto"/>
            <w:vAlign w:val="bottom"/>
            <w:hideMark/>
          </w:tcPr>
          <w:p w14:paraId="774D4A1D"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B213D0F"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5305278"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9D8C6B2"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C4B734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5934C9B"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1EEEA510" w14:textId="77777777" w:rsidR="00000000" w:rsidRDefault="001826C1">
            <w:pPr>
              <w:rPr>
                <w:rFonts w:eastAsia="Times New Roman"/>
                <w:b/>
                <w:bCs/>
                <w:sz w:val="20"/>
                <w:szCs w:val="20"/>
              </w:rPr>
            </w:pPr>
            <w:r>
              <w:rPr>
                <w:rFonts w:eastAsia="Times New Roman"/>
                <w:b/>
                <w:bCs/>
                <w:sz w:val="20"/>
                <w:szCs w:val="20"/>
              </w:rPr>
              <w:t> </w:t>
            </w:r>
          </w:p>
        </w:tc>
      </w:tr>
      <w:tr w:rsidR="00000000" w14:paraId="4402E4F8" w14:textId="77777777">
        <w:tc>
          <w:tcPr>
            <w:tcW w:w="0" w:type="auto"/>
            <w:vAlign w:val="bottom"/>
            <w:hideMark/>
          </w:tcPr>
          <w:p w14:paraId="40EDB0E4"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79A7FE54" w14:textId="77777777" w:rsidR="00000000" w:rsidRDefault="001826C1">
            <w:pPr>
              <w:rPr>
                <w:rFonts w:eastAsia="Times New Roman"/>
                <w:sz w:val="20"/>
                <w:szCs w:val="20"/>
              </w:rPr>
            </w:pPr>
            <w:r>
              <w:rPr>
                <w:rFonts w:eastAsia="Times New Roman"/>
                <w:sz w:val="20"/>
                <w:szCs w:val="20"/>
              </w:rPr>
              <w:t> </w:t>
            </w:r>
          </w:p>
        </w:tc>
        <w:tc>
          <w:tcPr>
            <w:tcW w:w="0" w:type="auto"/>
            <w:gridSpan w:val="6"/>
            <w:vAlign w:val="bottom"/>
            <w:hideMark/>
          </w:tcPr>
          <w:p w14:paraId="3CD4E51C" w14:textId="77777777" w:rsidR="00000000" w:rsidRDefault="001826C1">
            <w:pPr>
              <w:jc w:val="center"/>
              <w:rPr>
                <w:rFonts w:eastAsia="Times New Roman"/>
                <w:sz w:val="20"/>
                <w:szCs w:val="20"/>
              </w:rPr>
            </w:pPr>
            <w:r>
              <w:rPr>
                <w:rFonts w:eastAsia="Times New Roman"/>
                <w:sz w:val="20"/>
                <w:szCs w:val="20"/>
              </w:rPr>
              <w:t>($ in thousands except for per share amounts)</w:t>
            </w:r>
          </w:p>
        </w:tc>
        <w:tc>
          <w:tcPr>
            <w:tcW w:w="0" w:type="auto"/>
            <w:vAlign w:val="bottom"/>
            <w:hideMark/>
          </w:tcPr>
          <w:p w14:paraId="4E66421B" w14:textId="77777777" w:rsidR="00000000" w:rsidRDefault="001826C1">
            <w:pPr>
              <w:rPr>
                <w:rFonts w:eastAsia="Times New Roman"/>
                <w:sz w:val="20"/>
                <w:szCs w:val="20"/>
              </w:rPr>
            </w:pPr>
            <w:r>
              <w:rPr>
                <w:rFonts w:eastAsia="Times New Roman"/>
                <w:sz w:val="20"/>
                <w:szCs w:val="20"/>
              </w:rPr>
              <w:t> </w:t>
            </w:r>
          </w:p>
        </w:tc>
      </w:tr>
      <w:tr w:rsidR="00000000" w14:paraId="6756A48A" w14:textId="77777777">
        <w:tc>
          <w:tcPr>
            <w:tcW w:w="2800" w:type="pct"/>
            <w:shd w:val="clear" w:color="auto" w:fill="CCEEFF"/>
            <w:vAlign w:val="bottom"/>
            <w:hideMark/>
          </w:tcPr>
          <w:p w14:paraId="3E16CBCB" w14:textId="77777777" w:rsidR="00000000" w:rsidRDefault="001826C1">
            <w:pPr>
              <w:rPr>
                <w:rFonts w:eastAsia="Times New Roman"/>
                <w:sz w:val="20"/>
                <w:szCs w:val="20"/>
              </w:rPr>
            </w:pPr>
            <w:r>
              <w:rPr>
                <w:rFonts w:eastAsia="Times New Roman"/>
                <w:sz w:val="20"/>
                <w:szCs w:val="20"/>
              </w:rPr>
              <w:t>GAAP net loss</w:t>
            </w:r>
          </w:p>
        </w:tc>
        <w:tc>
          <w:tcPr>
            <w:tcW w:w="100" w:type="pct"/>
            <w:shd w:val="clear" w:color="auto" w:fill="CCEEFF"/>
            <w:vAlign w:val="bottom"/>
            <w:hideMark/>
          </w:tcPr>
          <w:p w14:paraId="0B951273"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F1883C"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7D046A6B" w14:textId="77777777" w:rsidR="00000000" w:rsidRDefault="001826C1">
            <w:pPr>
              <w:jc w:val="right"/>
              <w:rPr>
                <w:rFonts w:eastAsia="Times New Roman"/>
                <w:sz w:val="20"/>
                <w:szCs w:val="20"/>
              </w:rPr>
            </w:pPr>
            <w:r>
              <w:rPr>
                <w:rFonts w:eastAsia="Times New Roman"/>
                <w:sz w:val="20"/>
                <w:szCs w:val="20"/>
              </w:rPr>
              <w:t>(872</w:t>
            </w:r>
          </w:p>
        </w:tc>
        <w:tc>
          <w:tcPr>
            <w:tcW w:w="50" w:type="pct"/>
            <w:shd w:val="clear" w:color="auto" w:fill="CCEEFF"/>
            <w:vAlign w:val="bottom"/>
            <w:hideMark/>
          </w:tcPr>
          <w:p w14:paraId="2D737831"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41D6CA3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196937"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31E641C4" w14:textId="77777777" w:rsidR="00000000" w:rsidRDefault="001826C1">
            <w:pPr>
              <w:jc w:val="right"/>
              <w:rPr>
                <w:rFonts w:eastAsia="Times New Roman"/>
                <w:sz w:val="20"/>
                <w:szCs w:val="20"/>
              </w:rPr>
            </w:pPr>
            <w:r>
              <w:rPr>
                <w:rFonts w:eastAsia="Times New Roman"/>
                <w:sz w:val="20"/>
                <w:szCs w:val="20"/>
              </w:rPr>
              <w:t>(2,138</w:t>
            </w:r>
          </w:p>
        </w:tc>
        <w:tc>
          <w:tcPr>
            <w:tcW w:w="50" w:type="pct"/>
            <w:shd w:val="clear" w:color="auto" w:fill="CCEEFF"/>
            <w:vAlign w:val="bottom"/>
            <w:hideMark/>
          </w:tcPr>
          <w:p w14:paraId="6975CD6C" w14:textId="77777777" w:rsidR="00000000" w:rsidRDefault="001826C1">
            <w:pPr>
              <w:rPr>
                <w:rFonts w:eastAsia="Times New Roman"/>
                <w:sz w:val="20"/>
                <w:szCs w:val="20"/>
              </w:rPr>
            </w:pPr>
            <w:r>
              <w:rPr>
                <w:rFonts w:eastAsia="Times New Roman"/>
                <w:sz w:val="20"/>
                <w:szCs w:val="20"/>
              </w:rPr>
              <w:t>)</w:t>
            </w:r>
          </w:p>
        </w:tc>
      </w:tr>
      <w:tr w:rsidR="00000000" w14:paraId="47D191B0" w14:textId="77777777">
        <w:tc>
          <w:tcPr>
            <w:tcW w:w="0" w:type="auto"/>
            <w:shd w:val="clear" w:color="auto" w:fill="FFFFFF"/>
            <w:vAlign w:val="bottom"/>
            <w:hideMark/>
          </w:tcPr>
          <w:p w14:paraId="01F329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7BFA7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45BB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2D39F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1506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942F5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E870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356C10"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F7F75A9" w14:textId="77777777" w:rsidR="00000000" w:rsidRDefault="001826C1">
            <w:pPr>
              <w:rPr>
                <w:rFonts w:eastAsia="Times New Roman"/>
                <w:sz w:val="20"/>
                <w:szCs w:val="20"/>
              </w:rPr>
            </w:pPr>
            <w:r>
              <w:rPr>
                <w:rFonts w:eastAsia="Times New Roman"/>
                <w:sz w:val="20"/>
                <w:szCs w:val="20"/>
              </w:rPr>
              <w:t> </w:t>
            </w:r>
          </w:p>
        </w:tc>
      </w:tr>
      <w:tr w:rsidR="00000000" w14:paraId="5A40FDD9" w14:textId="77777777">
        <w:tc>
          <w:tcPr>
            <w:tcW w:w="0" w:type="auto"/>
            <w:shd w:val="clear" w:color="auto" w:fill="CCEEFF"/>
            <w:tcMar>
              <w:top w:w="0" w:type="dxa"/>
              <w:left w:w="200" w:type="dxa"/>
              <w:bottom w:w="0" w:type="dxa"/>
              <w:right w:w="0" w:type="dxa"/>
            </w:tcMar>
            <w:vAlign w:val="bottom"/>
            <w:hideMark/>
          </w:tcPr>
          <w:p w14:paraId="4DCED6BE" w14:textId="77777777" w:rsidR="00000000" w:rsidRDefault="001826C1">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13110DA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4525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BD2A18" w14:textId="77777777" w:rsidR="00000000" w:rsidRDefault="001826C1">
            <w:pPr>
              <w:jc w:val="right"/>
              <w:rPr>
                <w:rFonts w:eastAsia="Times New Roman"/>
                <w:sz w:val="20"/>
                <w:szCs w:val="20"/>
              </w:rPr>
            </w:pPr>
            <w:r>
              <w:rPr>
                <w:rFonts w:eastAsia="Times New Roman"/>
                <w:sz w:val="20"/>
                <w:szCs w:val="20"/>
              </w:rPr>
              <w:t>827</w:t>
            </w:r>
          </w:p>
        </w:tc>
        <w:tc>
          <w:tcPr>
            <w:tcW w:w="0" w:type="auto"/>
            <w:shd w:val="clear" w:color="auto" w:fill="CCEEFF"/>
            <w:vAlign w:val="bottom"/>
            <w:hideMark/>
          </w:tcPr>
          <w:p w14:paraId="3F04BF3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27D1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93A0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85F730" w14:textId="77777777" w:rsidR="00000000" w:rsidRDefault="001826C1">
            <w:pPr>
              <w:jc w:val="right"/>
              <w:rPr>
                <w:rFonts w:eastAsia="Times New Roman"/>
                <w:sz w:val="20"/>
                <w:szCs w:val="20"/>
              </w:rPr>
            </w:pPr>
            <w:r>
              <w:rPr>
                <w:rFonts w:eastAsia="Times New Roman"/>
                <w:sz w:val="20"/>
                <w:szCs w:val="20"/>
              </w:rPr>
              <w:t>(435</w:t>
            </w:r>
          </w:p>
        </w:tc>
        <w:tc>
          <w:tcPr>
            <w:tcW w:w="0" w:type="auto"/>
            <w:shd w:val="clear" w:color="auto" w:fill="CCEEFF"/>
            <w:vAlign w:val="bottom"/>
            <w:hideMark/>
          </w:tcPr>
          <w:p w14:paraId="6668B6FD" w14:textId="77777777" w:rsidR="00000000" w:rsidRDefault="001826C1">
            <w:pPr>
              <w:rPr>
                <w:rFonts w:eastAsia="Times New Roman"/>
                <w:sz w:val="20"/>
                <w:szCs w:val="20"/>
              </w:rPr>
            </w:pPr>
            <w:r>
              <w:rPr>
                <w:rFonts w:eastAsia="Times New Roman"/>
                <w:sz w:val="20"/>
                <w:szCs w:val="20"/>
              </w:rPr>
              <w:t>)</w:t>
            </w:r>
          </w:p>
        </w:tc>
      </w:tr>
      <w:tr w:rsidR="00000000" w14:paraId="2DC083E4" w14:textId="77777777">
        <w:tc>
          <w:tcPr>
            <w:tcW w:w="0" w:type="auto"/>
            <w:shd w:val="clear" w:color="auto" w:fill="FFFFFF"/>
            <w:tcMar>
              <w:top w:w="0" w:type="dxa"/>
              <w:left w:w="200" w:type="dxa"/>
              <w:bottom w:w="0" w:type="dxa"/>
              <w:right w:w="0" w:type="dxa"/>
            </w:tcMar>
            <w:vAlign w:val="bottom"/>
            <w:hideMark/>
          </w:tcPr>
          <w:p w14:paraId="0A5743EE" w14:textId="77777777" w:rsidR="00000000" w:rsidRDefault="001826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50D5A9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920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BC57D2" w14:textId="77777777" w:rsidR="00000000" w:rsidRDefault="001826C1">
            <w:pPr>
              <w:jc w:val="right"/>
              <w:rPr>
                <w:rFonts w:eastAsia="Times New Roman"/>
                <w:sz w:val="20"/>
                <w:szCs w:val="20"/>
              </w:rPr>
            </w:pPr>
            <w:r>
              <w:rPr>
                <w:rFonts w:eastAsia="Times New Roman"/>
                <w:sz w:val="20"/>
                <w:szCs w:val="20"/>
              </w:rPr>
              <w:t>3,215</w:t>
            </w:r>
          </w:p>
        </w:tc>
        <w:tc>
          <w:tcPr>
            <w:tcW w:w="0" w:type="auto"/>
            <w:shd w:val="clear" w:color="auto" w:fill="FFFFFF"/>
            <w:vAlign w:val="bottom"/>
            <w:hideMark/>
          </w:tcPr>
          <w:p w14:paraId="4F81F5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BA8D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E3405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275C5C" w14:textId="77777777" w:rsidR="00000000" w:rsidRDefault="001826C1">
            <w:pPr>
              <w:jc w:val="right"/>
              <w:rPr>
                <w:rFonts w:eastAsia="Times New Roman"/>
                <w:sz w:val="20"/>
                <w:szCs w:val="20"/>
              </w:rPr>
            </w:pPr>
            <w:r>
              <w:rPr>
                <w:rFonts w:eastAsia="Times New Roman"/>
                <w:sz w:val="20"/>
                <w:szCs w:val="20"/>
              </w:rPr>
              <w:t>2,464</w:t>
            </w:r>
          </w:p>
        </w:tc>
        <w:tc>
          <w:tcPr>
            <w:tcW w:w="0" w:type="auto"/>
            <w:shd w:val="clear" w:color="auto" w:fill="FFFFFF"/>
            <w:vAlign w:val="bottom"/>
            <w:hideMark/>
          </w:tcPr>
          <w:p w14:paraId="100F15B5" w14:textId="77777777" w:rsidR="00000000" w:rsidRDefault="001826C1">
            <w:pPr>
              <w:rPr>
                <w:rFonts w:eastAsia="Times New Roman"/>
                <w:sz w:val="20"/>
                <w:szCs w:val="20"/>
              </w:rPr>
            </w:pPr>
            <w:r>
              <w:rPr>
                <w:rFonts w:eastAsia="Times New Roman"/>
                <w:sz w:val="20"/>
                <w:szCs w:val="20"/>
              </w:rPr>
              <w:t> </w:t>
            </w:r>
          </w:p>
        </w:tc>
      </w:tr>
      <w:tr w:rsidR="00000000" w14:paraId="067B79B1" w14:textId="77777777">
        <w:tc>
          <w:tcPr>
            <w:tcW w:w="0" w:type="auto"/>
            <w:shd w:val="clear" w:color="auto" w:fill="CCEEFF"/>
            <w:tcMar>
              <w:top w:w="0" w:type="dxa"/>
              <w:left w:w="200" w:type="dxa"/>
              <w:bottom w:w="0" w:type="dxa"/>
              <w:right w:w="0" w:type="dxa"/>
            </w:tcMar>
            <w:vAlign w:val="bottom"/>
            <w:hideMark/>
          </w:tcPr>
          <w:p w14:paraId="4D909213" w14:textId="77777777" w:rsidR="00000000" w:rsidRDefault="001826C1">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3E40D1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AC132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66C3FB" w14:textId="77777777" w:rsidR="00000000" w:rsidRDefault="001826C1">
            <w:pPr>
              <w:jc w:val="right"/>
              <w:rPr>
                <w:rFonts w:eastAsia="Times New Roman"/>
                <w:sz w:val="20"/>
                <w:szCs w:val="20"/>
              </w:rPr>
            </w:pPr>
            <w:r>
              <w:rPr>
                <w:rFonts w:eastAsia="Times New Roman"/>
                <w:sz w:val="20"/>
                <w:szCs w:val="20"/>
              </w:rPr>
              <w:t>1,877</w:t>
            </w:r>
          </w:p>
        </w:tc>
        <w:tc>
          <w:tcPr>
            <w:tcW w:w="0" w:type="auto"/>
            <w:shd w:val="clear" w:color="auto" w:fill="CCEEFF"/>
            <w:vAlign w:val="bottom"/>
            <w:hideMark/>
          </w:tcPr>
          <w:p w14:paraId="2479831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A632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E6F8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C6AB2A" w14:textId="77777777" w:rsidR="00000000" w:rsidRDefault="001826C1">
            <w:pPr>
              <w:jc w:val="right"/>
              <w:rPr>
                <w:rFonts w:eastAsia="Times New Roman"/>
                <w:sz w:val="20"/>
                <w:szCs w:val="20"/>
              </w:rPr>
            </w:pPr>
            <w:r>
              <w:rPr>
                <w:rFonts w:eastAsia="Times New Roman"/>
                <w:sz w:val="20"/>
                <w:szCs w:val="20"/>
              </w:rPr>
              <w:t>1,828</w:t>
            </w:r>
          </w:p>
        </w:tc>
        <w:tc>
          <w:tcPr>
            <w:tcW w:w="0" w:type="auto"/>
            <w:shd w:val="clear" w:color="auto" w:fill="CCEEFF"/>
            <w:vAlign w:val="bottom"/>
            <w:hideMark/>
          </w:tcPr>
          <w:p w14:paraId="61A15D0C" w14:textId="77777777" w:rsidR="00000000" w:rsidRDefault="001826C1">
            <w:pPr>
              <w:rPr>
                <w:rFonts w:eastAsia="Times New Roman"/>
                <w:sz w:val="20"/>
                <w:szCs w:val="20"/>
              </w:rPr>
            </w:pPr>
            <w:r>
              <w:rPr>
                <w:rFonts w:eastAsia="Times New Roman"/>
                <w:sz w:val="20"/>
                <w:szCs w:val="20"/>
              </w:rPr>
              <w:t> </w:t>
            </w:r>
          </w:p>
        </w:tc>
      </w:tr>
      <w:tr w:rsidR="00000000" w14:paraId="286FAB5B" w14:textId="77777777">
        <w:tc>
          <w:tcPr>
            <w:tcW w:w="0" w:type="auto"/>
            <w:shd w:val="clear" w:color="auto" w:fill="FFFFFF"/>
            <w:tcMar>
              <w:top w:w="0" w:type="dxa"/>
              <w:left w:w="200" w:type="dxa"/>
              <w:bottom w:w="0" w:type="dxa"/>
              <w:right w:w="0" w:type="dxa"/>
            </w:tcMar>
            <w:vAlign w:val="bottom"/>
            <w:hideMark/>
          </w:tcPr>
          <w:p w14:paraId="49F83718" w14:textId="77777777" w:rsidR="00000000" w:rsidRDefault="001826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52666B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3B1BF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AD63FE" w14:textId="77777777" w:rsidR="00000000" w:rsidRDefault="001826C1">
            <w:pPr>
              <w:jc w:val="right"/>
              <w:rPr>
                <w:rFonts w:eastAsia="Times New Roman"/>
                <w:sz w:val="20"/>
                <w:szCs w:val="20"/>
              </w:rPr>
            </w:pPr>
            <w:r>
              <w:rPr>
                <w:rFonts w:eastAsia="Times New Roman"/>
                <w:sz w:val="20"/>
                <w:szCs w:val="20"/>
              </w:rPr>
              <w:t>1,736</w:t>
            </w:r>
          </w:p>
        </w:tc>
        <w:tc>
          <w:tcPr>
            <w:tcW w:w="0" w:type="auto"/>
            <w:shd w:val="clear" w:color="auto" w:fill="FFFFFF"/>
            <w:vAlign w:val="bottom"/>
            <w:hideMark/>
          </w:tcPr>
          <w:p w14:paraId="22E1F22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126A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795A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943AFA" w14:textId="77777777" w:rsidR="00000000" w:rsidRDefault="001826C1">
            <w:pPr>
              <w:jc w:val="right"/>
              <w:rPr>
                <w:rFonts w:eastAsia="Times New Roman"/>
                <w:sz w:val="20"/>
                <w:szCs w:val="20"/>
              </w:rPr>
            </w:pPr>
            <w:r>
              <w:rPr>
                <w:rFonts w:eastAsia="Times New Roman"/>
                <w:sz w:val="20"/>
                <w:szCs w:val="20"/>
              </w:rPr>
              <w:t>1,891</w:t>
            </w:r>
          </w:p>
        </w:tc>
        <w:tc>
          <w:tcPr>
            <w:tcW w:w="0" w:type="auto"/>
            <w:shd w:val="clear" w:color="auto" w:fill="FFFFFF"/>
            <w:vAlign w:val="bottom"/>
            <w:hideMark/>
          </w:tcPr>
          <w:p w14:paraId="4DA75B8A" w14:textId="77777777" w:rsidR="00000000" w:rsidRDefault="001826C1">
            <w:pPr>
              <w:rPr>
                <w:rFonts w:eastAsia="Times New Roman"/>
                <w:sz w:val="20"/>
                <w:szCs w:val="20"/>
              </w:rPr>
            </w:pPr>
            <w:r>
              <w:rPr>
                <w:rFonts w:eastAsia="Times New Roman"/>
                <w:sz w:val="20"/>
                <w:szCs w:val="20"/>
              </w:rPr>
              <w:t> </w:t>
            </w:r>
          </w:p>
        </w:tc>
      </w:tr>
      <w:tr w:rsidR="00000000" w14:paraId="54D489F6" w14:textId="77777777">
        <w:tc>
          <w:tcPr>
            <w:tcW w:w="0" w:type="auto"/>
            <w:shd w:val="clear" w:color="auto" w:fill="CCEEFF"/>
            <w:tcMar>
              <w:top w:w="0" w:type="dxa"/>
              <w:left w:w="200" w:type="dxa"/>
              <w:bottom w:w="0" w:type="dxa"/>
              <w:right w:w="0" w:type="dxa"/>
            </w:tcMar>
            <w:vAlign w:val="bottom"/>
            <w:hideMark/>
          </w:tcPr>
          <w:p w14:paraId="5F0D7CF3"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237F6DA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9DED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B1935A" w14:textId="77777777" w:rsidR="00000000" w:rsidRDefault="001826C1">
            <w:pPr>
              <w:jc w:val="right"/>
              <w:rPr>
                <w:rFonts w:eastAsia="Times New Roman"/>
                <w:sz w:val="20"/>
                <w:szCs w:val="20"/>
              </w:rPr>
            </w:pPr>
            <w:r>
              <w:rPr>
                <w:rFonts w:eastAsia="Times New Roman"/>
                <w:sz w:val="20"/>
                <w:szCs w:val="20"/>
              </w:rPr>
              <w:t>219</w:t>
            </w:r>
          </w:p>
        </w:tc>
        <w:tc>
          <w:tcPr>
            <w:tcW w:w="0" w:type="auto"/>
            <w:shd w:val="clear" w:color="auto" w:fill="CCEEFF"/>
            <w:vAlign w:val="bottom"/>
            <w:hideMark/>
          </w:tcPr>
          <w:p w14:paraId="026EAC1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CC409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D621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E00F1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3B07DBC" w14:textId="77777777" w:rsidR="00000000" w:rsidRDefault="001826C1">
            <w:pPr>
              <w:rPr>
                <w:rFonts w:eastAsia="Times New Roman"/>
                <w:sz w:val="20"/>
                <w:szCs w:val="20"/>
              </w:rPr>
            </w:pPr>
            <w:r>
              <w:rPr>
                <w:rFonts w:eastAsia="Times New Roman"/>
                <w:sz w:val="20"/>
                <w:szCs w:val="20"/>
              </w:rPr>
              <w:t> </w:t>
            </w:r>
          </w:p>
        </w:tc>
      </w:tr>
      <w:tr w:rsidR="00000000" w14:paraId="44BB1D9C" w14:textId="77777777">
        <w:tc>
          <w:tcPr>
            <w:tcW w:w="0" w:type="auto"/>
            <w:shd w:val="clear" w:color="auto" w:fill="FFFFFF"/>
            <w:tcMar>
              <w:top w:w="0" w:type="dxa"/>
              <w:left w:w="200" w:type="dxa"/>
              <w:bottom w:w="0" w:type="dxa"/>
              <w:right w:w="0" w:type="dxa"/>
            </w:tcMar>
            <w:vAlign w:val="bottom"/>
            <w:hideMark/>
          </w:tcPr>
          <w:p w14:paraId="78BD7529"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17449B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FE51C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939D93" w14:textId="77777777" w:rsidR="00000000" w:rsidRDefault="001826C1">
            <w:pPr>
              <w:jc w:val="right"/>
              <w:rPr>
                <w:rFonts w:eastAsia="Times New Roman"/>
                <w:sz w:val="20"/>
                <w:szCs w:val="20"/>
              </w:rPr>
            </w:pPr>
            <w:r>
              <w:rPr>
                <w:rFonts w:eastAsia="Times New Roman"/>
                <w:sz w:val="20"/>
                <w:szCs w:val="20"/>
              </w:rPr>
              <w:t>(344</w:t>
            </w:r>
          </w:p>
        </w:tc>
        <w:tc>
          <w:tcPr>
            <w:tcW w:w="0" w:type="auto"/>
            <w:shd w:val="clear" w:color="auto" w:fill="FFFFFF"/>
            <w:vAlign w:val="bottom"/>
            <w:hideMark/>
          </w:tcPr>
          <w:p w14:paraId="1A10F449"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7784CD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29AA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8E39FB" w14:textId="77777777" w:rsidR="00000000" w:rsidRDefault="001826C1">
            <w:pPr>
              <w:jc w:val="right"/>
              <w:rPr>
                <w:rFonts w:eastAsia="Times New Roman"/>
                <w:sz w:val="20"/>
                <w:szCs w:val="20"/>
              </w:rPr>
            </w:pPr>
            <w:r>
              <w:rPr>
                <w:rFonts w:eastAsia="Times New Roman"/>
                <w:sz w:val="20"/>
                <w:szCs w:val="20"/>
              </w:rPr>
              <w:t>73</w:t>
            </w:r>
          </w:p>
        </w:tc>
        <w:tc>
          <w:tcPr>
            <w:tcW w:w="0" w:type="auto"/>
            <w:shd w:val="clear" w:color="auto" w:fill="FFFFFF"/>
            <w:vAlign w:val="bottom"/>
            <w:hideMark/>
          </w:tcPr>
          <w:p w14:paraId="655338E9" w14:textId="77777777" w:rsidR="00000000" w:rsidRDefault="001826C1">
            <w:pPr>
              <w:rPr>
                <w:rFonts w:eastAsia="Times New Roman"/>
                <w:sz w:val="20"/>
                <w:szCs w:val="20"/>
              </w:rPr>
            </w:pPr>
            <w:r>
              <w:rPr>
                <w:rFonts w:eastAsia="Times New Roman"/>
                <w:sz w:val="20"/>
                <w:szCs w:val="20"/>
              </w:rPr>
              <w:t> </w:t>
            </w:r>
          </w:p>
        </w:tc>
      </w:tr>
      <w:tr w:rsidR="00000000" w14:paraId="030DE4CB" w14:textId="77777777">
        <w:tc>
          <w:tcPr>
            <w:tcW w:w="0" w:type="auto"/>
            <w:shd w:val="clear" w:color="auto" w:fill="CCEEFF"/>
            <w:tcMar>
              <w:top w:w="0" w:type="dxa"/>
              <w:left w:w="200" w:type="dxa"/>
              <w:bottom w:w="30" w:type="dxa"/>
              <w:right w:w="0" w:type="dxa"/>
            </w:tcMar>
            <w:vAlign w:val="bottom"/>
            <w:hideMark/>
          </w:tcPr>
          <w:p w14:paraId="596BB0C7" w14:textId="77777777" w:rsidR="00000000" w:rsidRDefault="001826C1">
            <w:pPr>
              <w:rPr>
                <w:rFonts w:eastAsia="Times New Roman"/>
                <w:sz w:val="20"/>
                <w:szCs w:val="20"/>
              </w:rPr>
            </w:pPr>
            <w:r>
              <w:rPr>
                <w:rFonts w:eastAsia="Times New Roman"/>
                <w:sz w:val="20"/>
                <w:szCs w:val="20"/>
              </w:rPr>
              <w:t xml:space="preserve">Income </w:t>
            </w:r>
            <w:r>
              <w:rPr>
                <w:rFonts w:eastAsia="Times New Roman"/>
                <w:sz w:val="20"/>
                <w:szCs w:val="20"/>
              </w:rPr>
              <w:t>tax expense (benefit) related to goodwill</w:t>
            </w:r>
          </w:p>
        </w:tc>
        <w:tc>
          <w:tcPr>
            <w:tcW w:w="0" w:type="auto"/>
            <w:shd w:val="clear" w:color="auto" w:fill="CCEEFF"/>
            <w:tcMar>
              <w:top w:w="0" w:type="dxa"/>
              <w:left w:w="0" w:type="dxa"/>
              <w:bottom w:w="30" w:type="dxa"/>
              <w:right w:w="0" w:type="dxa"/>
            </w:tcMar>
            <w:vAlign w:val="bottom"/>
            <w:hideMark/>
          </w:tcPr>
          <w:p w14:paraId="1369AA9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C25D1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791277" w14:textId="77777777" w:rsidR="00000000" w:rsidRDefault="001826C1">
            <w:pPr>
              <w:jc w:val="right"/>
              <w:rPr>
                <w:rFonts w:eastAsia="Times New Roman"/>
                <w:sz w:val="20"/>
                <w:szCs w:val="20"/>
              </w:rPr>
            </w:pPr>
            <w:r>
              <w:rPr>
                <w:rFonts w:eastAsia="Times New Roman"/>
                <w:sz w:val="20"/>
                <w:szCs w:val="20"/>
              </w:rPr>
              <w:t>80</w:t>
            </w:r>
          </w:p>
        </w:tc>
        <w:tc>
          <w:tcPr>
            <w:tcW w:w="0" w:type="auto"/>
            <w:shd w:val="clear" w:color="auto" w:fill="CCEEFF"/>
            <w:tcMar>
              <w:top w:w="0" w:type="dxa"/>
              <w:left w:w="0" w:type="dxa"/>
              <w:bottom w:w="30" w:type="dxa"/>
              <w:right w:w="0" w:type="dxa"/>
            </w:tcMar>
            <w:vAlign w:val="bottom"/>
            <w:hideMark/>
          </w:tcPr>
          <w:p w14:paraId="7DC64F6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BE0D2A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FEE96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4DC560" w14:textId="77777777" w:rsidR="00000000" w:rsidRDefault="001826C1">
            <w:pPr>
              <w:jc w:val="right"/>
              <w:rPr>
                <w:rFonts w:eastAsia="Times New Roman"/>
                <w:sz w:val="20"/>
                <w:szCs w:val="20"/>
              </w:rPr>
            </w:pPr>
            <w:r>
              <w:rPr>
                <w:rFonts w:eastAsia="Times New Roman"/>
                <w:sz w:val="20"/>
                <w:szCs w:val="20"/>
              </w:rPr>
              <w:t>(208</w:t>
            </w:r>
          </w:p>
        </w:tc>
        <w:tc>
          <w:tcPr>
            <w:tcW w:w="0" w:type="auto"/>
            <w:shd w:val="clear" w:color="auto" w:fill="CCEEFF"/>
            <w:tcMar>
              <w:top w:w="0" w:type="dxa"/>
              <w:left w:w="0" w:type="dxa"/>
              <w:bottom w:w="30" w:type="dxa"/>
              <w:right w:w="0" w:type="dxa"/>
            </w:tcMar>
            <w:vAlign w:val="bottom"/>
            <w:hideMark/>
          </w:tcPr>
          <w:p w14:paraId="2299D85B" w14:textId="77777777" w:rsidR="00000000" w:rsidRDefault="001826C1">
            <w:pPr>
              <w:rPr>
                <w:rFonts w:eastAsia="Times New Roman"/>
                <w:sz w:val="20"/>
                <w:szCs w:val="20"/>
              </w:rPr>
            </w:pPr>
            <w:r>
              <w:rPr>
                <w:rFonts w:eastAsia="Times New Roman"/>
                <w:sz w:val="20"/>
                <w:szCs w:val="20"/>
              </w:rPr>
              <w:t>)</w:t>
            </w:r>
          </w:p>
        </w:tc>
      </w:tr>
      <w:tr w:rsidR="00000000" w14:paraId="470FAE65" w14:textId="77777777">
        <w:tc>
          <w:tcPr>
            <w:tcW w:w="0" w:type="auto"/>
            <w:shd w:val="clear" w:color="auto" w:fill="FFFFFF"/>
            <w:tcMar>
              <w:top w:w="0" w:type="dxa"/>
              <w:left w:w="0" w:type="dxa"/>
              <w:bottom w:w="50" w:type="dxa"/>
              <w:right w:w="0" w:type="dxa"/>
            </w:tcMar>
            <w:vAlign w:val="bottom"/>
            <w:hideMark/>
          </w:tcPr>
          <w:p w14:paraId="470EE908" w14:textId="77777777" w:rsidR="00000000" w:rsidRDefault="001826C1">
            <w:pPr>
              <w:rPr>
                <w:rFonts w:eastAsia="Times New Roman"/>
                <w:sz w:val="20"/>
                <w:szCs w:val="20"/>
              </w:rPr>
            </w:pPr>
            <w:r>
              <w:rPr>
                <w:rFonts w:eastAsia="Times New Roman"/>
                <w:sz w:val="20"/>
                <w:szCs w:val="20"/>
              </w:rPr>
              <w:t>Non-GAAP adjusted net income</w:t>
            </w:r>
          </w:p>
        </w:tc>
        <w:tc>
          <w:tcPr>
            <w:tcW w:w="0" w:type="auto"/>
            <w:shd w:val="clear" w:color="auto" w:fill="FFFFFF"/>
            <w:tcMar>
              <w:top w:w="0" w:type="dxa"/>
              <w:left w:w="0" w:type="dxa"/>
              <w:bottom w:w="50" w:type="dxa"/>
              <w:right w:w="0" w:type="dxa"/>
            </w:tcMar>
            <w:vAlign w:val="bottom"/>
            <w:hideMark/>
          </w:tcPr>
          <w:p w14:paraId="220EB4F9"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29416F81" w14:textId="77777777" w:rsidR="00000000" w:rsidRDefault="001826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4E5F606F" w14:textId="77777777" w:rsidR="00000000" w:rsidRDefault="001826C1">
            <w:pPr>
              <w:jc w:val="right"/>
              <w:rPr>
                <w:rFonts w:eastAsia="Times New Roman"/>
                <w:b/>
                <w:bCs/>
                <w:sz w:val="20"/>
                <w:szCs w:val="20"/>
              </w:rPr>
            </w:pPr>
            <w:r>
              <w:rPr>
                <w:rFonts w:eastAsia="Times New Roman"/>
                <w:b/>
                <w:bCs/>
                <w:sz w:val="20"/>
                <w:szCs w:val="20"/>
              </w:rPr>
              <w:t>6,738</w:t>
            </w:r>
          </w:p>
        </w:tc>
        <w:tc>
          <w:tcPr>
            <w:tcW w:w="0" w:type="auto"/>
            <w:shd w:val="clear" w:color="auto" w:fill="FFFFFF"/>
            <w:tcMar>
              <w:top w:w="0" w:type="dxa"/>
              <w:left w:w="0" w:type="dxa"/>
              <w:bottom w:w="50" w:type="dxa"/>
              <w:right w:w="0" w:type="dxa"/>
            </w:tcMar>
            <w:vAlign w:val="bottom"/>
            <w:hideMark/>
          </w:tcPr>
          <w:p w14:paraId="3C03617C" w14:textId="77777777" w:rsidR="00000000" w:rsidRDefault="001826C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68BF9FBF"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1A604A17" w14:textId="77777777" w:rsidR="00000000" w:rsidRDefault="001826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7B0716D0" w14:textId="77777777" w:rsidR="00000000" w:rsidRDefault="001826C1">
            <w:pPr>
              <w:jc w:val="right"/>
              <w:rPr>
                <w:rFonts w:eastAsia="Times New Roman"/>
                <w:b/>
                <w:bCs/>
                <w:sz w:val="20"/>
                <w:szCs w:val="20"/>
              </w:rPr>
            </w:pPr>
            <w:r>
              <w:rPr>
                <w:rFonts w:eastAsia="Times New Roman"/>
                <w:b/>
                <w:bCs/>
                <w:sz w:val="20"/>
                <w:szCs w:val="20"/>
              </w:rPr>
              <w:t>3,475</w:t>
            </w:r>
          </w:p>
        </w:tc>
        <w:tc>
          <w:tcPr>
            <w:tcW w:w="0" w:type="auto"/>
            <w:shd w:val="clear" w:color="auto" w:fill="FFFFFF"/>
            <w:tcMar>
              <w:top w:w="0" w:type="dxa"/>
              <w:left w:w="0" w:type="dxa"/>
              <w:bottom w:w="50" w:type="dxa"/>
              <w:right w:w="0" w:type="dxa"/>
            </w:tcMar>
            <w:vAlign w:val="bottom"/>
            <w:hideMark/>
          </w:tcPr>
          <w:p w14:paraId="5A032E2F" w14:textId="77777777" w:rsidR="00000000" w:rsidRDefault="001826C1">
            <w:pPr>
              <w:rPr>
                <w:rFonts w:eastAsia="Times New Roman"/>
                <w:b/>
                <w:bCs/>
                <w:sz w:val="20"/>
                <w:szCs w:val="20"/>
              </w:rPr>
            </w:pPr>
            <w:r>
              <w:rPr>
                <w:rFonts w:eastAsia="Times New Roman"/>
                <w:b/>
                <w:bCs/>
                <w:sz w:val="20"/>
                <w:szCs w:val="20"/>
              </w:rPr>
              <w:t> </w:t>
            </w:r>
          </w:p>
        </w:tc>
      </w:tr>
    </w:tbl>
    <w:p w14:paraId="3FA2330E" w14:textId="77777777" w:rsidR="00000000" w:rsidRDefault="001826C1">
      <w:pPr>
        <w:pStyle w:val="a3"/>
        <w:shd w:val="clear" w:color="auto" w:fill="FFFFFF"/>
        <w:spacing w:before="0" w:beforeAutospacing="0" w:after="0" w:afterAutospacing="0"/>
        <w:rPr>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4178"/>
        <w:gridCol w:w="142"/>
        <w:gridCol w:w="100"/>
        <w:gridCol w:w="1338"/>
        <w:gridCol w:w="67"/>
        <w:gridCol w:w="143"/>
        <w:gridCol w:w="100"/>
        <w:gridCol w:w="1339"/>
        <w:gridCol w:w="68"/>
      </w:tblGrid>
      <w:tr w:rsidR="00000000" w14:paraId="3EDF5121" w14:textId="77777777">
        <w:tc>
          <w:tcPr>
            <w:tcW w:w="0" w:type="auto"/>
            <w:vAlign w:val="bottom"/>
            <w:hideMark/>
          </w:tcPr>
          <w:p w14:paraId="4C8D7C2C"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E186E3"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900A9AC"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597A2B63" w14:textId="77777777" w:rsidR="00000000" w:rsidRDefault="001826C1">
            <w:pPr>
              <w:rPr>
                <w:rFonts w:eastAsia="Times New Roman"/>
                <w:b/>
                <w:bCs/>
                <w:sz w:val="20"/>
                <w:szCs w:val="20"/>
              </w:rPr>
            </w:pPr>
            <w:r>
              <w:rPr>
                <w:rFonts w:eastAsia="Times New Roman"/>
                <w:b/>
                <w:bCs/>
                <w:sz w:val="20"/>
                <w:szCs w:val="20"/>
              </w:rPr>
              <w:t> </w:t>
            </w:r>
          </w:p>
        </w:tc>
      </w:tr>
      <w:tr w:rsidR="00000000" w14:paraId="2DD6F7B7" w14:textId="77777777">
        <w:tc>
          <w:tcPr>
            <w:tcW w:w="0" w:type="auto"/>
            <w:vAlign w:val="bottom"/>
            <w:hideMark/>
          </w:tcPr>
          <w:p w14:paraId="1838228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C90553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8226BEA"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B929B51"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5D4BD1"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0325F27"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677926EB" w14:textId="77777777" w:rsidR="00000000" w:rsidRDefault="001826C1">
            <w:pPr>
              <w:rPr>
                <w:rFonts w:eastAsia="Times New Roman"/>
                <w:b/>
                <w:bCs/>
                <w:sz w:val="20"/>
                <w:szCs w:val="20"/>
              </w:rPr>
            </w:pPr>
            <w:r>
              <w:rPr>
                <w:rFonts w:eastAsia="Times New Roman"/>
                <w:b/>
                <w:bCs/>
                <w:sz w:val="20"/>
                <w:szCs w:val="20"/>
              </w:rPr>
              <w:t> </w:t>
            </w:r>
          </w:p>
        </w:tc>
      </w:tr>
      <w:tr w:rsidR="00000000" w14:paraId="18EDE80C" w14:textId="77777777">
        <w:tc>
          <w:tcPr>
            <w:tcW w:w="2800" w:type="pct"/>
            <w:shd w:val="clear" w:color="auto" w:fill="CCEEFF"/>
            <w:vAlign w:val="bottom"/>
            <w:hideMark/>
          </w:tcPr>
          <w:p w14:paraId="2AE9E200" w14:textId="77777777" w:rsidR="00000000" w:rsidRDefault="001826C1">
            <w:pPr>
              <w:rPr>
                <w:rFonts w:eastAsia="Times New Roman"/>
                <w:sz w:val="20"/>
                <w:szCs w:val="20"/>
              </w:rPr>
            </w:pPr>
            <w:r>
              <w:rPr>
                <w:rFonts w:eastAsia="Times New Roman"/>
                <w:sz w:val="20"/>
                <w:szCs w:val="20"/>
              </w:rPr>
              <w:t>GAAP net loss attributable to common shareholders, per share</w:t>
            </w:r>
          </w:p>
        </w:tc>
        <w:tc>
          <w:tcPr>
            <w:tcW w:w="100" w:type="pct"/>
            <w:shd w:val="clear" w:color="auto" w:fill="CCEEFF"/>
            <w:vAlign w:val="bottom"/>
            <w:hideMark/>
          </w:tcPr>
          <w:p w14:paraId="698FEE84"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1BE39F5"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09C25D73" w14:textId="77777777" w:rsidR="00000000" w:rsidRDefault="001826C1">
            <w:pPr>
              <w:jc w:val="right"/>
              <w:rPr>
                <w:rFonts w:eastAsia="Times New Roman"/>
                <w:sz w:val="20"/>
                <w:szCs w:val="20"/>
              </w:rPr>
            </w:pPr>
            <w:r>
              <w:rPr>
                <w:rFonts w:eastAsia="Times New Roman"/>
                <w:sz w:val="20"/>
                <w:szCs w:val="20"/>
              </w:rPr>
              <w:t>(0.60</w:t>
            </w:r>
          </w:p>
        </w:tc>
        <w:tc>
          <w:tcPr>
            <w:tcW w:w="50" w:type="pct"/>
            <w:shd w:val="clear" w:color="auto" w:fill="CCEEFF"/>
            <w:vAlign w:val="bottom"/>
            <w:hideMark/>
          </w:tcPr>
          <w:p w14:paraId="0087B868"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71BA2706"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7808B2"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50F248E3" w14:textId="77777777" w:rsidR="00000000" w:rsidRDefault="001826C1">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14:paraId="79E31D74" w14:textId="77777777" w:rsidR="00000000" w:rsidRDefault="001826C1">
            <w:pPr>
              <w:rPr>
                <w:rFonts w:eastAsia="Times New Roman"/>
                <w:sz w:val="20"/>
                <w:szCs w:val="20"/>
              </w:rPr>
            </w:pPr>
            <w:r>
              <w:rPr>
                <w:rFonts w:eastAsia="Times New Roman"/>
                <w:sz w:val="20"/>
                <w:szCs w:val="20"/>
              </w:rPr>
              <w:t>)</w:t>
            </w:r>
          </w:p>
        </w:tc>
      </w:tr>
      <w:tr w:rsidR="00000000" w14:paraId="14A60B81" w14:textId="77777777">
        <w:tc>
          <w:tcPr>
            <w:tcW w:w="0" w:type="auto"/>
            <w:shd w:val="clear" w:color="auto" w:fill="FFFFFF"/>
            <w:tcMar>
              <w:top w:w="0" w:type="dxa"/>
              <w:left w:w="200" w:type="dxa"/>
              <w:bottom w:w="30" w:type="dxa"/>
              <w:right w:w="0" w:type="dxa"/>
            </w:tcMar>
            <w:vAlign w:val="bottom"/>
            <w:hideMark/>
          </w:tcPr>
          <w:p w14:paraId="79EBE667" w14:textId="77777777" w:rsidR="00000000" w:rsidRDefault="001826C1">
            <w:pPr>
              <w:rPr>
                <w:rFonts w:eastAsia="Times New Roman"/>
                <w:sz w:val="20"/>
                <w:szCs w:val="20"/>
              </w:rPr>
            </w:pPr>
            <w:r>
              <w:rPr>
                <w:rFonts w:eastAsia="Times New Roman"/>
                <w:sz w:val="20"/>
                <w:szCs w:val="20"/>
              </w:rPr>
              <w:t>Impact of preferred stock dividend</w:t>
            </w:r>
          </w:p>
        </w:tc>
        <w:tc>
          <w:tcPr>
            <w:tcW w:w="0" w:type="auto"/>
            <w:shd w:val="clear" w:color="auto" w:fill="FFFFFF"/>
            <w:tcMar>
              <w:top w:w="0" w:type="dxa"/>
              <w:left w:w="0" w:type="dxa"/>
              <w:bottom w:w="30" w:type="dxa"/>
              <w:right w:w="0" w:type="dxa"/>
            </w:tcMar>
            <w:vAlign w:val="bottom"/>
            <w:hideMark/>
          </w:tcPr>
          <w:p w14:paraId="69F2F9A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60357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EEE53F" w14:textId="77777777" w:rsidR="00000000" w:rsidRDefault="001826C1">
            <w:pPr>
              <w:jc w:val="right"/>
              <w:rPr>
                <w:rFonts w:eastAsia="Times New Roman"/>
                <w:sz w:val="20"/>
                <w:szCs w:val="20"/>
              </w:rPr>
            </w:pPr>
            <w:r>
              <w:rPr>
                <w:rFonts w:eastAsia="Times New Roman"/>
                <w:sz w:val="20"/>
                <w:szCs w:val="20"/>
              </w:rPr>
              <w:t>0.53</w:t>
            </w:r>
          </w:p>
        </w:tc>
        <w:tc>
          <w:tcPr>
            <w:tcW w:w="0" w:type="auto"/>
            <w:shd w:val="clear" w:color="auto" w:fill="FFFFFF"/>
            <w:tcMar>
              <w:top w:w="0" w:type="dxa"/>
              <w:left w:w="0" w:type="dxa"/>
              <w:bottom w:w="30" w:type="dxa"/>
              <w:right w:w="0" w:type="dxa"/>
            </w:tcMar>
            <w:vAlign w:val="bottom"/>
            <w:hideMark/>
          </w:tcPr>
          <w:p w14:paraId="69DDA0B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66C606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BC39C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01244A" w14:textId="77777777" w:rsidR="00000000" w:rsidRDefault="001826C1">
            <w:pPr>
              <w:jc w:val="right"/>
              <w:rPr>
                <w:rFonts w:eastAsia="Times New Roman"/>
                <w:sz w:val="20"/>
                <w:szCs w:val="20"/>
              </w:rPr>
            </w:pPr>
            <w:r>
              <w:rPr>
                <w:rFonts w:eastAsia="Times New Roman"/>
                <w:sz w:val="20"/>
                <w:szCs w:val="20"/>
              </w:rPr>
              <w:t>0.41</w:t>
            </w:r>
          </w:p>
        </w:tc>
        <w:tc>
          <w:tcPr>
            <w:tcW w:w="0" w:type="auto"/>
            <w:shd w:val="clear" w:color="auto" w:fill="FFFFFF"/>
            <w:tcMar>
              <w:top w:w="0" w:type="dxa"/>
              <w:left w:w="0" w:type="dxa"/>
              <w:bottom w:w="30" w:type="dxa"/>
              <w:right w:w="0" w:type="dxa"/>
            </w:tcMar>
            <w:vAlign w:val="bottom"/>
            <w:hideMark/>
          </w:tcPr>
          <w:p w14:paraId="3CDA1009" w14:textId="77777777" w:rsidR="00000000" w:rsidRDefault="001826C1">
            <w:pPr>
              <w:rPr>
                <w:rFonts w:eastAsia="Times New Roman"/>
                <w:sz w:val="20"/>
                <w:szCs w:val="20"/>
              </w:rPr>
            </w:pPr>
            <w:r>
              <w:rPr>
                <w:rFonts w:eastAsia="Times New Roman"/>
                <w:sz w:val="20"/>
                <w:szCs w:val="20"/>
              </w:rPr>
              <w:t> </w:t>
            </w:r>
          </w:p>
        </w:tc>
      </w:tr>
      <w:tr w:rsidR="00000000" w14:paraId="6CC51602" w14:textId="77777777">
        <w:tc>
          <w:tcPr>
            <w:tcW w:w="0" w:type="auto"/>
            <w:shd w:val="clear" w:color="auto" w:fill="CCEEFF"/>
            <w:vAlign w:val="bottom"/>
            <w:hideMark/>
          </w:tcPr>
          <w:p w14:paraId="41140C5C" w14:textId="77777777" w:rsidR="00000000" w:rsidRDefault="001826C1">
            <w:pPr>
              <w:rPr>
                <w:rFonts w:eastAsia="Times New Roman"/>
                <w:sz w:val="20"/>
                <w:szCs w:val="20"/>
              </w:rPr>
            </w:pPr>
            <w:r>
              <w:rPr>
                <w:rFonts w:eastAsia="Times New Roman"/>
                <w:sz w:val="20"/>
                <w:szCs w:val="20"/>
              </w:rPr>
              <w:t>Net loss per end-of-period share</w:t>
            </w:r>
          </w:p>
        </w:tc>
        <w:tc>
          <w:tcPr>
            <w:tcW w:w="0" w:type="auto"/>
            <w:shd w:val="clear" w:color="auto" w:fill="CCEEFF"/>
            <w:vAlign w:val="bottom"/>
            <w:hideMark/>
          </w:tcPr>
          <w:p w14:paraId="392AFD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041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FB55E3" w14:textId="77777777" w:rsidR="00000000" w:rsidRDefault="001826C1">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4B1AAB73"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93027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5FBA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2E265" w14:textId="77777777" w:rsidR="00000000" w:rsidRDefault="001826C1">
            <w:pPr>
              <w:jc w:val="right"/>
              <w:rPr>
                <w:rFonts w:eastAsia="Times New Roman"/>
                <w:sz w:val="20"/>
                <w:szCs w:val="20"/>
              </w:rPr>
            </w:pPr>
            <w:r>
              <w:rPr>
                <w:rFonts w:eastAsia="Times New Roman"/>
                <w:sz w:val="20"/>
                <w:szCs w:val="20"/>
              </w:rPr>
              <w:t>(0.18</w:t>
            </w:r>
          </w:p>
        </w:tc>
        <w:tc>
          <w:tcPr>
            <w:tcW w:w="0" w:type="auto"/>
            <w:shd w:val="clear" w:color="auto" w:fill="CCEEFF"/>
            <w:vAlign w:val="bottom"/>
            <w:hideMark/>
          </w:tcPr>
          <w:p w14:paraId="3863EE98" w14:textId="77777777" w:rsidR="00000000" w:rsidRDefault="001826C1">
            <w:pPr>
              <w:rPr>
                <w:rFonts w:eastAsia="Times New Roman"/>
                <w:sz w:val="20"/>
                <w:szCs w:val="20"/>
              </w:rPr>
            </w:pPr>
            <w:r>
              <w:rPr>
                <w:rFonts w:eastAsia="Times New Roman"/>
                <w:sz w:val="20"/>
                <w:szCs w:val="20"/>
              </w:rPr>
              <w:t>)</w:t>
            </w:r>
          </w:p>
        </w:tc>
      </w:tr>
      <w:tr w:rsidR="00000000" w14:paraId="1BDC61D0" w14:textId="77777777">
        <w:tc>
          <w:tcPr>
            <w:tcW w:w="0" w:type="auto"/>
            <w:shd w:val="clear" w:color="auto" w:fill="FFFFFF"/>
            <w:vAlign w:val="bottom"/>
            <w:hideMark/>
          </w:tcPr>
          <w:p w14:paraId="5FEA2DE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F0F02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3B04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1763C8"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25BA94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79D66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23A7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E1ABE5"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08C27B8" w14:textId="77777777" w:rsidR="00000000" w:rsidRDefault="001826C1">
            <w:pPr>
              <w:rPr>
                <w:rFonts w:eastAsia="Times New Roman"/>
                <w:sz w:val="20"/>
                <w:szCs w:val="20"/>
              </w:rPr>
            </w:pPr>
            <w:r>
              <w:rPr>
                <w:rFonts w:eastAsia="Times New Roman"/>
                <w:sz w:val="20"/>
                <w:szCs w:val="20"/>
              </w:rPr>
              <w:t> </w:t>
            </w:r>
          </w:p>
        </w:tc>
      </w:tr>
      <w:tr w:rsidR="00000000" w14:paraId="3A1A03C8" w14:textId="77777777">
        <w:tc>
          <w:tcPr>
            <w:tcW w:w="0" w:type="auto"/>
            <w:shd w:val="clear" w:color="auto" w:fill="CCEEFF"/>
            <w:tcMar>
              <w:top w:w="0" w:type="dxa"/>
              <w:left w:w="200" w:type="dxa"/>
              <w:bottom w:w="0" w:type="dxa"/>
              <w:right w:w="0" w:type="dxa"/>
            </w:tcMar>
            <w:vAlign w:val="bottom"/>
            <w:hideMark/>
          </w:tcPr>
          <w:p w14:paraId="70A1233B" w14:textId="77777777" w:rsidR="00000000" w:rsidRDefault="001826C1">
            <w:pPr>
              <w:rPr>
                <w:rFonts w:eastAsia="Times New Roman"/>
                <w:sz w:val="20"/>
                <w:szCs w:val="20"/>
              </w:rPr>
            </w:pPr>
            <w:r>
              <w:rPr>
                <w:rFonts w:eastAsia="Times New Roman"/>
                <w:sz w:val="20"/>
                <w:szCs w:val="20"/>
              </w:rPr>
              <w:t>Foreign exchange loss (gain) / other expense</w:t>
            </w:r>
          </w:p>
        </w:tc>
        <w:tc>
          <w:tcPr>
            <w:tcW w:w="0" w:type="auto"/>
            <w:shd w:val="clear" w:color="auto" w:fill="CCEEFF"/>
            <w:vAlign w:val="bottom"/>
            <w:hideMark/>
          </w:tcPr>
          <w:p w14:paraId="70D17C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9DE4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0997D" w14:textId="77777777" w:rsidR="00000000" w:rsidRDefault="001826C1">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14:paraId="4A1D283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9D0E6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3ECE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749961" w14:textId="77777777" w:rsidR="00000000" w:rsidRDefault="001826C1">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14:paraId="132CD5FD" w14:textId="77777777" w:rsidR="00000000" w:rsidRDefault="001826C1">
            <w:pPr>
              <w:rPr>
                <w:rFonts w:eastAsia="Times New Roman"/>
                <w:sz w:val="20"/>
                <w:szCs w:val="20"/>
              </w:rPr>
            </w:pPr>
            <w:r>
              <w:rPr>
                <w:rFonts w:eastAsia="Times New Roman"/>
                <w:sz w:val="20"/>
                <w:szCs w:val="20"/>
              </w:rPr>
              <w:t>)</w:t>
            </w:r>
          </w:p>
        </w:tc>
      </w:tr>
      <w:tr w:rsidR="00000000" w14:paraId="33FDA2E3" w14:textId="77777777">
        <w:tc>
          <w:tcPr>
            <w:tcW w:w="0" w:type="auto"/>
            <w:shd w:val="clear" w:color="auto" w:fill="FFFFFF"/>
            <w:tcMar>
              <w:top w:w="0" w:type="dxa"/>
              <w:left w:w="200" w:type="dxa"/>
              <w:bottom w:w="0" w:type="dxa"/>
              <w:right w:w="0" w:type="dxa"/>
            </w:tcMar>
            <w:vAlign w:val="bottom"/>
            <w:hideMark/>
          </w:tcPr>
          <w:p w14:paraId="130FE454" w14:textId="77777777" w:rsidR="00000000" w:rsidRDefault="001826C1">
            <w:pPr>
              <w:rPr>
                <w:rFonts w:eastAsia="Times New Roman"/>
                <w:sz w:val="20"/>
                <w:szCs w:val="20"/>
              </w:rPr>
            </w:pPr>
            <w:r>
              <w:rPr>
                <w:rFonts w:eastAsia="Times New Roman"/>
                <w:sz w:val="20"/>
                <w:szCs w:val="20"/>
              </w:rPr>
              <w:t>Stock-based compensation expense</w:t>
            </w:r>
          </w:p>
        </w:tc>
        <w:tc>
          <w:tcPr>
            <w:tcW w:w="0" w:type="auto"/>
            <w:shd w:val="clear" w:color="auto" w:fill="FFFFFF"/>
            <w:vAlign w:val="bottom"/>
            <w:hideMark/>
          </w:tcPr>
          <w:p w14:paraId="63B727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C1A2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036517" w14:textId="77777777" w:rsidR="00000000" w:rsidRDefault="001826C1">
            <w:pPr>
              <w:jc w:val="right"/>
              <w:rPr>
                <w:rFonts w:eastAsia="Times New Roman"/>
                <w:sz w:val="20"/>
                <w:szCs w:val="20"/>
              </w:rPr>
            </w:pPr>
            <w:r>
              <w:rPr>
                <w:rFonts w:eastAsia="Times New Roman"/>
                <w:sz w:val="20"/>
                <w:szCs w:val="20"/>
              </w:rPr>
              <w:t>0.26</w:t>
            </w:r>
          </w:p>
        </w:tc>
        <w:tc>
          <w:tcPr>
            <w:tcW w:w="0" w:type="auto"/>
            <w:shd w:val="clear" w:color="auto" w:fill="FFFFFF"/>
            <w:vAlign w:val="bottom"/>
            <w:hideMark/>
          </w:tcPr>
          <w:p w14:paraId="2549FBE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525B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7B3AF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92EA22" w14:textId="77777777" w:rsidR="00000000" w:rsidRDefault="001826C1">
            <w:pPr>
              <w:jc w:val="right"/>
              <w:rPr>
                <w:rFonts w:eastAsia="Times New Roman"/>
                <w:sz w:val="20"/>
                <w:szCs w:val="20"/>
              </w:rPr>
            </w:pPr>
            <w:r>
              <w:rPr>
                <w:rFonts w:eastAsia="Times New Roman"/>
                <w:sz w:val="20"/>
                <w:szCs w:val="20"/>
              </w:rPr>
              <w:t>0.21</w:t>
            </w:r>
          </w:p>
        </w:tc>
        <w:tc>
          <w:tcPr>
            <w:tcW w:w="0" w:type="auto"/>
            <w:shd w:val="clear" w:color="auto" w:fill="FFFFFF"/>
            <w:vAlign w:val="bottom"/>
            <w:hideMark/>
          </w:tcPr>
          <w:p w14:paraId="552CD53F" w14:textId="77777777" w:rsidR="00000000" w:rsidRDefault="001826C1">
            <w:pPr>
              <w:rPr>
                <w:rFonts w:eastAsia="Times New Roman"/>
                <w:sz w:val="20"/>
                <w:szCs w:val="20"/>
              </w:rPr>
            </w:pPr>
            <w:r>
              <w:rPr>
                <w:rFonts w:eastAsia="Times New Roman"/>
                <w:sz w:val="20"/>
                <w:szCs w:val="20"/>
              </w:rPr>
              <w:t> </w:t>
            </w:r>
          </w:p>
        </w:tc>
      </w:tr>
      <w:tr w:rsidR="00000000" w14:paraId="54782145" w14:textId="77777777">
        <w:tc>
          <w:tcPr>
            <w:tcW w:w="0" w:type="auto"/>
            <w:shd w:val="clear" w:color="auto" w:fill="CCEEFF"/>
            <w:tcMar>
              <w:top w:w="0" w:type="dxa"/>
              <w:left w:w="200" w:type="dxa"/>
              <w:bottom w:w="0" w:type="dxa"/>
              <w:right w:w="0" w:type="dxa"/>
            </w:tcMar>
            <w:vAlign w:val="bottom"/>
            <w:hideMark/>
          </w:tcPr>
          <w:p w14:paraId="245E9F81" w14:textId="77777777" w:rsidR="00000000" w:rsidRDefault="001826C1">
            <w:pPr>
              <w:rPr>
                <w:rFonts w:eastAsia="Times New Roman"/>
                <w:sz w:val="20"/>
                <w:szCs w:val="20"/>
              </w:rPr>
            </w:pPr>
            <w:r>
              <w:rPr>
                <w:rFonts w:eastAsia="Times New Roman"/>
                <w:sz w:val="20"/>
                <w:szCs w:val="20"/>
              </w:rPr>
              <w:t>Amortization of purchased intangible assets</w:t>
            </w:r>
          </w:p>
        </w:tc>
        <w:tc>
          <w:tcPr>
            <w:tcW w:w="0" w:type="auto"/>
            <w:shd w:val="clear" w:color="auto" w:fill="CCEEFF"/>
            <w:vAlign w:val="bottom"/>
            <w:hideMark/>
          </w:tcPr>
          <w:p w14:paraId="5D19E4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BEE4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21202" w14:textId="77777777" w:rsidR="00000000" w:rsidRDefault="001826C1">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14:paraId="5C99B13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315B3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83F4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50C842" w14:textId="77777777" w:rsidR="00000000" w:rsidRDefault="001826C1">
            <w:pPr>
              <w:jc w:val="right"/>
              <w:rPr>
                <w:rFonts w:eastAsia="Times New Roman"/>
                <w:sz w:val="20"/>
                <w:szCs w:val="20"/>
              </w:rPr>
            </w:pPr>
            <w:r>
              <w:rPr>
                <w:rFonts w:eastAsia="Times New Roman"/>
                <w:sz w:val="20"/>
                <w:szCs w:val="20"/>
              </w:rPr>
              <w:t>0.15</w:t>
            </w:r>
          </w:p>
        </w:tc>
        <w:tc>
          <w:tcPr>
            <w:tcW w:w="0" w:type="auto"/>
            <w:shd w:val="clear" w:color="auto" w:fill="CCEEFF"/>
            <w:vAlign w:val="bottom"/>
            <w:hideMark/>
          </w:tcPr>
          <w:p w14:paraId="3E1F5E79" w14:textId="77777777" w:rsidR="00000000" w:rsidRDefault="001826C1">
            <w:pPr>
              <w:rPr>
                <w:rFonts w:eastAsia="Times New Roman"/>
                <w:sz w:val="20"/>
                <w:szCs w:val="20"/>
              </w:rPr>
            </w:pPr>
            <w:r>
              <w:rPr>
                <w:rFonts w:eastAsia="Times New Roman"/>
                <w:sz w:val="20"/>
                <w:szCs w:val="20"/>
              </w:rPr>
              <w:t> </w:t>
            </w:r>
          </w:p>
        </w:tc>
      </w:tr>
      <w:tr w:rsidR="00000000" w14:paraId="635733D5" w14:textId="77777777">
        <w:tc>
          <w:tcPr>
            <w:tcW w:w="0" w:type="auto"/>
            <w:shd w:val="clear" w:color="auto" w:fill="FFFFFF"/>
            <w:tcMar>
              <w:top w:w="0" w:type="dxa"/>
              <w:left w:w="200" w:type="dxa"/>
              <w:bottom w:w="0" w:type="dxa"/>
              <w:right w:w="0" w:type="dxa"/>
            </w:tcMar>
            <w:vAlign w:val="bottom"/>
            <w:hideMark/>
          </w:tcPr>
          <w:p w14:paraId="1FA141B0" w14:textId="77777777" w:rsidR="00000000" w:rsidRDefault="001826C1">
            <w:pPr>
              <w:rPr>
                <w:rFonts w:eastAsia="Times New Roman"/>
                <w:sz w:val="20"/>
                <w:szCs w:val="20"/>
              </w:rPr>
            </w:pPr>
            <w:r>
              <w:rPr>
                <w:rFonts w:eastAsia="Times New Roman"/>
                <w:sz w:val="20"/>
                <w:szCs w:val="20"/>
              </w:rPr>
              <w:t>Transaction and integration costs</w:t>
            </w:r>
          </w:p>
        </w:tc>
        <w:tc>
          <w:tcPr>
            <w:tcW w:w="0" w:type="auto"/>
            <w:shd w:val="clear" w:color="auto" w:fill="FFFFFF"/>
            <w:vAlign w:val="bottom"/>
            <w:hideMark/>
          </w:tcPr>
          <w:p w14:paraId="0861CC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FB13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1B16A9" w14:textId="77777777" w:rsidR="00000000" w:rsidRDefault="001826C1">
            <w:pPr>
              <w:jc w:val="right"/>
              <w:rPr>
                <w:rFonts w:eastAsia="Times New Roman"/>
                <w:sz w:val="20"/>
                <w:szCs w:val="20"/>
              </w:rPr>
            </w:pPr>
            <w:r>
              <w:rPr>
                <w:rFonts w:eastAsia="Times New Roman"/>
                <w:sz w:val="20"/>
                <w:szCs w:val="20"/>
              </w:rPr>
              <w:t>0.14</w:t>
            </w:r>
          </w:p>
        </w:tc>
        <w:tc>
          <w:tcPr>
            <w:tcW w:w="0" w:type="auto"/>
            <w:shd w:val="clear" w:color="auto" w:fill="FFFFFF"/>
            <w:vAlign w:val="bottom"/>
            <w:hideMark/>
          </w:tcPr>
          <w:p w14:paraId="13413A8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6ED42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CE0C8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C44707" w14:textId="77777777" w:rsidR="00000000" w:rsidRDefault="001826C1">
            <w:pPr>
              <w:jc w:val="right"/>
              <w:rPr>
                <w:rFonts w:eastAsia="Times New Roman"/>
                <w:sz w:val="20"/>
                <w:szCs w:val="20"/>
              </w:rPr>
            </w:pPr>
            <w:r>
              <w:rPr>
                <w:rFonts w:eastAsia="Times New Roman"/>
                <w:sz w:val="20"/>
                <w:szCs w:val="20"/>
              </w:rPr>
              <w:t>0.16</w:t>
            </w:r>
          </w:p>
        </w:tc>
        <w:tc>
          <w:tcPr>
            <w:tcW w:w="0" w:type="auto"/>
            <w:shd w:val="clear" w:color="auto" w:fill="FFFFFF"/>
            <w:vAlign w:val="bottom"/>
            <w:hideMark/>
          </w:tcPr>
          <w:p w14:paraId="01E5AE2A" w14:textId="77777777" w:rsidR="00000000" w:rsidRDefault="001826C1">
            <w:pPr>
              <w:rPr>
                <w:rFonts w:eastAsia="Times New Roman"/>
                <w:sz w:val="20"/>
                <w:szCs w:val="20"/>
              </w:rPr>
            </w:pPr>
            <w:r>
              <w:rPr>
                <w:rFonts w:eastAsia="Times New Roman"/>
                <w:sz w:val="20"/>
                <w:szCs w:val="20"/>
              </w:rPr>
              <w:t> </w:t>
            </w:r>
          </w:p>
        </w:tc>
      </w:tr>
      <w:tr w:rsidR="00000000" w14:paraId="3586C43D" w14:textId="77777777">
        <w:tc>
          <w:tcPr>
            <w:tcW w:w="0" w:type="auto"/>
            <w:shd w:val="clear" w:color="auto" w:fill="CCEEFF"/>
            <w:tcMar>
              <w:top w:w="0" w:type="dxa"/>
              <w:left w:w="200" w:type="dxa"/>
              <w:bottom w:w="0" w:type="dxa"/>
              <w:right w:w="0" w:type="dxa"/>
            </w:tcMar>
            <w:vAlign w:val="bottom"/>
            <w:hideMark/>
          </w:tcPr>
          <w:p w14:paraId="236C6386"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1032E0C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E6D9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4E430" w14:textId="77777777" w:rsidR="00000000" w:rsidRDefault="001826C1">
            <w:pPr>
              <w:jc w:val="right"/>
              <w:rPr>
                <w:rFonts w:eastAsia="Times New Roman"/>
                <w:sz w:val="20"/>
                <w:szCs w:val="20"/>
              </w:rPr>
            </w:pPr>
            <w:r>
              <w:rPr>
                <w:rFonts w:eastAsia="Times New Roman"/>
                <w:sz w:val="20"/>
                <w:szCs w:val="20"/>
              </w:rPr>
              <w:t>0.02</w:t>
            </w:r>
          </w:p>
        </w:tc>
        <w:tc>
          <w:tcPr>
            <w:tcW w:w="0" w:type="auto"/>
            <w:shd w:val="clear" w:color="auto" w:fill="CCEEFF"/>
            <w:vAlign w:val="bottom"/>
            <w:hideMark/>
          </w:tcPr>
          <w:p w14:paraId="0352E26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C533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43A6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454F8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D07F674" w14:textId="77777777" w:rsidR="00000000" w:rsidRDefault="001826C1">
            <w:pPr>
              <w:rPr>
                <w:rFonts w:eastAsia="Times New Roman"/>
                <w:sz w:val="20"/>
                <w:szCs w:val="20"/>
              </w:rPr>
            </w:pPr>
            <w:r>
              <w:rPr>
                <w:rFonts w:eastAsia="Times New Roman"/>
                <w:sz w:val="20"/>
                <w:szCs w:val="20"/>
              </w:rPr>
              <w:t> </w:t>
            </w:r>
          </w:p>
        </w:tc>
      </w:tr>
      <w:tr w:rsidR="00000000" w14:paraId="6B1A57E1" w14:textId="77777777">
        <w:tc>
          <w:tcPr>
            <w:tcW w:w="0" w:type="auto"/>
            <w:shd w:val="clear" w:color="auto" w:fill="FFFFFF"/>
            <w:tcMar>
              <w:top w:w="0" w:type="dxa"/>
              <w:left w:w="200" w:type="dxa"/>
              <w:bottom w:w="0" w:type="dxa"/>
              <w:right w:w="0" w:type="dxa"/>
            </w:tcMar>
            <w:vAlign w:val="bottom"/>
            <w:hideMark/>
          </w:tcPr>
          <w:p w14:paraId="0E233AFE"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FFFFFF"/>
            <w:vAlign w:val="bottom"/>
            <w:hideMark/>
          </w:tcPr>
          <w:p w14:paraId="789AEC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6271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B2CE01" w14:textId="77777777" w:rsidR="00000000" w:rsidRDefault="001826C1">
            <w:pPr>
              <w:jc w:val="right"/>
              <w:rPr>
                <w:rFonts w:eastAsia="Times New Roman"/>
                <w:sz w:val="20"/>
                <w:szCs w:val="20"/>
              </w:rPr>
            </w:pPr>
            <w:r>
              <w:rPr>
                <w:rFonts w:eastAsia="Times New Roman"/>
                <w:sz w:val="20"/>
                <w:szCs w:val="20"/>
              </w:rPr>
              <w:t>(0.03</w:t>
            </w:r>
          </w:p>
        </w:tc>
        <w:tc>
          <w:tcPr>
            <w:tcW w:w="0" w:type="auto"/>
            <w:shd w:val="clear" w:color="auto" w:fill="FFFFFF"/>
            <w:vAlign w:val="bottom"/>
            <w:hideMark/>
          </w:tcPr>
          <w:p w14:paraId="2F95F4D9"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6DF05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E94C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B2D8D" w14:textId="77777777" w:rsidR="00000000" w:rsidRDefault="001826C1">
            <w:pPr>
              <w:jc w:val="right"/>
              <w:rPr>
                <w:rFonts w:eastAsia="Times New Roman"/>
                <w:sz w:val="20"/>
                <w:szCs w:val="20"/>
              </w:rPr>
            </w:pPr>
            <w:r>
              <w:rPr>
                <w:rFonts w:eastAsia="Times New Roman"/>
                <w:sz w:val="20"/>
                <w:szCs w:val="20"/>
              </w:rPr>
              <w:t>0.01</w:t>
            </w:r>
          </w:p>
        </w:tc>
        <w:tc>
          <w:tcPr>
            <w:tcW w:w="0" w:type="auto"/>
            <w:shd w:val="clear" w:color="auto" w:fill="FFFFFF"/>
            <w:vAlign w:val="bottom"/>
            <w:hideMark/>
          </w:tcPr>
          <w:p w14:paraId="1A4F3113" w14:textId="77777777" w:rsidR="00000000" w:rsidRDefault="001826C1">
            <w:pPr>
              <w:rPr>
                <w:rFonts w:eastAsia="Times New Roman"/>
                <w:sz w:val="20"/>
                <w:szCs w:val="20"/>
              </w:rPr>
            </w:pPr>
            <w:r>
              <w:rPr>
                <w:rFonts w:eastAsia="Times New Roman"/>
                <w:sz w:val="20"/>
                <w:szCs w:val="20"/>
              </w:rPr>
              <w:t> </w:t>
            </w:r>
          </w:p>
        </w:tc>
      </w:tr>
      <w:tr w:rsidR="00000000" w14:paraId="3914E833" w14:textId="77777777">
        <w:tc>
          <w:tcPr>
            <w:tcW w:w="0" w:type="auto"/>
            <w:shd w:val="clear" w:color="auto" w:fill="CCEEFF"/>
            <w:tcMar>
              <w:top w:w="0" w:type="dxa"/>
              <w:left w:w="200" w:type="dxa"/>
              <w:bottom w:w="30" w:type="dxa"/>
              <w:right w:w="0" w:type="dxa"/>
            </w:tcMar>
            <w:vAlign w:val="bottom"/>
            <w:hideMark/>
          </w:tcPr>
          <w:p w14:paraId="6CAA327F" w14:textId="77777777" w:rsidR="00000000" w:rsidRDefault="001826C1">
            <w:pPr>
              <w:rPr>
                <w:rFonts w:eastAsia="Times New Roman"/>
                <w:sz w:val="20"/>
                <w:szCs w:val="20"/>
              </w:rPr>
            </w:pPr>
            <w:r>
              <w:rPr>
                <w:rFonts w:eastAsia="Times New Roman"/>
                <w:sz w:val="20"/>
                <w:szCs w:val="20"/>
              </w:rPr>
              <w:t>Income tax expense (benefit) related to goodwill</w:t>
            </w:r>
          </w:p>
        </w:tc>
        <w:tc>
          <w:tcPr>
            <w:tcW w:w="0" w:type="auto"/>
            <w:shd w:val="clear" w:color="auto" w:fill="CCEEFF"/>
            <w:tcMar>
              <w:top w:w="0" w:type="dxa"/>
              <w:left w:w="0" w:type="dxa"/>
              <w:bottom w:w="30" w:type="dxa"/>
              <w:right w:w="0" w:type="dxa"/>
            </w:tcMar>
            <w:vAlign w:val="bottom"/>
            <w:hideMark/>
          </w:tcPr>
          <w:p w14:paraId="5860115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873E4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6C2E29" w14:textId="77777777" w:rsidR="00000000" w:rsidRDefault="001826C1">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30" w:type="dxa"/>
              <w:right w:w="0" w:type="dxa"/>
            </w:tcMar>
            <w:vAlign w:val="bottom"/>
            <w:hideMark/>
          </w:tcPr>
          <w:p w14:paraId="0C33C02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85E4E6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F1FFB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ECABFC" w14:textId="77777777" w:rsidR="00000000" w:rsidRDefault="001826C1">
            <w:pPr>
              <w:jc w:val="right"/>
              <w:rPr>
                <w:rFonts w:eastAsia="Times New Roman"/>
                <w:sz w:val="20"/>
                <w:szCs w:val="20"/>
              </w:rPr>
            </w:pPr>
            <w:r>
              <w:rPr>
                <w:rFonts w:eastAsia="Times New Roman"/>
                <w:sz w:val="20"/>
                <w:szCs w:val="20"/>
              </w:rPr>
              <w:t>(0.02</w:t>
            </w:r>
          </w:p>
        </w:tc>
        <w:tc>
          <w:tcPr>
            <w:tcW w:w="0" w:type="auto"/>
            <w:shd w:val="clear" w:color="auto" w:fill="CCEEFF"/>
            <w:tcMar>
              <w:top w:w="0" w:type="dxa"/>
              <w:left w:w="0" w:type="dxa"/>
              <w:bottom w:w="30" w:type="dxa"/>
              <w:right w:w="0" w:type="dxa"/>
            </w:tcMar>
            <w:vAlign w:val="bottom"/>
            <w:hideMark/>
          </w:tcPr>
          <w:p w14:paraId="6C8EB078" w14:textId="77777777" w:rsidR="00000000" w:rsidRDefault="001826C1">
            <w:pPr>
              <w:rPr>
                <w:rFonts w:eastAsia="Times New Roman"/>
                <w:sz w:val="20"/>
                <w:szCs w:val="20"/>
              </w:rPr>
            </w:pPr>
            <w:r>
              <w:rPr>
                <w:rFonts w:eastAsia="Times New Roman"/>
                <w:sz w:val="20"/>
                <w:szCs w:val="20"/>
              </w:rPr>
              <w:t>)</w:t>
            </w:r>
          </w:p>
        </w:tc>
      </w:tr>
      <w:tr w:rsidR="00000000" w14:paraId="57851B9C" w14:textId="77777777">
        <w:tc>
          <w:tcPr>
            <w:tcW w:w="0" w:type="auto"/>
            <w:shd w:val="clear" w:color="auto" w:fill="FFFFFF"/>
            <w:tcMar>
              <w:top w:w="0" w:type="dxa"/>
              <w:left w:w="0" w:type="dxa"/>
              <w:bottom w:w="50" w:type="dxa"/>
              <w:right w:w="0" w:type="dxa"/>
            </w:tcMar>
            <w:vAlign w:val="bottom"/>
            <w:hideMark/>
          </w:tcPr>
          <w:p w14:paraId="721CC910" w14:textId="77777777" w:rsidR="00000000" w:rsidRDefault="001826C1">
            <w:pPr>
              <w:rPr>
                <w:rFonts w:eastAsia="Times New Roman"/>
                <w:sz w:val="20"/>
                <w:szCs w:val="20"/>
              </w:rPr>
            </w:pPr>
            <w:r>
              <w:rPr>
                <w:rFonts w:eastAsia="Times New Roman"/>
                <w:sz w:val="20"/>
                <w:szCs w:val="20"/>
              </w:rPr>
              <w:t>Non-GAAP adjusted net income per share</w:t>
            </w:r>
          </w:p>
        </w:tc>
        <w:tc>
          <w:tcPr>
            <w:tcW w:w="0" w:type="auto"/>
            <w:shd w:val="clear" w:color="auto" w:fill="FFFFFF"/>
            <w:tcMar>
              <w:top w:w="0" w:type="dxa"/>
              <w:left w:w="0" w:type="dxa"/>
              <w:bottom w:w="50" w:type="dxa"/>
              <w:right w:w="0" w:type="dxa"/>
            </w:tcMar>
            <w:vAlign w:val="bottom"/>
            <w:hideMark/>
          </w:tcPr>
          <w:p w14:paraId="555A512A"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4E896E5" w14:textId="77777777" w:rsidR="00000000" w:rsidRDefault="001826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69F1927A" w14:textId="77777777" w:rsidR="00000000" w:rsidRDefault="001826C1">
            <w:pPr>
              <w:jc w:val="right"/>
              <w:rPr>
                <w:rFonts w:eastAsia="Times New Roman"/>
                <w:b/>
                <w:bCs/>
                <w:sz w:val="20"/>
                <w:szCs w:val="20"/>
              </w:rPr>
            </w:pPr>
            <w:r>
              <w:rPr>
                <w:rFonts w:eastAsia="Times New Roman"/>
                <w:b/>
                <w:bCs/>
                <w:sz w:val="20"/>
                <w:szCs w:val="20"/>
              </w:rPr>
              <w:t>0.55</w:t>
            </w:r>
          </w:p>
        </w:tc>
        <w:tc>
          <w:tcPr>
            <w:tcW w:w="0" w:type="auto"/>
            <w:shd w:val="clear" w:color="auto" w:fill="FFFFFF"/>
            <w:tcMar>
              <w:top w:w="0" w:type="dxa"/>
              <w:left w:w="0" w:type="dxa"/>
              <w:bottom w:w="50" w:type="dxa"/>
              <w:right w:w="0" w:type="dxa"/>
            </w:tcMar>
            <w:vAlign w:val="bottom"/>
            <w:hideMark/>
          </w:tcPr>
          <w:p w14:paraId="738D3081" w14:textId="77777777" w:rsidR="00000000" w:rsidRDefault="001826C1">
            <w:pPr>
              <w:rPr>
                <w:rFonts w:eastAsia="Times New Roman"/>
                <w:b/>
                <w:bCs/>
                <w:sz w:val="20"/>
                <w:szCs w:val="20"/>
              </w:rPr>
            </w:pPr>
            <w:r>
              <w:rPr>
                <w:rFonts w:eastAsia="Times New Roman"/>
                <w:b/>
                <w:bCs/>
                <w:sz w:val="20"/>
                <w:szCs w:val="20"/>
              </w:rPr>
              <w:t> </w:t>
            </w:r>
          </w:p>
        </w:tc>
        <w:tc>
          <w:tcPr>
            <w:tcW w:w="0" w:type="auto"/>
            <w:shd w:val="clear" w:color="auto" w:fill="FFFFFF"/>
            <w:tcMar>
              <w:top w:w="0" w:type="dxa"/>
              <w:left w:w="0" w:type="dxa"/>
              <w:bottom w:w="50" w:type="dxa"/>
              <w:right w:w="0" w:type="dxa"/>
            </w:tcMar>
            <w:vAlign w:val="bottom"/>
            <w:hideMark/>
          </w:tcPr>
          <w:p w14:paraId="0A8AAB12" w14:textId="77777777" w:rsidR="00000000" w:rsidRDefault="001826C1">
            <w:pPr>
              <w:rPr>
                <w:rFonts w:eastAsia="Times New Roman"/>
                <w:b/>
                <w:bCs/>
                <w:sz w:val="20"/>
                <w:szCs w:val="20"/>
              </w:rPr>
            </w:pPr>
            <w:r>
              <w:rPr>
                <w:rFonts w:eastAsia="Times New Roman"/>
                <w:b/>
                <w:bCs/>
                <w:sz w:val="20"/>
                <w:szCs w:val="20"/>
              </w:rPr>
              <w:t> </w:t>
            </w:r>
          </w:p>
        </w:tc>
        <w:tc>
          <w:tcPr>
            <w:tcW w:w="0" w:type="auto"/>
            <w:tcBorders>
              <w:bottom w:val="double" w:sz="6" w:space="0" w:color="000000"/>
            </w:tcBorders>
            <w:shd w:val="clear" w:color="auto" w:fill="FFFFFF"/>
            <w:vAlign w:val="bottom"/>
            <w:hideMark/>
          </w:tcPr>
          <w:p w14:paraId="04D17BBA" w14:textId="77777777" w:rsidR="00000000" w:rsidRDefault="001826C1">
            <w:pPr>
              <w:rPr>
                <w:rFonts w:eastAsia="Times New Roman"/>
                <w:b/>
                <w:bCs/>
                <w:sz w:val="20"/>
                <w:szCs w:val="20"/>
              </w:rPr>
            </w:pPr>
            <w:r>
              <w:rPr>
                <w:rFonts w:eastAsia="Times New Roman"/>
                <w:b/>
                <w:bCs/>
                <w:sz w:val="20"/>
                <w:szCs w:val="20"/>
              </w:rPr>
              <w:t>$</w:t>
            </w:r>
          </w:p>
        </w:tc>
        <w:tc>
          <w:tcPr>
            <w:tcW w:w="0" w:type="auto"/>
            <w:tcBorders>
              <w:bottom w:val="double" w:sz="6" w:space="0" w:color="000000"/>
            </w:tcBorders>
            <w:shd w:val="clear" w:color="auto" w:fill="FFFFFF"/>
            <w:vAlign w:val="bottom"/>
            <w:hideMark/>
          </w:tcPr>
          <w:p w14:paraId="73844C29" w14:textId="77777777" w:rsidR="00000000" w:rsidRDefault="001826C1">
            <w:pPr>
              <w:jc w:val="right"/>
              <w:rPr>
                <w:rFonts w:eastAsia="Times New Roman"/>
                <w:b/>
                <w:bCs/>
                <w:sz w:val="20"/>
                <w:szCs w:val="20"/>
              </w:rPr>
            </w:pPr>
            <w:r>
              <w:rPr>
                <w:rFonts w:eastAsia="Times New Roman"/>
                <w:b/>
                <w:bCs/>
                <w:sz w:val="20"/>
                <w:szCs w:val="20"/>
              </w:rPr>
              <w:t>0.29</w:t>
            </w:r>
          </w:p>
        </w:tc>
        <w:tc>
          <w:tcPr>
            <w:tcW w:w="0" w:type="auto"/>
            <w:shd w:val="clear" w:color="auto" w:fill="FFFFFF"/>
            <w:tcMar>
              <w:top w:w="0" w:type="dxa"/>
              <w:left w:w="0" w:type="dxa"/>
              <w:bottom w:w="50" w:type="dxa"/>
              <w:right w:w="0" w:type="dxa"/>
            </w:tcMar>
            <w:vAlign w:val="bottom"/>
            <w:hideMark/>
          </w:tcPr>
          <w:p w14:paraId="356AA693" w14:textId="77777777" w:rsidR="00000000" w:rsidRDefault="001826C1">
            <w:pPr>
              <w:rPr>
                <w:rFonts w:eastAsia="Times New Roman"/>
                <w:b/>
                <w:bCs/>
                <w:sz w:val="20"/>
                <w:szCs w:val="20"/>
              </w:rPr>
            </w:pPr>
            <w:r>
              <w:rPr>
                <w:rFonts w:eastAsia="Times New Roman"/>
                <w:b/>
                <w:bCs/>
                <w:sz w:val="20"/>
                <w:szCs w:val="20"/>
              </w:rPr>
              <w:t> </w:t>
            </w:r>
          </w:p>
        </w:tc>
      </w:tr>
      <w:tr w:rsidR="00000000" w14:paraId="67D43E2B" w14:textId="77777777">
        <w:tc>
          <w:tcPr>
            <w:tcW w:w="0" w:type="auto"/>
            <w:shd w:val="clear" w:color="auto" w:fill="CCEEFF"/>
            <w:vAlign w:val="bottom"/>
            <w:hideMark/>
          </w:tcPr>
          <w:p w14:paraId="2881111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790B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F82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567C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DB7FA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BD30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FED6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6929F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E7CE119" w14:textId="77777777" w:rsidR="00000000" w:rsidRDefault="001826C1">
            <w:pPr>
              <w:rPr>
                <w:rFonts w:eastAsia="Times New Roman"/>
                <w:sz w:val="20"/>
                <w:szCs w:val="20"/>
              </w:rPr>
            </w:pPr>
            <w:r>
              <w:rPr>
                <w:rFonts w:eastAsia="Times New Roman"/>
                <w:sz w:val="20"/>
                <w:szCs w:val="20"/>
              </w:rPr>
              <w:t> </w:t>
            </w:r>
          </w:p>
        </w:tc>
      </w:tr>
      <w:tr w:rsidR="00000000" w14:paraId="34752D0E" w14:textId="77777777">
        <w:tc>
          <w:tcPr>
            <w:tcW w:w="0" w:type="auto"/>
            <w:shd w:val="clear" w:color="auto" w:fill="FFFFFF"/>
            <w:vAlign w:val="bottom"/>
            <w:hideMark/>
          </w:tcPr>
          <w:p w14:paraId="5461D967" w14:textId="77777777" w:rsidR="00000000" w:rsidRDefault="001826C1">
            <w:pPr>
              <w:rPr>
                <w:rFonts w:eastAsia="Times New Roman"/>
                <w:sz w:val="20"/>
                <w:szCs w:val="20"/>
              </w:rPr>
            </w:pPr>
            <w:r>
              <w:rPr>
                <w:rFonts w:eastAsia="Times New Roman"/>
                <w:sz w:val="20"/>
                <w:szCs w:val="20"/>
              </w:rPr>
              <w:t>End-of-period shares</w:t>
            </w:r>
          </w:p>
        </w:tc>
        <w:tc>
          <w:tcPr>
            <w:tcW w:w="0" w:type="auto"/>
            <w:shd w:val="clear" w:color="auto" w:fill="FFFFFF"/>
            <w:vAlign w:val="bottom"/>
            <w:hideMark/>
          </w:tcPr>
          <w:p w14:paraId="48DE1F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77F8F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5B865" w14:textId="77777777" w:rsidR="00000000" w:rsidRDefault="001826C1">
            <w:pPr>
              <w:jc w:val="right"/>
              <w:rPr>
                <w:rFonts w:eastAsia="Times New Roman"/>
                <w:sz w:val="20"/>
                <w:szCs w:val="20"/>
              </w:rPr>
            </w:pPr>
            <w:r>
              <w:rPr>
                <w:rFonts w:eastAsia="Times New Roman"/>
                <w:sz w:val="20"/>
                <w:szCs w:val="20"/>
              </w:rPr>
              <w:t>12,237,686</w:t>
            </w:r>
          </w:p>
        </w:tc>
        <w:tc>
          <w:tcPr>
            <w:tcW w:w="0" w:type="auto"/>
            <w:shd w:val="clear" w:color="auto" w:fill="FFFFFF"/>
            <w:vAlign w:val="bottom"/>
            <w:hideMark/>
          </w:tcPr>
          <w:p w14:paraId="17CFF7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493B6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78CD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5DC9D4" w14:textId="77777777" w:rsidR="00000000" w:rsidRDefault="001826C1">
            <w:pPr>
              <w:jc w:val="right"/>
              <w:rPr>
                <w:rFonts w:eastAsia="Times New Roman"/>
                <w:sz w:val="20"/>
                <w:szCs w:val="20"/>
              </w:rPr>
            </w:pPr>
            <w:r>
              <w:rPr>
                <w:rFonts w:eastAsia="Times New Roman"/>
                <w:sz w:val="20"/>
                <w:szCs w:val="20"/>
              </w:rPr>
              <w:t>11,829,758</w:t>
            </w:r>
          </w:p>
        </w:tc>
        <w:tc>
          <w:tcPr>
            <w:tcW w:w="0" w:type="auto"/>
            <w:shd w:val="clear" w:color="auto" w:fill="FFFFFF"/>
            <w:vAlign w:val="bottom"/>
            <w:hideMark/>
          </w:tcPr>
          <w:p w14:paraId="3E148669" w14:textId="77777777" w:rsidR="00000000" w:rsidRDefault="001826C1">
            <w:pPr>
              <w:rPr>
                <w:rFonts w:eastAsia="Times New Roman"/>
                <w:sz w:val="20"/>
                <w:szCs w:val="20"/>
              </w:rPr>
            </w:pPr>
            <w:r>
              <w:rPr>
                <w:rFonts w:eastAsia="Times New Roman"/>
                <w:sz w:val="20"/>
                <w:szCs w:val="20"/>
              </w:rPr>
              <w:t> </w:t>
            </w:r>
          </w:p>
        </w:tc>
      </w:tr>
    </w:tbl>
    <w:p w14:paraId="0E4E53CC" w14:textId="77777777" w:rsidR="00000000" w:rsidRDefault="001826C1">
      <w:pPr>
        <w:pStyle w:val="a3"/>
        <w:shd w:val="clear" w:color="auto" w:fill="FFFFFF"/>
        <w:spacing w:before="0" w:beforeAutospacing="0" w:after="0" w:afterAutospacing="0"/>
        <w:rPr>
          <w:sz w:val="20"/>
          <w:szCs w:val="20"/>
        </w:rPr>
      </w:pPr>
      <w:r>
        <w:rPr>
          <w:sz w:val="20"/>
          <w:szCs w:val="20"/>
        </w:rPr>
        <w:t> </w:t>
      </w:r>
    </w:p>
    <w:p w14:paraId="6DF16730" w14:textId="77777777" w:rsidR="00000000" w:rsidRDefault="001826C1">
      <w:pPr>
        <w:pStyle w:val="a3"/>
        <w:spacing w:before="0" w:beforeAutospacing="0" w:after="0" w:afterAutospacing="0"/>
        <w:jc w:val="both"/>
        <w:rPr>
          <w:sz w:val="20"/>
          <w:szCs w:val="20"/>
        </w:rPr>
      </w:pPr>
      <w:r>
        <w:rPr>
          <w:sz w:val="20"/>
          <w:szCs w:val="20"/>
          <w:shd w:val="clear" w:color="auto" w:fill="FFFFFF"/>
        </w:rPr>
        <w:t xml:space="preserve">For </w:t>
      </w:r>
      <w:r>
        <w:rPr>
          <w:sz w:val="20"/>
          <w:szCs w:val="20"/>
          <w:shd w:val="clear" w:color="auto" w:fill="FFFFFF"/>
        </w:rPr>
        <w:t>purposes of determining non-GAAP adjusted net income per share, the Company used the number of common shares outstanding at the end of the years December 31, 2019 and 2018. Non-GAAP adjusted net income per share does not take into account dividends paid on</w:t>
      </w:r>
      <w:r>
        <w:rPr>
          <w:sz w:val="20"/>
          <w:szCs w:val="20"/>
          <w:shd w:val="clear" w:color="auto" w:fill="FFFFFF"/>
        </w:rPr>
        <w:t xml:space="preserve"> Preferred Stock. No tax effect has been provided in computing non-GAAP adjusted net income and non-GAAP adjusted net income per common share as the Company has sufficient carry forward net operating losses to offset the applicable income taxes.</w:t>
      </w:r>
    </w:p>
    <w:p w14:paraId="61109179" w14:textId="77777777" w:rsidR="00000000" w:rsidRDefault="001826C1">
      <w:pPr>
        <w:pStyle w:val="a3"/>
        <w:spacing w:before="0" w:beforeAutospacing="0" w:after="0" w:afterAutospacing="0" w:line="256" w:lineRule="auto"/>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2EABBAC" w14:textId="77777777">
        <w:trPr>
          <w:divId w:val="1924223898"/>
        </w:trPr>
        <w:tc>
          <w:tcPr>
            <w:tcW w:w="5000" w:type="pct"/>
            <w:hideMark/>
          </w:tcPr>
          <w:p w14:paraId="53A9C4AB" w14:textId="77777777" w:rsidR="00000000" w:rsidRDefault="001826C1">
            <w:pPr>
              <w:jc w:val="center"/>
              <w:rPr>
                <w:rFonts w:eastAsia="Times New Roman"/>
                <w:sz w:val="20"/>
                <w:szCs w:val="20"/>
              </w:rPr>
            </w:pPr>
            <w:r>
              <w:rPr>
                <w:rFonts w:eastAsia="Times New Roman"/>
                <w:sz w:val="20"/>
                <w:szCs w:val="20"/>
              </w:rPr>
              <w:t>3</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7F657303" w14:textId="77777777">
        <w:tc>
          <w:tcPr>
            <w:tcW w:w="5000" w:type="pct"/>
            <w:hideMark/>
          </w:tcPr>
          <w:p w14:paraId="722E905F" w14:textId="77777777" w:rsidR="00000000" w:rsidRDefault="001826C1">
            <w:pPr>
              <w:jc w:val="center"/>
              <w:rPr>
                <w:rFonts w:eastAsia="Times New Roman"/>
                <w:sz w:val="20"/>
                <w:szCs w:val="20"/>
              </w:rPr>
            </w:pPr>
            <w:r>
              <w:rPr>
                <w:rFonts w:eastAsia="Times New Roman"/>
                <w:sz w:val="20"/>
                <w:szCs w:val="20"/>
              </w:rPr>
              <w:t> </w:t>
            </w:r>
          </w:p>
        </w:tc>
      </w:tr>
    </w:tbl>
    <w:p w14:paraId="71FA2682" w14:textId="77777777" w:rsidR="00000000" w:rsidRDefault="001826C1">
      <w:pPr>
        <w:pStyle w:val="a3"/>
        <w:spacing w:before="0" w:beforeAutospacing="0" w:after="0" w:afterAutospacing="0" w:line="256" w:lineRule="auto"/>
        <w:jc w:val="center"/>
        <w:rPr>
          <w:sz w:val="20"/>
          <w:szCs w:val="20"/>
        </w:rPr>
      </w:pPr>
      <w:r>
        <w:rPr>
          <w:sz w:val="20"/>
          <w:szCs w:val="20"/>
        </w:rPr>
        <w:t> </w:t>
      </w:r>
    </w:p>
    <w:p w14:paraId="24A44323" w14:textId="77777777" w:rsidR="00000000" w:rsidRDefault="001826C1">
      <w:pPr>
        <w:pStyle w:val="a3"/>
        <w:spacing w:before="0" w:beforeAutospacing="0" w:after="0" w:afterAutospacing="0"/>
        <w:rPr>
          <w:sz w:val="20"/>
          <w:szCs w:val="20"/>
        </w:rPr>
      </w:pPr>
      <w:r>
        <w:rPr>
          <w:b/>
          <w:bCs/>
          <w:sz w:val="20"/>
          <w:szCs w:val="20"/>
        </w:rPr>
        <w:t>Quarterly Results of Operations</w:t>
      </w:r>
    </w:p>
    <w:p w14:paraId="4CB05D92" w14:textId="77777777" w:rsidR="00000000" w:rsidRDefault="001826C1">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660"/>
        <w:gridCol w:w="82"/>
        <w:gridCol w:w="82"/>
        <w:gridCol w:w="663"/>
        <w:gridCol w:w="82"/>
        <w:gridCol w:w="82"/>
        <w:gridCol w:w="82"/>
        <w:gridCol w:w="663"/>
        <w:gridCol w:w="82"/>
        <w:gridCol w:w="82"/>
        <w:gridCol w:w="82"/>
        <w:gridCol w:w="440"/>
        <w:gridCol w:w="82"/>
        <w:gridCol w:w="82"/>
        <w:gridCol w:w="82"/>
        <w:gridCol w:w="580"/>
        <w:gridCol w:w="82"/>
        <w:gridCol w:w="82"/>
        <w:gridCol w:w="82"/>
        <w:gridCol w:w="663"/>
        <w:gridCol w:w="82"/>
        <w:gridCol w:w="83"/>
        <w:gridCol w:w="83"/>
        <w:gridCol w:w="664"/>
        <w:gridCol w:w="83"/>
        <w:gridCol w:w="83"/>
        <w:gridCol w:w="83"/>
        <w:gridCol w:w="415"/>
        <w:gridCol w:w="83"/>
        <w:gridCol w:w="83"/>
        <w:gridCol w:w="83"/>
        <w:gridCol w:w="581"/>
        <w:gridCol w:w="83"/>
      </w:tblGrid>
      <w:tr w:rsidR="00000000" w14:paraId="15BE99DD" w14:textId="77777777">
        <w:tc>
          <w:tcPr>
            <w:tcW w:w="0" w:type="auto"/>
            <w:vAlign w:val="bottom"/>
            <w:hideMark/>
          </w:tcPr>
          <w:p w14:paraId="25028B4C"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6DA6B39B"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2F4528B6" w14:textId="77777777" w:rsidR="00000000" w:rsidRDefault="001826C1">
            <w:pPr>
              <w:jc w:val="center"/>
              <w:rPr>
                <w:rFonts w:eastAsia="Times New Roman"/>
                <w:sz w:val="16"/>
                <w:szCs w:val="16"/>
              </w:rPr>
            </w:pPr>
            <w:r>
              <w:rPr>
                <w:rFonts w:eastAsia="Times New Roman"/>
                <w:sz w:val="16"/>
                <w:szCs w:val="16"/>
              </w:rPr>
              <w:t>December 31,</w:t>
            </w:r>
          </w:p>
        </w:tc>
        <w:tc>
          <w:tcPr>
            <w:tcW w:w="0" w:type="auto"/>
            <w:vAlign w:val="bottom"/>
            <w:hideMark/>
          </w:tcPr>
          <w:p w14:paraId="0B379B12"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6F44C9EB"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3D03280B" w14:textId="77777777" w:rsidR="00000000" w:rsidRDefault="001826C1">
            <w:pPr>
              <w:jc w:val="center"/>
              <w:rPr>
                <w:rFonts w:eastAsia="Times New Roman"/>
                <w:sz w:val="16"/>
                <w:szCs w:val="16"/>
              </w:rPr>
            </w:pPr>
            <w:r>
              <w:rPr>
                <w:rFonts w:eastAsia="Times New Roman"/>
                <w:sz w:val="16"/>
                <w:szCs w:val="16"/>
              </w:rPr>
              <w:t>September 30,</w:t>
            </w:r>
          </w:p>
        </w:tc>
        <w:tc>
          <w:tcPr>
            <w:tcW w:w="0" w:type="auto"/>
            <w:vAlign w:val="bottom"/>
            <w:hideMark/>
          </w:tcPr>
          <w:p w14:paraId="3D240896"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2A6A2D1F"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4651D4CE" w14:textId="77777777" w:rsidR="00000000" w:rsidRDefault="001826C1">
            <w:pPr>
              <w:jc w:val="center"/>
              <w:rPr>
                <w:rFonts w:eastAsia="Times New Roman"/>
                <w:sz w:val="16"/>
                <w:szCs w:val="16"/>
              </w:rPr>
            </w:pPr>
            <w:r>
              <w:rPr>
                <w:rFonts w:eastAsia="Times New Roman"/>
                <w:sz w:val="16"/>
                <w:szCs w:val="16"/>
              </w:rPr>
              <w:t>June 30,</w:t>
            </w:r>
          </w:p>
        </w:tc>
        <w:tc>
          <w:tcPr>
            <w:tcW w:w="0" w:type="auto"/>
            <w:vAlign w:val="bottom"/>
            <w:hideMark/>
          </w:tcPr>
          <w:p w14:paraId="4C5DB4CF"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41EE3819"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6AEAFB2F" w14:textId="77777777" w:rsidR="00000000" w:rsidRDefault="001826C1">
            <w:pPr>
              <w:jc w:val="center"/>
              <w:rPr>
                <w:rFonts w:eastAsia="Times New Roman"/>
                <w:sz w:val="16"/>
                <w:szCs w:val="16"/>
              </w:rPr>
            </w:pPr>
            <w:r>
              <w:rPr>
                <w:rFonts w:eastAsia="Times New Roman"/>
                <w:sz w:val="16"/>
                <w:szCs w:val="16"/>
              </w:rPr>
              <w:t>March 31,</w:t>
            </w:r>
          </w:p>
        </w:tc>
        <w:tc>
          <w:tcPr>
            <w:tcW w:w="0" w:type="auto"/>
            <w:vAlign w:val="bottom"/>
            <w:hideMark/>
          </w:tcPr>
          <w:p w14:paraId="53B32DB0"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1BEC9D45"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5F5A1BDC" w14:textId="77777777" w:rsidR="00000000" w:rsidRDefault="001826C1">
            <w:pPr>
              <w:jc w:val="center"/>
              <w:rPr>
                <w:rFonts w:eastAsia="Times New Roman"/>
                <w:sz w:val="16"/>
                <w:szCs w:val="16"/>
              </w:rPr>
            </w:pPr>
            <w:r>
              <w:rPr>
                <w:rFonts w:eastAsia="Times New Roman"/>
                <w:sz w:val="16"/>
                <w:szCs w:val="16"/>
              </w:rPr>
              <w:t>December 31,</w:t>
            </w:r>
          </w:p>
        </w:tc>
        <w:tc>
          <w:tcPr>
            <w:tcW w:w="0" w:type="auto"/>
            <w:vAlign w:val="bottom"/>
            <w:hideMark/>
          </w:tcPr>
          <w:p w14:paraId="1EEB9ED1"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50386DE0"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1FDBFBD3" w14:textId="77777777" w:rsidR="00000000" w:rsidRDefault="001826C1">
            <w:pPr>
              <w:jc w:val="center"/>
              <w:rPr>
                <w:rFonts w:eastAsia="Times New Roman"/>
                <w:sz w:val="16"/>
                <w:szCs w:val="16"/>
              </w:rPr>
            </w:pPr>
            <w:r>
              <w:rPr>
                <w:rFonts w:eastAsia="Times New Roman"/>
                <w:sz w:val="16"/>
                <w:szCs w:val="16"/>
              </w:rPr>
              <w:t>September 30,</w:t>
            </w:r>
          </w:p>
        </w:tc>
        <w:tc>
          <w:tcPr>
            <w:tcW w:w="0" w:type="auto"/>
            <w:vAlign w:val="bottom"/>
            <w:hideMark/>
          </w:tcPr>
          <w:p w14:paraId="55589223"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41EB234E"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74B631F6" w14:textId="77777777" w:rsidR="00000000" w:rsidRDefault="001826C1">
            <w:pPr>
              <w:jc w:val="center"/>
              <w:rPr>
                <w:rFonts w:eastAsia="Times New Roman"/>
                <w:sz w:val="16"/>
                <w:szCs w:val="16"/>
              </w:rPr>
            </w:pPr>
            <w:r>
              <w:rPr>
                <w:rFonts w:eastAsia="Times New Roman"/>
                <w:sz w:val="16"/>
                <w:szCs w:val="16"/>
              </w:rPr>
              <w:t>June 30,</w:t>
            </w:r>
          </w:p>
        </w:tc>
        <w:tc>
          <w:tcPr>
            <w:tcW w:w="0" w:type="auto"/>
            <w:vAlign w:val="bottom"/>
            <w:hideMark/>
          </w:tcPr>
          <w:p w14:paraId="0CA7A747"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16C8FA7B"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373DF030" w14:textId="77777777" w:rsidR="00000000" w:rsidRDefault="001826C1">
            <w:pPr>
              <w:jc w:val="center"/>
              <w:rPr>
                <w:rFonts w:eastAsia="Times New Roman"/>
                <w:sz w:val="16"/>
                <w:szCs w:val="16"/>
              </w:rPr>
            </w:pPr>
            <w:r>
              <w:rPr>
                <w:rFonts w:eastAsia="Times New Roman"/>
                <w:sz w:val="16"/>
                <w:szCs w:val="16"/>
              </w:rPr>
              <w:t>March 31,</w:t>
            </w:r>
          </w:p>
        </w:tc>
        <w:tc>
          <w:tcPr>
            <w:tcW w:w="0" w:type="auto"/>
            <w:vAlign w:val="bottom"/>
            <w:hideMark/>
          </w:tcPr>
          <w:p w14:paraId="5E34416B" w14:textId="77777777" w:rsidR="00000000" w:rsidRDefault="001826C1">
            <w:pPr>
              <w:rPr>
                <w:rFonts w:eastAsia="Times New Roman"/>
                <w:sz w:val="16"/>
                <w:szCs w:val="16"/>
              </w:rPr>
            </w:pPr>
            <w:r>
              <w:rPr>
                <w:rFonts w:eastAsia="Times New Roman"/>
                <w:sz w:val="16"/>
                <w:szCs w:val="16"/>
              </w:rPr>
              <w:t> </w:t>
            </w:r>
          </w:p>
        </w:tc>
      </w:tr>
      <w:tr w:rsidR="00000000" w14:paraId="51BF0AAF" w14:textId="77777777">
        <w:tc>
          <w:tcPr>
            <w:tcW w:w="0" w:type="auto"/>
            <w:vAlign w:val="bottom"/>
            <w:hideMark/>
          </w:tcPr>
          <w:p w14:paraId="4C216DA7"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39788C9D"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60B740EB" w14:textId="77777777" w:rsidR="00000000" w:rsidRDefault="001826C1">
            <w:pPr>
              <w:jc w:val="center"/>
              <w:rPr>
                <w:rFonts w:eastAsia="Times New Roman"/>
                <w:sz w:val="16"/>
                <w:szCs w:val="16"/>
              </w:rPr>
            </w:pPr>
            <w:r>
              <w:rPr>
                <w:rFonts w:eastAsia="Times New Roman"/>
                <w:sz w:val="16"/>
                <w:szCs w:val="16"/>
              </w:rPr>
              <w:t>2019</w:t>
            </w:r>
          </w:p>
        </w:tc>
        <w:tc>
          <w:tcPr>
            <w:tcW w:w="0" w:type="auto"/>
            <w:vAlign w:val="bottom"/>
            <w:hideMark/>
          </w:tcPr>
          <w:p w14:paraId="71426810"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1B9F0ED9"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40095700" w14:textId="77777777" w:rsidR="00000000" w:rsidRDefault="001826C1">
            <w:pPr>
              <w:jc w:val="center"/>
              <w:rPr>
                <w:rFonts w:eastAsia="Times New Roman"/>
                <w:sz w:val="16"/>
                <w:szCs w:val="16"/>
              </w:rPr>
            </w:pPr>
            <w:r>
              <w:rPr>
                <w:rFonts w:eastAsia="Times New Roman"/>
                <w:sz w:val="16"/>
                <w:szCs w:val="16"/>
              </w:rPr>
              <w:t>2019</w:t>
            </w:r>
          </w:p>
        </w:tc>
        <w:tc>
          <w:tcPr>
            <w:tcW w:w="0" w:type="auto"/>
            <w:vAlign w:val="bottom"/>
            <w:hideMark/>
          </w:tcPr>
          <w:p w14:paraId="415B6F5F"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6BCC5737"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193AD2AB" w14:textId="77777777" w:rsidR="00000000" w:rsidRDefault="001826C1">
            <w:pPr>
              <w:jc w:val="center"/>
              <w:rPr>
                <w:rFonts w:eastAsia="Times New Roman"/>
                <w:sz w:val="16"/>
                <w:szCs w:val="16"/>
              </w:rPr>
            </w:pPr>
            <w:r>
              <w:rPr>
                <w:rFonts w:eastAsia="Times New Roman"/>
                <w:sz w:val="16"/>
                <w:szCs w:val="16"/>
              </w:rPr>
              <w:t>2019</w:t>
            </w:r>
          </w:p>
        </w:tc>
        <w:tc>
          <w:tcPr>
            <w:tcW w:w="0" w:type="auto"/>
            <w:vAlign w:val="bottom"/>
            <w:hideMark/>
          </w:tcPr>
          <w:p w14:paraId="00B09D00"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1283C94B"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64CDEFE0" w14:textId="77777777" w:rsidR="00000000" w:rsidRDefault="001826C1">
            <w:pPr>
              <w:jc w:val="center"/>
              <w:rPr>
                <w:rFonts w:eastAsia="Times New Roman"/>
                <w:sz w:val="16"/>
                <w:szCs w:val="16"/>
              </w:rPr>
            </w:pPr>
            <w:r>
              <w:rPr>
                <w:rFonts w:eastAsia="Times New Roman"/>
                <w:sz w:val="16"/>
                <w:szCs w:val="16"/>
              </w:rPr>
              <w:t>2019</w:t>
            </w:r>
          </w:p>
        </w:tc>
        <w:tc>
          <w:tcPr>
            <w:tcW w:w="0" w:type="auto"/>
            <w:vAlign w:val="bottom"/>
            <w:hideMark/>
          </w:tcPr>
          <w:p w14:paraId="4B786178"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644008C4"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079D2EAF" w14:textId="77777777" w:rsidR="00000000" w:rsidRDefault="001826C1">
            <w:pPr>
              <w:jc w:val="center"/>
              <w:rPr>
                <w:rFonts w:eastAsia="Times New Roman"/>
                <w:sz w:val="16"/>
                <w:szCs w:val="16"/>
              </w:rPr>
            </w:pPr>
            <w:r>
              <w:rPr>
                <w:rFonts w:eastAsia="Times New Roman"/>
                <w:sz w:val="16"/>
                <w:szCs w:val="16"/>
              </w:rPr>
              <w:t>2018</w:t>
            </w:r>
          </w:p>
        </w:tc>
        <w:tc>
          <w:tcPr>
            <w:tcW w:w="0" w:type="auto"/>
            <w:vAlign w:val="bottom"/>
            <w:hideMark/>
          </w:tcPr>
          <w:p w14:paraId="34149D22"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15DCE59D"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56617DB8" w14:textId="77777777" w:rsidR="00000000" w:rsidRDefault="001826C1">
            <w:pPr>
              <w:jc w:val="center"/>
              <w:rPr>
                <w:rFonts w:eastAsia="Times New Roman"/>
                <w:sz w:val="16"/>
                <w:szCs w:val="16"/>
              </w:rPr>
            </w:pPr>
            <w:r>
              <w:rPr>
                <w:rFonts w:eastAsia="Times New Roman"/>
                <w:sz w:val="16"/>
                <w:szCs w:val="16"/>
              </w:rPr>
              <w:t>2018</w:t>
            </w:r>
          </w:p>
        </w:tc>
        <w:tc>
          <w:tcPr>
            <w:tcW w:w="0" w:type="auto"/>
            <w:vAlign w:val="bottom"/>
            <w:hideMark/>
          </w:tcPr>
          <w:p w14:paraId="7520D2D5"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0745312A"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047BCE6F" w14:textId="77777777" w:rsidR="00000000" w:rsidRDefault="001826C1">
            <w:pPr>
              <w:jc w:val="center"/>
              <w:rPr>
                <w:rFonts w:eastAsia="Times New Roman"/>
                <w:sz w:val="16"/>
                <w:szCs w:val="16"/>
              </w:rPr>
            </w:pPr>
            <w:r>
              <w:rPr>
                <w:rFonts w:eastAsia="Times New Roman"/>
                <w:sz w:val="16"/>
                <w:szCs w:val="16"/>
              </w:rPr>
              <w:t>2018</w:t>
            </w:r>
          </w:p>
        </w:tc>
        <w:tc>
          <w:tcPr>
            <w:tcW w:w="0" w:type="auto"/>
            <w:vAlign w:val="bottom"/>
            <w:hideMark/>
          </w:tcPr>
          <w:p w14:paraId="1CAB3851"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6F9C338B"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56725D92" w14:textId="77777777" w:rsidR="00000000" w:rsidRDefault="001826C1">
            <w:pPr>
              <w:jc w:val="center"/>
              <w:rPr>
                <w:rFonts w:eastAsia="Times New Roman"/>
                <w:sz w:val="16"/>
                <w:szCs w:val="16"/>
              </w:rPr>
            </w:pPr>
            <w:r>
              <w:rPr>
                <w:rFonts w:eastAsia="Times New Roman"/>
                <w:sz w:val="16"/>
                <w:szCs w:val="16"/>
              </w:rPr>
              <w:t>2018</w:t>
            </w:r>
          </w:p>
        </w:tc>
        <w:tc>
          <w:tcPr>
            <w:tcW w:w="0" w:type="auto"/>
            <w:vAlign w:val="bottom"/>
            <w:hideMark/>
          </w:tcPr>
          <w:p w14:paraId="7C7C9076" w14:textId="77777777" w:rsidR="00000000" w:rsidRDefault="001826C1">
            <w:pPr>
              <w:rPr>
                <w:rFonts w:eastAsia="Times New Roman"/>
                <w:sz w:val="16"/>
                <w:szCs w:val="16"/>
              </w:rPr>
            </w:pPr>
            <w:r>
              <w:rPr>
                <w:rFonts w:eastAsia="Times New Roman"/>
                <w:sz w:val="16"/>
                <w:szCs w:val="16"/>
              </w:rPr>
              <w:t> </w:t>
            </w:r>
          </w:p>
        </w:tc>
      </w:tr>
      <w:tr w:rsidR="00000000" w14:paraId="21EA61C7" w14:textId="77777777">
        <w:tc>
          <w:tcPr>
            <w:tcW w:w="0" w:type="auto"/>
            <w:vAlign w:val="bottom"/>
            <w:hideMark/>
          </w:tcPr>
          <w:p w14:paraId="2909B351"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7430F8CC" w14:textId="77777777" w:rsidR="00000000" w:rsidRDefault="001826C1">
            <w:pPr>
              <w:rPr>
                <w:rFonts w:eastAsia="Times New Roman"/>
                <w:sz w:val="16"/>
                <w:szCs w:val="16"/>
              </w:rPr>
            </w:pPr>
            <w:r>
              <w:rPr>
                <w:rFonts w:eastAsia="Times New Roman"/>
                <w:sz w:val="16"/>
                <w:szCs w:val="16"/>
              </w:rPr>
              <w:t> </w:t>
            </w:r>
          </w:p>
        </w:tc>
        <w:tc>
          <w:tcPr>
            <w:tcW w:w="0" w:type="auto"/>
            <w:gridSpan w:val="30"/>
            <w:vAlign w:val="bottom"/>
            <w:hideMark/>
          </w:tcPr>
          <w:p w14:paraId="15C5AA2A" w14:textId="77777777" w:rsidR="00000000" w:rsidRDefault="001826C1">
            <w:pPr>
              <w:jc w:val="center"/>
              <w:rPr>
                <w:rFonts w:eastAsia="Times New Roman"/>
                <w:sz w:val="16"/>
                <w:szCs w:val="16"/>
              </w:rPr>
            </w:pPr>
            <w:r>
              <w:rPr>
                <w:rFonts w:eastAsia="Times New Roman"/>
                <w:sz w:val="16"/>
                <w:szCs w:val="16"/>
              </w:rPr>
              <w:t>($ in thousands, except per share data)</w:t>
            </w:r>
          </w:p>
        </w:tc>
        <w:tc>
          <w:tcPr>
            <w:tcW w:w="0" w:type="auto"/>
            <w:vAlign w:val="bottom"/>
            <w:hideMark/>
          </w:tcPr>
          <w:p w14:paraId="5B1DD111" w14:textId="77777777" w:rsidR="00000000" w:rsidRDefault="001826C1">
            <w:pPr>
              <w:rPr>
                <w:rFonts w:eastAsia="Times New Roman"/>
                <w:sz w:val="16"/>
                <w:szCs w:val="16"/>
              </w:rPr>
            </w:pPr>
            <w:r>
              <w:rPr>
                <w:rFonts w:eastAsia="Times New Roman"/>
                <w:sz w:val="16"/>
                <w:szCs w:val="16"/>
              </w:rPr>
              <w:t> </w:t>
            </w:r>
          </w:p>
        </w:tc>
      </w:tr>
      <w:tr w:rsidR="001826C1" w14:paraId="3A965E11" w14:textId="77777777">
        <w:tc>
          <w:tcPr>
            <w:tcW w:w="1000" w:type="pct"/>
            <w:shd w:val="clear" w:color="auto" w:fill="CCEEFF"/>
            <w:vAlign w:val="bottom"/>
            <w:hideMark/>
          </w:tcPr>
          <w:p w14:paraId="37B5D8A6" w14:textId="77777777" w:rsidR="00000000" w:rsidRDefault="001826C1">
            <w:pPr>
              <w:rPr>
                <w:rFonts w:eastAsia="Times New Roman"/>
                <w:sz w:val="16"/>
                <w:szCs w:val="16"/>
              </w:rPr>
            </w:pPr>
            <w:r>
              <w:rPr>
                <w:rFonts w:eastAsia="Times New Roman"/>
                <w:sz w:val="16"/>
                <w:szCs w:val="16"/>
              </w:rPr>
              <w:t>Net revenue</w:t>
            </w:r>
          </w:p>
        </w:tc>
        <w:tc>
          <w:tcPr>
            <w:tcW w:w="50" w:type="pct"/>
            <w:shd w:val="clear" w:color="auto" w:fill="CCEEFF"/>
            <w:vAlign w:val="bottom"/>
            <w:hideMark/>
          </w:tcPr>
          <w:p w14:paraId="56452B79"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36A1B2A0" w14:textId="77777777" w:rsidR="00000000" w:rsidRDefault="001826C1">
            <w:pPr>
              <w:rPr>
                <w:rFonts w:eastAsia="Times New Roman"/>
                <w:sz w:val="16"/>
                <w:szCs w:val="16"/>
              </w:rPr>
            </w:pPr>
            <w:r>
              <w:rPr>
                <w:rFonts w:eastAsia="Times New Roman"/>
                <w:sz w:val="16"/>
                <w:szCs w:val="16"/>
              </w:rPr>
              <w:t>$</w:t>
            </w:r>
          </w:p>
        </w:tc>
        <w:tc>
          <w:tcPr>
            <w:tcW w:w="400" w:type="pct"/>
            <w:shd w:val="clear" w:color="auto" w:fill="CCEEFF"/>
            <w:vAlign w:val="bottom"/>
            <w:hideMark/>
          </w:tcPr>
          <w:p w14:paraId="744E6CA7" w14:textId="77777777" w:rsidR="00000000" w:rsidRDefault="001826C1">
            <w:pPr>
              <w:jc w:val="right"/>
              <w:rPr>
                <w:rFonts w:eastAsia="Times New Roman"/>
                <w:sz w:val="16"/>
                <w:szCs w:val="16"/>
              </w:rPr>
            </w:pPr>
            <w:r>
              <w:rPr>
                <w:rFonts w:eastAsia="Times New Roman"/>
                <w:sz w:val="16"/>
                <w:szCs w:val="16"/>
              </w:rPr>
              <w:t>15,758</w:t>
            </w:r>
          </w:p>
        </w:tc>
        <w:tc>
          <w:tcPr>
            <w:tcW w:w="50" w:type="pct"/>
            <w:shd w:val="clear" w:color="auto" w:fill="CCEEFF"/>
            <w:vAlign w:val="bottom"/>
            <w:hideMark/>
          </w:tcPr>
          <w:p w14:paraId="7FAB3C46"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67344223"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DA2A88" w14:textId="77777777" w:rsidR="00000000" w:rsidRDefault="001826C1">
            <w:pPr>
              <w:rPr>
                <w:rFonts w:eastAsia="Times New Roman"/>
                <w:sz w:val="16"/>
                <w:szCs w:val="16"/>
              </w:rPr>
            </w:pPr>
            <w:r>
              <w:rPr>
                <w:rFonts w:eastAsia="Times New Roman"/>
                <w:sz w:val="16"/>
                <w:szCs w:val="16"/>
              </w:rPr>
              <w:t>$</w:t>
            </w:r>
          </w:p>
        </w:tc>
        <w:tc>
          <w:tcPr>
            <w:tcW w:w="400" w:type="pct"/>
            <w:shd w:val="clear" w:color="auto" w:fill="CCEEFF"/>
            <w:vAlign w:val="bottom"/>
            <w:hideMark/>
          </w:tcPr>
          <w:p w14:paraId="7E9E79DF" w14:textId="77777777" w:rsidR="00000000" w:rsidRDefault="001826C1">
            <w:pPr>
              <w:jc w:val="right"/>
              <w:rPr>
                <w:rFonts w:eastAsia="Times New Roman"/>
                <w:sz w:val="16"/>
                <w:szCs w:val="16"/>
              </w:rPr>
            </w:pPr>
            <w:r>
              <w:rPr>
                <w:rFonts w:eastAsia="Times New Roman"/>
                <w:sz w:val="16"/>
                <w:szCs w:val="16"/>
              </w:rPr>
              <w:t>16,851</w:t>
            </w:r>
          </w:p>
        </w:tc>
        <w:tc>
          <w:tcPr>
            <w:tcW w:w="50" w:type="pct"/>
            <w:shd w:val="clear" w:color="auto" w:fill="CCEEFF"/>
            <w:vAlign w:val="bottom"/>
            <w:hideMark/>
          </w:tcPr>
          <w:p w14:paraId="20B65161"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0D5CC956"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A4AC94" w14:textId="77777777" w:rsidR="00000000" w:rsidRDefault="001826C1">
            <w:pPr>
              <w:rPr>
                <w:rFonts w:eastAsia="Times New Roman"/>
                <w:sz w:val="16"/>
                <w:szCs w:val="16"/>
              </w:rPr>
            </w:pPr>
            <w:r>
              <w:rPr>
                <w:rFonts w:eastAsia="Times New Roman"/>
                <w:sz w:val="16"/>
                <w:szCs w:val="16"/>
              </w:rPr>
              <w:t>$</w:t>
            </w:r>
          </w:p>
        </w:tc>
        <w:tc>
          <w:tcPr>
            <w:tcW w:w="250" w:type="pct"/>
            <w:shd w:val="clear" w:color="auto" w:fill="CCEEFF"/>
            <w:vAlign w:val="bottom"/>
            <w:hideMark/>
          </w:tcPr>
          <w:p w14:paraId="377D766B" w14:textId="77777777" w:rsidR="00000000" w:rsidRDefault="001826C1">
            <w:pPr>
              <w:jc w:val="right"/>
              <w:rPr>
                <w:rFonts w:eastAsia="Times New Roman"/>
                <w:sz w:val="16"/>
                <w:szCs w:val="16"/>
              </w:rPr>
            </w:pPr>
            <w:r>
              <w:rPr>
                <w:rFonts w:eastAsia="Times New Roman"/>
                <w:sz w:val="16"/>
                <w:szCs w:val="16"/>
              </w:rPr>
              <w:t>16,750</w:t>
            </w:r>
          </w:p>
        </w:tc>
        <w:tc>
          <w:tcPr>
            <w:tcW w:w="50" w:type="pct"/>
            <w:shd w:val="clear" w:color="auto" w:fill="CCEEFF"/>
            <w:vAlign w:val="bottom"/>
            <w:hideMark/>
          </w:tcPr>
          <w:p w14:paraId="6334B9BD"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C683D0"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72BBC1F0" w14:textId="77777777" w:rsidR="00000000" w:rsidRDefault="001826C1">
            <w:pPr>
              <w:rPr>
                <w:rFonts w:eastAsia="Times New Roman"/>
                <w:sz w:val="16"/>
                <w:szCs w:val="16"/>
              </w:rPr>
            </w:pPr>
            <w:r>
              <w:rPr>
                <w:rFonts w:eastAsia="Times New Roman"/>
                <w:sz w:val="16"/>
                <w:szCs w:val="16"/>
              </w:rPr>
              <w:t>$</w:t>
            </w:r>
          </w:p>
        </w:tc>
        <w:tc>
          <w:tcPr>
            <w:tcW w:w="350" w:type="pct"/>
            <w:shd w:val="clear" w:color="auto" w:fill="CCEEFF"/>
            <w:vAlign w:val="bottom"/>
            <w:hideMark/>
          </w:tcPr>
          <w:p w14:paraId="280C0C4D" w14:textId="77777777" w:rsidR="00000000" w:rsidRDefault="001826C1">
            <w:pPr>
              <w:jc w:val="right"/>
              <w:rPr>
                <w:rFonts w:eastAsia="Times New Roman"/>
                <w:sz w:val="16"/>
                <w:szCs w:val="16"/>
              </w:rPr>
            </w:pPr>
            <w:r>
              <w:rPr>
                <w:rFonts w:eastAsia="Times New Roman"/>
                <w:sz w:val="16"/>
                <w:szCs w:val="16"/>
              </w:rPr>
              <w:t>15,080</w:t>
            </w:r>
          </w:p>
        </w:tc>
        <w:tc>
          <w:tcPr>
            <w:tcW w:w="50" w:type="pct"/>
            <w:shd w:val="clear" w:color="auto" w:fill="CCEEFF"/>
            <w:vAlign w:val="bottom"/>
            <w:hideMark/>
          </w:tcPr>
          <w:p w14:paraId="7140A00A"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57489711"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16D855B3" w14:textId="77777777" w:rsidR="00000000" w:rsidRDefault="001826C1">
            <w:pPr>
              <w:rPr>
                <w:rFonts w:eastAsia="Times New Roman"/>
                <w:sz w:val="16"/>
                <w:szCs w:val="16"/>
              </w:rPr>
            </w:pPr>
            <w:r>
              <w:rPr>
                <w:rFonts w:eastAsia="Times New Roman"/>
                <w:sz w:val="16"/>
                <w:szCs w:val="16"/>
              </w:rPr>
              <w:t>$</w:t>
            </w:r>
          </w:p>
        </w:tc>
        <w:tc>
          <w:tcPr>
            <w:tcW w:w="400" w:type="pct"/>
            <w:shd w:val="clear" w:color="auto" w:fill="CCEEFF"/>
            <w:vAlign w:val="bottom"/>
            <w:hideMark/>
          </w:tcPr>
          <w:p w14:paraId="045C646F" w14:textId="77777777" w:rsidR="00000000" w:rsidRDefault="001826C1">
            <w:pPr>
              <w:jc w:val="right"/>
              <w:rPr>
                <w:rFonts w:eastAsia="Times New Roman"/>
                <w:sz w:val="16"/>
                <w:szCs w:val="16"/>
              </w:rPr>
            </w:pPr>
            <w:r>
              <w:rPr>
                <w:rFonts w:eastAsia="Times New Roman"/>
                <w:sz w:val="16"/>
                <w:szCs w:val="16"/>
              </w:rPr>
              <w:t>16,511</w:t>
            </w:r>
          </w:p>
        </w:tc>
        <w:tc>
          <w:tcPr>
            <w:tcW w:w="50" w:type="pct"/>
            <w:shd w:val="clear" w:color="auto" w:fill="CCEEFF"/>
            <w:vAlign w:val="bottom"/>
            <w:hideMark/>
          </w:tcPr>
          <w:p w14:paraId="6785B6D6"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0FC418A5"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70F230CE" w14:textId="77777777" w:rsidR="00000000" w:rsidRDefault="001826C1">
            <w:pPr>
              <w:rPr>
                <w:rFonts w:eastAsia="Times New Roman"/>
                <w:sz w:val="16"/>
                <w:szCs w:val="16"/>
              </w:rPr>
            </w:pPr>
            <w:r>
              <w:rPr>
                <w:rFonts w:eastAsia="Times New Roman"/>
                <w:sz w:val="16"/>
                <w:szCs w:val="16"/>
              </w:rPr>
              <w:t>$</w:t>
            </w:r>
          </w:p>
        </w:tc>
        <w:tc>
          <w:tcPr>
            <w:tcW w:w="400" w:type="pct"/>
            <w:shd w:val="clear" w:color="auto" w:fill="CCEEFF"/>
            <w:vAlign w:val="bottom"/>
            <w:hideMark/>
          </w:tcPr>
          <w:p w14:paraId="164737E3" w14:textId="77777777" w:rsidR="00000000" w:rsidRDefault="001826C1">
            <w:pPr>
              <w:jc w:val="right"/>
              <w:rPr>
                <w:rFonts w:eastAsia="Times New Roman"/>
                <w:sz w:val="16"/>
                <w:szCs w:val="16"/>
              </w:rPr>
            </w:pPr>
            <w:r>
              <w:rPr>
                <w:rFonts w:eastAsia="Times New Roman"/>
                <w:sz w:val="16"/>
                <w:szCs w:val="16"/>
              </w:rPr>
              <w:t>17,045</w:t>
            </w:r>
          </w:p>
        </w:tc>
        <w:tc>
          <w:tcPr>
            <w:tcW w:w="50" w:type="pct"/>
            <w:shd w:val="clear" w:color="auto" w:fill="CCEEFF"/>
            <w:vAlign w:val="bottom"/>
            <w:hideMark/>
          </w:tcPr>
          <w:p w14:paraId="4537CC6B"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08A9ED41"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79FF9BEB" w14:textId="77777777" w:rsidR="00000000" w:rsidRDefault="001826C1">
            <w:pPr>
              <w:rPr>
                <w:rFonts w:eastAsia="Times New Roman"/>
                <w:sz w:val="16"/>
                <w:szCs w:val="16"/>
              </w:rPr>
            </w:pPr>
            <w:r>
              <w:rPr>
                <w:rFonts w:eastAsia="Times New Roman"/>
                <w:sz w:val="16"/>
                <w:szCs w:val="16"/>
              </w:rPr>
              <w:t>$</w:t>
            </w:r>
          </w:p>
        </w:tc>
        <w:tc>
          <w:tcPr>
            <w:tcW w:w="250" w:type="pct"/>
            <w:shd w:val="clear" w:color="auto" w:fill="CCEEFF"/>
            <w:vAlign w:val="bottom"/>
            <w:hideMark/>
          </w:tcPr>
          <w:p w14:paraId="5E0D873F" w14:textId="77777777" w:rsidR="00000000" w:rsidRDefault="001826C1">
            <w:pPr>
              <w:jc w:val="right"/>
              <w:rPr>
                <w:rFonts w:eastAsia="Times New Roman"/>
                <w:sz w:val="16"/>
                <w:szCs w:val="16"/>
              </w:rPr>
            </w:pPr>
            <w:r>
              <w:rPr>
                <w:rFonts w:eastAsia="Times New Roman"/>
                <w:sz w:val="16"/>
                <w:szCs w:val="16"/>
              </w:rPr>
              <w:t>8,683</w:t>
            </w:r>
          </w:p>
        </w:tc>
        <w:tc>
          <w:tcPr>
            <w:tcW w:w="50" w:type="pct"/>
            <w:shd w:val="clear" w:color="auto" w:fill="CCEEFF"/>
            <w:vAlign w:val="bottom"/>
            <w:hideMark/>
          </w:tcPr>
          <w:p w14:paraId="480A65E9"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51F4764F"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2A6B864C" w14:textId="77777777" w:rsidR="00000000" w:rsidRDefault="001826C1">
            <w:pPr>
              <w:rPr>
                <w:rFonts w:eastAsia="Times New Roman"/>
                <w:sz w:val="16"/>
                <w:szCs w:val="16"/>
              </w:rPr>
            </w:pPr>
            <w:r>
              <w:rPr>
                <w:rFonts w:eastAsia="Times New Roman"/>
                <w:sz w:val="16"/>
                <w:szCs w:val="16"/>
              </w:rPr>
              <w:t>$</w:t>
            </w:r>
          </w:p>
        </w:tc>
        <w:tc>
          <w:tcPr>
            <w:tcW w:w="350" w:type="pct"/>
            <w:shd w:val="clear" w:color="auto" w:fill="CCEEFF"/>
            <w:vAlign w:val="bottom"/>
            <w:hideMark/>
          </w:tcPr>
          <w:p w14:paraId="7A0BE407" w14:textId="77777777" w:rsidR="00000000" w:rsidRDefault="001826C1">
            <w:pPr>
              <w:jc w:val="right"/>
              <w:rPr>
                <w:rFonts w:eastAsia="Times New Roman"/>
                <w:sz w:val="16"/>
                <w:szCs w:val="16"/>
              </w:rPr>
            </w:pPr>
            <w:r>
              <w:rPr>
                <w:rFonts w:eastAsia="Times New Roman"/>
                <w:sz w:val="16"/>
                <w:szCs w:val="16"/>
              </w:rPr>
              <w:t>8,307</w:t>
            </w:r>
          </w:p>
        </w:tc>
        <w:tc>
          <w:tcPr>
            <w:tcW w:w="50" w:type="pct"/>
            <w:shd w:val="clear" w:color="auto" w:fill="CCEEFF"/>
            <w:vAlign w:val="bottom"/>
            <w:hideMark/>
          </w:tcPr>
          <w:p w14:paraId="3537D941" w14:textId="77777777" w:rsidR="00000000" w:rsidRDefault="001826C1">
            <w:pPr>
              <w:rPr>
                <w:rFonts w:eastAsia="Times New Roman"/>
                <w:sz w:val="16"/>
                <w:szCs w:val="16"/>
              </w:rPr>
            </w:pPr>
            <w:r>
              <w:rPr>
                <w:rFonts w:eastAsia="Times New Roman"/>
                <w:sz w:val="16"/>
                <w:szCs w:val="16"/>
              </w:rPr>
              <w:t> </w:t>
            </w:r>
          </w:p>
        </w:tc>
      </w:tr>
      <w:tr w:rsidR="001826C1" w14:paraId="7D8873D7" w14:textId="77777777">
        <w:tc>
          <w:tcPr>
            <w:tcW w:w="0" w:type="auto"/>
            <w:shd w:val="clear" w:color="auto" w:fill="FFFFFF"/>
            <w:vAlign w:val="bottom"/>
            <w:hideMark/>
          </w:tcPr>
          <w:p w14:paraId="35A388A5" w14:textId="77777777" w:rsidR="00000000" w:rsidRDefault="001826C1">
            <w:pPr>
              <w:rPr>
                <w:rFonts w:eastAsia="Times New Roman"/>
                <w:sz w:val="16"/>
                <w:szCs w:val="16"/>
              </w:rPr>
            </w:pPr>
            <w:r>
              <w:rPr>
                <w:rFonts w:eastAsia="Times New Roman"/>
                <w:sz w:val="16"/>
                <w:szCs w:val="16"/>
              </w:rPr>
              <w:t>Operating expenses:</w:t>
            </w:r>
          </w:p>
        </w:tc>
        <w:tc>
          <w:tcPr>
            <w:tcW w:w="0" w:type="auto"/>
            <w:shd w:val="clear" w:color="auto" w:fill="FFFFFF"/>
            <w:vAlign w:val="bottom"/>
            <w:hideMark/>
          </w:tcPr>
          <w:p w14:paraId="5DBDECF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37D2E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AA3FE8E"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0695E5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55C1E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FD2DC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CD16011"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775F37E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F1717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99B6B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303934D"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B36BE6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3234B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71CB05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A5B001"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495DEB6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1CD4D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1E10B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737FA4"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29F47D8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380CB2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FDB37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D9B299"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0BA5421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E45FA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35EBC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8A2D290"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5974AAA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BC4191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047A2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CFE7F1"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14:paraId="3601C8FD" w14:textId="77777777" w:rsidR="00000000" w:rsidRDefault="001826C1">
            <w:pPr>
              <w:rPr>
                <w:rFonts w:eastAsia="Times New Roman"/>
                <w:sz w:val="16"/>
                <w:szCs w:val="16"/>
              </w:rPr>
            </w:pPr>
            <w:r>
              <w:rPr>
                <w:rFonts w:eastAsia="Times New Roman"/>
                <w:sz w:val="16"/>
                <w:szCs w:val="16"/>
              </w:rPr>
              <w:t> </w:t>
            </w:r>
          </w:p>
        </w:tc>
      </w:tr>
      <w:tr w:rsidR="001826C1" w14:paraId="04BAA4BB" w14:textId="77777777">
        <w:tc>
          <w:tcPr>
            <w:tcW w:w="0" w:type="auto"/>
            <w:shd w:val="clear" w:color="auto" w:fill="CCEEFF"/>
            <w:vAlign w:val="bottom"/>
            <w:hideMark/>
          </w:tcPr>
          <w:p w14:paraId="76D0E874" w14:textId="77777777" w:rsidR="00000000" w:rsidRDefault="001826C1">
            <w:pPr>
              <w:rPr>
                <w:rFonts w:eastAsia="Times New Roman"/>
                <w:sz w:val="16"/>
                <w:szCs w:val="16"/>
              </w:rPr>
            </w:pPr>
            <w:r>
              <w:rPr>
                <w:rFonts w:eastAsia="Times New Roman"/>
                <w:sz w:val="16"/>
                <w:szCs w:val="16"/>
              </w:rPr>
              <w:t>Direct operating costs</w:t>
            </w:r>
          </w:p>
        </w:tc>
        <w:tc>
          <w:tcPr>
            <w:tcW w:w="0" w:type="auto"/>
            <w:shd w:val="clear" w:color="auto" w:fill="CCEEFF"/>
            <w:vAlign w:val="bottom"/>
            <w:hideMark/>
          </w:tcPr>
          <w:p w14:paraId="477292F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7CEC1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7915F5" w14:textId="77777777" w:rsidR="00000000" w:rsidRDefault="001826C1">
            <w:pPr>
              <w:jc w:val="right"/>
              <w:rPr>
                <w:rFonts w:eastAsia="Times New Roman"/>
                <w:sz w:val="16"/>
                <w:szCs w:val="16"/>
              </w:rPr>
            </w:pPr>
            <w:r>
              <w:rPr>
                <w:rFonts w:eastAsia="Times New Roman"/>
                <w:sz w:val="16"/>
                <w:szCs w:val="16"/>
              </w:rPr>
              <w:t>9,406</w:t>
            </w:r>
          </w:p>
        </w:tc>
        <w:tc>
          <w:tcPr>
            <w:tcW w:w="0" w:type="auto"/>
            <w:shd w:val="clear" w:color="auto" w:fill="CCEEFF"/>
            <w:vAlign w:val="bottom"/>
            <w:hideMark/>
          </w:tcPr>
          <w:p w14:paraId="404BF9F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C09D9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6BA08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8F909C5" w14:textId="77777777" w:rsidR="00000000" w:rsidRDefault="001826C1">
            <w:pPr>
              <w:jc w:val="right"/>
              <w:rPr>
                <w:rFonts w:eastAsia="Times New Roman"/>
                <w:sz w:val="16"/>
                <w:szCs w:val="16"/>
              </w:rPr>
            </w:pPr>
            <w:r>
              <w:rPr>
                <w:rFonts w:eastAsia="Times New Roman"/>
                <w:sz w:val="16"/>
                <w:szCs w:val="16"/>
              </w:rPr>
              <w:t>10,536</w:t>
            </w:r>
          </w:p>
        </w:tc>
        <w:tc>
          <w:tcPr>
            <w:tcW w:w="0" w:type="auto"/>
            <w:shd w:val="clear" w:color="auto" w:fill="CCEEFF"/>
            <w:vAlign w:val="bottom"/>
            <w:hideMark/>
          </w:tcPr>
          <w:p w14:paraId="44F8980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EDB0C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A42A9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02002D" w14:textId="77777777" w:rsidR="00000000" w:rsidRDefault="001826C1">
            <w:pPr>
              <w:jc w:val="right"/>
              <w:rPr>
                <w:rFonts w:eastAsia="Times New Roman"/>
                <w:sz w:val="16"/>
                <w:szCs w:val="16"/>
              </w:rPr>
            </w:pPr>
            <w:r>
              <w:rPr>
                <w:rFonts w:eastAsia="Times New Roman"/>
                <w:sz w:val="16"/>
                <w:szCs w:val="16"/>
              </w:rPr>
              <w:t>11,396</w:t>
            </w:r>
          </w:p>
        </w:tc>
        <w:tc>
          <w:tcPr>
            <w:tcW w:w="0" w:type="auto"/>
            <w:shd w:val="clear" w:color="auto" w:fill="CCEEFF"/>
            <w:vAlign w:val="bottom"/>
            <w:hideMark/>
          </w:tcPr>
          <w:p w14:paraId="34CD8FB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0F69B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357BCE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7F74DA0" w14:textId="77777777" w:rsidR="00000000" w:rsidRDefault="001826C1">
            <w:pPr>
              <w:jc w:val="right"/>
              <w:rPr>
                <w:rFonts w:eastAsia="Times New Roman"/>
                <w:sz w:val="16"/>
                <w:szCs w:val="16"/>
              </w:rPr>
            </w:pPr>
            <w:r>
              <w:rPr>
                <w:rFonts w:eastAsia="Times New Roman"/>
                <w:sz w:val="16"/>
                <w:szCs w:val="16"/>
              </w:rPr>
              <w:t>9,848</w:t>
            </w:r>
          </w:p>
        </w:tc>
        <w:tc>
          <w:tcPr>
            <w:tcW w:w="0" w:type="auto"/>
            <w:shd w:val="clear" w:color="auto" w:fill="CCEEFF"/>
            <w:vAlign w:val="bottom"/>
            <w:hideMark/>
          </w:tcPr>
          <w:p w14:paraId="2569CD3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6F1910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55137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D92508" w14:textId="77777777" w:rsidR="00000000" w:rsidRDefault="001826C1">
            <w:pPr>
              <w:jc w:val="right"/>
              <w:rPr>
                <w:rFonts w:eastAsia="Times New Roman"/>
                <w:sz w:val="16"/>
                <w:szCs w:val="16"/>
              </w:rPr>
            </w:pPr>
            <w:r>
              <w:rPr>
                <w:rFonts w:eastAsia="Times New Roman"/>
                <w:sz w:val="16"/>
                <w:szCs w:val="16"/>
              </w:rPr>
              <w:t>10,311</w:t>
            </w:r>
          </w:p>
        </w:tc>
        <w:tc>
          <w:tcPr>
            <w:tcW w:w="0" w:type="auto"/>
            <w:shd w:val="clear" w:color="auto" w:fill="CCEEFF"/>
            <w:vAlign w:val="bottom"/>
            <w:hideMark/>
          </w:tcPr>
          <w:p w14:paraId="136E8B7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2E8E26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B41FCD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D8D3D6F" w14:textId="77777777" w:rsidR="00000000" w:rsidRDefault="001826C1">
            <w:pPr>
              <w:jc w:val="right"/>
              <w:rPr>
                <w:rFonts w:eastAsia="Times New Roman"/>
                <w:sz w:val="16"/>
                <w:szCs w:val="16"/>
              </w:rPr>
            </w:pPr>
            <w:r>
              <w:rPr>
                <w:rFonts w:eastAsia="Times New Roman"/>
                <w:sz w:val="16"/>
                <w:szCs w:val="16"/>
              </w:rPr>
              <w:t>12,124</w:t>
            </w:r>
          </w:p>
        </w:tc>
        <w:tc>
          <w:tcPr>
            <w:tcW w:w="0" w:type="auto"/>
            <w:shd w:val="clear" w:color="auto" w:fill="CCEEFF"/>
            <w:vAlign w:val="bottom"/>
            <w:hideMark/>
          </w:tcPr>
          <w:p w14:paraId="2E7AC52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EA76D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DE9BE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60FDFC9" w14:textId="77777777" w:rsidR="00000000" w:rsidRDefault="001826C1">
            <w:pPr>
              <w:jc w:val="right"/>
              <w:rPr>
                <w:rFonts w:eastAsia="Times New Roman"/>
                <w:sz w:val="16"/>
                <w:szCs w:val="16"/>
              </w:rPr>
            </w:pPr>
            <w:r>
              <w:rPr>
                <w:rFonts w:eastAsia="Times New Roman"/>
                <w:sz w:val="16"/>
                <w:szCs w:val="16"/>
              </w:rPr>
              <w:t>4,334</w:t>
            </w:r>
          </w:p>
        </w:tc>
        <w:tc>
          <w:tcPr>
            <w:tcW w:w="0" w:type="auto"/>
            <w:shd w:val="clear" w:color="auto" w:fill="CCEEFF"/>
            <w:vAlign w:val="bottom"/>
            <w:hideMark/>
          </w:tcPr>
          <w:p w14:paraId="2A08E6F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90FCA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F3A511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469E52" w14:textId="77777777" w:rsidR="00000000" w:rsidRDefault="001826C1">
            <w:pPr>
              <w:jc w:val="right"/>
              <w:rPr>
                <w:rFonts w:eastAsia="Times New Roman"/>
                <w:sz w:val="16"/>
                <w:szCs w:val="16"/>
              </w:rPr>
            </w:pPr>
            <w:r>
              <w:rPr>
                <w:rFonts w:eastAsia="Times New Roman"/>
                <w:sz w:val="16"/>
                <w:szCs w:val="16"/>
              </w:rPr>
              <w:t>4,484</w:t>
            </w:r>
          </w:p>
        </w:tc>
        <w:tc>
          <w:tcPr>
            <w:tcW w:w="0" w:type="auto"/>
            <w:shd w:val="clear" w:color="auto" w:fill="CCEEFF"/>
            <w:vAlign w:val="bottom"/>
            <w:hideMark/>
          </w:tcPr>
          <w:p w14:paraId="5F34B96E" w14:textId="77777777" w:rsidR="00000000" w:rsidRDefault="001826C1">
            <w:pPr>
              <w:rPr>
                <w:rFonts w:eastAsia="Times New Roman"/>
                <w:sz w:val="16"/>
                <w:szCs w:val="16"/>
              </w:rPr>
            </w:pPr>
            <w:r>
              <w:rPr>
                <w:rFonts w:eastAsia="Times New Roman"/>
                <w:sz w:val="16"/>
                <w:szCs w:val="16"/>
              </w:rPr>
              <w:t> </w:t>
            </w:r>
          </w:p>
        </w:tc>
      </w:tr>
      <w:tr w:rsidR="001826C1" w14:paraId="45A35458" w14:textId="77777777">
        <w:tc>
          <w:tcPr>
            <w:tcW w:w="0" w:type="auto"/>
            <w:shd w:val="clear" w:color="auto" w:fill="FFFFFF"/>
            <w:vAlign w:val="bottom"/>
            <w:hideMark/>
          </w:tcPr>
          <w:p w14:paraId="074E3F67" w14:textId="77777777" w:rsidR="00000000" w:rsidRDefault="001826C1">
            <w:pPr>
              <w:rPr>
                <w:rFonts w:eastAsia="Times New Roman"/>
                <w:sz w:val="16"/>
                <w:szCs w:val="16"/>
              </w:rPr>
            </w:pPr>
            <w:r>
              <w:rPr>
                <w:rFonts w:eastAsia="Times New Roman"/>
                <w:sz w:val="16"/>
                <w:szCs w:val="16"/>
              </w:rPr>
              <w:t>Selling and marketing</w:t>
            </w:r>
          </w:p>
        </w:tc>
        <w:tc>
          <w:tcPr>
            <w:tcW w:w="0" w:type="auto"/>
            <w:shd w:val="clear" w:color="auto" w:fill="FFFFFF"/>
            <w:vAlign w:val="bottom"/>
            <w:hideMark/>
          </w:tcPr>
          <w:p w14:paraId="5FE2FF0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5D7FC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7FB30BB" w14:textId="77777777" w:rsidR="00000000" w:rsidRDefault="001826C1">
            <w:pPr>
              <w:jc w:val="right"/>
              <w:rPr>
                <w:rFonts w:eastAsia="Times New Roman"/>
                <w:sz w:val="16"/>
                <w:szCs w:val="16"/>
              </w:rPr>
            </w:pPr>
            <w:r>
              <w:rPr>
                <w:rFonts w:eastAsia="Times New Roman"/>
                <w:sz w:val="16"/>
                <w:szCs w:val="16"/>
              </w:rPr>
              <w:t>430</w:t>
            </w:r>
          </w:p>
        </w:tc>
        <w:tc>
          <w:tcPr>
            <w:tcW w:w="0" w:type="auto"/>
            <w:shd w:val="clear" w:color="auto" w:fill="FFFFFF"/>
            <w:vAlign w:val="bottom"/>
            <w:hideMark/>
          </w:tcPr>
          <w:p w14:paraId="7A896E6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5DDBB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C28AB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4F7D45" w14:textId="77777777" w:rsidR="00000000" w:rsidRDefault="001826C1">
            <w:pPr>
              <w:jc w:val="right"/>
              <w:rPr>
                <w:rFonts w:eastAsia="Times New Roman"/>
                <w:sz w:val="16"/>
                <w:szCs w:val="16"/>
              </w:rPr>
            </w:pPr>
            <w:r>
              <w:rPr>
                <w:rFonts w:eastAsia="Times New Roman"/>
                <w:sz w:val="16"/>
                <w:szCs w:val="16"/>
              </w:rPr>
              <w:t>348</w:t>
            </w:r>
          </w:p>
        </w:tc>
        <w:tc>
          <w:tcPr>
            <w:tcW w:w="0" w:type="auto"/>
            <w:shd w:val="clear" w:color="auto" w:fill="FFFFFF"/>
            <w:vAlign w:val="bottom"/>
            <w:hideMark/>
          </w:tcPr>
          <w:p w14:paraId="5A85994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572BF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3F5CE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ADBFB83" w14:textId="77777777" w:rsidR="00000000" w:rsidRDefault="001826C1">
            <w:pPr>
              <w:jc w:val="right"/>
              <w:rPr>
                <w:rFonts w:eastAsia="Times New Roman"/>
                <w:sz w:val="16"/>
                <w:szCs w:val="16"/>
              </w:rPr>
            </w:pPr>
            <w:r>
              <w:rPr>
                <w:rFonts w:eastAsia="Times New Roman"/>
                <w:sz w:val="16"/>
                <w:szCs w:val="16"/>
              </w:rPr>
              <w:t>383</w:t>
            </w:r>
          </w:p>
        </w:tc>
        <w:tc>
          <w:tcPr>
            <w:tcW w:w="0" w:type="auto"/>
            <w:shd w:val="clear" w:color="auto" w:fill="FFFFFF"/>
            <w:vAlign w:val="bottom"/>
            <w:hideMark/>
          </w:tcPr>
          <w:p w14:paraId="044C922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8FB98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CD8EA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E6FE0D" w14:textId="77777777" w:rsidR="00000000" w:rsidRDefault="001826C1">
            <w:pPr>
              <w:jc w:val="right"/>
              <w:rPr>
                <w:rFonts w:eastAsia="Times New Roman"/>
                <w:sz w:val="16"/>
                <w:szCs w:val="16"/>
              </w:rPr>
            </w:pPr>
            <w:r>
              <w:rPr>
                <w:rFonts w:eastAsia="Times New Roman"/>
                <w:sz w:val="16"/>
                <w:szCs w:val="16"/>
              </w:rPr>
              <w:t>361</w:t>
            </w:r>
          </w:p>
        </w:tc>
        <w:tc>
          <w:tcPr>
            <w:tcW w:w="0" w:type="auto"/>
            <w:shd w:val="clear" w:color="auto" w:fill="FFFFFF"/>
            <w:vAlign w:val="bottom"/>
            <w:hideMark/>
          </w:tcPr>
          <w:p w14:paraId="6CAD20F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D5D72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ABDB1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200FF16" w14:textId="77777777" w:rsidR="00000000" w:rsidRDefault="001826C1">
            <w:pPr>
              <w:jc w:val="right"/>
              <w:rPr>
                <w:rFonts w:eastAsia="Times New Roman"/>
                <w:sz w:val="16"/>
                <w:szCs w:val="16"/>
              </w:rPr>
            </w:pPr>
            <w:r>
              <w:rPr>
                <w:rFonts w:eastAsia="Times New Roman"/>
                <w:sz w:val="16"/>
                <w:szCs w:val="16"/>
              </w:rPr>
              <w:t>442</w:t>
            </w:r>
          </w:p>
        </w:tc>
        <w:tc>
          <w:tcPr>
            <w:tcW w:w="0" w:type="auto"/>
            <w:shd w:val="clear" w:color="auto" w:fill="FFFFFF"/>
            <w:vAlign w:val="bottom"/>
            <w:hideMark/>
          </w:tcPr>
          <w:p w14:paraId="6B46C0E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62B2C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70A4B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16B5A44" w14:textId="77777777" w:rsidR="00000000" w:rsidRDefault="001826C1">
            <w:pPr>
              <w:jc w:val="right"/>
              <w:rPr>
                <w:rFonts w:eastAsia="Times New Roman"/>
                <w:sz w:val="16"/>
                <w:szCs w:val="16"/>
              </w:rPr>
            </w:pPr>
            <w:r>
              <w:rPr>
                <w:rFonts w:eastAsia="Times New Roman"/>
                <w:sz w:val="16"/>
                <w:szCs w:val="16"/>
              </w:rPr>
              <w:t>462</w:t>
            </w:r>
          </w:p>
        </w:tc>
        <w:tc>
          <w:tcPr>
            <w:tcW w:w="0" w:type="auto"/>
            <w:shd w:val="clear" w:color="auto" w:fill="FFFFFF"/>
            <w:vAlign w:val="bottom"/>
            <w:hideMark/>
          </w:tcPr>
          <w:p w14:paraId="6E72CA7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CE9A1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4FB24A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BAC807" w14:textId="77777777" w:rsidR="00000000" w:rsidRDefault="001826C1">
            <w:pPr>
              <w:jc w:val="right"/>
              <w:rPr>
                <w:rFonts w:eastAsia="Times New Roman"/>
                <w:sz w:val="16"/>
                <w:szCs w:val="16"/>
              </w:rPr>
            </w:pPr>
            <w:r>
              <w:rPr>
                <w:rFonts w:eastAsia="Times New Roman"/>
                <w:sz w:val="16"/>
                <w:szCs w:val="16"/>
              </w:rPr>
              <w:t>403</w:t>
            </w:r>
          </w:p>
        </w:tc>
        <w:tc>
          <w:tcPr>
            <w:tcW w:w="0" w:type="auto"/>
            <w:shd w:val="clear" w:color="auto" w:fill="FFFFFF"/>
            <w:vAlign w:val="bottom"/>
            <w:hideMark/>
          </w:tcPr>
          <w:p w14:paraId="2598A3D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BD1325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385DE6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1B29765" w14:textId="77777777" w:rsidR="00000000" w:rsidRDefault="001826C1">
            <w:pPr>
              <w:jc w:val="right"/>
              <w:rPr>
                <w:rFonts w:eastAsia="Times New Roman"/>
                <w:sz w:val="16"/>
                <w:szCs w:val="16"/>
              </w:rPr>
            </w:pPr>
            <w:r>
              <w:rPr>
                <w:rFonts w:eastAsia="Times New Roman"/>
                <w:sz w:val="16"/>
                <w:szCs w:val="16"/>
              </w:rPr>
              <w:t>305</w:t>
            </w:r>
          </w:p>
        </w:tc>
        <w:tc>
          <w:tcPr>
            <w:tcW w:w="0" w:type="auto"/>
            <w:shd w:val="clear" w:color="auto" w:fill="FFFFFF"/>
            <w:vAlign w:val="bottom"/>
            <w:hideMark/>
          </w:tcPr>
          <w:p w14:paraId="4B66E671" w14:textId="77777777" w:rsidR="00000000" w:rsidRDefault="001826C1">
            <w:pPr>
              <w:rPr>
                <w:rFonts w:eastAsia="Times New Roman"/>
                <w:sz w:val="16"/>
                <w:szCs w:val="16"/>
              </w:rPr>
            </w:pPr>
            <w:r>
              <w:rPr>
                <w:rFonts w:eastAsia="Times New Roman"/>
                <w:sz w:val="16"/>
                <w:szCs w:val="16"/>
              </w:rPr>
              <w:t> </w:t>
            </w:r>
          </w:p>
        </w:tc>
      </w:tr>
      <w:tr w:rsidR="001826C1" w14:paraId="491A396D" w14:textId="77777777">
        <w:tc>
          <w:tcPr>
            <w:tcW w:w="0" w:type="auto"/>
            <w:shd w:val="clear" w:color="auto" w:fill="CCEEFF"/>
            <w:vAlign w:val="bottom"/>
            <w:hideMark/>
          </w:tcPr>
          <w:p w14:paraId="25E77EE6" w14:textId="77777777" w:rsidR="00000000" w:rsidRDefault="001826C1">
            <w:pPr>
              <w:rPr>
                <w:rFonts w:eastAsia="Times New Roman"/>
                <w:sz w:val="16"/>
                <w:szCs w:val="16"/>
              </w:rPr>
            </w:pPr>
            <w:r>
              <w:rPr>
                <w:rFonts w:eastAsia="Times New Roman"/>
                <w:sz w:val="16"/>
                <w:szCs w:val="16"/>
              </w:rPr>
              <w:t>General and administrative</w:t>
            </w:r>
          </w:p>
        </w:tc>
        <w:tc>
          <w:tcPr>
            <w:tcW w:w="0" w:type="auto"/>
            <w:shd w:val="clear" w:color="auto" w:fill="CCEEFF"/>
            <w:vAlign w:val="bottom"/>
            <w:hideMark/>
          </w:tcPr>
          <w:p w14:paraId="3CFC099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09672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FC7604A" w14:textId="77777777" w:rsidR="00000000" w:rsidRDefault="001826C1">
            <w:pPr>
              <w:jc w:val="right"/>
              <w:rPr>
                <w:rFonts w:eastAsia="Times New Roman"/>
                <w:sz w:val="16"/>
                <w:szCs w:val="16"/>
              </w:rPr>
            </w:pPr>
            <w:r>
              <w:rPr>
                <w:rFonts w:eastAsia="Times New Roman"/>
                <w:sz w:val="16"/>
                <w:szCs w:val="16"/>
              </w:rPr>
              <w:t>4,155</w:t>
            </w:r>
          </w:p>
        </w:tc>
        <w:tc>
          <w:tcPr>
            <w:tcW w:w="0" w:type="auto"/>
            <w:shd w:val="clear" w:color="auto" w:fill="CCEEFF"/>
            <w:vAlign w:val="bottom"/>
            <w:hideMark/>
          </w:tcPr>
          <w:p w14:paraId="1EC5F34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123F4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611B2B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0244B1" w14:textId="77777777" w:rsidR="00000000" w:rsidRDefault="001826C1">
            <w:pPr>
              <w:jc w:val="right"/>
              <w:rPr>
                <w:rFonts w:eastAsia="Times New Roman"/>
                <w:sz w:val="16"/>
                <w:szCs w:val="16"/>
              </w:rPr>
            </w:pPr>
            <w:r>
              <w:rPr>
                <w:rFonts w:eastAsia="Times New Roman"/>
                <w:sz w:val="16"/>
                <w:szCs w:val="16"/>
              </w:rPr>
              <w:t>4,452</w:t>
            </w:r>
          </w:p>
        </w:tc>
        <w:tc>
          <w:tcPr>
            <w:tcW w:w="0" w:type="auto"/>
            <w:shd w:val="clear" w:color="auto" w:fill="CCEEFF"/>
            <w:vAlign w:val="bottom"/>
            <w:hideMark/>
          </w:tcPr>
          <w:p w14:paraId="1211F9E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AD680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57C2B6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79A1956" w14:textId="77777777" w:rsidR="00000000" w:rsidRDefault="001826C1">
            <w:pPr>
              <w:jc w:val="right"/>
              <w:rPr>
                <w:rFonts w:eastAsia="Times New Roman"/>
                <w:sz w:val="16"/>
                <w:szCs w:val="16"/>
              </w:rPr>
            </w:pPr>
            <w:r>
              <w:rPr>
                <w:rFonts w:eastAsia="Times New Roman"/>
                <w:sz w:val="16"/>
                <w:szCs w:val="16"/>
              </w:rPr>
              <w:t>5,143</w:t>
            </w:r>
          </w:p>
        </w:tc>
        <w:tc>
          <w:tcPr>
            <w:tcW w:w="0" w:type="auto"/>
            <w:shd w:val="clear" w:color="auto" w:fill="CCEEFF"/>
            <w:vAlign w:val="bottom"/>
            <w:hideMark/>
          </w:tcPr>
          <w:p w14:paraId="0DCAC8F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78B911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4989B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0348546" w14:textId="77777777" w:rsidR="00000000" w:rsidRDefault="001826C1">
            <w:pPr>
              <w:jc w:val="right"/>
              <w:rPr>
                <w:rFonts w:eastAsia="Times New Roman"/>
                <w:sz w:val="16"/>
                <w:szCs w:val="16"/>
              </w:rPr>
            </w:pPr>
            <w:r>
              <w:rPr>
                <w:rFonts w:eastAsia="Times New Roman"/>
                <w:sz w:val="16"/>
                <w:szCs w:val="16"/>
              </w:rPr>
              <w:t>4,161</w:t>
            </w:r>
          </w:p>
        </w:tc>
        <w:tc>
          <w:tcPr>
            <w:tcW w:w="0" w:type="auto"/>
            <w:shd w:val="clear" w:color="auto" w:fill="CCEEFF"/>
            <w:vAlign w:val="bottom"/>
            <w:hideMark/>
          </w:tcPr>
          <w:p w14:paraId="19E9A1D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F20A3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7FF0A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93EE684" w14:textId="77777777" w:rsidR="00000000" w:rsidRDefault="001826C1">
            <w:pPr>
              <w:jc w:val="right"/>
              <w:rPr>
                <w:rFonts w:eastAsia="Times New Roman"/>
                <w:sz w:val="16"/>
                <w:szCs w:val="16"/>
              </w:rPr>
            </w:pPr>
            <w:r>
              <w:rPr>
                <w:rFonts w:eastAsia="Times New Roman"/>
                <w:sz w:val="16"/>
                <w:szCs w:val="16"/>
              </w:rPr>
              <w:t>5,478</w:t>
            </w:r>
          </w:p>
        </w:tc>
        <w:tc>
          <w:tcPr>
            <w:tcW w:w="0" w:type="auto"/>
            <w:shd w:val="clear" w:color="auto" w:fill="CCEEFF"/>
            <w:vAlign w:val="bottom"/>
            <w:hideMark/>
          </w:tcPr>
          <w:p w14:paraId="2D1E3F3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6C75C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EF27B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D44C69" w14:textId="77777777" w:rsidR="00000000" w:rsidRDefault="001826C1">
            <w:pPr>
              <w:jc w:val="right"/>
              <w:rPr>
                <w:rFonts w:eastAsia="Times New Roman"/>
                <w:sz w:val="16"/>
                <w:szCs w:val="16"/>
              </w:rPr>
            </w:pPr>
            <w:r>
              <w:rPr>
                <w:rFonts w:eastAsia="Times New Roman"/>
                <w:sz w:val="16"/>
                <w:szCs w:val="16"/>
              </w:rPr>
              <w:t>5,131</w:t>
            </w:r>
          </w:p>
        </w:tc>
        <w:tc>
          <w:tcPr>
            <w:tcW w:w="0" w:type="auto"/>
            <w:shd w:val="clear" w:color="auto" w:fill="CCEEFF"/>
            <w:vAlign w:val="bottom"/>
            <w:hideMark/>
          </w:tcPr>
          <w:p w14:paraId="57842E5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F1888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10931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3E7BB96" w14:textId="77777777" w:rsidR="00000000" w:rsidRDefault="001826C1">
            <w:pPr>
              <w:jc w:val="right"/>
              <w:rPr>
                <w:rFonts w:eastAsia="Times New Roman"/>
                <w:sz w:val="16"/>
                <w:szCs w:val="16"/>
              </w:rPr>
            </w:pPr>
            <w:r>
              <w:rPr>
                <w:rFonts w:eastAsia="Times New Roman"/>
                <w:sz w:val="16"/>
                <w:szCs w:val="16"/>
              </w:rPr>
              <w:t>3,054</w:t>
            </w:r>
          </w:p>
        </w:tc>
        <w:tc>
          <w:tcPr>
            <w:tcW w:w="0" w:type="auto"/>
            <w:shd w:val="clear" w:color="auto" w:fill="CCEEFF"/>
            <w:vAlign w:val="bottom"/>
            <w:hideMark/>
          </w:tcPr>
          <w:p w14:paraId="5C14485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287CE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4BE24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34F1D8" w14:textId="77777777" w:rsidR="00000000" w:rsidRDefault="001826C1">
            <w:pPr>
              <w:jc w:val="right"/>
              <w:rPr>
                <w:rFonts w:eastAsia="Times New Roman"/>
                <w:sz w:val="16"/>
                <w:szCs w:val="16"/>
              </w:rPr>
            </w:pPr>
            <w:r>
              <w:rPr>
                <w:rFonts w:eastAsia="Times New Roman"/>
                <w:sz w:val="16"/>
                <w:szCs w:val="16"/>
              </w:rPr>
              <w:t>2,601</w:t>
            </w:r>
          </w:p>
        </w:tc>
        <w:tc>
          <w:tcPr>
            <w:tcW w:w="0" w:type="auto"/>
            <w:shd w:val="clear" w:color="auto" w:fill="CCEEFF"/>
            <w:vAlign w:val="bottom"/>
            <w:hideMark/>
          </w:tcPr>
          <w:p w14:paraId="3D2ED7D1" w14:textId="77777777" w:rsidR="00000000" w:rsidRDefault="001826C1">
            <w:pPr>
              <w:rPr>
                <w:rFonts w:eastAsia="Times New Roman"/>
                <w:sz w:val="16"/>
                <w:szCs w:val="16"/>
              </w:rPr>
            </w:pPr>
            <w:r>
              <w:rPr>
                <w:rFonts w:eastAsia="Times New Roman"/>
                <w:sz w:val="16"/>
                <w:szCs w:val="16"/>
              </w:rPr>
              <w:t> </w:t>
            </w:r>
          </w:p>
        </w:tc>
      </w:tr>
      <w:tr w:rsidR="001826C1" w14:paraId="3A1EE485" w14:textId="77777777">
        <w:tc>
          <w:tcPr>
            <w:tcW w:w="0" w:type="auto"/>
            <w:shd w:val="clear" w:color="auto" w:fill="FFFFFF"/>
            <w:vAlign w:val="bottom"/>
            <w:hideMark/>
          </w:tcPr>
          <w:p w14:paraId="0E19F5E6" w14:textId="77777777" w:rsidR="00000000" w:rsidRDefault="001826C1">
            <w:pPr>
              <w:rPr>
                <w:rFonts w:eastAsia="Times New Roman"/>
                <w:sz w:val="16"/>
                <w:szCs w:val="16"/>
              </w:rPr>
            </w:pPr>
            <w:r>
              <w:rPr>
                <w:rFonts w:eastAsia="Times New Roman"/>
                <w:sz w:val="16"/>
                <w:szCs w:val="16"/>
              </w:rPr>
              <w:t>Research and development</w:t>
            </w:r>
          </w:p>
        </w:tc>
        <w:tc>
          <w:tcPr>
            <w:tcW w:w="0" w:type="auto"/>
            <w:shd w:val="clear" w:color="auto" w:fill="FFFFFF"/>
            <w:vAlign w:val="bottom"/>
            <w:hideMark/>
          </w:tcPr>
          <w:p w14:paraId="14FB303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375F95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EB3108" w14:textId="77777777" w:rsidR="00000000" w:rsidRDefault="001826C1">
            <w:pPr>
              <w:jc w:val="right"/>
              <w:rPr>
                <w:rFonts w:eastAsia="Times New Roman"/>
                <w:sz w:val="16"/>
                <w:szCs w:val="16"/>
              </w:rPr>
            </w:pPr>
            <w:r>
              <w:rPr>
                <w:rFonts w:eastAsia="Times New Roman"/>
                <w:sz w:val="16"/>
                <w:szCs w:val="16"/>
              </w:rPr>
              <w:t>221</w:t>
            </w:r>
          </w:p>
        </w:tc>
        <w:tc>
          <w:tcPr>
            <w:tcW w:w="0" w:type="auto"/>
            <w:shd w:val="clear" w:color="auto" w:fill="FFFFFF"/>
            <w:vAlign w:val="bottom"/>
            <w:hideMark/>
          </w:tcPr>
          <w:p w14:paraId="5CC4E31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4995E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083B2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D2DDAC" w14:textId="77777777" w:rsidR="00000000" w:rsidRDefault="001826C1">
            <w:pPr>
              <w:jc w:val="right"/>
              <w:rPr>
                <w:rFonts w:eastAsia="Times New Roman"/>
                <w:sz w:val="16"/>
                <w:szCs w:val="16"/>
              </w:rPr>
            </w:pPr>
            <w:r>
              <w:rPr>
                <w:rFonts w:eastAsia="Times New Roman"/>
                <w:sz w:val="16"/>
                <w:szCs w:val="16"/>
              </w:rPr>
              <w:t>176</w:t>
            </w:r>
          </w:p>
        </w:tc>
        <w:tc>
          <w:tcPr>
            <w:tcW w:w="0" w:type="auto"/>
            <w:shd w:val="clear" w:color="auto" w:fill="FFFFFF"/>
            <w:vAlign w:val="bottom"/>
            <w:hideMark/>
          </w:tcPr>
          <w:p w14:paraId="4C8F15C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427A2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9544F3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6F6A76" w14:textId="77777777" w:rsidR="00000000" w:rsidRDefault="001826C1">
            <w:pPr>
              <w:jc w:val="right"/>
              <w:rPr>
                <w:rFonts w:eastAsia="Times New Roman"/>
                <w:sz w:val="16"/>
                <w:szCs w:val="16"/>
              </w:rPr>
            </w:pPr>
            <w:r>
              <w:rPr>
                <w:rFonts w:eastAsia="Times New Roman"/>
                <w:sz w:val="16"/>
                <w:szCs w:val="16"/>
              </w:rPr>
              <w:t>219</w:t>
            </w:r>
          </w:p>
        </w:tc>
        <w:tc>
          <w:tcPr>
            <w:tcW w:w="0" w:type="auto"/>
            <w:shd w:val="clear" w:color="auto" w:fill="FFFFFF"/>
            <w:vAlign w:val="bottom"/>
            <w:hideMark/>
          </w:tcPr>
          <w:p w14:paraId="1754124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4DE65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8B5CF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797D9E" w14:textId="77777777" w:rsidR="00000000" w:rsidRDefault="001826C1">
            <w:pPr>
              <w:jc w:val="right"/>
              <w:rPr>
                <w:rFonts w:eastAsia="Times New Roman"/>
                <w:sz w:val="16"/>
                <w:szCs w:val="16"/>
              </w:rPr>
            </w:pPr>
            <w:r>
              <w:rPr>
                <w:rFonts w:eastAsia="Times New Roman"/>
                <w:sz w:val="16"/>
                <w:szCs w:val="16"/>
              </w:rPr>
              <w:t>255</w:t>
            </w:r>
          </w:p>
        </w:tc>
        <w:tc>
          <w:tcPr>
            <w:tcW w:w="0" w:type="auto"/>
            <w:shd w:val="clear" w:color="auto" w:fill="FFFFFF"/>
            <w:vAlign w:val="bottom"/>
            <w:hideMark/>
          </w:tcPr>
          <w:p w14:paraId="42D4D7B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A65301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F3F38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D222A3" w14:textId="77777777" w:rsidR="00000000" w:rsidRDefault="001826C1">
            <w:pPr>
              <w:jc w:val="right"/>
              <w:rPr>
                <w:rFonts w:eastAsia="Times New Roman"/>
                <w:sz w:val="16"/>
                <w:szCs w:val="16"/>
              </w:rPr>
            </w:pPr>
            <w:r>
              <w:rPr>
                <w:rFonts w:eastAsia="Times New Roman"/>
                <w:sz w:val="16"/>
                <w:szCs w:val="16"/>
              </w:rPr>
              <w:t>261</w:t>
            </w:r>
          </w:p>
        </w:tc>
        <w:tc>
          <w:tcPr>
            <w:tcW w:w="0" w:type="auto"/>
            <w:shd w:val="clear" w:color="auto" w:fill="FFFFFF"/>
            <w:vAlign w:val="bottom"/>
            <w:hideMark/>
          </w:tcPr>
          <w:p w14:paraId="4387A19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54E86D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983C1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B46824C" w14:textId="77777777" w:rsidR="00000000" w:rsidRDefault="001826C1">
            <w:pPr>
              <w:jc w:val="right"/>
              <w:rPr>
                <w:rFonts w:eastAsia="Times New Roman"/>
                <w:sz w:val="16"/>
                <w:szCs w:val="16"/>
              </w:rPr>
            </w:pPr>
            <w:r>
              <w:rPr>
                <w:rFonts w:eastAsia="Times New Roman"/>
                <w:sz w:val="16"/>
                <w:szCs w:val="16"/>
              </w:rPr>
              <w:t>264</w:t>
            </w:r>
          </w:p>
        </w:tc>
        <w:tc>
          <w:tcPr>
            <w:tcW w:w="0" w:type="auto"/>
            <w:shd w:val="clear" w:color="auto" w:fill="FFFFFF"/>
            <w:vAlign w:val="bottom"/>
            <w:hideMark/>
          </w:tcPr>
          <w:p w14:paraId="7B0150C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850B2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70ACDB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83800A" w14:textId="77777777" w:rsidR="00000000" w:rsidRDefault="001826C1">
            <w:pPr>
              <w:jc w:val="right"/>
              <w:rPr>
                <w:rFonts w:eastAsia="Times New Roman"/>
                <w:sz w:val="16"/>
                <w:szCs w:val="16"/>
              </w:rPr>
            </w:pPr>
            <w:r>
              <w:rPr>
                <w:rFonts w:eastAsia="Times New Roman"/>
                <w:sz w:val="16"/>
                <w:szCs w:val="16"/>
              </w:rPr>
              <w:t>249</w:t>
            </w:r>
          </w:p>
        </w:tc>
        <w:tc>
          <w:tcPr>
            <w:tcW w:w="0" w:type="auto"/>
            <w:shd w:val="clear" w:color="auto" w:fill="FFFFFF"/>
            <w:vAlign w:val="bottom"/>
            <w:hideMark/>
          </w:tcPr>
          <w:p w14:paraId="13D3B1D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5A2D0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7ED1B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4047B3" w14:textId="77777777" w:rsidR="00000000" w:rsidRDefault="001826C1">
            <w:pPr>
              <w:jc w:val="right"/>
              <w:rPr>
                <w:rFonts w:eastAsia="Times New Roman"/>
                <w:sz w:val="16"/>
                <w:szCs w:val="16"/>
              </w:rPr>
            </w:pPr>
            <w:r>
              <w:rPr>
                <w:rFonts w:eastAsia="Times New Roman"/>
                <w:sz w:val="16"/>
                <w:szCs w:val="16"/>
              </w:rPr>
              <w:t>255</w:t>
            </w:r>
          </w:p>
        </w:tc>
        <w:tc>
          <w:tcPr>
            <w:tcW w:w="0" w:type="auto"/>
            <w:shd w:val="clear" w:color="auto" w:fill="FFFFFF"/>
            <w:vAlign w:val="bottom"/>
            <w:hideMark/>
          </w:tcPr>
          <w:p w14:paraId="1E0B7F49" w14:textId="77777777" w:rsidR="00000000" w:rsidRDefault="001826C1">
            <w:pPr>
              <w:rPr>
                <w:rFonts w:eastAsia="Times New Roman"/>
                <w:sz w:val="16"/>
                <w:szCs w:val="16"/>
              </w:rPr>
            </w:pPr>
            <w:r>
              <w:rPr>
                <w:rFonts w:eastAsia="Times New Roman"/>
                <w:sz w:val="16"/>
                <w:szCs w:val="16"/>
              </w:rPr>
              <w:t> </w:t>
            </w:r>
          </w:p>
        </w:tc>
      </w:tr>
      <w:tr w:rsidR="001826C1" w14:paraId="2D52E0FC" w14:textId="77777777">
        <w:tc>
          <w:tcPr>
            <w:tcW w:w="0" w:type="auto"/>
            <w:shd w:val="clear" w:color="auto" w:fill="CCEEFF"/>
            <w:vAlign w:val="bottom"/>
            <w:hideMark/>
          </w:tcPr>
          <w:p w14:paraId="4E31835B" w14:textId="77777777" w:rsidR="00000000" w:rsidRDefault="001826C1">
            <w:pPr>
              <w:rPr>
                <w:rFonts w:eastAsia="Times New Roman"/>
                <w:sz w:val="16"/>
                <w:szCs w:val="16"/>
              </w:rPr>
            </w:pPr>
            <w:r>
              <w:rPr>
                <w:rFonts w:eastAsia="Times New Roman"/>
                <w:sz w:val="16"/>
                <w:szCs w:val="16"/>
              </w:rPr>
              <w:t xml:space="preserve">Change </w:t>
            </w:r>
            <w:r>
              <w:rPr>
                <w:rFonts w:eastAsia="Times New Roman"/>
                <w:sz w:val="16"/>
                <w:szCs w:val="16"/>
              </w:rPr>
              <w:t>in contingent consideration</w:t>
            </w:r>
          </w:p>
        </w:tc>
        <w:tc>
          <w:tcPr>
            <w:tcW w:w="0" w:type="auto"/>
            <w:shd w:val="clear" w:color="auto" w:fill="CCEEFF"/>
            <w:vAlign w:val="bottom"/>
            <w:hideMark/>
          </w:tcPr>
          <w:p w14:paraId="5C89070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DEC67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70D543"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3B26C3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EEE640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A7F550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1EDBF25" w14:textId="77777777" w:rsidR="00000000" w:rsidRDefault="001826C1">
            <w:pPr>
              <w:jc w:val="right"/>
              <w:rPr>
                <w:rFonts w:eastAsia="Times New Roman"/>
                <w:sz w:val="16"/>
                <w:szCs w:val="16"/>
              </w:rPr>
            </w:pPr>
            <w:r>
              <w:rPr>
                <w:rFonts w:eastAsia="Times New Roman"/>
                <w:sz w:val="16"/>
                <w:szCs w:val="16"/>
              </w:rPr>
              <w:t>(280</w:t>
            </w:r>
          </w:p>
        </w:tc>
        <w:tc>
          <w:tcPr>
            <w:tcW w:w="0" w:type="auto"/>
            <w:shd w:val="clear" w:color="auto" w:fill="CCEEFF"/>
            <w:vAlign w:val="bottom"/>
            <w:hideMark/>
          </w:tcPr>
          <w:p w14:paraId="18CA9A94"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vAlign w:val="bottom"/>
            <w:hideMark/>
          </w:tcPr>
          <w:p w14:paraId="2F98D2B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D8BB1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8EC19D"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54A696D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5F500F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337F5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9A90480" w14:textId="77777777" w:rsidR="00000000" w:rsidRDefault="001826C1">
            <w:pPr>
              <w:jc w:val="right"/>
              <w:rPr>
                <w:rFonts w:eastAsia="Times New Roman"/>
                <w:sz w:val="16"/>
                <w:szCs w:val="16"/>
              </w:rPr>
            </w:pPr>
            <w:r>
              <w:rPr>
                <w:rFonts w:eastAsia="Times New Roman"/>
                <w:sz w:val="16"/>
                <w:szCs w:val="16"/>
              </w:rPr>
              <w:t>(64</w:t>
            </w:r>
          </w:p>
        </w:tc>
        <w:tc>
          <w:tcPr>
            <w:tcW w:w="0" w:type="auto"/>
            <w:shd w:val="clear" w:color="auto" w:fill="CCEEFF"/>
            <w:vAlign w:val="bottom"/>
            <w:hideMark/>
          </w:tcPr>
          <w:p w14:paraId="041E5887"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vAlign w:val="bottom"/>
            <w:hideMark/>
          </w:tcPr>
          <w:p w14:paraId="1B36E51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3FFB07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320E061" w14:textId="77777777" w:rsidR="00000000" w:rsidRDefault="001826C1">
            <w:pPr>
              <w:jc w:val="right"/>
              <w:rPr>
                <w:rFonts w:eastAsia="Times New Roman"/>
                <w:sz w:val="16"/>
                <w:szCs w:val="16"/>
              </w:rPr>
            </w:pPr>
            <w:r>
              <w:rPr>
                <w:rFonts w:eastAsia="Times New Roman"/>
                <w:sz w:val="16"/>
                <w:szCs w:val="16"/>
              </w:rPr>
              <w:t>5</w:t>
            </w:r>
          </w:p>
        </w:tc>
        <w:tc>
          <w:tcPr>
            <w:tcW w:w="0" w:type="auto"/>
            <w:shd w:val="clear" w:color="auto" w:fill="CCEEFF"/>
            <w:vAlign w:val="bottom"/>
            <w:hideMark/>
          </w:tcPr>
          <w:p w14:paraId="3F4CB05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16084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4812E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C0A5861" w14:textId="77777777" w:rsidR="00000000" w:rsidRDefault="001826C1">
            <w:pPr>
              <w:jc w:val="right"/>
              <w:rPr>
                <w:rFonts w:eastAsia="Times New Roman"/>
                <w:sz w:val="16"/>
                <w:szCs w:val="16"/>
              </w:rPr>
            </w:pPr>
            <w:r>
              <w:rPr>
                <w:rFonts w:eastAsia="Times New Roman"/>
                <w:sz w:val="16"/>
                <w:szCs w:val="16"/>
              </w:rPr>
              <w:t>25</w:t>
            </w:r>
          </w:p>
        </w:tc>
        <w:tc>
          <w:tcPr>
            <w:tcW w:w="0" w:type="auto"/>
            <w:shd w:val="clear" w:color="auto" w:fill="CCEEFF"/>
            <w:vAlign w:val="bottom"/>
            <w:hideMark/>
          </w:tcPr>
          <w:p w14:paraId="03ED2BB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B331A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18568A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0DA2D8" w14:textId="77777777" w:rsidR="00000000" w:rsidRDefault="001826C1">
            <w:pPr>
              <w:jc w:val="right"/>
              <w:rPr>
                <w:rFonts w:eastAsia="Times New Roman"/>
                <w:sz w:val="16"/>
                <w:szCs w:val="16"/>
              </w:rPr>
            </w:pPr>
            <w:r>
              <w:rPr>
                <w:rFonts w:eastAsia="Times New Roman"/>
                <w:sz w:val="16"/>
                <w:szCs w:val="16"/>
              </w:rPr>
              <w:t>11</w:t>
            </w:r>
          </w:p>
        </w:tc>
        <w:tc>
          <w:tcPr>
            <w:tcW w:w="0" w:type="auto"/>
            <w:shd w:val="clear" w:color="auto" w:fill="CCEEFF"/>
            <w:vAlign w:val="bottom"/>
            <w:hideMark/>
          </w:tcPr>
          <w:p w14:paraId="442D04D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1EC9A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E2ACB9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AD0EAA5" w14:textId="77777777" w:rsidR="00000000" w:rsidRDefault="001826C1">
            <w:pPr>
              <w:jc w:val="right"/>
              <w:rPr>
                <w:rFonts w:eastAsia="Times New Roman"/>
                <w:sz w:val="16"/>
                <w:szCs w:val="16"/>
              </w:rPr>
            </w:pPr>
            <w:r>
              <w:rPr>
                <w:rFonts w:eastAsia="Times New Roman"/>
                <w:sz w:val="16"/>
                <w:szCs w:val="16"/>
              </w:rPr>
              <w:t>32</w:t>
            </w:r>
          </w:p>
        </w:tc>
        <w:tc>
          <w:tcPr>
            <w:tcW w:w="0" w:type="auto"/>
            <w:shd w:val="clear" w:color="auto" w:fill="CCEEFF"/>
            <w:vAlign w:val="bottom"/>
            <w:hideMark/>
          </w:tcPr>
          <w:p w14:paraId="1BC69BC7" w14:textId="77777777" w:rsidR="00000000" w:rsidRDefault="001826C1">
            <w:pPr>
              <w:rPr>
                <w:rFonts w:eastAsia="Times New Roman"/>
                <w:sz w:val="16"/>
                <w:szCs w:val="16"/>
              </w:rPr>
            </w:pPr>
            <w:r>
              <w:rPr>
                <w:rFonts w:eastAsia="Times New Roman"/>
                <w:sz w:val="16"/>
                <w:szCs w:val="16"/>
              </w:rPr>
              <w:t> </w:t>
            </w:r>
          </w:p>
        </w:tc>
      </w:tr>
      <w:tr w:rsidR="001826C1" w14:paraId="38BEFB27" w14:textId="77777777">
        <w:tc>
          <w:tcPr>
            <w:tcW w:w="0" w:type="auto"/>
            <w:shd w:val="clear" w:color="auto" w:fill="FFFFFF"/>
            <w:vAlign w:val="bottom"/>
            <w:hideMark/>
          </w:tcPr>
          <w:p w14:paraId="5F8DE628" w14:textId="77777777" w:rsidR="00000000" w:rsidRDefault="001826C1">
            <w:pPr>
              <w:rPr>
                <w:rFonts w:eastAsia="Times New Roman"/>
                <w:sz w:val="16"/>
                <w:szCs w:val="16"/>
              </w:rPr>
            </w:pPr>
            <w:r>
              <w:rPr>
                <w:rFonts w:eastAsia="Times New Roman"/>
                <w:sz w:val="16"/>
                <w:szCs w:val="16"/>
              </w:rPr>
              <w:t>Depreciation and amortization</w:t>
            </w:r>
          </w:p>
        </w:tc>
        <w:tc>
          <w:tcPr>
            <w:tcW w:w="0" w:type="auto"/>
            <w:shd w:val="clear" w:color="auto" w:fill="FFFFFF"/>
            <w:vAlign w:val="bottom"/>
            <w:hideMark/>
          </w:tcPr>
          <w:p w14:paraId="61C378B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FB5C8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01867AE" w14:textId="77777777" w:rsidR="00000000" w:rsidRDefault="001826C1">
            <w:pPr>
              <w:jc w:val="right"/>
              <w:rPr>
                <w:rFonts w:eastAsia="Times New Roman"/>
                <w:sz w:val="16"/>
                <w:szCs w:val="16"/>
              </w:rPr>
            </w:pPr>
            <w:r>
              <w:rPr>
                <w:rFonts w:eastAsia="Times New Roman"/>
                <w:sz w:val="16"/>
                <w:szCs w:val="16"/>
              </w:rPr>
              <w:t>598</w:t>
            </w:r>
          </w:p>
        </w:tc>
        <w:tc>
          <w:tcPr>
            <w:tcW w:w="0" w:type="auto"/>
            <w:shd w:val="clear" w:color="auto" w:fill="FFFFFF"/>
            <w:vAlign w:val="bottom"/>
            <w:hideMark/>
          </w:tcPr>
          <w:p w14:paraId="634E352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A5938A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DF870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4C1D5E" w14:textId="77777777" w:rsidR="00000000" w:rsidRDefault="001826C1">
            <w:pPr>
              <w:jc w:val="right"/>
              <w:rPr>
                <w:rFonts w:eastAsia="Times New Roman"/>
                <w:sz w:val="16"/>
                <w:szCs w:val="16"/>
              </w:rPr>
            </w:pPr>
            <w:r>
              <w:rPr>
                <w:rFonts w:eastAsia="Times New Roman"/>
                <w:sz w:val="16"/>
                <w:szCs w:val="16"/>
              </w:rPr>
              <w:t>814</w:t>
            </w:r>
          </w:p>
        </w:tc>
        <w:tc>
          <w:tcPr>
            <w:tcW w:w="0" w:type="auto"/>
            <w:shd w:val="clear" w:color="auto" w:fill="FFFFFF"/>
            <w:vAlign w:val="bottom"/>
            <w:hideMark/>
          </w:tcPr>
          <w:p w14:paraId="680F625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3D3AA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4FF698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80A34F" w14:textId="77777777" w:rsidR="00000000" w:rsidRDefault="001826C1">
            <w:pPr>
              <w:jc w:val="right"/>
              <w:rPr>
                <w:rFonts w:eastAsia="Times New Roman"/>
                <w:sz w:val="16"/>
                <w:szCs w:val="16"/>
              </w:rPr>
            </w:pPr>
            <w:r>
              <w:rPr>
                <w:rFonts w:eastAsia="Times New Roman"/>
                <w:sz w:val="16"/>
                <w:szCs w:val="16"/>
              </w:rPr>
              <w:t>836</w:t>
            </w:r>
          </w:p>
        </w:tc>
        <w:tc>
          <w:tcPr>
            <w:tcW w:w="0" w:type="auto"/>
            <w:shd w:val="clear" w:color="auto" w:fill="FFFFFF"/>
            <w:vAlign w:val="bottom"/>
            <w:hideMark/>
          </w:tcPr>
          <w:p w14:paraId="5305CED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0DBD57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C99BA4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08D2E63" w14:textId="77777777" w:rsidR="00000000" w:rsidRDefault="001826C1">
            <w:pPr>
              <w:jc w:val="right"/>
              <w:rPr>
                <w:rFonts w:eastAsia="Times New Roman"/>
                <w:sz w:val="16"/>
                <w:szCs w:val="16"/>
              </w:rPr>
            </w:pPr>
            <w:r>
              <w:rPr>
                <w:rFonts w:eastAsia="Times New Roman"/>
                <w:sz w:val="16"/>
                <w:szCs w:val="16"/>
              </w:rPr>
              <w:t>757</w:t>
            </w:r>
          </w:p>
        </w:tc>
        <w:tc>
          <w:tcPr>
            <w:tcW w:w="0" w:type="auto"/>
            <w:shd w:val="clear" w:color="auto" w:fill="FFFFFF"/>
            <w:vAlign w:val="bottom"/>
            <w:hideMark/>
          </w:tcPr>
          <w:p w14:paraId="63393C9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D668A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D7911C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AAD91B" w14:textId="77777777" w:rsidR="00000000" w:rsidRDefault="001826C1">
            <w:pPr>
              <w:jc w:val="right"/>
              <w:rPr>
                <w:rFonts w:eastAsia="Times New Roman"/>
                <w:sz w:val="16"/>
                <w:szCs w:val="16"/>
              </w:rPr>
            </w:pPr>
            <w:r>
              <w:rPr>
                <w:rFonts w:eastAsia="Times New Roman"/>
                <w:sz w:val="16"/>
                <w:szCs w:val="16"/>
              </w:rPr>
              <w:t>881</w:t>
            </w:r>
          </w:p>
        </w:tc>
        <w:tc>
          <w:tcPr>
            <w:tcW w:w="0" w:type="auto"/>
            <w:shd w:val="clear" w:color="auto" w:fill="FFFFFF"/>
            <w:vAlign w:val="bottom"/>
            <w:hideMark/>
          </w:tcPr>
          <w:p w14:paraId="6D5798E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492BE2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96846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629599" w14:textId="77777777" w:rsidR="00000000" w:rsidRDefault="001826C1">
            <w:pPr>
              <w:jc w:val="right"/>
              <w:rPr>
                <w:rFonts w:eastAsia="Times New Roman"/>
                <w:sz w:val="16"/>
                <w:szCs w:val="16"/>
              </w:rPr>
            </w:pPr>
            <w:r>
              <w:rPr>
                <w:rFonts w:eastAsia="Times New Roman"/>
                <w:sz w:val="16"/>
                <w:szCs w:val="16"/>
              </w:rPr>
              <w:t>822</w:t>
            </w:r>
          </w:p>
        </w:tc>
        <w:tc>
          <w:tcPr>
            <w:tcW w:w="0" w:type="auto"/>
            <w:shd w:val="clear" w:color="auto" w:fill="FFFFFF"/>
            <w:vAlign w:val="bottom"/>
            <w:hideMark/>
          </w:tcPr>
          <w:p w14:paraId="4211E62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B80CC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6CF5CF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C2DBFA0" w14:textId="77777777" w:rsidR="00000000" w:rsidRDefault="001826C1">
            <w:pPr>
              <w:jc w:val="right"/>
              <w:rPr>
                <w:rFonts w:eastAsia="Times New Roman"/>
                <w:sz w:val="16"/>
                <w:szCs w:val="16"/>
              </w:rPr>
            </w:pPr>
            <w:r>
              <w:rPr>
                <w:rFonts w:eastAsia="Times New Roman"/>
                <w:sz w:val="16"/>
                <w:szCs w:val="16"/>
              </w:rPr>
              <w:t>560</w:t>
            </w:r>
          </w:p>
        </w:tc>
        <w:tc>
          <w:tcPr>
            <w:tcW w:w="0" w:type="auto"/>
            <w:shd w:val="clear" w:color="auto" w:fill="FFFFFF"/>
            <w:vAlign w:val="bottom"/>
            <w:hideMark/>
          </w:tcPr>
          <w:p w14:paraId="621D45C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80B99C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017F62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4B4E94" w14:textId="77777777" w:rsidR="00000000" w:rsidRDefault="001826C1">
            <w:pPr>
              <w:jc w:val="right"/>
              <w:rPr>
                <w:rFonts w:eastAsia="Times New Roman"/>
                <w:sz w:val="16"/>
                <w:szCs w:val="16"/>
              </w:rPr>
            </w:pPr>
            <w:r>
              <w:rPr>
                <w:rFonts w:eastAsia="Times New Roman"/>
                <w:sz w:val="16"/>
                <w:szCs w:val="16"/>
              </w:rPr>
              <w:t>591</w:t>
            </w:r>
          </w:p>
        </w:tc>
        <w:tc>
          <w:tcPr>
            <w:tcW w:w="0" w:type="auto"/>
            <w:shd w:val="clear" w:color="auto" w:fill="FFFFFF"/>
            <w:vAlign w:val="bottom"/>
            <w:hideMark/>
          </w:tcPr>
          <w:p w14:paraId="1E12226A" w14:textId="77777777" w:rsidR="00000000" w:rsidRDefault="001826C1">
            <w:pPr>
              <w:rPr>
                <w:rFonts w:eastAsia="Times New Roman"/>
                <w:sz w:val="16"/>
                <w:szCs w:val="16"/>
              </w:rPr>
            </w:pPr>
            <w:r>
              <w:rPr>
                <w:rFonts w:eastAsia="Times New Roman"/>
                <w:sz w:val="16"/>
                <w:szCs w:val="16"/>
              </w:rPr>
              <w:t> </w:t>
            </w:r>
          </w:p>
        </w:tc>
      </w:tr>
      <w:tr w:rsidR="001826C1" w14:paraId="737F1D20" w14:textId="77777777">
        <w:tc>
          <w:tcPr>
            <w:tcW w:w="0" w:type="auto"/>
            <w:shd w:val="clear" w:color="auto" w:fill="CCEEFF"/>
            <w:vAlign w:val="bottom"/>
            <w:hideMark/>
          </w:tcPr>
          <w:p w14:paraId="11B5CBF5" w14:textId="77777777" w:rsidR="00000000" w:rsidRDefault="001826C1">
            <w:pPr>
              <w:rPr>
                <w:rFonts w:eastAsia="Times New Roman"/>
                <w:sz w:val="16"/>
                <w:szCs w:val="16"/>
              </w:rPr>
            </w:pPr>
            <w:r>
              <w:rPr>
                <w:rFonts w:eastAsia="Times New Roman"/>
                <w:sz w:val="16"/>
                <w:szCs w:val="16"/>
              </w:rPr>
              <w:t xml:space="preserve">Restructuring </w:t>
            </w:r>
            <w:r>
              <w:rPr>
                <w:rFonts w:eastAsia="Times New Roman"/>
                <w:sz w:val="16"/>
                <w:szCs w:val="16"/>
              </w:rPr>
              <w:t>and impairment charges</w:t>
            </w:r>
          </w:p>
        </w:tc>
        <w:tc>
          <w:tcPr>
            <w:tcW w:w="0" w:type="auto"/>
            <w:shd w:val="clear" w:color="auto" w:fill="CCEEFF"/>
            <w:tcMar>
              <w:top w:w="0" w:type="dxa"/>
              <w:left w:w="0" w:type="dxa"/>
              <w:bottom w:w="30" w:type="dxa"/>
              <w:right w:w="0" w:type="dxa"/>
            </w:tcMar>
            <w:vAlign w:val="bottom"/>
            <w:hideMark/>
          </w:tcPr>
          <w:p w14:paraId="065E1FBE"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3F4762A"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46627AA" w14:textId="77777777" w:rsidR="00000000" w:rsidRDefault="001826C1">
            <w:pPr>
              <w:jc w:val="right"/>
              <w:rPr>
                <w:rFonts w:eastAsia="Times New Roman"/>
                <w:sz w:val="16"/>
                <w:szCs w:val="16"/>
              </w:rPr>
            </w:pPr>
            <w:r>
              <w:rPr>
                <w:rFonts w:eastAsia="Times New Roman"/>
                <w:sz w:val="16"/>
                <w:szCs w:val="16"/>
              </w:rPr>
              <w:t>83</w:t>
            </w:r>
          </w:p>
        </w:tc>
        <w:tc>
          <w:tcPr>
            <w:tcW w:w="0" w:type="auto"/>
            <w:shd w:val="clear" w:color="auto" w:fill="CCEEFF"/>
            <w:tcMar>
              <w:top w:w="0" w:type="dxa"/>
              <w:left w:w="0" w:type="dxa"/>
              <w:bottom w:w="30" w:type="dxa"/>
              <w:right w:w="0" w:type="dxa"/>
            </w:tcMar>
            <w:vAlign w:val="bottom"/>
            <w:hideMark/>
          </w:tcPr>
          <w:p w14:paraId="4E0C68A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4D174B25"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1AAB60B"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5D16712D" w14:textId="77777777" w:rsidR="00000000" w:rsidRDefault="001826C1">
            <w:pPr>
              <w:jc w:val="right"/>
              <w:rPr>
                <w:rFonts w:eastAsia="Times New Roman"/>
                <w:sz w:val="16"/>
                <w:szCs w:val="16"/>
              </w:rPr>
            </w:pPr>
            <w:r>
              <w:rPr>
                <w:rFonts w:eastAsia="Times New Roman"/>
                <w:sz w:val="16"/>
                <w:szCs w:val="16"/>
              </w:rPr>
              <w:t>136</w:t>
            </w:r>
          </w:p>
        </w:tc>
        <w:tc>
          <w:tcPr>
            <w:tcW w:w="0" w:type="auto"/>
            <w:shd w:val="clear" w:color="auto" w:fill="CCEEFF"/>
            <w:tcMar>
              <w:top w:w="0" w:type="dxa"/>
              <w:left w:w="0" w:type="dxa"/>
              <w:bottom w:w="30" w:type="dxa"/>
              <w:right w:w="0" w:type="dxa"/>
            </w:tcMar>
            <w:vAlign w:val="bottom"/>
            <w:hideMark/>
          </w:tcPr>
          <w:p w14:paraId="4100B97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53D8F110"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4A4C7EE"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096DC7E"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369577E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1F24F617"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8019F4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14764B8"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4AEFB41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68DCE0F8"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CAF8BA4"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58D14F3"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4069B09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1A7F2CF"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31ACF43"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68DEB93"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0D931CA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5FBEF9A0"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C7B497D"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0BF1C7F"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EB5170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2441D1D9"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C1C24F0"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EC1BA05"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590A1972" w14:textId="77777777" w:rsidR="00000000" w:rsidRDefault="001826C1">
            <w:pPr>
              <w:rPr>
                <w:rFonts w:eastAsia="Times New Roman"/>
                <w:sz w:val="16"/>
                <w:szCs w:val="16"/>
              </w:rPr>
            </w:pPr>
            <w:r>
              <w:rPr>
                <w:rFonts w:eastAsia="Times New Roman"/>
                <w:sz w:val="16"/>
                <w:szCs w:val="16"/>
              </w:rPr>
              <w:t> </w:t>
            </w:r>
          </w:p>
        </w:tc>
      </w:tr>
      <w:tr w:rsidR="001826C1" w14:paraId="52987D4B" w14:textId="77777777">
        <w:tc>
          <w:tcPr>
            <w:tcW w:w="0" w:type="auto"/>
            <w:shd w:val="clear" w:color="auto" w:fill="FFFFFF"/>
            <w:vAlign w:val="bottom"/>
            <w:hideMark/>
          </w:tcPr>
          <w:p w14:paraId="6E8D5859" w14:textId="77777777" w:rsidR="00000000" w:rsidRDefault="001826C1">
            <w:pPr>
              <w:rPr>
                <w:rFonts w:eastAsia="Times New Roman"/>
                <w:sz w:val="16"/>
                <w:szCs w:val="16"/>
              </w:rPr>
            </w:pPr>
            <w:r>
              <w:rPr>
                <w:rFonts w:eastAsia="Times New Roman"/>
                <w:sz w:val="16"/>
                <w:szCs w:val="16"/>
              </w:rPr>
              <w:t>Total operating expenses</w:t>
            </w:r>
          </w:p>
        </w:tc>
        <w:tc>
          <w:tcPr>
            <w:tcW w:w="0" w:type="auto"/>
            <w:shd w:val="clear" w:color="auto" w:fill="FFFFFF"/>
            <w:vAlign w:val="bottom"/>
            <w:hideMark/>
          </w:tcPr>
          <w:p w14:paraId="3F8334C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8BDC0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83F0EC" w14:textId="77777777" w:rsidR="00000000" w:rsidRDefault="001826C1">
            <w:pPr>
              <w:jc w:val="right"/>
              <w:rPr>
                <w:rFonts w:eastAsia="Times New Roman"/>
                <w:sz w:val="16"/>
                <w:szCs w:val="16"/>
              </w:rPr>
            </w:pPr>
            <w:r>
              <w:rPr>
                <w:rFonts w:eastAsia="Times New Roman"/>
                <w:sz w:val="16"/>
                <w:szCs w:val="16"/>
              </w:rPr>
              <w:t>14,893</w:t>
            </w:r>
          </w:p>
        </w:tc>
        <w:tc>
          <w:tcPr>
            <w:tcW w:w="0" w:type="auto"/>
            <w:shd w:val="clear" w:color="auto" w:fill="FFFFFF"/>
            <w:vAlign w:val="bottom"/>
            <w:hideMark/>
          </w:tcPr>
          <w:p w14:paraId="4FBE706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EB74D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ED356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261165" w14:textId="77777777" w:rsidR="00000000" w:rsidRDefault="001826C1">
            <w:pPr>
              <w:jc w:val="right"/>
              <w:rPr>
                <w:rFonts w:eastAsia="Times New Roman"/>
                <w:sz w:val="16"/>
                <w:szCs w:val="16"/>
              </w:rPr>
            </w:pPr>
            <w:r>
              <w:rPr>
                <w:rFonts w:eastAsia="Times New Roman"/>
                <w:sz w:val="16"/>
                <w:szCs w:val="16"/>
              </w:rPr>
              <w:t>16,182</w:t>
            </w:r>
          </w:p>
        </w:tc>
        <w:tc>
          <w:tcPr>
            <w:tcW w:w="0" w:type="auto"/>
            <w:shd w:val="clear" w:color="auto" w:fill="FFFFFF"/>
            <w:vAlign w:val="bottom"/>
            <w:hideMark/>
          </w:tcPr>
          <w:p w14:paraId="6876486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C462E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511DB7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91DC8B1" w14:textId="77777777" w:rsidR="00000000" w:rsidRDefault="001826C1">
            <w:pPr>
              <w:jc w:val="right"/>
              <w:rPr>
                <w:rFonts w:eastAsia="Times New Roman"/>
                <w:sz w:val="16"/>
                <w:szCs w:val="16"/>
              </w:rPr>
            </w:pPr>
            <w:r>
              <w:rPr>
                <w:rFonts w:eastAsia="Times New Roman"/>
                <w:sz w:val="16"/>
                <w:szCs w:val="16"/>
              </w:rPr>
              <w:t>17,977</w:t>
            </w:r>
          </w:p>
        </w:tc>
        <w:tc>
          <w:tcPr>
            <w:tcW w:w="0" w:type="auto"/>
            <w:shd w:val="clear" w:color="auto" w:fill="FFFFFF"/>
            <w:vAlign w:val="bottom"/>
            <w:hideMark/>
          </w:tcPr>
          <w:p w14:paraId="56A8DAF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E4CCB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28F191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6C19A09" w14:textId="77777777" w:rsidR="00000000" w:rsidRDefault="001826C1">
            <w:pPr>
              <w:jc w:val="right"/>
              <w:rPr>
                <w:rFonts w:eastAsia="Times New Roman"/>
                <w:sz w:val="16"/>
                <w:szCs w:val="16"/>
              </w:rPr>
            </w:pPr>
            <w:r>
              <w:rPr>
                <w:rFonts w:eastAsia="Times New Roman"/>
                <w:sz w:val="16"/>
                <w:szCs w:val="16"/>
              </w:rPr>
              <w:t>15,318</w:t>
            </w:r>
          </w:p>
        </w:tc>
        <w:tc>
          <w:tcPr>
            <w:tcW w:w="0" w:type="auto"/>
            <w:shd w:val="clear" w:color="auto" w:fill="FFFFFF"/>
            <w:vAlign w:val="bottom"/>
            <w:hideMark/>
          </w:tcPr>
          <w:p w14:paraId="3C3F249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6B55B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9C5769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64A3BB" w14:textId="77777777" w:rsidR="00000000" w:rsidRDefault="001826C1">
            <w:pPr>
              <w:jc w:val="right"/>
              <w:rPr>
                <w:rFonts w:eastAsia="Times New Roman"/>
                <w:sz w:val="16"/>
                <w:szCs w:val="16"/>
              </w:rPr>
            </w:pPr>
            <w:r>
              <w:rPr>
                <w:rFonts w:eastAsia="Times New Roman"/>
                <w:sz w:val="16"/>
                <w:szCs w:val="16"/>
              </w:rPr>
              <w:t>17,378</w:t>
            </w:r>
          </w:p>
        </w:tc>
        <w:tc>
          <w:tcPr>
            <w:tcW w:w="0" w:type="auto"/>
            <w:shd w:val="clear" w:color="auto" w:fill="FFFFFF"/>
            <w:vAlign w:val="bottom"/>
            <w:hideMark/>
          </w:tcPr>
          <w:p w14:paraId="5AE9FB0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D50EB7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46590C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707272" w14:textId="77777777" w:rsidR="00000000" w:rsidRDefault="001826C1">
            <w:pPr>
              <w:jc w:val="right"/>
              <w:rPr>
                <w:rFonts w:eastAsia="Times New Roman"/>
                <w:sz w:val="16"/>
                <w:szCs w:val="16"/>
              </w:rPr>
            </w:pPr>
            <w:r>
              <w:rPr>
                <w:rFonts w:eastAsia="Times New Roman"/>
                <w:sz w:val="16"/>
                <w:szCs w:val="16"/>
              </w:rPr>
              <w:t>18,828</w:t>
            </w:r>
          </w:p>
        </w:tc>
        <w:tc>
          <w:tcPr>
            <w:tcW w:w="0" w:type="auto"/>
            <w:shd w:val="clear" w:color="auto" w:fill="FFFFFF"/>
            <w:vAlign w:val="bottom"/>
            <w:hideMark/>
          </w:tcPr>
          <w:p w14:paraId="3FE349D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93BEE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10686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83381A" w14:textId="77777777" w:rsidR="00000000" w:rsidRDefault="001826C1">
            <w:pPr>
              <w:jc w:val="right"/>
              <w:rPr>
                <w:rFonts w:eastAsia="Times New Roman"/>
                <w:sz w:val="16"/>
                <w:szCs w:val="16"/>
              </w:rPr>
            </w:pPr>
            <w:r>
              <w:rPr>
                <w:rFonts w:eastAsia="Times New Roman"/>
                <w:sz w:val="16"/>
                <w:szCs w:val="16"/>
              </w:rPr>
              <w:t>8,611</w:t>
            </w:r>
          </w:p>
        </w:tc>
        <w:tc>
          <w:tcPr>
            <w:tcW w:w="0" w:type="auto"/>
            <w:shd w:val="clear" w:color="auto" w:fill="FFFFFF"/>
            <w:vAlign w:val="bottom"/>
            <w:hideMark/>
          </w:tcPr>
          <w:p w14:paraId="4D0C05E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14B3B3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2AC38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9D08FB" w14:textId="77777777" w:rsidR="00000000" w:rsidRDefault="001826C1">
            <w:pPr>
              <w:jc w:val="right"/>
              <w:rPr>
                <w:rFonts w:eastAsia="Times New Roman"/>
                <w:sz w:val="16"/>
                <w:szCs w:val="16"/>
              </w:rPr>
            </w:pPr>
            <w:r>
              <w:rPr>
                <w:rFonts w:eastAsia="Times New Roman"/>
                <w:sz w:val="16"/>
                <w:szCs w:val="16"/>
              </w:rPr>
              <w:t>8,268</w:t>
            </w:r>
          </w:p>
        </w:tc>
        <w:tc>
          <w:tcPr>
            <w:tcW w:w="0" w:type="auto"/>
            <w:shd w:val="clear" w:color="auto" w:fill="FFFFFF"/>
            <w:vAlign w:val="bottom"/>
            <w:hideMark/>
          </w:tcPr>
          <w:p w14:paraId="486E82B0" w14:textId="77777777" w:rsidR="00000000" w:rsidRDefault="001826C1">
            <w:pPr>
              <w:rPr>
                <w:rFonts w:eastAsia="Times New Roman"/>
                <w:sz w:val="16"/>
                <w:szCs w:val="16"/>
              </w:rPr>
            </w:pPr>
            <w:r>
              <w:rPr>
                <w:rFonts w:eastAsia="Times New Roman"/>
                <w:sz w:val="16"/>
                <w:szCs w:val="16"/>
              </w:rPr>
              <w:t> </w:t>
            </w:r>
          </w:p>
        </w:tc>
      </w:tr>
      <w:tr w:rsidR="001826C1" w14:paraId="55EDCEA9" w14:textId="77777777">
        <w:tc>
          <w:tcPr>
            <w:tcW w:w="0" w:type="auto"/>
            <w:shd w:val="clear" w:color="auto" w:fill="CCEEFF"/>
            <w:vAlign w:val="bottom"/>
            <w:hideMark/>
          </w:tcPr>
          <w:p w14:paraId="3F0B7A8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68E73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7BC03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38ABD07"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C82798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47C1A0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FFB2E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7EDD0B"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8F2F7B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16FA8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8960A5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16E09A"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BB3549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9C17DE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08A8B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A3E4AFA"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2CF3D6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725C9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563EE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B90DE5"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E56F77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95F571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9CA0D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8D31445"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4BD95C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28A12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9BC350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4B4D25"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7DB6B1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7A84BB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E6D76B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6FE5AF"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7CB1B94" w14:textId="77777777" w:rsidR="00000000" w:rsidRDefault="001826C1">
            <w:pPr>
              <w:rPr>
                <w:rFonts w:eastAsia="Times New Roman"/>
                <w:sz w:val="16"/>
                <w:szCs w:val="16"/>
              </w:rPr>
            </w:pPr>
            <w:r>
              <w:rPr>
                <w:rFonts w:eastAsia="Times New Roman"/>
                <w:sz w:val="16"/>
                <w:szCs w:val="16"/>
              </w:rPr>
              <w:t> </w:t>
            </w:r>
          </w:p>
        </w:tc>
      </w:tr>
      <w:tr w:rsidR="001826C1" w14:paraId="7EDC92BC" w14:textId="77777777">
        <w:tc>
          <w:tcPr>
            <w:tcW w:w="0" w:type="auto"/>
            <w:shd w:val="clear" w:color="auto" w:fill="FFFFFF"/>
            <w:vAlign w:val="bottom"/>
            <w:hideMark/>
          </w:tcPr>
          <w:p w14:paraId="1F1E17B1" w14:textId="77777777" w:rsidR="00000000" w:rsidRDefault="001826C1">
            <w:pPr>
              <w:rPr>
                <w:rFonts w:eastAsia="Times New Roman"/>
                <w:sz w:val="16"/>
                <w:szCs w:val="16"/>
              </w:rPr>
            </w:pPr>
            <w:r>
              <w:rPr>
                <w:rFonts w:eastAsia="Times New Roman"/>
                <w:sz w:val="16"/>
                <w:szCs w:val="16"/>
              </w:rPr>
              <w:t>Operating income (loss)</w:t>
            </w:r>
          </w:p>
        </w:tc>
        <w:tc>
          <w:tcPr>
            <w:tcW w:w="0" w:type="auto"/>
            <w:shd w:val="clear" w:color="auto" w:fill="FFFFFF"/>
            <w:vAlign w:val="bottom"/>
            <w:hideMark/>
          </w:tcPr>
          <w:p w14:paraId="607FA32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BA34F2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31FB320" w14:textId="77777777" w:rsidR="00000000" w:rsidRDefault="001826C1">
            <w:pPr>
              <w:jc w:val="right"/>
              <w:rPr>
                <w:rFonts w:eastAsia="Times New Roman"/>
                <w:sz w:val="16"/>
                <w:szCs w:val="16"/>
              </w:rPr>
            </w:pPr>
            <w:r>
              <w:rPr>
                <w:rFonts w:eastAsia="Times New Roman"/>
                <w:sz w:val="16"/>
                <w:szCs w:val="16"/>
              </w:rPr>
              <w:t>865</w:t>
            </w:r>
          </w:p>
        </w:tc>
        <w:tc>
          <w:tcPr>
            <w:tcW w:w="0" w:type="auto"/>
            <w:shd w:val="clear" w:color="auto" w:fill="FFFFFF"/>
            <w:vAlign w:val="bottom"/>
            <w:hideMark/>
          </w:tcPr>
          <w:p w14:paraId="5227C26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5A5D0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AF034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1D5D55" w14:textId="77777777" w:rsidR="00000000" w:rsidRDefault="001826C1">
            <w:pPr>
              <w:jc w:val="right"/>
              <w:rPr>
                <w:rFonts w:eastAsia="Times New Roman"/>
                <w:sz w:val="16"/>
                <w:szCs w:val="16"/>
              </w:rPr>
            </w:pPr>
            <w:r>
              <w:rPr>
                <w:rFonts w:eastAsia="Times New Roman"/>
                <w:sz w:val="16"/>
                <w:szCs w:val="16"/>
              </w:rPr>
              <w:t>669</w:t>
            </w:r>
          </w:p>
        </w:tc>
        <w:tc>
          <w:tcPr>
            <w:tcW w:w="0" w:type="auto"/>
            <w:shd w:val="clear" w:color="auto" w:fill="FFFFFF"/>
            <w:vAlign w:val="bottom"/>
            <w:hideMark/>
          </w:tcPr>
          <w:p w14:paraId="31927BF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AA96C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667D2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DAF6A4" w14:textId="77777777" w:rsidR="00000000" w:rsidRDefault="001826C1">
            <w:pPr>
              <w:jc w:val="right"/>
              <w:rPr>
                <w:rFonts w:eastAsia="Times New Roman"/>
                <w:sz w:val="16"/>
                <w:szCs w:val="16"/>
              </w:rPr>
            </w:pPr>
            <w:r>
              <w:rPr>
                <w:rFonts w:eastAsia="Times New Roman"/>
                <w:sz w:val="16"/>
                <w:szCs w:val="16"/>
              </w:rPr>
              <w:t>(1,227</w:t>
            </w:r>
          </w:p>
        </w:tc>
        <w:tc>
          <w:tcPr>
            <w:tcW w:w="0" w:type="auto"/>
            <w:shd w:val="clear" w:color="auto" w:fill="FFFFFF"/>
            <w:vAlign w:val="bottom"/>
            <w:hideMark/>
          </w:tcPr>
          <w:p w14:paraId="5334A607"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25D23A1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0ADB7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4917782" w14:textId="77777777" w:rsidR="00000000" w:rsidRDefault="001826C1">
            <w:pPr>
              <w:jc w:val="right"/>
              <w:rPr>
                <w:rFonts w:eastAsia="Times New Roman"/>
                <w:sz w:val="16"/>
                <w:szCs w:val="16"/>
              </w:rPr>
            </w:pPr>
            <w:r>
              <w:rPr>
                <w:rFonts w:eastAsia="Times New Roman"/>
                <w:sz w:val="16"/>
                <w:szCs w:val="16"/>
              </w:rPr>
              <w:t>(238</w:t>
            </w:r>
          </w:p>
        </w:tc>
        <w:tc>
          <w:tcPr>
            <w:tcW w:w="0" w:type="auto"/>
            <w:shd w:val="clear" w:color="auto" w:fill="FFFFFF"/>
            <w:vAlign w:val="bottom"/>
            <w:hideMark/>
          </w:tcPr>
          <w:p w14:paraId="0BA2A0EE"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790470B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66489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0FCD1B5" w14:textId="77777777" w:rsidR="00000000" w:rsidRDefault="001826C1">
            <w:pPr>
              <w:jc w:val="right"/>
              <w:rPr>
                <w:rFonts w:eastAsia="Times New Roman"/>
                <w:sz w:val="16"/>
                <w:szCs w:val="16"/>
              </w:rPr>
            </w:pPr>
            <w:r>
              <w:rPr>
                <w:rFonts w:eastAsia="Times New Roman"/>
                <w:sz w:val="16"/>
                <w:szCs w:val="16"/>
              </w:rPr>
              <w:t>(867</w:t>
            </w:r>
          </w:p>
        </w:tc>
        <w:tc>
          <w:tcPr>
            <w:tcW w:w="0" w:type="auto"/>
            <w:shd w:val="clear" w:color="auto" w:fill="FFFFFF"/>
            <w:vAlign w:val="bottom"/>
            <w:hideMark/>
          </w:tcPr>
          <w:p w14:paraId="7E05CD57"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3FA3727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6B78A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017431" w14:textId="77777777" w:rsidR="00000000" w:rsidRDefault="001826C1">
            <w:pPr>
              <w:jc w:val="right"/>
              <w:rPr>
                <w:rFonts w:eastAsia="Times New Roman"/>
                <w:sz w:val="16"/>
                <w:szCs w:val="16"/>
              </w:rPr>
            </w:pPr>
            <w:r>
              <w:rPr>
                <w:rFonts w:eastAsia="Times New Roman"/>
                <w:sz w:val="16"/>
                <w:szCs w:val="16"/>
              </w:rPr>
              <w:t>(1,783</w:t>
            </w:r>
          </w:p>
        </w:tc>
        <w:tc>
          <w:tcPr>
            <w:tcW w:w="0" w:type="auto"/>
            <w:shd w:val="clear" w:color="auto" w:fill="FFFFFF"/>
            <w:vAlign w:val="bottom"/>
            <w:hideMark/>
          </w:tcPr>
          <w:p w14:paraId="4CD352A4"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62164B6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C58530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757FB2" w14:textId="77777777" w:rsidR="00000000" w:rsidRDefault="001826C1">
            <w:pPr>
              <w:jc w:val="right"/>
              <w:rPr>
                <w:rFonts w:eastAsia="Times New Roman"/>
                <w:sz w:val="16"/>
                <w:szCs w:val="16"/>
              </w:rPr>
            </w:pPr>
            <w:r>
              <w:rPr>
                <w:rFonts w:eastAsia="Times New Roman"/>
                <w:sz w:val="16"/>
                <w:szCs w:val="16"/>
              </w:rPr>
              <w:t>72</w:t>
            </w:r>
          </w:p>
        </w:tc>
        <w:tc>
          <w:tcPr>
            <w:tcW w:w="0" w:type="auto"/>
            <w:shd w:val="clear" w:color="auto" w:fill="FFFFFF"/>
            <w:vAlign w:val="bottom"/>
            <w:hideMark/>
          </w:tcPr>
          <w:p w14:paraId="3DB08ED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64399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019F1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A40CAEF" w14:textId="77777777" w:rsidR="00000000" w:rsidRDefault="001826C1">
            <w:pPr>
              <w:jc w:val="right"/>
              <w:rPr>
                <w:rFonts w:eastAsia="Times New Roman"/>
                <w:sz w:val="16"/>
                <w:szCs w:val="16"/>
              </w:rPr>
            </w:pPr>
            <w:r>
              <w:rPr>
                <w:rFonts w:eastAsia="Times New Roman"/>
                <w:sz w:val="16"/>
                <w:szCs w:val="16"/>
              </w:rPr>
              <w:t>39</w:t>
            </w:r>
          </w:p>
        </w:tc>
        <w:tc>
          <w:tcPr>
            <w:tcW w:w="0" w:type="auto"/>
            <w:shd w:val="clear" w:color="auto" w:fill="FFFFFF"/>
            <w:vAlign w:val="bottom"/>
            <w:hideMark/>
          </w:tcPr>
          <w:p w14:paraId="62B618A6" w14:textId="77777777" w:rsidR="00000000" w:rsidRDefault="001826C1">
            <w:pPr>
              <w:rPr>
                <w:rFonts w:eastAsia="Times New Roman"/>
                <w:sz w:val="16"/>
                <w:szCs w:val="16"/>
              </w:rPr>
            </w:pPr>
            <w:r>
              <w:rPr>
                <w:rFonts w:eastAsia="Times New Roman"/>
                <w:sz w:val="16"/>
                <w:szCs w:val="16"/>
              </w:rPr>
              <w:t> </w:t>
            </w:r>
          </w:p>
        </w:tc>
      </w:tr>
      <w:tr w:rsidR="001826C1" w14:paraId="7E62FFCE" w14:textId="77777777">
        <w:tc>
          <w:tcPr>
            <w:tcW w:w="0" w:type="auto"/>
            <w:shd w:val="clear" w:color="auto" w:fill="CCEEFF"/>
            <w:vAlign w:val="bottom"/>
            <w:hideMark/>
          </w:tcPr>
          <w:p w14:paraId="6EF62ED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706B6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D6867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4F1A141"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4C4179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CA326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FB9F5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1D6A63"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78702E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870E7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542CE0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E805B0"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62F34E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0CBD5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C9448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7576555"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ED749B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34CC0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883DF6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61DD7AC"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1E79AE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2D88D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6E6CD6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62146C"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0B65BA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E82A5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ADC07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3BDAC83"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5E8FED2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28A3A5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ED5D3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1E14F7"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9174FF4" w14:textId="77777777" w:rsidR="00000000" w:rsidRDefault="001826C1">
            <w:pPr>
              <w:rPr>
                <w:rFonts w:eastAsia="Times New Roman"/>
                <w:sz w:val="16"/>
                <w:szCs w:val="16"/>
              </w:rPr>
            </w:pPr>
            <w:r>
              <w:rPr>
                <w:rFonts w:eastAsia="Times New Roman"/>
                <w:sz w:val="16"/>
                <w:szCs w:val="16"/>
              </w:rPr>
              <w:t> </w:t>
            </w:r>
          </w:p>
        </w:tc>
      </w:tr>
      <w:tr w:rsidR="001826C1" w14:paraId="0E5EA4CC" w14:textId="77777777">
        <w:tc>
          <w:tcPr>
            <w:tcW w:w="0" w:type="auto"/>
            <w:shd w:val="clear" w:color="auto" w:fill="FFFFFF"/>
            <w:vAlign w:val="bottom"/>
            <w:hideMark/>
          </w:tcPr>
          <w:p w14:paraId="36FC7C92" w14:textId="77777777" w:rsidR="00000000" w:rsidRDefault="001826C1">
            <w:pPr>
              <w:rPr>
                <w:rFonts w:eastAsia="Times New Roman"/>
                <w:sz w:val="16"/>
                <w:szCs w:val="16"/>
              </w:rPr>
            </w:pPr>
            <w:r>
              <w:rPr>
                <w:rFonts w:eastAsia="Times New Roman"/>
                <w:sz w:val="16"/>
                <w:szCs w:val="16"/>
              </w:rPr>
              <w:t>Interest expense - net</w:t>
            </w:r>
          </w:p>
        </w:tc>
        <w:tc>
          <w:tcPr>
            <w:tcW w:w="0" w:type="auto"/>
            <w:shd w:val="clear" w:color="auto" w:fill="FFFFFF"/>
            <w:vAlign w:val="bottom"/>
            <w:hideMark/>
          </w:tcPr>
          <w:p w14:paraId="0F43B4E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7F967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BB8AC6" w14:textId="77777777" w:rsidR="00000000" w:rsidRDefault="001826C1">
            <w:pPr>
              <w:jc w:val="right"/>
              <w:rPr>
                <w:rFonts w:eastAsia="Times New Roman"/>
                <w:sz w:val="16"/>
                <w:szCs w:val="16"/>
              </w:rPr>
            </w:pPr>
            <w:r>
              <w:rPr>
                <w:rFonts w:eastAsia="Times New Roman"/>
                <w:sz w:val="16"/>
                <w:szCs w:val="16"/>
              </w:rPr>
              <w:t>39</w:t>
            </w:r>
          </w:p>
        </w:tc>
        <w:tc>
          <w:tcPr>
            <w:tcW w:w="0" w:type="auto"/>
            <w:shd w:val="clear" w:color="auto" w:fill="FFFFFF"/>
            <w:vAlign w:val="bottom"/>
            <w:hideMark/>
          </w:tcPr>
          <w:p w14:paraId="75C7B55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9844AD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3795D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67BFF04" w14:textId="77777777" w:rsidR="00000000" w:rsidRDefault="001826C1">
            <w:pPr>
              <w:jc w:val="right"/>
              <w:rPr>
                <w:rFonts w:eastAsia="Times New Roman"/>
                <w:sz w:val="16"/>
                <w:szCs w:val="16"/>
              </w:rPr>
            </w:pPr>
            <w:r>
              <w:rPr>
                <w:rFonts w:eastAsia="Times New Roman"/>
                <w:sz w:val="16"/>
                <w:szCs w:val="16"/>
              </w:rPr>
              <w:t>32</w:t>
            </w:r>
          </w:p>
        </w:tc>
        <w:tc>
          <w:tcPr>
            <w:tcW w:w="0" w:type="auto"/>
            <w:shd w:val="clear" w:color="auto" w:fill="FFFFFF"/>
            <w:vAlign w:val="bottom"/>
            <w:hideMark/>
          </w:tcPr>
          <w:p w14:paraId="0DF3393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6E690B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4B0DA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58AB72" w14:textId="77777777" w:rsidR="00000000" w:rsidRDefault="001826C1">
            <w:pPr>
              <w:jc w:val="right"/>
              <w:rPr>
                <w:rFonts w:eastAsia="Times New Roman"/>
                <w:sz w:val="16"/>
                <w:szCs w:val="16"/>
              </w:rPr>
            </w:pPr>
            <w:r>
              <w:rPr>
                <w:rFonts w:eastAsia="Times New Roman"/>
                <w:sz w:val="16"/>
                <w:szCs w:val="16"/>
              </w:rPr>
              <w:t>33</w:t>
            </w:r>
          </w:p>
        </w:tc>
        <w:tc>
          <w:tcPr>
            <w:tcW w:w="0" w:type="auto"/>
            <w:shd w:val="clear" w:color="auto" w:fill="FFFFFF"/>
            <w:vAlign w:val="bottom"/>
            <w:hideMark/>
          </w:tcPr>
          <w:p w14:paraId="5CB6091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E874E3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D0307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DFACE1" w14:textId="77777777" w:rsidR="00000000" w:rsidRDefault="001826C1">
            <w:pPr>
              <w:jc w:val="right"/>
              <w:rPr>
                <w:rFonts w:eastAsia="Times New Roman"/>
                <w:sz w:val="16"/>
                <w:szCs w:val="16"/>
              </w:rPr>
            </w:pPr>
            <w:r>
              <w:rPr>
                <w:rFonts w:eastAsia="Times New Roman"/>
                <w:sz w:val="16"/>
                <w:szCs w:val="16"/>
              </w:rPr>
              <w:t>17</w:t>
            </w:r>
          </w:p>
        </w:tc>
        <w:tc>
          <w:tcPr>
            <w:tcW w:w="0" w:type="auto"/>
            <w:shd w:val="clear" w:color="auto" w:fill="FFFFFF"/>
            <w:vAlign w:val="bottom"/>
            <w:hideMark/>
          </w:tcPr>
          <w:p w14:paraId="47F80C4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1FCDAA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C5C71F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8BCC0B" w14:textId="77777777" w:rsidR="00000000" w:rsidRDefault="001826C1">
            <w:pPr>
              <w:jc w:val="right"/>
              <w:rPr>
                <w:rFonts w:eastAsia="Times New Roman"/>
                <w:sz w:val="16"/>
                <w:szCs w:val="16"/>
              </w:rPr>
            </w:pPr>
            <w:r>
              <w:rPr>
                <w:rFonts w:eastAsia="Times New Roman"/>
                <w:sz w:val="16"/>
                <w:szCs w:val="16"/>
              </w:rPr>
              <w:t>57</w:t>
            </w:r>
          </w:p>
        </w:tc>
        <w:tc>
          <w:tcPr>
            <w:tcW w:w="0" w:type="auto"/>
            <w:shd w:val="clear" w:color="auto" w:fill="FFFFFF"/>
            <w:vAlign w:val="bottom"/>
            <w:hideMark/>
          </w:tcPr>
          <w:p w14:paraId="1B1FA34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C6C5C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F9D98D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FC4EA3" w14:textId="77777777" w:rsidR="00000000" w:rsidRDefault="001826C1">
            <w:pPr>
              <w:jc w:val="right"/>
              <w:rPr>
                <w:rFonts w:eastAsia="Times New Roman"/>
                <w:sz w:val="16"/>
                <w:szCs w:val="16"/>
              </w:rPr>
            </w:pPr>
            <w:r>
              <w:rPr>
                <w:rFonts w:eastAsia="Times New Roman"/>
                <w:sz w:val="16"/>
                <w:szCs w:val="16"/>
              </w:rPr>
              <w:t>80</w:t>
            </w:r>
          </w:p>
        </w:tc>
        <w:tc>
          <w:tcPr>
            <w:tcW w:w="0" w:type="auto"/>
            <w:shd w:val="clear" w:color="auto" w:fill="FFFFFF"/>
            <w:vAlign w:val="bottom"/>
            <w:hideMark/>
          </w:tcPr>
          <w:p w14:paraId="09618C5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E51F09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87F54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D85FD0" w14:textId="77777777" w:rsidR="00000000" w:rsidRDefault="001826C1">
            <w:pPr>
              <w:jc w:val="right"/>
              <w:rPr>
                <w:rFonts w:eastAsia="Times New Roman"/>
                <w:sz w:val="16"/>
                <w:szCs w:val="16"/>
              </w:rPr>
            </w:pPr>
            <w:r>
              <w:rPr>
                <w:rFonts w:eastAsia="Times New Roman"/>
                <w:sz w:val="16"/>
                <w:szCs w:val="16"/>
              </w:rPr>
              <w:t>44</w:t>
            </w:r>
          </w:p>
        </w:tc>
        <w:tc>
          <w:tcPr>
            <w:tcW w:w="0" w:type="auto"/>
            <w:shd w:val="clear" w:color="auto" w:fill="FFFFFF"/>
            <w:vAlign w:val="bottom"/>
            <w:hideMark/>
          </w:tcPr>
          <w:p w14:paraId="41E04D9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0D2E9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C2139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75E6BD" w14:textId="77777777" w:rsidR="00000000" w:rsidRDefault="001826C1">
            <w:pPr>
              <w:jc w:val="right"/>
              <w:rPr>
                <w:rFonts w:eastAsia="Times New Roman"/>
                <w:sz w:val="16"/>
                <w:szCs w:val="16"/>
              </w:rPr>
            </w:pPr>
            <w:r>
              <w:rPr>
                <w:rFonts w:eastAsia="Times New Roman"/>
                <w:sz w:val="16"/>
                <w:szCs w:val="16"/>
              </w:rPr>
              <w:t>69</w:t>
            </w:r>
          </w:p>
        </w:tc>
        <w:tc>
          <w:tcPr>
            <w:tcW w:w="0" w:type="auto"/>
            <w:shd w:val="clear" w:color="auto" w:fill="FFFFFF"/>
            <w:vAlign w:val="bottom"/>
            <w:hideMark/>
          </w:tcPr>
          <w:p w14:paraId="1321AFB6" w14:textId="77777777" w:rsidR="00000000" w:rsidRDefault="001826C1">
            <w:pPr>
              <w:rPr>
                <w:rFonts w:eastAsia="Times New Roman"/>
                <w:sz w:val="16"/>
                <w:szCs w:val="16"/>
              </w:rPr>
            </w:pPr>
            <w:r>
              <w:rPr>
                <w:rFonts w:eastAsia="Times New Roman"/>
                <w:sz w:val="16"/>
                <w:szCs w:val="16"/>
              </w:rPr>
              <w:t> </w:t>
            </w:r>
          </w:p>
        </w:tc>
      </w:tr>
      <w:tr w:rsidR="001826C1" w14:paraId="1D92B12F" w14:textId="77777777">
        <w:tc>
          <w:tcPr>
            <w:tcW w:w="0" w:type="auto"/>
            <w:shd w:val="clear" w:color="auto" w:fill="CCEEFF"/>
            <w:vAlign w:val="bottom"/>
            <w:hideMark/>
          </w:tcPr>
          <w:p w14:paraId="5FE4EB1E" w14:textId="77777777" w:rsidR="00000000" w:rsidRDefault="001826C1">
            <w:pPr>
              <w:rPr>
                <w:rFonts w:eastAsia="Times New Roman"/>
                <w:sz w:val="16"/>
                <w:szCs w:val="16"/>
              </w:rPr>
            </w:pPr>
            <w:r>
              <w:rPr>
                <w:rFonts w:eastAsia="Times New Roman"/>
                <w:sz w:val="16"/>
                <w:szCs w:val="16"/>
              </w:rPr>
              <w:t>Other (expense) income - net</w:t>
            </w:r>
          </w:p>
        </w:tc>
        <w:tc>
          <w:tcPr>
            <w:tcW w:w="0" w:type="auto"/>
            <w:shd w:val="clear" w:color="auto" w:fill="CCEEFF"/>
            <w:tcMar>
              <w:top w:w="0" w:type="dxa"/>
              <w:left w:w="0" w:type="dxa"/>
              <w:bottom w:w="30" w:type="dxa"/>
              <w:right w:w="0" w:type="dxa"/>
            </w:tcMar>
            <w:vAlign w:val="bottom"/>
            <w:hideMark/>
          </w:tcPr>
          <w:p w14:paraId="6C1CC2E6"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66DEC10"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205FB0D" w14:textId="77777777" w:rsidR="00000000" w:rsidRDefault="001826C1">
            <w:pPr>
              <w:jc w:val="right"/>
              <w:rPr>
                <w:rFonts w:eastAsia="Times New Roman"/>
                <w:sz w:val="16"/>
                <w:szCs w:val="16"/>
              </w:rPr>
            </w:pPr>
            <w:r>
              <w:rPr>
                <w:rFonts w:eastAsia="Times New Roman"/>
                <w:sz w:val="16"/>
                <w:szCs w:val="16"/>
              </w:rPr>
              <w:t>(402</w:t>
            </w:r>
          </w:p>
        </w:tc>
        <w:tc>
          <w:tcPr>
            <w:tcW w:w="0" w:type="auto"/>
            <w:shd w:val="clear" w:color="auto" w:fill="CCEEFF"/>
            <w:tcMar>
              <w:top w:w="0" w:type="dxa"/>
              <w:left w:w="0" w:type="dxa"/>
              <w:bottom w:w="30" w:type="dxa"/>
              <w:right w:w="0" w:type="dxa"/>
            </w:tcMar>
            <w:vAlign w:val="bottom"/>
            <w:hideMark/>
          </w:tcPr>
          <w:p w14:paraId="1A7D0861"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49B71EDF"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1281C3E"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AD03816" w14:textId="77777777" w:rsidR="00000000" w:rsidRDefault="001826C1">
            <w:pPr>
              <w:jc w:val="right"/>
              <w:rPr>
                <w:rFonts w:eastAsia="Times New Roman"/>
                <w:sz w:val="16"/>
                <w:szCs w:val="16"/>
              </w:rPr>
            </w:pPr>
            <w:r>
              <w:rPr>
                <w:rFonts w:eastAsia="Times New Roman"/>
                <w:sz w:val="16"/>
                <w:szCs w:val="16"/>
              </w:rPr>
              <w:t>(688</w:t>
            </w:r>
          </w:p>
        </w:tc>
        <w:tc>
          <w:tcPr>
            <w:tcW w:w="0" w:type="auto"/>
            <w:shd w:val="clear" w:color="auto" w:fill="CCEEFF"/>
            <w:tcMar>
              <w:top w:w="0" w:type="dxa"/>
              <w:left w:w="0" w:type="dxa"/>
              <w:bottom w:w="30" w:type="dxa"/>
              <w:right w:w="0" w:type="dxa"/>
            </w:tcMar>
            <w:vAlign w:val="bottom"/>
            <w:hideMark/>
          </w:tcPr>
          <w:p w14:paraId="31047B5C"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3FD4A52"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718F3B8"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34AC212" w14:textId="77777777" w:rsidR="00000000" w:rsidRDefault="001826C1">
            <w:pPr>
              <w:jc w:val="right"/>
              <w:rPr>
                <w:rFonts w:eastAsia="Times New Roman"/>
                <w:sz w:val="16"/>
                <w:szCs w:val="16"/>
              </w:rPr>
            </w:pPr>
            <w:r>
              <w:rPr>
                <w:rFonts w:eastAsia="Times New Roman"/>
                <w:sz w:val="16"/>
                <w:szCs w:val="16"/>
              </w:rPr>
              <w:t>545</w:t>
            </w:r>
          </w:p>
        </w:tc>
        <w:tc>
          <w:tcPr>
            <w:tcW w:w="0" w:type="auto"/>
            <w:shd w:val="clear" w:color="auto" w:fill="CCEEFF"/>
            <w:tcMar>
              <w:top w:w="0" w:type="dxa"/>
              <w:left w:w="0" w:type="dxa"/>
              <w:bottom w:w="30" w:type="dxa"/>
              <w:right w:w="0" w:type="dxa"/>
            </w:tcMar>
            <w:vAlign w:val="bottom"/>
            <w:hideMark/>
          </w:tcPr>
          <w:p w14:paraId="3603F97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51871F27"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7C306D7"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FEA409F" w14:textId="77777777" w:rsidR="00000000" w:rsidRDefault="001826C1">
            <w:pPr>
              <w:jc w:val="right"/>
              <w:rPr>
                <w:rFonts w:eastAsia="Times New Roman"/>
                <w:sz w:val="16"/>
                <w:szCs w:val="16"/>
              </w:rPr>
            </w:pPr>
            <w:r>
              <w:rPr>
                <w:rFonts w:eastAsia="Times New Roman"/>
                <w:sz w:val="16"/>
                <w:szCs w:val="16"/>
              </w:rPr>
              <w:t>(81</w:t>
            </w:r>
          </w:p>
        </w:tc>
        <w:tc>
          <w:tcPr>
            <w:tcW w:w="0" w:type="auto"/>
            <w:shd w:val="clear" w:color="auto" w:fill="CCEEFF"/>
            <w:tcMar>
              <w:top w:w="0" w:type="dxa"/>
              <w:left w:w="0" w:type="dxa"/>
              <w:bottom w:w="30" w:type="dxa"/>
              <w:right w:w="0" w:type="dxa"/>
            </w:tcMar>
            <w:vAlign w:val="bottom"/>
            <w:hideMark/>
          </w:tcPr>
          <w:p w14:paraId="78BDD76B"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25FE24E6"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1DA5D4E"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513A3354" w14:textId="77777777" w:rsidR="00000000" w:rsidRDefault="001826C1">
            <w:pPr>
              <w:jc w:val="right"/>
              <w:rPr>
                <w:rFonts w:eastAsia="Times New Roman"/>
                <w:sz w:val="16"/>
                <w:szCs w:val="16"/>
              </w:rPr>
            </w:pPr>
            <w:r>
              <w:rPr>
                <w:rFonts w:eastAsia="Times New Roman"/>
                <w:sz w:val="16"/>
                <w:szCs w:val="16"/>
              </w:rPr>
              <w:t>343</w:t>
            </w:r>
          </w:p>
        </w:tc>
        <w:tc>
          <w:tcPr>
            <w:tcW w:w="0" w:type="auto"/>
            <w:shd w:val="clear" w:color="auto" w:fill="CCEEFF"/>
            <w:tcMar>
              <w:top w:w="0" w:type="dxa"/>
              <w:left w:w="0" w:type="dxa"/>
              <w:bottom w:w="30" w:type="dxa"/>
              <w:right w:w="0" w:type="dxa"/>
            </w:tcMar>
            <w:vAlign w:val="bottom"/>
            <w:hideMark/>
          </w:tcPr>
          <w:p w14:paraId="40D00DF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08B548AD"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DB1DD4E"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B83C59E" w14:textId="77777777" w:rsidR="00000000" w:rsidRDefault="001826C1">
            <w:pPr>
              <w:jc w:val="right"/>
              <w:rPr>
                <w:rFonts w:eastAsia="Times New Roman"/>
                <w:sz w:val="16"/>
                <w:szCs w:val="16"/>
              </w:rPr>
            </w:pPr>
            <w:r>
              <w:rPr>
                <w:rFonts w:eastAsia="Times New Roman"/>
                <w:sz w:val="16"/>
                <w:szCs w:val="16"/>
              </w:rPr>
              <w:t>(219</w:t>
            </w:r>
          </w:p>
        </w:tc>
        <w:tc>
          <w:tcPr>
            <w:tcW w:w="0" w:type="auto"/>
            <w:shd w:val="clear" w:color="auto" w:fill="CCEEFF"/>
            <w:tcMar>
              <w:top w:w="0" w:type="dxa"/>
              <w:left w:w="0" w:type="dxa"/>
              <w:bottom w:w="30" w:type="dxa"/>
              <w:right w:w="0" w:type="dxa"/>
            </w:tcMar>
            <w:vAlign w:val="bottom"/>
            <w:hideMark/>
          </w:tcPr>
          <w:p w14:paraId="2940EE6E"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3B07B5FF"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1DDCEC8"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5528BA6" w14:textId="77777777" w:rsidR="00000000" w:rsidRDefault="001826C1">
            <w:pPr>
              <w:jc w:val="right"/>
              <w:rPr>
                <w:rFonts w:eastAsia="Times New Roman"/>
                <w:sz w:val="16"/>
                <w:szCs w:val="16"/>
              </w:rPr>
            </w:pPr>
            <w:r>
              <w:rPr>
                <w:rFonts w:eastAsia="Times New Roman"/>
                <w:sz w:val="16"/>
                <w:szCs w:val="16"/>
              </w:rPr>
              <w:t>218</w:t>
            </w:r>
          </w:p>
        </w:tc>
        <w:tc>
          <w:tcPr>
            <w:tcW w:w="0" w:type="auto"/>
            <w:shd w:val="clear" w:color="auto" w:fill="CCEEFF"/>
            <w:tcMar>
              <w:top w:w="0" w:type="dxa"/>
              <w:left w:w="0" w:type="dxa"/>
              <w:bottom w:w="30" w:type="dxa"/>
              <w:right w:w="0" w:type="dxa"/>
            </w:tcMar>
            <w:vAlign w:val="bottom"/>
            <w:hideMark/>
          </w:tcPr>
          <w:p w14:paraId="6AC4339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03FC5BB0"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03562005"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A171252" w14:textId="77777777" w:rsidR="00000000" w:rsidRDefault="001826C1">
            <w:pPr>
              <w:jc w:val="right"/>
              <w:rPr>
                <w:rFonts w:eastAsia="Times New Roman"/>
                <w:sz w:val="16"/>
                <w:szCs w:val="16"/>
              </w:rPr>
            </w:pPr>
            <w:r>
              <w:rPr>
                <w:rFonts w:eastAsia="Times New Roman"/>
                <w:sz w:val="16"/>
                <w:szCs w:val="16"/>
              </w:rPr>
              <w:t>152</w:t>
            </w:r>
          </w:p>
        </w:tc>
        <w:tc>
          <w:tcPr>
            <w:tcW w:w="0" w:type="auto"/>
            <w:shd w:val="clear" w:color="auto" w:fill="CCEEFF"/>
            <w:tcMar>
              <w:top w:w="0" w:type="dxa"/>
              <w:left w:w="0" w:type="dxa"/>
              <w:bottom w:w="30" w:type="dxa"/>
              <w:right w:w="0" w:type="dxa"/>
            </w:tcMar>
            <w:vAlign w:val="bottom"/>
            <w:hideMark/>
          </w:tcPr>
          <w:p w14:paraId="0226979A" w14:textId="77777777" w:rsidR="00000000" w:rsidRDefault="001826C1">
            <w:pPr>
              <w:rPr>
                <w:rFonts w:eastAsia="Times New Roman"/>
                <w:sz w:val="16"/>
                <w:szCs w:val="16"/>
              </w:rPr>
            </w:pPr>
            <w:r>
              <w:rPr>
                <w:rFonts w:eastAsia="Times New Roman"/>
                <w:sz w:val="16"/>
                <w:szCs w:val="16"/>
              </w:rPr>
              <w:t> </w:t>
            </w:r>
          </w:p>
        </w:tc>
      </w:tr>
      <w:tr w:rsidR="001826C1" w14:paraId="7DFCB5D4" w14:textId="77777777">
        <w:tc>
          <w:tcPr>
            <w:tcW w:w="0" w:type="auto"/>
            <w:shd w:val="clear" w:color="auto" w:fill="FFFFFF"/>
            <w:vAlign w:val="bottom"/>
            <w:hideMark/>
          </w:tcPr>
          <w:p w14:paraId="1FA4216F" w14:textId="77777777" w:rsidR="00000000" w:rsidRDefault="001826C1">
            <w:pPr>
              <w:rPr>
                <w:rFonts w:eastAsia="Times New Roman"/>
                <w:sz w:val="16"/>
                <w:szCs w:val="16"/>
              </w:rPr>
            </w:pPr>
            <w:r>
              <w:rPr>
                <w:rFonts w:eastAsia="Times New Roman"/>
                <w:sz w:val="16"/>
                <w:szCs w:val="16"/>
              </w:rPr>
              <w:t>Income (loss) before provision for income taxes</w:t>
            </w:r>
          </w:p>
        </w:tc>
        <w:tc>
          <w:tcPr>
            <w:tcW w:w="0" w:type="auto"/>
            <w:shd w:val="clear" w:color="auto" w:fill="FFFFFF"/>
            <w:vAlign w:val="bottom"/>
            <w:hideMark/>
          </w:tcPr>
          <w:p w14:paraId="76A3632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1EF7F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1B14FF" w14:textId="77777777" w:rsidR="00000000" w:rsidRDefault="001826C1">
            <w:pPr>
              <w:jc w:val="right"/>
              <w:rPr>
                <w:rFonts w:eastAsia="Times New Roman"/>
                <w:sz w:val="16"/>
                <w:szCs w:val="16"/>
              </w:rPr>
            </w:pPr>
            <w:r>
              <w:rPr>
                <w:rFonts w:eastAsia="Times New Roman"/>
                <w:sz w:val="16"/>
                <w:szCs w:val="16"/>
              </w:rPr>
              <w:t>424</w:t>
            </w:r>
          </w:p>
        </w:tc>
        <w:tc>
          <w:tcPr>
            <w:tcW w:w="0" w:type="auto"/>
            <w:shd w:val="clear" w:color="auto" w:fill="FFFFFF"/>
            <w:vAlign w:val="bottom"/>
            <w:hideMark/>
          </w:tcPr>
          <w:p w14:paraId="6A014DE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F15A95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0F8C4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885A024" w14:textId="77777777" w:rsidR="00000000" w:rsidRDefault="001826C1">
            <w:pPr>
              <w:jc w:val="right"/>
              <w:rPr>
                <w:rFonts w:eastAsia="Times New Roman"/>
                <w:sz w:val="16"/>
                <w:szCs w:val="16"/>
              </w:rPr>
            </w:pPr>
            <w:r>
              <w:rPr>
                <w:rFonts w:eastAsia="Times New Roman"/>
                <w:sz w:val="16"/>
                <w:szCs w:val="16"/>
              </w:rPr>
              <w:t>(51</w:t>
            </w:r>
          </w:p>
        </w:tc>
        <w:tc>
          <w:tcPr>
            <w:tcW w:w="0" w:type="auto"/>
            <w:shd w:val="clear" w:color="auto" w:fill="FFFFFF"/>
            <w:vAlign w:val="bottom"/>
            <w:hideMark/>
          </w:tcPr>
          <w:p w14:paraId="295D53D4"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7C65C22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D75A9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BA5041" w14:textId="77777777" w:rsidR="00000000" w:rsidRDefault="001826C1">
            <w:pPr>
              <w:jc w:val="right"/>
              <w:rPr>
                <w:rFonts w:eastAsia="Times New Roman"/>
                <w:sz w:val="16"/>
                <w:szCs w:val="16"/>
              </w:rPr>
            </w:pPr>
            <w:r>
              <w:rPr>
                <w:rFonts w:eastAsia="Times New Roman"/>
                <w:sz w:val="16"/>
                <w:szCs w:val="16"/>
              </w:rPr>
              <w:t>(715</w:t>
            </w:r>
          </w:p>
        </w:tc>
        <w:tc>
          <w:tcPr>
            <w:tcW w:w="0" w:type="auto"/>
            <w:shd w:val="clear" w:color="auto" w:fill="FFFFFF"/>
            <w:vAlign w:val="bottom"/>
            <w:hideMark/>
          </w:tcPr>
          <w:p w14:paraId="7CA5B6CF"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7C63244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74769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F73A61" w14:textId="77777777" w:rsidR="00000000" w:rsidRDefault="001826C1">
            <w:pPr>
              <w:jc w:val="right"/>
              <w:rPr>
                <w:rFonts w:eastAsia="Times New Roman"/>
                <w:sz w:val="16"/>
                <w:szCs w:val="16"/>
              </w:rPr>
            </w:pPr>
            <w:r>
              <w:rPr>
                <w:rFonts w:eastAsia="Times New Roman"/>
                <w:sz w:val="16"/>
                <w:szCs w:val="16"/>
              </w:rPr>
              <w:t>(336</w:t>
            </w:r>
          </w:p>
        </w:tc>
        <w:tc>
          <w:tcPr>
            <w:tcW w:w="0" w:type="auto"/>
            <w:shd w:val="clear" w:color="auto" w:fill="FFFFFF"/>
            <w:vAlign w:val="bottom"/>
            <w:hideMark/>
          </w:tcPr>
          <w:p w14:paraId="4F8770CF"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19FF905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50221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93945DE" w14:textId="77777777" w:rsidR="00000000" w:rsidRDefault="001826C1">
            <w:pPr>
              <w:jc w:val="right"/>
              <w:rPr>
                <w:rFonts w:eastAsia="Times New Roman"/>
                <w:sz w:val="16"/>
                <w:szCs w:val="16"/>
              </w:rPr>
            </w:pPr>
            <w:r>
              <w:rPr>
                <w:rFonts w:eastAsia="Times New Roman"/>
                <w:sz w:val="16"/>
                <w:szCs w:val="16"/>
              </w:rPr>
              <w:t>(581</w:t>
            </w:r>
          </w:p>
        </w:tc>
        <w:tc>
          <w:tcPr>
            <w:tcW w:w="0" w:type="auto"/>
            <w:shd w:val="clear" w:color="auto" w:fill="FFFFFF"/>
            <w:vAlign w:val="bottom"/>
            <w:hideMark/>
          </w:tcPr>
          <w:p w14:paraId="153A2A65"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737928E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21FE7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52B8354" w14:textId="77777777" w:rsidR="00000000" w:rsidRDefault="001826C1">
            <w:pPr>
              <w:jc w:val="right"/>
              <w:rPr>
                <w:rFonts w:eastAsia="Times New Roman"/>
                <w:sz w:val="16"/>
                <w:szCs w:val="16"/>
              </w:rPr>
            </w:pPr>
            <w:r>
              <w:rPr>
                <w:rFonts w:eastAsia="Times New Roman"/>
                <w:sz w:val="16"/>
                <w:szCs w:val="16"/>
              </w:rPr>
              <w:t>(2,082</w:t>
            </w:r>
          </w:p>
        </w:tc>
        <w:tc>
          <w:tcPr>
            <w:tcW w:w="0" w:type="auto"/>
            <w:shd w:val="clear" w:color="auto" w:fill="FFFFFF"/>
            <w:vAlign w:val="bottom"/>
            <w:hideMark/>
          </w:tcPr>
          <w:p w14:paraId="015A0988"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762C5BF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ED1812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5499CB" w14:textId="77777777" w:rsidR="00000000" w:rsidRDefault="001826C1">
            <w:pPr>
              <w:jc w:val="right"/>
              <w:rPr>
                <w:rFonts w:eastAsia="Times New Roman"/>
                <w:sz w:val="16"/>
                <w:szCs w:val="16"/>
              </w:rPr>
            </w:pPr>
            <w:r>
              <w:rPr>
                <w:rFonts w:eastAsia="Times New Roman"/>
                <w:sz w:val="16"/>
                <w:szCs w:val="16"/>
              </w:rPr>
              <w:t>246</w:t>
            </w:r>
          </w:p>
        </w:tc>
        <w:tc>
          <w:tcPr>
            <w:tcW w:w="0" w:type="auto"/>
            <w:shd w:val="clear" w:color="auto" w:fill="FFFFFF"/>
            <w:vAlign w:val="bottom"/>
            <w:hideMark/>
          </w:tcPr>
          <w:p w14:paraId="569CFEC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E6DFB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720B3D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A00276" w14:textId="77777777" w:rsidR="00000000" w:rsidRDefault="001826C1">
            <w:pPr>
              <w:jc w:val="right"/>
              <w:rPr>
                <w:rFonts w:eastAsia="Times New Roman"/>
                <w:sz w:val="16"/>
                <w:szCs w:val="16"/>
              </w:rPr>
            </w:pPr>
            <w:r>
              <w:rPr>
                <w:rFonts w:eastAsia="Times New Roman"/>
                <w:sz w:val="16"/>
                <w:szCs w:val="16"/>
              </w:rPr>
              <w:t>122</w:t>
            </w:r>
          </w:p>
        </w:tc>
        <w:tc>
          <w:tcPr>
            <w:tcW w:w="0" w:type="auto"/>
            <w:shd w:val="clear" w:color="auto" w:fill="FFFFFF"/>
            <w:vAlign w:val="bottom"/>
            <w:hideMark/>
          </w:tcPr>
          <w:p w14:paraId="218B7463" w14:textId="77777777" w:rsidR="00000000" w:rsidRDefault="001826C1">
            <w:pPr>
              <w:rPr>
                <w:rFonts w:eastAsia="Times New Roman"/>
                <w:sz w:val="16"/>
                <w:szCs w:val="16"/>
              </w:rPr>
            </w:pPr>
            <w:r>
              <w:rPr>
                <w:rFonts w:eastAsia="Times New Roman"/>
                <w:sz w:val="16"/>
                <w:szCs w:val="16"/>
              </w:rPr>
              <w:t> </w:t>
            </w:r>
          </w:p>
        </w:tc>
      </w:tr>
      <w:tr w:rsidR="001826C1" w14:paraId="5837BF1D" w14:textId="77777777">
        <w:tc>
          <w:tcPr>
            <w:tcW w:w="0" w:type="auto"/>
            <w:shd w:val="clear" w:color="auto" w:fill="CCEEFF"/>
            <w:vAlign w:val="bottom"/>
            <w:hideMark/>
          </w:tcPr>
          <w:p w14:paraId="62D88B3D" w14:textId="77777777" w:rsidR="00000000" w:rsidRDefault="001826C1">
            <w:pPr>
              <w:rPr>
                <w:rFonts w:eastAsia="Times New Roman"/>
                <w:sz w:val="16"/>
                <w:szCs w:val="16"/>
              </w:rPr>
            </w:pPr>
            <w:r>
              <w:rPr>
                <w:rFonts w:eastAsia="Times New Roman"/>
                <w:sz w:val="16"/>
                <w:szCs w:val="16"/>
              </w:rPr>
              <w:t>Income tax provision (benefit)</w:t>
            </w:r>
          </w:p>
        </w:tc>
        <w:tc>
          <w:tcPr>
            <w:tcW w:w="0" w:type="auto"/>
            <w:shd w:val="clear" w:color="auto" w:fill="CCEEFF"/>
            <w:tcMar>
              <w:top w:w="0" w:type="dxa"/>
              <w:left w:w="0" w:type="dxa"/>
              <w:bottom w:w="30" w:type="dxa"/>
              <w:right w:w="0" w:type="dxa"/>
            </w:tcMar>
            <w:vAlign w:val="bottom"/>
            <w:hideMark/>
          </w:tcPr>
          <w:p w14:paraId="28627B8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528BD42"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6F16C0F" w14:textId="77777777" w:rsidR="00000000" w:rsidRDefault="001826C1">
            <w:pPr>
              <w:jc w:val="right"/>
              <w:rPr>
                <w:rFonts w:eastAsia="Times New Roman"/>
                <w:sz w:val="16"/>
                <w:szCs w:val="16"/>
              </w:rPr>
            </w:pPr>
            <w:r>
              <w:rPr>
                <w:rFonts w:eastAsia="Times New Roman"/>
                <w:sz w:val="16"/>
                <w:szCs w:val="16"/>
              </w:rPr>
              <w:t>91</w:t>
            </w:r>
          </w:p>
        </w:tc>
        <w:tc>
          <w:tcPr>
            <w:tcW w:w="0" w:type="auto"/>
            <w:shd w:val="clear" w:color="auto" w:fill="CCEEFF"/>
            <w:tcMar>
              <w:top w:w="0" w:type="dxa"/>
              <w:left w:w="0" w:type="dxa"/>
              <w:bottom w:w="30" w:type="dxa"/>
              <w:right w:w="0" w:type="dxa"/>
            </w:tcMar>
            <w:vAlign w:val="bottom"/>
            <w:hideMark/>
          </w:tcPr>
          <w:p w14:paraId="56CB688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5476885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25873E0"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6623A27" w14:textId="77777777" w:rsidR="00000000" w:rsidRDefault="001826C1">
            <w:pPr>
              <w:jc w:val="right"/>
              <w:rPr>
                <w:rFonts w:eastAsia="Times New Roman"/>
                <w:sz w:val="16"/>
                <w:szCs w:val="16"/>
              </w:rPr>
            </w:pPr>
            <w:r>
              <w:rPr>
                <w:rFonts w:eastAsia="Times New Roman"/>
                <w:sz w:val="16"/>
                <w:szCs w:val="16"/>
              </w:rPr>
              <w:t>87</w:t>
            </w:r>
          </w:p>
        </w:tc>
        <w:tc>
          <w:tcPr>
            <w:tcW w:w="0" w:type="auto"/>
            <w:shd w:val="clear" w:color="auto" w:fill="CCEEFF"/>
            <w:tcMar>
              <w:top w:w="0" w:type="dxa"/>
              <w:left w:w="0" w:type="dxa"/>
              <w:bottom w:w="30" w:type="dxa"/>
              <w:right w:w="0" w:type="dxa"/>
            </w:tcMar>
            <w:vAlign w:val="bottom"/>
            <w:hideMark/>
          </w:tcPr>
          <w:p w14:paraId="315DEBF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7B316D77"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241642B"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1AC9BDE" w14:textId="77777777" w:rsidR="00000000" w:rsidRDefault="001826C1">
            <w:pPr>
              <w:jc w:val="right"/>
              <w:rPr>
                <w:rFonts w:eastAsia="Times New Roman"/>
                <w:sz w:val="16"/>
                <w:szCs w:val="16"/>
              </w:rPr>
            </w:pPr>
            <w:r>
              <w:rPr>
                <w:rFonts w:eastAsia="Times New Roman"/>
                <w:sz w:val="16"/>
                <w:szCs w:val="16"/>
              </w:rPr>
              <w:t>56</w:t>
            </w:r>
          </w:p>
        </w:tc>
        <w:tc>
          <w:tcPr>
            <w:tcW w:w="0" w:type="auto"/>
            <w:shd w:val="clear" w:color="auto" w:fill="CCEEFF"/>
            <w:tcMar>
              <w:top w:w="0" w:type="dxa"/>
              <w:left w:w="0" w:type="dxa"/>
              <w:bottom w:w="30" w:type="dxa"/>
              <w:right w:w="0" w:type="dxa"/>
            </w:tcMar>
            <w:vAlign w:val="bottom"/>
            <w:hideMark/>
          </w:tcPr>
          <w:p w14:paraId="25E449C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41EE03C5"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3137F2C"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E029652" w14:textId="77777777" w:rsidR="00000000" w:rsidRDefault="001826C1">
            <w:pPr>
              <w:jc w:val="right"/>
              <w:rPr>
                <w:rFonts w:eastAsia="Times New Roman"/>
                <w:sz w:val="16"/>
                <w:szCs w:val="16"/>
              </w:rPr>
            </w:pPr>
            <w:r>
              <w:rPr>
                <w:rFonts w:eastAsia="Times New Roman"/>
                <w:sz w:val="16"/>
                <w:szCs w:val="16"/>
              </w:rPr>
              <w:t>(41</w:t>
            </w:r>
          </w:p>
        </w:tc>
        <w:tc>
          <w:tcPr>
            <w:tcW w:w="0" w:type="auto"/>
            <w:shd w:val="clear" w:color="auto" w:fill="CCEEFF"/>
            <w:tcMar>
              <w:top w:w="0" w:type="dxa"/>
              <w:left w:w="0" w:type="dxa"/>
              <w:bottom w:w="30" w:type="dxa"/>
              <w:right w:w="0" w:type="dxa"/>
            </w:tcMar>
            <w:vAlign w:val="bottom"/>
            <w:hideMark/>
          </w:tcPr>
          <w:p w14:paraId="444DB1BD"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73A8738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063FF85"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374E5B46" w14:textId="77777777" w:rsidR="00000000" w:rsidRDefault="001826C1">
            <w:pPr>
              <w:jc w:val="right"/>
              <w:rPr>
                <w:rFonts w:eastAsia="Times New Roman"/>
                <w:sz w:val="16"/>
                <w:szCs w:val="16"/>
              </w:rPr>
            </w:pPr>
            <w:r>
              <w:rPr>
                <w:rFonts w:eastAsia="Times New Roman"/>
                <w:sz w:val="16"/>
                <w:szCs w:val="16"/>
              </w:rPr>
              <w:t>(5</w:t>
            </w:r>
          </w:p>
        </w:tc>
        <w:tc>
          <w:tcPr>
            <w:tcW w:w="0" w:type="auto"/>
            <w:shd w:val="clear" w:color="auto" w:fill="CCEEFF"/>
            <w:tcMar>
              <w:top w:w="0" w:type="dxa"/>
              <w:left w:w="0" w:type="dxa"/>
              <w:bottom w:w="30" w:type="dxa"/>
              <w:right w:w="0" w:type="dxa"/>
            </w:tcMar>
            <w:vAlign w:val="bottom"/>
            <w:hideMark/>
          </w:tcPr>
          <w:p w14:paraId="54104A9F"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100B8676"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25322866"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0448821" w14:textId="77777777" w:rsidR="00000000" w:rsidRDefault="001826C1">
            <w:pPr>
              <w:jc w:val="right"/>
              <w:rPr>
                <w:rFonts w:eastAsia="Times New Roman"/>
                <w:sz w:val="16"/>
                <w:szCs w:val="16"/>
              </w:rPr>
            </w:pPr>
            <w:r>
              <w:rPr>
                <w:rFonts w:eastAsia="Times New Roman"/>
                <w:sz w:val="16"/>
                <w:szCs w:val="16"/>
              </w:rPr>
              <w:t>(250</w:t>
            </w:r>
          </w:p>
        </w:tc>
        <w:tc>
          <w:tcPr>
            <w:tcW w:w="0" w:type="auto"/>
            <w:shd w:val="clear" w:color="auto" w:fill="CCEEFF"/>
            <w:tcMar>
              <w:top w:w="0" w:type="dxa"/>
              <w:left w:w="0" w:type="dxa"/>
              <w:bottom w:w="30" w:type="dxa"/>
              <w:right w:w="0" w:type="dxa"/>
            </w:tcMar>
            <w:vAlign w:val="bottom"/>
            <w:hideMark/>
          </w:tcPr>
          <w:p w14:paraId="302720DF"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30" w:type="dxa"/>
              <w:right w:w="0" w:type="dxa"/>
            </w:tcMar>
            <w:vAlign w:val="bottom"/>
            <w:hideMark/>
          </w:tcPr>
          <w:p w14:paraId="6824DE68"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69751BFD"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4CBF9B71" w14:textId="77777777" w:rsidR="00000000" w:rsidRDefault="001826C1">
            <w:pPr>
              <w:jc w:val="right"/>
              <w:rPr>
                <w:rFonts w:eastAsia="Times New Roman"/>
                <w:sz w:val="16"/>
                <w:szCs w:val="16"/>
              </w:rPr>
            </w:pPr>
            <w:r>
              <w:rPr>
                <w:rFonts w:eastAsia="Times New Roman"/>
                <w:sz w:val="16"/>
                <w:szCs w:val="16"/>
              </w:rPr>
              <w:t>51</w:t>
            </w:r>
          </w:p>
        </w:tc>
        <w:tc>
          <w:tcPr>
            <w:tcW w:w="0" w:type="auto"/>
            <w:shd w:val="clear" w:color="auto" w:fill="CCEEFF"/>
            <w:tcMar>
              <w:top w:w="0" w:type="dxa"/>
              <w:left w:w="0" w:type="dxa"/>
              <w:bottom w:w="30" w:type="dxa"/>
              <w:right w:w="0" w:type="dxa"/>
            </w:tcMar>
            <w:vAlign w:val="bottom"/>
            <w:hideMark/>
          </w:tcPr>
          <w:p w14:paraId="6DBB126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30" w:type="dxa"/>
              <w:right w:w="0" w:type="dxa"/>
            </w:tcMar>
            <w:vAlign w:val="bottom"/>
            <w:hideMark/>
          </w:tcPr>
          <w:p w14:paraId="3CBE80F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736570F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14:paraId="15AAD420" w14:textId="77777777" w:rsidR="00000000" w:rsidRDefault="001826C1">
            <w:pPr>
              <w:jc w:val="right"/>
              <w:rPr>
                <w:rFonts w:eastAsia="Times New Roman"/>
                <w:sz w:val="16"/>
                <w:szCs w:val="16"/>
              </w:rPr>
            </w:pPr>
            <w:r>
              <w:rPr>
                <w:rFonts w:eastAsia="Times New Roman"/>
                <w:sz w:val="16"/>
                <w:szCs w:val="16"/>
              </w:rPr>
              <w:t>47</w:t>
            </w:r>
          </w:p>
        </w:tc>
        <w:tc>
          <w:tcPr>
            <w:tcW w:w="0" w:type="auto"/>
            <w:shd w:val="clear" w:color="auto" w:fill="CCEEFF"/>
            <w:tcMar>
              <w:top w:w="0" w:type="dxa"/>
              <w:left w:w="0" w:type="dxa"/>
              <w:bottom w:w="30" w:type="dxa"/>
              <w:right w:w="0" w:type="dxa"/>
            </w:tcMar>
            <w:vAlign w:val="bottom"/>
            <w:hideMark/>
          </w:tcPr>
          <w:p w14:paraId="55988BCB" w14:textId="77777777" w:rsidR="00000000" w:rsidRDefault="001826C1">
            <w:pPr>
              <w:rPr>
                <w:rFonts w:eastAsia="Times New Roman"/>
                <w:sz w:val="16"/>
                <w:szCs w:val="16"/>
              </w:rPr>
            </w:pPr>
            <w:r>
              <w:rPr>
                <w:rFonts w:eastAsia="Times New Roman"/>
                <w:sz w:val="16"/>
                <w:szCs w:val="16"/>
              </w:rPr>
              <w:t> </w:t>
            </w:r>
          </w:p>
        </w:tc>
      </w:tr>
      <w:tr w:rsidR="001826C1" w14:paraId="04388D6A" w14:textId="77777777">
        <w:tc>
          <w:tcPr>
            <w:tcW w:w="0" w:type="auto"/>
            <w:shd w:val="clear" w:color="auto" w:fill="FFFFFF"/>
            <w:vAlign w:val="bottom"/>
            <w:hideMark/>
          </w:tcPr>
          <w:p w14:paraId="6DABA99A" w14:textId="77777777" w:rsidR="00000000" w:rsidRDefault="001826C1">
            <w:pPr>
              <w:rPr>
                <w:rFonts w:eastAsia="Times New Roman"/>
                <w:sz w:val="16"/>
                <w:szCs w:val="16"/>
              </w:rPr>
            </w:pPr>
            <w:r>
              <w:rPr>
                <w:rFonts w:eastAsia="Times New Roman"/>
                <w:sz w:val="16"/>
                <w:szCs w:val="16"/>
              </w:rPr>
              <w:t>Net income (loss)</w:t>
            </w:r>
          </w:p>
        </w:tc>
        <w:tc>
          <w:tcPr>
            <w:tcW w:w="0" w:type="auto"/>
            <w:shd w:val="clear" w:color="auto" w:fill="FFFFFF"/>
            <w:tcMar>
              <w:top w:w="0" w:type="dxa"/>
              <w:left w:w="0" w:type="dxa"/>
              <w:bottom w:w="50" w:type="dxa"/>
              <w:right w:w="0" w:type="dxa"/>
            </w:tcMar>
            <w:vAlign w:val="bottom"/>
            <w:hideMark/>
          </w:tcPr>
          <w:p w14:paraId="6D9672A0"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3FB863BA"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1FD6BD4D" w14:textId="77777777" w:rsidR="00000000" w:rsidRDefault="001826C1">
            <w:pPr>
              <w:jc w:val="right"/>
              <w:rPr>
                <w:rFonts w:eastAsia="Times New Roman"/>
                <w:sz w:val="16"/>
                <w:szCs w:val="16"/>
              </w:rPr>
            </w:pPr>
            <w:r>
              <w:rPr>
                <w:rFonts w:eastAsia="Times New Roman"/>
                <w:sz w:val="16"/>
                <w:szCs w:val="16"/>
              </w:rPr>
              <w:t>333</w:t>
            </w:r>
          </w:p>
        </w:tc>
        <w:tc>
          <w:tcPr>
            <w:tcW w:w="0" w:type="auto"/>
            <w:shd w:val="clear" w:color="auto" w:fill="FFFFFF"/>
            <w:tcMar>
              <w:top w:w="0" w:type="dxa"/>
              <w:left w:w="0" w:type="dxa"/>
              <w:bottom w:w="50" w:type="dxa"/>
              <w:right w:w="0" w:type="dxa"/>
            </w:tcMar>
            <w:vAlign w:val="bottom"/>
            <w:hideMark/>
          </w:tcPr>
          <w:p w14:paraId="0C28E79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1848B983"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39019887"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0D4546E4" w14:textId="77777777" w:rsidR="00000000" w:rsidRDefault="001826C1">
            <w:pPr>
              <w:jc w:val="right"/>
              <w:rPr>
                <w:rFonts w:eastAsia="Times New Roman"/>
                <w:sz w:val="16"/>
                <w:szCs w:val="16"/>
              </w:rPr>
            </w:pPr>
            <w:r>
              <w:rPr>
                <w:rFonts w:eastAsia="Times New Roman"/>
                <w:sz w:val="16"/>
                <w:szCs w:val="16"/>
              </w:rPr>
              <w:t>(138</w:t>
            </w:r>
          </w:p>
        </w:tc>
        <w:tc>
          <w:tcPr>
            <w:tcW w:w="0" w:type="auto"/>
            <w:shd w:val="clear" w:color="auto" w:fill="FFFFFF"/>
            <w:tcMar>
              <w:top w:w="0" w:type="dxa"/>
              <w:left w:w="0" w:type="dxa"/>
              <w:bottom w:w="50" w:type="dxa"/>
              <w:right w:w="0" w:type="dxa"/>
            </w:tcMar>
            <w:vAlign w:val="bottom"/>
            <w:hideMark/>
          </w:tcPr>
          <w:p w14:paraId="35BD561F"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3B9DAD11"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B053BCB"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02D3B3B1" w14:textId="77777777" w:rsidR="00000000" w:rsidRDefault="001826C1">
            <w:pPr>
              <w:jc w:val="right"/>
              <w:rPr>
                <w:rFonts w:eastAsia="Times New Roman"/>
                <w:sz w:val="16"/>
                <w:szCs w:val="16"/>
              </w:rPr>
            </w:pPr>
            <w:r>
              <w:rPr>
                <w:rFonts w:eastAsia="Times New Roman"/>
                <w:sz w:val="16"/>
                <w:szCs w:val="16"/>
              </w:rPr>
              <w:t>(771</w:t>
            </w:r>
          </w:p>
        </w:tc>
        <w:tc>
          <w:tcPr>
            <w:tcW w:w="0" w:type="auto"/>
            <w:shd w:val="clear" w:color="auto" w:fill="FFFFFF"/>
            <w:tcMar>
              <w:top w:w="0" w:type="dxa"/>
              <w:left w:w="0" w:type="dxa"/>
              <w:bottom w:w="50" w:type="dxa"/>
              <w:right w:w="0" w:type="dxa"/>
            </w:tcMar>
            <w:vAlign w:val="bottom"/>
            <w:hideMark/>
          </w:tcPr>
          <w:p w14:paraId="0EA131B8"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58FD1DF6"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0173471B"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3E7B7707" w14:textId="77777777" w:rsidR="00000000" w:rsidRDefault="001826C1">
            <w:pPr>
              <w:jc w:val="right"/>
              <w:rPr>
                <w:rFonts w:eastAsia="Times New Roman"/>
                <w:sz w:val="16"/>
                <w:szCs w:val="16"/>
              </w:rPr>
            </w:pPr>
            <w:r>
              <w:rPr>
                <w:rFonts w:eastAsia="Times New Roman"/>
                <w:sz w:val="16"/>
                <w:szCs w:val="16"/>
              </w:rPr>
              <w:t>(296</w:t>
            </w:r>
          </w:p>
        </w:tc>
        <w:tc>
          <w:tcPr>
            <w:tcW w:w="0" w:type="auto"/>
            <w:shd w:val="clear" w:color="auto" w:fill="FFFFFF"/>
            <w:tcMar>
              <w:top w:w="0" w:type="dxa"/>
              <w:left w:w="0" w:type="dxa"/>
              <w:bottom w:w="50" w:type="dxa"/>
              <w:right w:w="0" w:type="dxa"/>
            </w:tcMar>
            <w:vAlign w:val="bottom"/>
            <w:hideMark/>
          </w:tcPr>
          <w:p w14:paraId="2192256E"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7EB2C2C0"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AE63F21"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5E10A6BC" w14:textId="77777777" w:rsidR="00000000" w:rsidRDefault="001826C1">
            <w:pPr>
              <w:jc w:val="right"/>
              <w:rPr>
                <w:rFonts w:eastAsia="Times New Roman"/>
                <w:sz w:val="16"/>
                <w:szCs w:val="16"/>
              </w:rPr>
            </w:pPr>
            <w:r>
              <w:rPr>
                <w:rFonts w:eastAsia="Times New Roman"/>
                <w:sz w:val="16"/>
                <w:szCs w:val="16"/>
              </w:rPr>
              <w:t>(576</w:t>
            </w:r>
          </w:p>
        </w:tc>
        <w:tc>
          <w:tcPr>
            <w:tcW w:w="0" w:type="auto"/>
            <w:shd w:val="clear" w:color="auto" w:fill="FFFFFF"/>
            <w:tcMar>
              <w:top w:w="0" w:type="dxa"/>
              <w:left w:w="0" w:type="dxa"/>
              <w:bottom w:w="50" w:type="dxa"/>
              <w:right w:w="0" w:type="dxa"/>
            </w:tcMar>
            <w:vAlign w:val="bottom"/>
            <w:hideMark/>
          </w:tcPr>
          <w:p w14:paraId="3FD95AA8"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1077A923"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9A06FD7"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7AEF79EC" w14:textId="77777777" w:rsidR="00000000" w:rsidRDefault="001826C1">
            <w:pPr>
              <w:jc w:val="right"/>
              <w:rPr>
                <w:rFonts w:eastAsia="Times New Roman"/>
                <w:sz w:val="16"/>
                <w:szCs w:val="16"/>
              </w:rPr>
            </w:pPr>
            <w:r>
              <w:rPr>
                <w:rFonts w:eastAsia="Times New Roman"/>
                <w:sz w:val="16"/>
                <w:szCs w:val="16"/>
              </w:rPr>
              <w:t>(1,832</w:t>
            </w:r>
          </w:p>
        </w:tc>
        <w:tc>
          <w:tcPr>
            <w:tcW w:w="0" w:type="auto"/>
            <w:shd w:val="clear" w:color="auto" w:fill="FFFFFF"/>
            <w:tcMar>
              <w:top w:w="0" w:type="dxa"/>
              <w:left w:w="0" w:type="dxa"/>
              <w:bottom w:w="50" w:type="dxa"/>
              <w:right w:w="0" w:type="dxa"/>
            </w:tcMar>
            <w:vAlign w:val="bottom"/>
            <w:hideMark/>
          </w:tcPr>
          <w:p w14:paraId="50254560"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40E34A6B"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6AAABCD7"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331B795F" w14:textId="77777777" w:rsidR="00000000" w:rsidRDefault="001826C1">
            <w:pPr>
              <w:jc w:val="right"/>
              <w:rPr>
                <w:rFonts w:eastAsia="Times New Roman"/>
                <w:sz w:val="16"/>
                <w:szCs w:val="16"/>
              </w:rPr>
            </w:pPr>
            <w:r>
              <w:rPr>
                <w:rFonts w:eastAsia="Times New Roman"/>
                <w:sz w:val="16"/>
                <w:szCs w:val="16"/>
              </w:rPr>
              <w:t>195</w:t>
            </w:r>
          </w:p>
        </w:tc>
        <w:tc>
          <w:tcPr>
            <w:tcW w:w="0" w:type="auto"/>
            <w:shd w:val="clear" w:color="auto" w:fill="FFFFFF"/>
            <w:tcMar>
              <w:top w:w="0" w:type="dxa"/>
              <w:left w:w="0" w:type="dxa"/>
              <w:bottom w:w="50" w:type="dxa"/>
              <w:right w:w="0" w:type="dxa"/>
            </w:tcMar>
            <w:vAlign w:val="bottom"/>
            <w:hideMark/>
          </w:tcPr>
          <w:p w14:paraId="400BEF4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24E65DDE"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34ABCB8A"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3DAC4852" w14:textId="77777777" w:rsidR="00000000" w:rsidRDefault="001826C1">
            <w:pPr>
              <w:jc w:val="right"/>
              <w:rPr>
                <w:rFonts w:eastAsia="Times New Roman"/>
                <w:sz w:val="16"/>
                <w:szCs w:val="16"/>
              </w:rPr>
            </w:pPr>
            <w:r>
              <w:rPr>
                <w:rFonts w:eastAsia="Times New Roman"/>
                <w:sz w:val="16"/>
                <w:szCs w:val="16"/>
              </w:rPr>
              <w:t>75</w:t>
            </w:r>
          </w:p>
        </w:tc>
        <w:tc>
          <w:tcPr>
            <w:tcW w:w="0" w:type="auto"/>
            <w:shd w:val="clear" w:color="auto" w:fill="FFFFFF"/>
            <w:tcMar>
              <w:top w:w="0" w:type="dxa"/>
              <w:left w:w="0" w:type="dxa"/>
              <w:bottom w:w="50" w:type="dxa"/>
              <w:right w:w="0" w:type="dxa"/>
            </w:tcMar>
            <w:vAlign w:val="bottom"/>
            <w:hideMark/>
          </w:tcPr>
          <w:p w14:paraId="155F4DCE" w14:textId="77777777" w:rsidR="00000000" w:rsidRDefault="001826C1">
            <w:pPr>
              <w:rPr>
                <w:rFonts w:eastAsia="Times New Roman"/>
                <w:sz w:val="16"/>
                <w:szCs w:val="16"/>
              </w:rPr>
            </w:pPr>
            <w:r>
              <w:rPr>
                <w:rFonts w:eastAsia="Times New Roman"/>
                <w:sz w:val="16"/>
                <w:szCs w:val="16"/>
              </w:rPr>
              <w:t> </w:t>
            </w:r>
          </w:p>
        </w:tc>
      </w:tr>
      <w:tr w:rsidR="001826C1" w14:paraId="7D81DDDA" w14:textId="77777777">
        <w:tc>
          <w:tcPr>
            <w:tcW w:w="0" w:type="auto"/>
            <w:shd w:val="clear" w:color="auto" w:fill="CCEEFF"/>
            <w:vAlign w:val="bottom"/>
            <w:hideMark/>
          </w:tcPr>
          <w:p w14:paraId="0895CA1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77939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6739D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E22C958"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792FF7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D5EA76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4834D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41F0414"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4EC380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52F1AD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24CAC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D84CC27"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A98B80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D9BA4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ECC947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69063B"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D20CD3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E6D914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6AD92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A1AC719"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205500E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11145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246D0D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1C74DAE"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5FBEA2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C536B4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47861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DEF1D01"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9389F9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C4FDB0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9317C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C030A06"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BA469F6" w14:textId="77777777" w:rsidR="00000000" w:rsidRDefault="001826C1">
            <w:pPr>
              <w:rPr>
                <w:rFonts w:eastAsia="Times New Roman"/>
                <w:sz w:val="16"/>
                <w:szCs w:val="16"/>
              </w:rPr>
            </w:pPr>
            <w:r>
              <w:rPr>
                <w:rFonts w:eastAsia="Times New Roman"/>
                <w:sz w:val="16"/>
                <w:szCs w:val="16"/>
              </w:rPr>
              <w:t> </w:t>
            </w:r>
          </w:p>
        </w:tc>
      </w:tr>
      <w:tr w:rsidR="001826C1" w14:paraId="31F737E6" w14:textId="77777777">
        <w:tc>
          <w:tcPr>
            <w:tcW w:w="0" w:type="auto"/>
            <w:shd w:val="clear" w:color="auto" w:fill="FFFFFF"/>
            <w:vAlign w:val="bottom"/>
            <w:hideMark/>
          </w:tcPr>
          <w:p w14:paraId="7A28EC14" w14:textId="77777777" w:rsidR="00000000" w:rsidRDefault="001826C1">
            <w:pPr>
              <w:rPr>
                <w:rFonts w:eastAsia="Times New Roman"/>
                <w:sz w:val="16"/>
                <w:szCs w:val="16"/>
              </w:rPr>
            </w:pPr>
            <w:r>
              <w:rPr>
                <w:rFonts w:eastAsia="Times New Roman"/>
                <w:sz w:val="16"/>
                <w:szCs w:val="16"/>
              </w:rPr>
              <w:t>Preferred stock dividend</w:t>
            </w:r>
          </w:p>
        </w:tc>
        <w:tc>
          <w:tcPr>
            <w:tcW w:w="0" w:type="auto"/>
            <w:shd w:val="clear" w:color="auto" w:fill="FFFFFF"/>
            <w:vAlign w:val="bottom"/>
            <w:hideMark/>
          </w:tcPr>
          <w:p w14:paraId="0EF5AD1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FDD52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1E7CAF6" w14:textId="77777777" w:rsidR="00000000" w:rsidRDefault="001826C1">
            <w:pPr>
              <w:jc w:val="right"/>
              <w:rPr>
                <w:rFonts w:eastAsia="Times New Roman"/>
                <w:sz w:val="16"/>
                <w:szCs w:val="16"/>
              </w:rPr>
            </w:pPr>
            <w:r>
              <w:rPr>
                <w:rFonts w:eastAsia="Times New Roman"/>
                <w:sz w:val="16"/>
                <w:szCs w:val="16"/>
              </w:rPr>
              <w:t>1,804</w:t>
            </w:r>
          </w:p>
        </w:tc>
        <w:tc>
          <w:tcPr>
            <w:tcW w:w="0" w:type="auto"/>
            <w:shd w:val="clear" w:color="auto" w:fill="FFFFFF"/>
            <w:vAlign w:val="bottom"/>
            <w:hideMark/>
          </w:tcPr>
          <w:p w14:paraId="3461E7E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0A840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D7796B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DE080D" w14:textId="77777777" w:rsidR="00000000" w:rsidRDefault="001826C1">
            <w:pPr>
              <w:jc w:val="right"/>
              <w:rPr>
                <w:rFonts w:eastAsia="Times New Roman"/>
                <w:sz w:val="16"/>
                <w:szCs w:val="16"/>
              </w:rPr>
            </w:pPr>
            <w:r>
              <w:rPr>
                <w:rFonts w:eastAsia="Times New Roman"/>
                <w:sz w:val="16"/>
                <w:szCs w:val="16"/>
              </w:rPr>
              <w:t>1,603</w:t>
            </w:r>
          </w:p>
        </w:tc>
        <w:tc>
          <w:tcPr>
            <w:tcW w:w="0" w:type="auto"/>
            <w:shd w:val="clear" w:color="auto" w:fill="FFFFFF"/>
            <w:vAlign w:val="bottom"/>
            <w:hideMark/>
          </w:tcPr>
          <w:p w14:paraId="03E7DA8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0B8289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3F9183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623ED25" w14:textId="77777777" w:rsidR="00000000" w:rsidRDefault="001826C1">
            <w:pPr>
              <w:jc w:val="right"/>
              <w:rPr>
                <w:rFonts w:eastAsia="Times New Roman"/>
                <w:sz w:val="16"/>
                <w:szCs w:val="16"/>
              </w:rPr>
            </w:pPr>
            <w:r>
              <w:rPr>
                <w:rFonts w:eastAsia="Times New Roman"/>
                <w:sz w:val="16"/>
                <w:szCs w:val="16"/>
              </w:rPr>
              <w:t>1,486</w:t>
            </w:r>
          </w:p>
        </w:tc>
        <w:tc>
          <w:tcPr>
            <w:tcW w:w="0" w:type="auto"/>
            <w:shd w:val="clear" w:color="auto" w:fill="FFFFFF"/>
            <w:vAlign w:val="bottom"/>
            <w:hideMark/>
          </w:tcPr>
          <w:p w14:paraId="0B4D907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ACE26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8765ED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0211448" w14:textId="77777777" w:rsidR="00000000" w:rsidRDefault="001826C1">
            <w:pPr>
              <w:jc w:val="right"/>
              <w:rPr>
                <w:rFonts w:eastAsia="Times New Roman"/>
                <w:sz w:val="16"/>
                <w:szCs w:val="16"/>
              </w:rPr>
            </w:pPr>
            <w:r>
              <w:rPr>
                <w:rFonts w:eastAsia="Times New Roman"/>
                <w:sz w:val="16"/>
                <w:szCs w:val="16"/>
              </w:rPr>
              <w:t>1,493</w:t>
            </w:r>
          </w:p>
        </w:tc>
        <w:tc>
          <w:tcPr>
            <w:tcW w:w="0" w:type="auto"/>
            <w:shd w:val="clear" w:color="auto" w:fill="FFFFFF"/>
            <w:vAlign w:val="bottom"/>
            <w:hideMark/>
          </w:tcPr>
          <w:p w14:paraId="0013CE2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2D83FE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D1942D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D24F349" w14:textId="77777777" w:rsidR="00000000" w:rsidRDefault="001826C1">
            <w:pPr>
              <w:jc w:val="right"/>
              <w:rPr>
                <w:rFonts w:eastAsia="Times New Roman"/>
                <w:sz w:val="16"/>
                <w:szCs w:val="16"/>
              </w:rPr>
            </w:pPr>
            <w:r>
              <w:rPr>
                <w:rFonts w:eastAsia="Times New Roman"/>
                <w:sz w:val="16"/>
                <w:szCs w:val="16"/>
              </w:rPr>
              <w:t>1,744</w:t>
            </w:r>
          </w:p>
        </w:tc>
        <w:tc>
          <w:tcPr>
            <w:tcW w:w="0" w:type="auto"/>
            <w:shd w:val="clear" w:color="auto" w:fill="FFFFFF"/>
            <w:vAlign w:val="bottom"/>
            <w:hideMark/>
          </w:tcPr>
          <w:p w14:paraId="2D95F10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C4BB7E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FDB4BD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AF99462" w14:textId="77777777" w:rsidR="00000000" w:rsidRDefault="001826C1">
            <w:pPr>
              <w:jc w:val="right"/>
              <w:rPr>
                <w:rFonts w:eastAsia="Times New Roman"/>
                <w:sz w:val="16"/>
                <w:szCs w:val="16"/>
              </w:rPr>
            </w:pPr>
            <w:r>
              <w:rPr>
                <w:rFonts w:eastAsia="Times New Roman"/>
                <w:sz w:val="16"/>
                <w:szCs w:val="16"/>
              </w:rPr>
              <w:t>1,056</w:t>
            </w:r>
          </w:p>
        </w:tc>
        <w:tc>
          <w:tcPr>
            <w:tcW w:w="0" w:type="auto"/>
            <w:shd w:val="clear" w:color="auto" w:fill="FFFFFF"/>
            <w:vAlign w:val="bottom"/>
            <w:hideMark/>
          </w:tcPr>
          <w:p w14:paraId="23BE313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2720A7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C08D6D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A25EA5C" w14:textId="77777777" w:rsidR="00000000" w:rsidRDefault="001826C1">
            <w:pPr>
              <w:jc w:val="right"/>
              <w:rPr>
                <w:rFonts w:eastAsia="Times New Roman"/>
                <w:sz w:val="16"/>
                <w:szCs w:val="16"/>
              </w:rPr>
            </w:pPr>
            <w:r>
              <w:rPr>
                <w:rFonts w:eastAsia="Times New Roman"/>
                <w:sz w:val="16"/>
                <w:szCs w:val="16"/>
              </w:rPr>
              <w:t>1,249</w:t>
            </w:r>
          </w:p>
        </w:tc>
        <w:tc>
          <w:tcPr>
            <w:tcW w:w="0" w:type="auto"/>
            <w:shd w:val="clear" w:color="auto" w:fill="FFFFFF"/>
            <w:vAlign w:val="bottom"/>
            <w:hideMark/>
          </w:tcPr>
          <w:p w14:paraId="1B9CD4E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AA0FAD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CC3B7D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B6F78C2" w14:textId="77777777" w:rsidR="00000000" w:rsidRDefault="001826C1">
            <w:pPr>
              <w:jc w:val="right"/>
              <w:rPr>
                <w:rFonts w:eastAsia="Times New Roman"/>
                <w:sz w:val="16"/>
                <w:szCs w:val="16"/>
              </w:rPr>
            </w:pPr>
            <w:r>
              <w:rPr>
                <w:rFonts w:eastAsia="Times New Roman"/>
                <w:sz w:val="16"/>
                <w:szCs w:val="16"/>
              </w:rPr>
              <w:t>775</w:t>
            </w:r>
          </w:p>
        </w:tc>
        <w:tc>
          <w:tcPr>
            <w:tcW w:w="0" w:type="auto"/>
            <w:shd w:val="clear" w:color="auto" w:fill="FFFFFF"/>
            <w:vAlign w:val="bottom"/>
            <w:hideMark/>
          </w:tcPr>
          <w:p w14:paraId="3E788E48" w14:textId="77777777" w:rsidR="00000000" w:rsidRDefault="001826C1">
            <w:pPr>
              <w:rPr>
                <w:rFonts w:eastAsia="Times New Roman"/>
                <w:sz w:val="16"/>
                <w:szCs w:val="16"/>
              </w:rPr>
            </w:pPr>
            <w:r>
              <w:rPr>
                <w:rFonts w:eastAsia="Times New Roman"/>
                <w:sz w:val="16"/>
                <w:szCs w:val="16"/>
              </w:rPr>
              <w:t> </w:t>
            </w:r>
          </w:p>
        </w:tc>
      </w:tr>
      <w:tr w:rsidR="001826C1" w14:paraId="429DAD02" w14:textId="77777777">
        <w:tc>
          <w:tcPr>
            <w:tcW w:w="0" w:type="auto"/>
            <w:shd w:val="clear" w:color="auto" w:fill="CCEEFF"/>
            <w:vAlign w:val="bottom"/>
            <w:hideMark/>
          </w:tcPr>
          <w:p w14:paraId="742840ED" w14:textId="77777777" w:rsidR="00000000" w:rsidRDefault="001826C1">
            <w:pPr>
              <w:rPr>
                <w:rFonts w:eastAsia="Times New Roman"/>
                <w:sz w:val="16"/>
                <w:szCs w:val="16"/>
              </w:rPr>
            </w:pPr>
            <w:r>
              <w:rPr>
                <w:rFonts w:eastAsia="Times New Roman"/>
                <w:sz w:val="16"/>
                <w:szCs w:val="16"/>
              </w:rPr>
              <w:t xml:space="preserve">Net </w:t>
            </w:r>
            <w:r>
              <w:rPr>
                <w:rFonts w:eastAsia="Times New Roman"/>
                <w:sz w:val="16"/>
                <w:szCs w:val="16"/>
              </w:rPr>
              <w:t>loss attributable to common shareholders</w:t>
            </w:r>
          </w:p>
        </w:tc>
        <w:tc>
          <w:tcPr>
            <w:tcW w:w="0" w:type="auto"/>
            <w:shd w:val="clear" w:color="auto" w:fill="CCEEFF"/>
            <w:tcMar>
              <w:top w:w="0" w:type="dxa"/>
              <w:left w:w="0" w:type="dxa"/>
              <w:bottom w:w="50" w:type="dxa"/>
              <w:right w:w="0" w:type="dxa"/>
            </w:tcMar>
            <w:vAlign w:val="bottom"/>
            <w:hideMark/>
          </w:tcPr>
          <w:p w14:paraId="474FC426"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5A24CFFA"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514B926B" w14:textId="77777777" w:rsidR="00000000" w:rsidRDefault="001826C1">
            <w:pPr>
              <w:jc w:val="right"/>
              <w:rPr>
                <w:rFonts w:eastAsia="Times New Roman"/>
                <w:sz w:val="16"/>
                <w:szCs w:val="16"/>
              </w:rPr>
            </w:pPr>
            <w:r>
              <w:rPr>
                <w:rFonts w:eastAsia="Times New Roman"/>
                <w:sz w:val="16"/>
                <w:szCs w:val="16"/>
              </w:rPr>
              <w:t>(1,471</w:t>
            </w:r>
          </w:p>
        </w:tc>
        <w:tc>
          <w:tcPr>
            <w:tcW w:w="0" w:type="auto"/>
            <w:shd w:val="clear" w:color="auto" w:fill="CCEEFF"/>
            <w:tcMar>
              <w:top w:w="0" w:type="dxa"/>
              <w:left w:w="0" w:type="dxa"/>
              <w:bottom w:w="50" w:type="dxa"/>
              <w:right w:w="0" w:type="dxa"/>
            </w:tcMar>
            <w:vAlign w:val="bottom"/>
            <w:hideMark/>
          </w:tcPr>
          <w:p w14:paraId="5B3D0296"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4E992E06"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65878DD8"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1C59865D" w14:textId="77777777" w:rsidR="00000000" w:rsidRDefault="001826C1">
            <w:pPr>
              <w:jc w:val="right"/>
              <w:rPr>
                <w:rFonts w:eastAsia="Times New Roman"/>
                <w:sz w:val="16"/>
                <w:szCs w:val="16"/>
              </w:rPr>
            </w:pPr>
            <w:r>
              <w:rPr>
                <w:rFonts w:eastAsia="Times New Roman"/>
                <w:sz w:val="16"/>
                <w:szCs w:val="16"/>
              </w:rPr>
              <w:t>(1,741</w:t>
            </w:r>
          </w:p>
        </w:tc>
        <w:tc>
          <w:tcPr>
            <w:tcW w:w="0" w:type="auto"/>
            <w:shd w:val="clear" w:color="auto" w:fill="CCEEFF"/>
            <w:tcMar>
              <w:top w:w="0" w:type="dxa"/>
              <w:left w:w="0" w:type="dxa"/>
              <w:bottom w:w="50" w:type="dxa"/>
              <w:right w:w="0" w:type="dxa"/>
            </w:tcMar>
            <w:vAlign w:val="bottom"/>
            <w:hideMark/>
          </w:tcPr>
          <w:p w14:paraId="31847108"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40F1122E"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B53331E"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41DCFFE2" w14:textId="77777777" w:rsidR="00000000" w:rsidRDefault="001826C1">
            <w:pPr>
              <w:jc w:val="right"/>
              <w:rPr>
                <w:rFonts w:eastAsia="Times New Roman"/>
                <w:sz w:val="16"/>
                <w:szCs w:val="16"/>
              </w:rPr>
            </w:pPr>
            <w:r>
              <w:rPr>
                <w:rFonts w:eastAsia="Times New Roman"/>
                <w:sz w:val="16"/>
                <w:szCs w:val="16"/>
              </w:rPr>
              <w:t>(2,257</w:t>
            </w:r>
          </w:p>
        </w:tc>
        <w:tc>
          <w:tcPr>
            <w:tcW w:w="0" w:type="auto"/>
            <w:shd w:val="clear" w:color="auto" w:fill="CCEEFF"/>
            <w:tcMar>
              <w:top w:w="0" w:type="dxa"/>
              <w:left w:w="0" w:type="dxa"/>
              <w:bottom w:w="50" w:type="dxa"/>
              <w:right w:w="0" w:type="dxa"/>
            </w:tcMar>
            <w:vAlign w:val="bottom"/>
            <w:hideMark/>
          </w:tcPr>
          <w:p w14:paraId="56514FDA"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0871345E"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9F2A946"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6D54EC4C" w14:textId="77777777" w:rsidR="00000000" w:rsidRDefault="001826C1">
            <w:pPr>
              <w:jc w:val="right"/>
              <w:rPr>
                <w:rFonts w:eastAsia="Times New Roman"/>
                <w:sz w:val="16"/>
                <w:szCs w:val="16"/>
              </w:rPr>
            </w:pPr>
            <w:r>
              <w:rPr>
                <w:rFonts w:eastAsia="Times New Roman"/>
                <w:sz w:val="16"/>
                <w:szCs w:val="16"/>
              </w:rPr>
              <w:t>(1,788</w:t>
            </w:r>
          </w:p>
        </w:tc>
        <w:tc>
          <w:tcPr>
            <w:tcW w:w="0" w:type="auto"/>
            <w:shd w:val="clear" w:color="auto" w:fill="CCEEFF"/>
            <w:tcMar>
              <w:top w:w="0" w:type="dxa"/>
              <w:left w:w="0" w:type="dxa"/>
              <w:bottom w:w="50" w:type="dxa"/>
              <w:right w:w="0" w:type="dxa"/>
            </w:tcMar>
            <w:vAlign w:val="bottom"/>
            <w:hideMark/>
          </w:tcPr>
          <w:p w14:paraId="6DFA01D7"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2B25740B"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56E182DE"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24665352" w14:textId="77777777" w:rsidR="00000000" w:rsidRDefault="001826C1">
            <w:pPr>
              <w:jc w:val="right"/>
              <w:rPr>
                <w:rFonts w:eastAsia="Times New Roman"/>
                <w:sz w:val="16"/>
                <w:szCs w:val="16"/>
              </w:rPr>
            </w:pPr>
            <w:r>
              <w:rPr>
                <w:rFonts w:eastAsia="Times New Roman"/>
                <w:sz w:val="16"/>
                <w:szCs w:val="16"/>
              </w:rPr>
              <w:t>(2,320</w:t>
            </w:r>
          </w:p>
        </w:tc>
        <w:tc>
          <w:tcPr>
            <w:tcW w:w="0" w:type="auto"/>
            <w:shd w:val="clear" w:color="auto" w:fill="CCEEFF"/>
            <w:tcMar>
              <w:top w:w="0" w:type="dxa"/>
              <w:left w:w="0" w:type="dxa"/>
              <w:bottom w:w="50" w:type="dxa"/>
              <w:right w:w="0" w:type="dxa"/>
            </w:tcMar>
            <w:vAlign w:val="bottom"/>
            <w:hideMark/>
          </w:tcPr>
          <w:p w14:paraId="04972E02"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36CCC590"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68C4000C"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4242CB4A" w14:textId="77777777" w:rsidR="00000000" w:rsidRDefault="001826C1">
            <w:pPr>
              <w:jc w:val="right"/>
              <w:rPr>
                <w:rFonts w:eastAsia="Times New Roman"/>
                <w:sz w:val="16"/>
                <w:szCs w:val="16"/>
              </w:rPr>
            </w:pPr>
            <w:r>
              <w:rPr>
                <w:rFonts w:eastAsia="Times New Roman"/>
                <w:sz w:val="16"/>
                <w:szCs w:val="16"/>
              </w:rPr>
              <w:t>(2,888</w:t>
            </w:r>
          </w:p>
        </w:tc>
        <w:tc>
          <w:tcPr>
            <w:tcW w:w="0" w:type="auto"/>
            <w:shd w:val="clear" w:color="auto" w:fill="CCEEFF"/>
            <w:tcMar>
              <w:top w:w="0" w:type="dxa"/>
              <w:left w:w="0" w:type="dxa"/>
              <w:bottom w:w="50" w:type="dxa"/>
              <w:right w:w="0" w:type="dxa"/>
            </w:tcMar>
            <w:vAlign w:val="bottom"/>
            <w:hideMark/>
          </w:tcPr>
          <w:p w14:paraId="177DA430"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4A1071CB"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73EA66F6"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027CF2FE" w14:textId="77777777" w:rsidR="00000000" w:rsidRDefault="001826C1">
            <w:pPr>
              <w:jc w:val="right"/>
              <w:rPr>
                <w:rFonts w:eastAsia="Times New Roman"/>
                <w:sz w:val="16"/>
                <w:szCs w:val="16"/>
              </w:rPr>
            </w:pPr>
            <w:r>
              <w:rPr>
                <w:rFonts w:eastAsia="Times New Roman"/>
                <w:sz w:val="16"/>
                <w:szCs w:val="16"/>
              </w:rPr>
              <w:t>(1,054</w:t>
            </w:r>
          </w:p>
        </w:tc>
        <w:tc>
          <w:tcPr>
            <w:tcW w:w="0" w:type="auto"/>
            <w:shd w:val="clear" w:color="auto" w:fill="CCEEFF"/>
            <w:tcMar>
              <w:top w:w="0" w:type="dxa"/>
              <w:left w:w="0" w:type="dxa"/>
              <w:bottom w:w="50" w:type="dxa"/>
              <w:right w:w="0" w:type="dxa"/>
            </w:tcMar>
            <w:vAlign w:val="bottom"/>
            <w:hideMark/>
          </w:tcPr>
          <w:p w14:paraId="0E82A510" w14:textId="77777777" w:rsidR="00000000" w:rsidRDefault="001826C1">
            <w:pPr>
              <w:rPr>
                <w:rFonts w:eastAsia="Times New Roman"/>
                <w:sz w:val="16"/>
                <w:szCs w:val="16"/>
              </w:rPr>
            </w:pPr>
            <w:r>
              <w:rPr>
                <w:rFonts w:eastAsia="Times New Roman"/>
                <w:sz w:val="16"/>
                <w:szCs w:val="16"/>
              </w:rPr>
              <w:t>)</w:t>
            </w:r>
          </w:p>
        </w:tc>
        <w:tc>
          <w:tcPr>
            <w:tcW w:w="0" w:type="auto"/>
            <w:shd w:val="clear" w:color="auto" w:fill="CCEEFF"/>
            <w:tcMar>
              <w:top w:w="0" w:type="dxa"/>
              <w:left w:w="0" w:type="dxa"/>
              <w:bottom w:w="50" w:type="dxa"/>
              <w:right w:w="0" w:type="dxa"/>
            </w:tcMar>
            <w:vAlign w:val="bottom"/>
            <w:hideMark/>
          </w:tcPr>
          <w:p w14:paraId="4502FF6D"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1F0DD450"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7096C120" w14:textId="77777777" w:rsidR="00000000" w:rsidRDefault="001826C1">
            <w:pPr>
              <w:jc w:val="right"/>
              <w:rPr>
                <w:rFonts w:eastAsia="Times New Roman"/>
                <w:sz w:val="16"/>
                <w:szCs w:val="16"/>
              </w:rPr>
            </w:pPr>
            <w:r>
              <w:rPr>
                <w:rFonts w:eastAsia="Times New Roman"/>
                <w:sz w:val="16"/>
                <w:szCs w:val="16"/>
              </w:rPr>
              <w:t>(700</w:t>
            </w:r>
          </w:p>
        </w:tc>
        <w:tc>
          <w:tcPr>
            <w:tcW w:w="0" w:type="auto"/>
            <w:shd w:val="clear" w:color="auto" w:fill="CCEEFF"/>
            <w:tcMar>
              <w:top w:w="0" w:type="dxa"/>
              <w:left w:w="0" w:type="dxa"/>
              <w:bottom w:w="50" w:type="dxa"/>
              <w:right w:w="0" w:type="dxa"/>
            </w:tcMar>
            <w:vAlign w:val="bottom"/>
            <w:hideMark/>
          </w:tcPr>
          <w:p w14:paraId="627BCE13" w14:textId="77777777" w:rsidR="00000000" w:rsidRDefault="001826C1">
            <w:pPr>
              <w:rPr>
                <w:rFonts w:eastAsia="Times New Roman"/>
                <w:sz w:val="16"/>
                <w:szCs w:val="16"/>
              </w:rPr>
            </w:pPr>
            <w:r>
              <w:rPr>
                <w:rFonts w:eastAsia="Times New Roman"/>
                <w:sz w:val="16"/>
                <w:szCs w:val="16"/>
              </w:rPr>
              <w:t>)</w:t>
            </w:r>
          </w:p>
        </w:tc>
      </w:tr>
      <w:tr w:rsidR="001826C1" w14:paraId="7D4FD5F8" w14:textId="77777777">
        <w:tc>
          <w:tcPr>
            <w:tcW w:w="0" w:type="auto"/>
            <w:shd w:val="clear" w:color="auto" w:fill="FFFFFF"/>
            <w:vAlign w:val="bottom"/>
            <w:hideMark/>
          </w:tcPr>
          <w:p w14:paraId="3602F41A" w14:textId="77777777" w:rsidR="00000000" w:rsidRDefault="001826C1">
            <w:pPr>
              <w:rPr>
                <w:rFonts w:eastAsia="Times New Roman"/>
                <w:sz w:val="16"/>
                <w:szCs w:val="16"/>
              </w:rPr>
            </w:pPr>
            <w:r>
              <w:rPr>
                <w:rFonts w:eastAsia="Times New Roman"/>
                <w:sz w:val="16"/>
                <w:szCs w:val="16"/>
              </w:rPr>
              <w:t>Loss per common share Basic and diluted</w:t>
            </w:r>
          </w:p>
        </w:tc>
        <w:tc>
          <w:tcPr>
            <w:tcW w:w="0" w:type="auto"/>
            <w:shd w:val="clear" w:color="auto" w:fill="FFFFFF"/>
            <w:tcMar>
              <w:top w:w="0" w:type="dxa"/>
              <w:left w:w="0" w:type="dxa"/>
              <w:bottom w:w="50" w:type="dxa"/>
              <w:right w:w="0" w:type="dxa"/>
            </w:tcMar>
            <w:vAlign w:val="bottom"/>
            <w:hideMark/>
          </w:tcPr>
          <w:p w14:paraId="2A5B6323"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0EF6F974"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33CC9269" w14:textId="77777777" w:rsidR="00000000" w:rsidRDefault="001826C1">
            <w:pPr>
              <w:jc w:val="right"/>
              <w:rPr>
                <w:rFonts w:eastAsia="Times New Roman"/>
                <w:sz w:val="16"/>
                <w:szCs w:val="16"/>
              </w:rPr>
            </w:pPr>
            <w:r>
              <w:rPr>
                <w:rFonts w:eastAsia="Times New Roman"/>
                <w:sz w:val="16"/>
                <w:szCs w:val="16"/>
              </w:rPr>
              <w:t>(0.12</w:t>
            </w:r>
          </w:p>
        </w:tc>
        <w:tc>
          <w:tcPr>
            <w:tcW w:w="0" w:type="auto"/>
            <w:shd w:val="clear" w:color="auto" w:fill="FFFFFF"/>
            <w:tcMar>
              <w:top w:w="0" w:type="dxa"/>
              <w:left w:w="0" w:type="dxa"/>
              <w:bottom w:w="50" w:type="dxa"/>
              <w:right w:w="0" w:type="dxa"/>
            </w:tcMar>
            <w:vAlign w:val="bottom"/>
            <w:hideMark/>
          </w:tcPr>
          <w:p w14:paraId="4A19939F"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52410D8F"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4B1F5C7"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5A2E8A10" w14:textId="77777777" w:rsidR="00000000" w:rsidRDefault="001826C1">
            <w:pPr>
              <w:jc w:val="right"/>
              <w:rPr>
                <w:rFonts w:eastAsia="Times New Roman"/>
                <w:sz w:val="16"/>
                <w:szCs w:val="16"/>
              </w:rPr>
            </w:pPr>
            <w:r>
              <w:rPr>
                <w:rFonts w:eastAsia="Times New Roman"/>
                <w:sz w:val="16"/>
                <w:szCs w:val="16"/>
              </w:rPr>
              <w:t>(0.14</w:t>
            </w:r>
          </w:p>
        </w:tc>
        <w:tc>
          <w:tcPr>
            <w:tcW w:w="0" w:type="auto"/>
            <w:shd w:val="clear" w:color="auto" w:fill="FFFFFF"/>
            <w:tcMar>
              <w:top w:w="0" w:type="dxa"/>
              <w:left w:w="0" w:type="dxa"/>
              <w:bottom w:w="50" w:type="dxa"/>
              <w:right w:w="0" w:type="dxa"/>
            </w:tcMar>
            <w:vAlign w:val="bottom"/>
            <w:hideMark/>
          </w:tcPr>
          <w:p w14:paraId="46737F8C"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57F101BD"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3DC8E5E"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4F4E9CC4" w14:textId="77777777" w:rsidR="00000000" w:rsidRDefault="001826C1">
            <w:pPr>
              <w:jc w:val="right"/>
              <w:rPr>
                <w:rFonts w:eastAsia="Times New Roman"/>
                <w:sz w:val="16"/>
                <w:szCs w:val="16"/>
              </w:rPr>
            </w:pPr>
            <w:r>
              <w:rPr>
                <w:rFonts w:eastAsia="Times New Roman"/>
                <w:sz w:val="16"/>
                <w:szCs w:val="16"/>
              </w:rPr>
              <w:t>(0.19</w:t>
            </w:r>
          </w:p>
        </w:tc>
        <w:tc>
          <w:tcPr>
            <w:tcW w:w="0" w:type="auto"/>
            <w:shd w:val="clear" w:color="auto" w:fill="FFFFFF"/>
            <w:tcMar>
              <w:top w:w="0" w:type="dxa"/>
              <w:left w:w="0" w:type="dxa"/>
              <w:bottom w:w="50" w:type="dxa"/>
              <w:right w:w="0" w:type="dxa"/>
            </w:tcMar>
            <w:vAlign w:val="bottom"/>
            <w:hideMark/>
          </w:tcPr>
          <w:p w14:paraId="15E0E545"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6FC84847"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7189BF2E"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4C783D6C" w14:textId="77777777" w:rsidR="00000000" w:rsidRDefault="001826C1">
            <w:pPr>
              <w:jc w:val="right"/>
              <w:rPr>
                <w:rFonts w:eastAsia="Times New Roman"/>
                <w:sz w:val="16"/>
                <w:szCs w:val="16"/>
              </w:rPr>
            </w:pPr>
            <w:r>
              <w:rPr>
                <w:rFonts w:eastAsia="Times New Roman"/>
                <w:sz w:val="16"/>
                <w:szCs w:val="16"/>
              </w:rPr>
              <w:t>(0.15</w:t>
            </w:r>
          </w:p>
        </w:tc>
        <w:tc>
          <w:tcPr>
            <w:tcW w:w="0" w:type="auto"/>
            <w:shd w:val="clear" w:color="auto" w:fill="FFFFFF"/>
            <w:tcMar>
              <w:top w:w="0" w:type="dxa"/>
              <w:left w:w="0" w:type="dxa"/>
              <w:bottom w:w="50" w:type="dxa"/>
              <w:right w:w="0" w:type="dxa"/>
            </w:tcMar>
            <w:vAlign w:val="bottom"/>
            <w:hideMark/>
          </w:tcPr>
          <w:p w14:paraId="3BD93FDC"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1873BCC8"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B1E00AD"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390CB348" w14:textId="77777777" w:rsidR="00000000" w:rsidRDefault="001826C1">
            <w:pPr>
              <w:jc w:val="right"/>
              <w:rPr>
                <w:rFonts w:eastAsia="Times New Roman"/>
                <w:sz w:val="16"/>
                <w:szCs w:val="16"/>
              </w:rPr>
            </w:pPr>
            <w:r>
              <w:rPr>
                <w:rFonts w:eastAsia="Times New Roman"/>
                <w:sz w:val="16"/>
                <w:szCs w:val="16"/>
              </w:rPr>
              <w:t>(0.20</w:t>
            </w:r>
          </w:p>
        </w:tc>
        <w:tc>
          <w:tcPr>
            <w:tcW w:w="0" w:type="auto"/>
            <w:shd w:val="clear" w:color="auto" w:fill="FFFFFF"/>
            <w:tcMar>
              <w:top w:w="0" w:type="dxa"/>
              <w:left w:w="0" w:type="dxa"/>
              <w:bottom w:w="50" w:type="dxa"/>
              <w:right w:w="0" w:type="dxa"/>
            </w:tcMar>
            <w:vAlign w:val="bottom"/>
            <w:hideMark/>
          </w:tcPr>
          <w:p w14:paraId="3746A11B"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2B9F5B62"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1B817886"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50F96FD1" w14:textId="77777777" w:rsidR="00000000" w:rsidRDefault="001826C1">
            <w:pPr>
              <w:jc w:val="right"/>
              <w:rPr>
                <w:rFonts w:eastAsia="Times New Roman"/>
                <w:sz w:val="16"/>
                <w:szCs w:val="16"/>
              </w:rPr>
            </w:pPr>
            <w:r>
              <w:rPr>
                <w:rFonts w:eastAsia="Times New Roman"/>
                <w:sz w:val="16"/>
                <w:szCs w:val="16"/>
              </w:rPr>
              <w:t>(0.25</w:t>
            </w:r>
          </w:p>
        </w:tc>
        <w:tc>
          <w:tcPr>
            <w:tcW w:w="0" w:type="auto"/>
            <w:shd w:val="clear" w:color="auto" w:fill="FFFFFF"/>
            <w:tcMar>
              <w:top w:w="0" w:type="dxa"/>
              <w:left w:w="0" w:type="dxa"/>
              <w:bottom w:w="50" w:type="dxa"/>
              <w:right w:w="0" w:type="dxa"/>
            </w:tcMar>
            <w:vAlign w:val="bottom"/>
            <w:hideMark/>
          </w:tcPr>
          <w:p w14:paraId="0C43752D"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12F3076F"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1070D6C3"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53EBBB79" w14:textId="77777777" w:rsidR="00000000" w:rsidRDefault="001826C1">
            <w:pPr>
              <w:jc w:val="right"/>
              <w:rPr>
                <w:rFonts w:eastAsia="Times New Roman"/>
                <w:sz w:val="16"/>
                <w:szCs w:val="16"/>
              </w:rPr>
            </w:pPr>
            <w:r>
              <w:rPr>
                <w:rFonts w:eastAsia="Times New Roman"/>
                <w:sz w:val="16"/>
                <w:szCs w:val="16"/>
              </w:rPr>
              <w:t>(0.09</w:t>
            </w:r>
          </w:p>
        </w:tc>
        <w:tc>
          <w:tcPr>
            <w:tcW w:w="0" w:type="auto"/>
            <w:shd w:val="clear" w:color="auto" w:fill="FFFFFF"/>
            <w:tcMar>
              <w:top w:w="0" w:type="dxa"/>
              <w:left w:w="0" w:type="dxa"/>
              <w:bottom w:w="50" w:type="dxa"/>
              <w:right w:w="0" w:type="dxa"/>
            </w:tcMar>
            <w:vAlign w:val="bottom"/>
            <w:hideMark/>
          </w:tcPr>
          <w:p w14:paraId="1583F97C"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50" w:type="dxa"/>
              <w:right w:w="0" w:type="dxa"/>
            </w:tcMar>
            <w:vAlign w:val="bottom"/>
            <w:hideMark/>
          </w:tcPr>
          <w:p w14:paraId="0306CC70"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36DD959E"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6DC19954" w14:textId="77777777" w:rsidR="00000000" w:rsidRDefault="001826C1">
            <w:pPr>
              <w:jc w:val="right"/>
              <w:rPr>
                <w:rFonts w:eastAsia="Times New Roman"/>
                <w:sz w:val="16"/>
                <w:szCs w:val="16"/>
              </w:rPr>
            </w:pPr>
            <w:r>
              <w:rPr>
                <w:rFonts w:eastAsia="Times New Roman"/>
                <w:sz w:val="16"/>
                <w:szCs w:val="16"/>
              </w:rPr>
              <w:t>(0.06</w:t>
            </w:r>
          </w:p>
        </w:tc>
        <w:tc>
          <w:tcPr>
            <w:tcW w:w="0" w:type="auto"/>
            <w:shd w:val="clear" w:color="auto" w:fill="FFFFFF"/>
            <w:tcMar>
              <w:top w:w="0" w:type="dxa"/>
              <w:left w:w="0" w:type="dxa"/>
              <w:bottom w:w="50" w:type="dxa"/>
              <w:right w:w="0" w:type="dxa"/>
            </w:tcMar>
            <w:vAlign w:val="bottom"/>
            <w:hideMark/>
          </w:tcPr>
          <w:p w14:paraId="37240E92" w14:textId="77777777" w:rsidR="00000000" w:rsidRDefault="001826C1">
            <w:pPr>
              <w:rPr>
                <w:rFonts w:eastAsia="Times New Roman"/>
                <w:sz w:val="16"/>
                <w:szCs w:val="16"/>
              </w:rPr>
            </w:pPr>
            <w:r>
              <w:rPr>
                <w:rFonts w:eastAsia="Times New Roman"/>
                <w:sz w:val="16"/>
                <w:szCs w:val="16"/>
              </w:rPr>
              <w:t>)</w:t>
            </w:r>
          </w:p>
        </w:tc>
      </w:tr>
      <w:tr w:rsidR="001826C1" w14:paraId="09F98069" w14:textId="77777777">
        <w:tc>
          <w:tcPr>
            <w:tcW w:w="0" w:type="auto"/>
            <w:shd w:val="clear" w:color="auto" w:fill="CCEEFF"/>
            <w:vAlign w:val="bottom"/>
            <w:hideMark/>
          </w:tcPr>
          <w:p w14:paraId="7AD0909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E48CB4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9AA259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F714622"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479C613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54B47A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090AD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9F0C766"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51E54D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7AAA70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D7BF3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7CEA55A"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DAA2C9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7C530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88F3C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FDE048"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1691F7B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D8B48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921D0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C702666"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757E123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8E795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4D0D31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3F222E"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330EF14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F4B6EA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E12DD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8A9B41B"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616F3F7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3E2489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B06AD1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A2AC044" w14:textId="77777777" w:rsidR="00000000" w:rsidRDefault="001826C1">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14:paraId="051ECF0B" w14:textId="77777777" w:rsidR="00000000" w:rsidRDefault="001826C1">
            <w:pPr>
              <w:rPr>
                <w:rFonts w:eastAsia="Times New Roman"/>
                <w:sz w:val="16"/>
                <w:szCs w:val="16"/>
              </w:rPr>
            </w:pPr>
            <w:r>
              <w:rPr>
                <w:rFonts w:eastAsia="Times New Roman"/>
                <w:sz w:val="16"/>
                <w:szCs w:val="16"/>
              </w:rPr>
              <w:t> </w:t>
            </w:r>
          </w:p>
        </w:tc>
      </w:tr>
      <w:tr w:rsidR="001826C1" w14:paraId="69AC6D90" w14:textId="77777777">
        <w:tc>
          <w:tcPr>
            <w:tcW w:w="0" w:type="auto"/>
            <w:shd w:val="clear" w:color="auto" w:fill="FFFFFF"/>
            <w:vAlign w:val="bottom"/>
            <w:hideMark/>
          </w:tcPr>
          <w:p w14:paraId="43C00473" w14:textId="77777777" w:rsidR="00000000" w:rsidRDefault="001826C1">
            <w:pPr>
              <w:rPr>
                <w:rFonts w:eastAsia="Times New Roman"/>
                <w:sz w:val="16"/>
                <w:szCs w:val="16"/>
              </w:rPr>
            </w:pPr>
            <w:r>
              <w:rPr>
                <w:rFonts w:eastAsia="Times New Roman"/>
                <w:sz w:val="16"/>
                <w:szCs w:val="16"/>
              </w:rPr>
              <w:t>Adjusted EBITDA</w:t>
            </w:r>
          </w:p>
        </w:tc>
        <w:tc>
          <w:tcPr>
            <w:tcW w:w="0" w:type="auto"/>
            <w:shd w:val="clear" w:color="auto" w:fill="FFFFFF"/>
            <w:tcMar>
              <w:top w:w="0" w:type="dxa"/>
              <w:left w:w="0" w:type="dxa"/>
              <w:bottom w:w="50" w:type="dxa"/>
              <w:right w:w="0" w:type="dxa"/>
            </w:tcMar>
            <w:vAlign w:val="bottom"/>
            <w:hideMark/>
          </w:tcPr>
          <w:p w14:paraId="3877947B"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E881151"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250D3A14" w14:textId="77777777" w:rsidR="00000000" w:rsidRDefault="001826C1">
            <w:pPr>
              <w:jc w:val="right"/>
              <w:rPr>
                <w:rFonts w:eastAsia="Times New Roman"/>
                <w:sz w:val="16"/>
                <w:szCs w:val="16"/>
              </w:rPr>
            </w:pPr>
            <w:r>
              <w:rPr>
                <w:rFonts w:eastAsia="Times New Roman"/>
                <w:sz w:val="16"/>
                <w:szCs w:val="16"/>
              </w:rPr>
              <w:t>2,786</w:t>
            </w:r>
          </w:p>
        </w:tc>
        <w:tc>
          <w:tcPr>
            <w:tcW w:w="0" w:type="auto"/>
            <w:shd w:val="clear" w:color="auto" w:fill="FFFFFF"/>
            <w:tcMar>
              <w:top w:w="0" w:type="dxa"/>
              <w:left w:w="0" w:type="dxa"/>
              <w:bottom w:w="50" w:type="dxa"/>
              <w:right w:w="0" w:type="dxa"/>
            </w:tcMar>
            <w:vAlign w:val="bottom"/>
            <w:hideMark/>
          </w:tcPr>
          <w:p w14:paraId="0779C91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66243731"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166649B7"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6D26AF12" w14:textId="77777777" w:rsidR="00000000" w:rsidRDefault="001826C1">
            <w:pPr>
              <w:jc w:val="right"/>
              <w:rPr>
                <w:rFonts w:eastAsia="Times New Roman"/>
                <w:sz w:val="16"/>
                <w:szCs w:val="16"/>
              </w:rPr>
            </w:pPr>
            <w:r>
              <w:rPr>
                <w:rFonts w:eastAsia="Times New Roman"/>
                <w:sz w:val="16"/>
                <w:szCs w:val="16"/>
              </w:rPr>
              <w:t>2,594</w:t>
            </w:r>
          </w:p>
        </w:tc>
        <w:tc>
          <w:tcPr>
            <w:tcW w:w="0" w:type="auto"/>
            <w:shd w:val="clear" w:color="auto" w:fill="FFFFFF"/>
            <w:tcMar>
              <w:top w:w="0" w:type="dxa"/>
              <w:left w:w="0" w:type="dxa"/>
              <w:bottom w:w="50" w:type="dxa"/>
              <w:right w:w="0" w:type="dxa"/>
            </w:tcMar>
            <w:vAlign w:val="bottom"/>
            <w:hideMark/>
          </w:tcPr>
          <w:p w14:paraId="00172B3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13E1C98E"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7FE07A1"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47779814" w14:textId="77777777" w:rsidR="00000000" w:rsidRDefault="001826C1">
            <w:pPr>
              <w:jc w:val="right"/>
              <w:rPr>
                <w:rFonts w:eastAsia="Times New Roman"/>
                <w:sz w:val="16"/>
                <w:szCs w:val="16"/>
              </w:rPr>
            </w:pPr>
            <w:r>
              <w:rPr>
                <w:rFonts w:eastAsia="Times New Roman"/>
                <w:sz w:val="16"/>
                <w:szCs w:val="16"/>
              </w:rPr>
              <w:t>1,141</w:t>
            </w:r>
          </w:p>
        </w:tc>
        <w:tc>
          <w:tcPr>
            <w:tcW w:w="0" w:type="auto"/>
            <w:shd w:val="clear" w:color="auto" w:fill="FFFFFF"/>
            <w:tcMar>
              <w:top w:w="0" w:type="dxa"/>
              <w:left w:w="0" w:type="dxa"/>
              <w:bottom w:w="50" w:type="dxa"/>
              <w:right w:w="0" w:type="dxa"/>
            </w:tcMar>
            <w:vAlign w:val="bottom"/>
            <w:hideMark/>
          </w:tcPr>
          <w:p w14:paraId="521210C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1A1B8B00"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2DB04283"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5DF46851" w14:textId="77777777" w:rsidR="00000000" w:rsidRDefault="001826C1">
            <w:pPr>
              <w:jc w:val="right"/>
              <w:rPr>
                <w:rFonts w:eastAsia="Times New Roman"/>
                <w:sz w:val="16"/>
                <w:szCs w:val="16"/>
              </w:rPr>
            </w:pPr>
            <w:r>
              <w:rPr>
                <w:rFonts w:eastAsia="Times New Roman"/>
                <w:sz w:val="16"/>
                <w:szCs w:val="16"/>
              </w:rPr>
              <w:t>1,580</w:t>
            </w:r>
          </w:p>
        </w:tc>
        <w:tc>
          <w:tcPr>
            <w:tcW w:w="0" w:type="auto"/>
            <w:shd w:val="clear" w:color="auto" w:fill="FFFFFF"/>
            <w:tcMar>
              <w:top w:w="0" w:type="dxa"/>
              <w:left w:w="0" w:type="dxa"/>
              <w:bottom w:w="50" w:type="dxa"/>
              <w:right w:w="0" w:type="dxa"/>
            </w:tcMar>
            <w:vAlign w:val="bottom"/>
            <w:hideMark/>
          </w:tcPr>
          <w:p w14:paraId="0452C54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7666935F"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5830A343"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5CF43600" w14:textId="77777777" w:rsidR="00000000" w:rsidRDefault="001826C1">
            <w:pPr>
              <w:jc w:val="right"/>
              <w:rPr>
                <w:rFonts w:eastAsia="Times New Roman"/>
                <w:sz w:val="16"/>
                <w:szCs w:val="16"/>
              </w:rPr>
            </w:pPr>
            <w:r>
              <w:rPr>
                <w:rFonts w:eastAsia="Times New Roman"/>
                <w:sz w:val="16"/>
                <w:szCs w:val="16"/>
              </w:rPr>
              <w:t>1,406</w:t>
            </w:r>
          </w:p>
        </w:tc>
        <w:tc>
          <w:tcPr>
            <w:tcW w:w="0" w:type="auto"/>
            <w:shd w:val="clear" w:color="auto" w:fill="FFFFFF"/>
            <w:tcMar>
              <w:top w:w="0" w:type="dxa"/>
              <w:left w:w="0" w:type="dxa"/>
              <w:bottom w:w="50" w:type="dxa"/>
              <w:right w:w="0" w:type="dxa"/>
            </w:tcMar>
            <w:vAlign w:val="bottom"/>
            <w:hideMark/>
          </w:tcPr>
          <w:p w14:paraId="1FC8971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6D58EED9"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07CFDC18"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4C3B2F81" w14:textId="77777777" w:rsidR="00000000" w:rsidRDefault="001826C1">
            <w:pPr>
              <w:jc w:val="right"/>
              <w:rPr>
                <w:rFonts w:eastAsia="Times New Roman"/>
                <w:sz w:val="16"/>
                <w:szCs w:val="16"/>
              </w:rPr>
            </w:pPr>
            <w:r>
              <w:rPr>
                <w:rFonts w:eastAsia="Times New Roman"/>
                <w:sz w:val="16"/>
                <w:szCs w:val="16"/>
              </w:rPr>
              <w:t>865</w:t>
            </w:r>
          </w:p>
        </w:tc>
        <w:tc>
          <w:tcPr>
            <w:tcW w:w="0" w:type="auto"/>
            <w:shd w:val="clear" w:color="auto" w:fill="FFFFFF"/>
            <w:tcMar>
              <w:top w:w="0" w:type="dxa"/>
              <w:left w:w="0" w:type="dxa"/>
              <w:bottom w:w="50" w:type="dxa"/>
              <w:right w:w="0" w:type="dxa"/>
            </w:tcMar>
            <w:vAlign w:val="bottom"/>
            <w:hideMark/>
          </w:tcPr>
          <w:p w14:paraId="159A36D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58369AD0"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41DE0D0E"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7EA7B6B6" w14:textId="77777777" w:rsidR="00000000" w:rsidRDefault="001826C1">
            <w:pPr>
              <w:jc w:val="right"/>
              <w:rPr>
                <w:rFonts w:eastAsia="Times New Roman"/>
                <w:sz w:val="16"/>
                <w:szCs w:val="16"/>
              </w:rPr>
            </w:pPr>
            <w:r>
              <w:rPr>
                <w:rFonts w:eastAsia="Times New Roman"/>
                <w:sz w:val="16"/>
                <w:szCs w:val="16"/>
              </w:rPr>
              <w:t>1,557</w:t>
            </w:r>
          </w:p>
        </w:tc>
        <w:tc>
          <w:tcPr>
            <w:tcW w:w="0" w:type="auto"/>
            <w:shd w:val="clear" w:color="auto" w:fill="FFFFFF"/>
            <w:tcMar>
              <w:top w:w="0" w:type="dxa"/>
              <w:left w:w="0" w:type="dxa"/>
              <w:bottom w:w="50" w:type="dxa"/>
              <w:right w:w="0" w:type="dxa"/>
            </w:tcMar>
            <w:vAlign w:val="bottom"/>
            <w:hideMark/>
          </w:tcPr>
          <w:p w14:paraId="0319622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50" w:type="dxa"/>
              <w:right w:w="0" w:type="dxa"/>
            </w:tcMar>
            <w:vAlign w:val="bottom"/>
            <w:hideMark/>
          </w:tcPr>
          <w:p w14:paraId="7FD7135C"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14:paraId="790E9C2B"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14:paraId="408A162E" w14:textId="77777777" w:rsidR="00000000" w:rsidRDefault="001826C1">
            <w:pPr>
              <w:jc w:val="right"/>
              <w:rPr>
                <w:rFonts w:eastAsia="Times New Roman"/>
                <w:sz w:val="16"/>
                <w:szCs w:val="16"/>
              </w:rPr>
            </w:pPr>
            <w:r>
              <w:rPr>
                <w:rFonts w:eastAsia="Times New Roman"/>
                <w:sz w:val="16"/>
                <w:szCs w:val="16"/>
              </w:rPr>
              <w:t>974</w:t>
            </w:r>
          </w:p>
        </w:tc>
        <w:tc>
          <w:tcPr>
            <w:tcW w:w="0" w:type="auto"/>
            <w:shd w:val="clear" w:color="auto" w:fill="FFFFFF"/>
            <w:tcMar>
              <w:top w:w="0" w:type="dxa"/>
              <w:left w:w="0" w:type="dxa"/>
              <w:bottom w:w="50" w:type="dxa"/>
              <w:right w:w="0" w:type="dxa"/>
            </w:tcMar>
            <w:vAlign w:val="bottom"/>
            <w:hideMark/>
          </w:tcPr>
          <w:p w14:paraId="0C81C698" w14:textId="77777777" w:rsidR="00000000" w:rsidRDefault="001826C1">
            <w:pPr>
              <w:rPr>
                <w:rFonts w:eastAsia="Times New Roman"/>
                <w:sz w:val="16"/>
                <w:szCs w:val="16"/>
              </w:rPr>
            </w:pPr>
            <w:r>
              <w:rPr>
                <w:rFonts w:eastAsia="Times New Roman"/>
                <w:sz w:val="16"/>
                <w:szCs w:val="16"/>
              </w:rPr>
              <w:t> </w:t>
            </w:r>
          </w:p>
        </w:tc>
      </w:tr>
    </w:tbl>
    <w:p w14:paraId="16F41DEF" w14:textId="77777777" w:rsidR="00000000" w:rsidRDefault="001826C1">
      <w:pPr>
        <w:pStyle w:val="a3"/>
        <w:shd w:val="clear" w:color="auto" w:fill="FFFFFF"/>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16CB442" w14:textId="77777777">
        <w:trPr>
          <w:divId w:val="1053769738"/>
        </w:trPr>
        <w:tc>
          <w:tcPr>
            <w:tcW w:w="5000" w:type="pct"/>
            <w:hideMark/>
          </w:tcPr>
          <w:p w14:paraId="2E2D0D87"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0BCE96B7" w14:textId="77777777">
        <w:tc>
          <w:tcPr>
            <w:tcW w:w="5000" w:type="pct"/>
            <w:hideMark/>
          </w:tcPr>
          <w:p w14:paraId="124C1502" w14:textId="77777777" w:rsidR="00000000" w:rsidRDefault="001826C1">
            <w:pPr>
              <w:jc w:val="center"/>
              <w:rPr>
                <w:rFonts w:eastAsia="Times New Roman"/>
                <w:sz w:val="20"/>
                <w:szCs w:val="20"/>
              </w:rPr>
            </w:pPr>
            <w:r>
              <w:rPr>
                <w:rFonts w:eastAsia="Times New Roman"/>
                <w:sz w:val="20"/>
                <w:szCs w:val="20"/>
              </w:rPr>
              <w:t> </w:t>
            </w:r>
          </w:p>
        </w:tc>
      </w:tr>
    </w:tbl>
    <w:p w14:paraId="0F78ABAC" w14:textId="77777777" w:rsidR="00000000" w:rsidRDefault="001826C1">
      <w:pPr>
        <w:pStyle w:val="a3"/>
        <w:spacing w:before="0" w:beforeAutospacing="0" w:after="0" w:afterAutospacing="0"/>
        <w:rPr>
          <w:sz w:val="20"/>
          <w:szCs w:val="20"/>
        </w:rPr>
      </w:pPr>
      <w:r>
        <w:rPr>
          <w:b/>
          <w:bCs/>
          <w:sz w:val="20"/>
          <w:szCs w:val="20"/>
        </w:rPr>
        <w:t> </w:t>
      </w:r>
    </w:p>
    <w:p w14:paraId="235E9A03" w14:textId="77777777" w:rsidR="00000000" w:rsidRDefault="001826C1">
      <w:pPr>
        <w:pStyle w:val="a3"/>
        <w:shd w:val="clear" w:color="auto" w:fill="FFFFFF"/>
        <w:spacing w:before="0" w:beforeAutospacing="0" w:after="0" w:afterAutospacing="0"/>
        <w:rPr>
          <w:sz w:val="20"/>
          <w:szCs w:val="20"/>
        </w:rPr>
      </w:pPr>
      <w:r>
        <w:rPr>
          <w:b/>
          <w:bCs/>
          <w:sz w:val="20"/>
          <w:szCs w:val="20"/>
        </w:rPr>
        <w:t xml:space="preserve">Reconciliation </w:t>
      </w:r>
      <w:r>
        <w:rPr>
          <w:b/>
          <w:bCs/>
          <w:sz w:val="20"/>
          <w:szCs w:val="20"/>
        </w:rPr>
        <w:t>of net income (loss) to adjusted EBITDA</w:t>
      </w:r>
    </w:p>
    <w:p w14:paraId="7F47253A" w14:textId="77777777" w:rsidR="00000000" w:rsidRDefault="001826C1">
      <w:pPr>
        <w:pStyle w:val="a3"/>
        <w:shd w:val="clear" w:color="auto" w:fill="FFFFFF"/>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1662"/>
        <w:gridCol w:w="84"/>
        <w:gridCol w:w="84"/>
        <w:gridCol w:w="665"/>
        <w:gridCol w:w="84"/>
        <w:gridCol w:w="83"/>
        <w:gridCol w:w="83"/>
        <w:gridCol w:w="664"/>
        <w:gridCol w:w="83"/>
        <w:gridCol w:w="83"/>
        <w:gridCol w:w="83"/>
        <w:gridCol w:w="415"/>
        <w:gridCol w:w="83"/>
        <w:gridCol w:w="83"/>
        <w:gridCol w:w="83"/>
        <w:gridCol w:w="581"/>
        <w:gridCol w:w="83"/>
        <w:gridCol w:w="83"/>
        <w:gridCol w:w="83"/>
        <w:gridCol w:w="664"/>
        <w:gridCol w:w="83"/>
        <w:gridCol w:w="83"/>
        <w:gridCol w:w="83"/>
        <w:gridCol w:w="664"/>
        <w:gridCol w:w="83"/>
        <w:gridCol w:w="83"/>
        <w:gridCol w:w="83"/>
        <w:gridCol w:w="415"/>
        <w:gridCol w:w="83"/>
        <w:gridCol w:w="83"/>
        <w:gridCol w:w="83"/>
        <w:gridCol w:w="581"/>
        <w:gridCol w:w="83"/>
      </w:tblGrid>
      <w:tr w:rsidR="00000000" w14:paraId="652BB50C" w14:textId="77777777">
        <w:tc>
          <w:tcPr>
            <w:tcW w:w="0" w:type="auto"/>
            <w:vAlign w:val="bottom"/>
            <w:hideMark/>
          </w:tcPr>
          <w:p w14:paraId="676C0E7D" w14:textId="77777777" w:rsidR="00000000" w:rsidRDefault="001826C1">
            <w:pPr>
              <w:rPr>
                <w:rFonts w:eastAsia="Times New Roman"/>
                <w:b/>
                <w:bCs/>
                <w:sz w:val="16"/>
                <w:szCs w:val="16"/>
              </w:rPr>
            </w:pPr>
            <w:r>
              <w:rPr>
                <w:rFonts w:eastAsia="Times New Roman"/>
                <w:b/>
                <w:bCs/>
                <w:sz w:val="16"/>
                <w:szCs w:val="16"/>
              </w:rPr>
              <w:t> </w:t>
            </w:r>
          </w:p>
        </w:tc>
        <w:tc>
          <w:tcPr>
            <w:tcW w:w="0" w:type="auto"/>
            <w:vAlign w:val="bottom"/>
            <w:hideMark/>
          </w:tcPr>
          <w:p w14:paraId="3774CB52"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16A8D093" w14:textId="77777777" w:rsidR="00000000" w:rsidRDefault="001826C1">
            <w:pPr>
              <w:jc w:val="center"/>
              <w:rPr>
                <w:rFonts w:eastAsia="Times New Roman"/>
                <w:sz w:val="16"/>
                <w:szCs w:val="16"/>
              </w:rPr>
            </w:pPr>
            <w:r>
              <w:rPr>
                <w:rFonts w:eastAsia="Times New Roman"/>
                <w:sz w:val="16"/>
                <w:szCs w:val="16"/>
              </w:rPr>
              <w:t>December 31,</w:t>
            </w:r>
          </w:p>
        </w:tc>
        <w:tc>
          <w:tcPr>
            <w:tcW w:w="0" w:type="auto"/>
            <w:vAlign w:val="bottom"/>
            <w:hideMark/>
          </w:tcPr>
          <w:p w14:paraId="65564B53"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3A94AAA3"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7462EFE0" w14:textId="77777777" w:rsidR="00000000" w:rsidRDefault="001826C1">
            <w:pPr>
              <w:jc w:val="center"/>
              <w:rPr>
                <w:rFonts w:eastAsia="Times New Roman"/>
                <w:sz w:val="16"/>
                <w:szCs w:val="16"/>
              </w:rPr>
            </w:pPr>
            <w:r>
              <w:rPr>
                <w:rFonts w:eastAsia="Times New Roman"/>
                <w:sz w:val="16"/>
                <w:szCs w:val="16"/>
              </w:rPr>
              <w:t>September 30,</w:t>
            </w:r>
          </w:p>
        </w:tc>
        <w:tc>
          <w:tcPr>
            <w:tcW w:w="0" w:type="auto"/>
            <w:vAlign w:val="bottom"/>
            <w:hideMark/>
          </w:tcPr>
          <w:p w14:paraId="12995B37"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204D03C1"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4595D47C" w14:textId="77777777" w:rsidR="00000000" w:rsidRDefault="001826C1">
            <w:pPr>
              <w:jc w:val="center"/>
              <w:rPr>
                <w:rFonts w:eastAsia="Times New Roman"/>
                <w:sz w:val="16"/>
                <w:szCs w:val="16"/>
              </w:rPr>
            </w:pPr>
            <w:r>
              <w:rPr>
                <w:rFonts w:eastAsia="Times New Roman"/>
                <w:sz w:val="16"/>
                <w:szCs w:val="16"/>
              </w:rPr>
              <w:t>June 30,</w:t>
            </w:r>
          </w:p>
        </w:tc>
        <w:tc>
          <w:tcPr>
            <w:tcW w:w="0" w:type="auto"/>
            <w:vAlign w:val="bottom"/>
            <w:hideMark/>
          </w:tcPr>
          <w:p w14:paraId="20057CEE"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0D966ECF"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5F25C574" w14:textId="77777777" w:rsidR="00000000" w:rsidRDefault="001826C1">
            <w:pPr>
              <w:jc w:val="center"/>
              <w:rPr>
                <w:rFonts w:eastAsia="Times New Roman"/>
                <w:sz w:val="16"/>
                <w:szCs w:val="16"/>
              </w:rPr>
            </w:pPr>
            <w:r>
              <w:rPr>
                <w:rFonts w:eastAsia="Times New Roman"/>
                <w:sz w:val="16"/>
                <w:szCs w:val="16"/>
              </w:rPr>
              <w:t>March 31,</w:t>
            </w:r>
          </w:p>
        </w:tc>
        <w:tc>
          <w:tcPr>
            <w:tcW w:w="0" w:type="auto"/>
            <w:vAlign w:val="bottom"/>
            <w:hideMark/>
          </w:tcPr>
          <w:p w14:paraId="4714CD34"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04112A79"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21970A9F" w14:textId="77777777" w:rsidR="00000000" w:rsidRDefault="001826C1">
            <w:pPr>
              <w:jc w:val="center"/>
              <w:rPr>
                <w:rFonts w:eastAsia="Times New Roman"/>
                <w:sz w:val="16"/>
                <w:szCs w:val="16"/>
              </w:rPr>
            </w:pPr>
            <w:r>
              <w:rPr>
                <w:rFonts w:eastAsia="Times New Roman"/>
                <w:sz w:val="16"/>
                <w:szCs w:val="16"/>
              </w:rPr>
              <w:t>December 31,</w:t>
            </w:r>
          </w:p>
        </w:tc>
        <w:tc>
          <w:tcPr>
            <w:tcW w:w="0" w:type="auto"/>
            <w:vAlign w:val="bottom"/>
            <w:hideMark/>
          </w:tcPr>
          <w:p w14:paraId="3A7F451D"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3F8B2AB9"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58F2D618" w14:textId="77777777" w:rsidR="00000000" w:rsidRDefault="001826C1">
            <w:pPr>
              <w:jc w:val="center"/>
              <w:rPr>
                <w:rFonts w:eastAsia="Times New Roman"/>
                <w:sz w:val="16"/>
                <w:szCs w:val="16"/>
              </w:rPr>
            </w:pPr>
            <w:r>
              <w:rPr>
                <w:rFonts w:eastAsia="Times New Roman"/>
                <w:sz w:val="16"/>
                <w:szCs w:val="16"/>
              </w:rPr>
              <w:t>September 30,</w:t>
            </w:r>
          </w:p>
        </w:tc>
        <w:tc>
          <w:tcPr>
            <w:tcW w:w="0" w:type="auto"/>
            <w:vAlign w:val="bottom"/>
            <w:hideMark/>
          </w:tcPr>
          <w:p w14:paraId="770C3D38"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2B9579C4"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206D27C0" w14:textId="77777777" w:rsidR="00000000" w:rsidRDefault="001826C1">
            <w:pPr>
              <w:jc w:val="center"/>
              <w:rPr>
                <w:rFonts w:eastAsia="Times New Roman"/>
                <w:sz w:val="16"/>
                <w:szCs w:val="16"/>
              </w:rPr>
            </w:pPr>
            <w:r>
              <w:rPr>
                <w:rFonts w:eastAsia="Times New Roman"/>
                <w:sz w:val="16"/>
                <w:szCs w:val="16"/>
              </w:rPr>
              <w:t>June 30,</w:t>
            </w:r>
          </w:p>
        </w:tc>
        <w:tc>
          <w:tcPr>
            <w:tcW w:w="0" w:type="auto"/>
            <w:vAlign w:val="bottom"/>
            <w:hideMark/>
          </w:tcPr>
          <w:p w14:paraId="169AB889"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48A613B2" w14:textId="77777777" w:rsidR="00000000" w:rsidRDefault="001826C1">
            <w:pPr>
              <w:rPr>
                <w:rFonts w:eastAsia="Times New Roman"/>
                <w:sz w:val="16"/>
                <w:szCs w:val="16"/>
              </w:rPr>
            </w:pPr>
            <w:r>
              <w:rPr>
                <w:rFonts w:eastAsia="Times New Roman"/>
                <w:sz w:val="16"/>
                <w:szCs w:val="16"/>
              </w:rPr>
              <w:t> </w:t>
            </w:r>
          </w:p>
        </w:tc>
        <w:tc>
          <w:tcPr>
            <w:tcW w:w="0" w:type="auto"/>
            <w:gridSpan w:val="2"/>
            <w:vAlign w:val="bottom"/>
            <w:hideMark/>
          </w:tcPr>
          <w:p w14:paraId="264E68C9" w14:textId="77777777" w:rsidR="00000000" w:rsidRDefault="001826C1">
            <w:pPr>
              <w:jc w:val="center"/>
              <w:rPr>
                <w:rFonts w:eastAsia="Times New Roman"/>
                <w:sz w:val="16"/>
                <w:szCs w:val="16"/>
              </w:rPr>
            </w:pPr>
            <w:r>
              <w:rPr>
                <w:rFonts w:eastAsia="Times New Roman"/>
                <w:sz w:val="16"/>
                <w:szCs w:val="16"/>
              </w:rPr>
              <w:t>March 31,</w:t>
            </w:r>
          </w:p>
        </w:tc>
        <w:tc>
          <w:tcPr>
            <w:tcW w:w="0" w:type="auto"/>
            <w:vAlign w:val="bottom"/>
            <w:hideMark/>
          </w:tcPr>
          <w:p w14:paraId="2916A7AF" w14:textId="77777777" w:rsidR="00000000" w:rsidRDefault="001826C1">
            <w:pPr>
              <w:rPr>
                <w:rFonts w:eastAsia="Times New Roman"/>
                <w:sz w:val="16"/>
                <w:szCs w:val="16"/>
              </w:rPr>
            </w:pPr>
            <w:r>
              <w:rPr>
                <w:rFonts w:eastAsia="Times New Roman"/>
                <w:sz w:val="16"/>
                <w:szCs w:val="16"/>
              </w:rPr>
              <w:t> </w:t>
            </w:r>
          </w:p>
        </w:tc>
      </w:tr>
      <w:tr w:rsidR="00000000" w14:paraId="1CEBB2A6" w14:textId="77777777">
        <w:tc>
          <w:tcPr>
            <w:tcW w:w="0" w:type="auto"/>
            <w:vAlign w:val="bottom"/>
            <w:hideMark/>
          </w:tcPr>
          <w:p w14:paraId="58CD6A58" w14:textId="77777777" w:rsidR="00000000" w:rsidRDefault="001826C1">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5B759BC4"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49E59A53" w14:textId="77777777" w:rsidR="00000000" w:rsidRDefault="001826C1">
            <w:pPr>
              <w:jc w:val="center"/>
              <w:rPr>
                <w:rFonts w:eastAsia="Times New Roman"/>
                <w:sz w:val="16"/>
                <w:szCs w:val="16"/>
              </w:rPr>
            </w:pPr>
            <w:r>
              <w:rPr>
                <w:rFonts w:eastAsia="Times New Roman"/>
                <w:sz w:val="16"/>
                <w:szCs w:val="16"/>
              </w:rPr>
              <w:t>2019</w:t>
            </w:r>
          </w:p>
        </w:tc>
        <w:tc>
          <w:tcPr>
            <w:tcW w:w="0" w:type="auto"/>
            <w:tcMar>
              <w:top w:w="0" w:type="dxa"/>
              <w:left w:w="0" w:type="dxa"/>
              <w:bottom w:w="30" w:type="dxa"/>
              <w:right w:w="0" w:type="dxa"/>
            </w:tcMar>
            <w:vAlign w:val="bottom"/>
            <w:hideMark/>
          </w:tcPr>
          <w:p w14:paraId="085E401E" w14:textId="77777777" w:rsidR="00000000" w:rsidRDefault="001826C1">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22CE69D6"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63BEED4A" w14:textId="77777777" w:rsidR="00000000" w:rsidRDefault="001826C1">
            <w:pPr>
              <w:jc w:val="center"/>
              <w:rPr>
                <w:rFonts w:eastAsia="Times New Roman"/>
                <w:sz w:val="16"/>
                <w:szCs w:val="16"/>
              </w:rPr>
            </w:pPr>
            <w:r>
              <w:rPr>
                <w:rFonts w:eastAsia="Times New Roman"/>
                <w:sz w:val="16"/>
                <w:szCs w:val="16"/>
              </w:rPr>
              <w:t>2019</w:t>
            </w:r>
          </w:p>
        </w:tc>
        <w:tc>
          <w:tcPr>
            <w:tcW w:w="0" w:type="auto"/>
            <w:tcMar>
              <w:top w:w="0" w:type="dxa"/>
              <w:left w:w="0" w:type="dxa"/>
              <w:bottom w:w="30" w:type="dxa"/>
              <w:right w:w="0" w:type="dxa"/>
            </w:tcMar>
            <w:vAlign w:val="bottom"/>
            <w:hideMark/>
          </w:tcPr>
          <w:p w14:paraId="2EA212B7" w14:textId="77777777" w:rsidR="00000000" w:rsidRDefault="001826C1">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1AB4C05D"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23446702" w14:textId="77777777" w:rsidR="00000000" w:rsidRDefault="001826C1">
            <w:pPr>
              <w:jc w:val="center"/>
              <w:rPr>
                <w:rFonts w:eastAsia="Times New Roman"/>
                <w:sz w:val="16"/>
                <w:szCs w:val="16"/>
              </w:rPr>
            </w:pPr>
            <w:r>
              <w:rPr>
                <w:rFonts w:eastAsia="Times New Roman"/>
                <w:sz w:val="16"/>
                <w:szCs w:val="16"/>
              </w:rPr>
              <w:t>2019</w:t>
            </w:r>
          </w:p>
        </w:tc>
        <w:tc>
          <w:tcPr>
            <w:tcW w:w="0" w:type="auto"/>
            <w:tcMar>
              <w:top w:w="0" w:type="dxa"/>
              <w:left w:w="0" w:type="dxa"/>
              <w:bottom w:w="30" w:type="dxa"/>
              <w:right w:w="0" w:type="dxa"/>
            </w:tcMar>
            <w:vAlign w:val="bottom"/>
            <w:hideMark/>
          </w:tcPr>
          <w:p w14:paraId="12308C8C" w14:textId="77777777" w:rsidR="00000000" w:rsidRDefault="001826C1">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6B8CA203"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0D302E0D" w14:textId="77777777" w:rsidR="00000000" w:rsidRDefault="001826C1">
            <w:pPr>
              <w:jc w:val="center"/>
              <w:rPr>
                <w:rFonts w:eastAsia="Times New Roman"/>
                <w:sz w:val="16"/>
                <w:szCs w:val="16"/>
              </w:rPr>
            </w:pPr>
            <w:r>
              <w:rPr>
                <w:rFonts w:eastAsia="Times New Roman"/>
                <w:sz w:val="16"/>
                <w:szCs w:val="16"/>
              </w:rPr>
              <w:t>2019</w:t>
            </w:r>
          </w:p>
        </w:tc>
        <w:tc>
          <w:tcPr>
            <w:tcW w:w="0" w:type="auto"/>
            <w:tcMar>
              <w:top w:w="0" w:type="dxa"/>
              <w:left w:w="0" w:type="dxa"/>
              <w:bottom w:w="30" w:type="dxa"/>
              <w:right w:w="0" w:type="dxa"/>
            </w:tcMar>
            <w:vAlign w:val="bottom"/>
            <w:hideMark/>
          </w:tcPr>
          <w:p w14:paraId="0C635E00" w14:textId="77777777" w:rsidR="00000000" w:rsidRDefault="001826C1">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5B19DF18"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0A90854C" w14:textId="77777777" w:rsidR="00000000" w:rsidRDefault="001826C1">
            <w:pPr>
              <w:jc w:val="center"/>
              <w:rPr>
                <w:rFonts w:eastAsia="Times New Roman"/>
                <w:sz w:val="16"/>
                <w:szCs w:val="16"/>
              </w:rPr>
            </w:pPr>
            <w:r>
              <w:rPr>
                <w:rFonts w:eastAsia="Times New Roman"/>
                <w:sz w:val="16"/>
                <w:szCs w:val="16"/>
              </w:rPr>
              <w:t>2018</w:t>
            </w:r>
          </w:p>
        </w:tc>
        <w:tc>
          <w:tcPr>
            <w:tcW w:w="0" w:type="auto"/>
            <w:tcMar>
              <w:top w:w="0" w:type="dxa"/>
              <w:left w:w="0" w:type="dxa"/>
              <w:bottom w:w="30" w:type="dxa"/>
              <w:right w:w="0" w:type="dxa"/>
            </w:tcMar>
            <w:vAlign w:val="bottom"/>
            <w:hideMark/>
          </w:tcPr>
          <w:p w14:paraId="65566576" w14:textId="77777777" w:rsidR="00000000" w:rsidRDefault="001826C1">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3E7F4A31"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344E09FA" w14:textId="77777777" w:rsidR="00000000" w:rsidRDefault="001826C1">
            <w:pPr>
              <w:jc w:val="center"/>
              <w:rPr>
                <w:rFonts w:eastAsia="Times New Roman"/>
                <w:sz w:val="16"/>
                <w:szCs w:val="16"/>
              </w:rPr>
            </w:pPr>
            <w:r>
              <w:rPr>
                <w:rFonts w:eastAsia="Times New Roman"/>
                <w:sz w:val="16"/>
                <w:szCs w:val="16"/>
              </w:rPr>
              <w:t>2018</w:t>
            </w:r>
          </w:p>
        </w:tc>
        <w:tc>
          <w:tcPr>
            <w:tcW w:w="0" w:type="auto"/>
            <w:tcMar>
              <w:top w:w="0" w:type="dxa"/>
              <w:left w:w="0" w:type="dxa"/>
              <w:bottom w:w="30" w:type="dxa"/>
              <w:right w:w="0" w:type="dxa"/>
            </w:tcMar>
            <w:vAlign w:val="bottom"/>
            <w:hideMark/>
          </w:tcPr>
          <w:p w14:paraId="30E17CEF" w14:textId="77777777" w:rsidR="00000000" w:rsidRDefault="001826C1">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5582B0BE"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11C353A6" w14:textId="77777777" w:rsidR="00000000" w:rsidRDefault="001826C1">
            <w:pPr>
              <w:jc w:val="center"/>
              <w:rPr>
                <w:rFonts w:eastAsia="Times New Roman"/>
                <w:sz w:val="16"/>
                <w:szCs w:val="16"/>
              </w:rPr>
            </w:pPr>
            <w:r>
              <w:rPr>
                <w:rFonts w:eastAsia="Times New Roman"/>
                <w:sz w:val="16"/>
                <w:szCs w:val="16"/>
              </w:rPr>
              <w:t>2018</w:t>
            </w:r>
          </w:p>
        </w:tc>
        <w:tc>
          <w:tcPr>
            <w:tcW w:w="0" w:type="auto"/>
            <w:tcMar>
              <w:top w:w="0" w:type="dxa"/>
              <w:left w:w="0" w:type="dxa"/>
              <w:bottom w:w="30" w:type="dxa"/>
              <w:right w:w="0" w:type="dxa"/>
            </w:tcMar>
            <w:vAlign w:val="bottom"/>
            <w:hideMark/>
          </w:tcPr>
          <w:p w14:paraId="0D6CCCFE" w14:textId="77777777" w:rsidR="00000000" w:rsidRDefault="001826C1">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14:paraId="2200DCE7" w14:textId="77777777" w:rsidR="00000000" w:rsidRDefault="001826C1">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14:paraId="16275F57" w14:textId="77777777" w:rsidR="00000000" w:rsidRDefault="001826C1">
            <w:pPr>
              <w:jc w:val="center"/>
              <w:rPr>
                <w:rFonts w:eastAsia="Times New Roman"/>
                <w:sz w:val="16"/>
                <w:szCs w:val="16"/>
              </w:rPr>
            </w:pPr>
            <w:r>
              <w:rPr>
                <w:rFonts w:eastAsia="Times New Roman"/>
                <w:sz w:val="16"/>
                <w:szCs w:val="16"/>
              </w:rPr>
              <w:t>2018</w:t>
            </w:r>
          </w:p>
        </w:tc>
        <w:tc>
          <w:tcPr>
            <w:tcW w:w="0" w:type="auto"/>
            <w:tcMar>
              <w:top w:w="0" w:type="dxa"/>
              <w:left w:w="0" w:type="dxa"/>
              <w:bottom w:w="30" w:type="dxa"/>
              <w:right w:w="0" w:type="dxa"/>
            </w:tcMar>
            <w:vAlign w:val="bottom"/>
            <w:hideMark/>
          </w:tcPr>
          <w:p w14:paraId="7F8142C6" w14:textId="77777777" w:rsidR="00000000" w:rsidRDefault="001826C1">
            <w:pPr>
              <w:rPr>
                <w:rFonts w:eastAsia="Times New Roman"/>
                <w:sz w:val="16"/>
                <w:szCs w:val="16"/>
              </w:rPr>
            </w:pPr>
            <w:r>
              <w:rPr>
                <w:rFonts w:eastAsia="Times New Roman"/>
                <w:sz w:val="16"/>
                <w:szCs w:val="16"/>
              </w:rPr>
              <w:t> </w:t>
            </w:r>
          </w:p>
        </w:tc>
      </w:tr>
      <w:tr w:rsidR="00000000" w14:paraId="06990E99" w14:textId="77777777">
        <w:tc>
          <w:tcPr>
            <w:tcW w:w="0" w:type="auto"/>
            <w:vAlign w:val="bottom"/>
            <w:hideMark/>
          </w:tcPr>
          <w:p w14:paraId="19314294" w14:textId="77777777" w:rsidR="00000000" w:rsidRDefault="001826C1">
            <w:pPr>
              <w:rPr>
                <w:rFonts w:eastAsia="Times New Roman"/>
                <w:sz w:val="16"/>
                <w:szCs w:val="16"/>
              </w:rPr>
            </w:pPr>
            <w:r>
              <w:rPr>
                <w:rFonts w:eastAsia="Times New Roman"/>
                <w:sz w:val="16"/>
                <w:szCs w:val="16"/>
              </w:rPr>
              <w:t> </w:t>
            </w:r>
          </w:p>
        </w:tc>
        <w:tc>
          <w:tcPr>
            <w:tcW w:w="0" w:type="auto"/>
            <w:vAlign w:val="bottom"/>
            <w:hideMark/>
          </w:tcPr>
          <w:p w14:paraId="11D3EB0E" w14:textId="77777777" w:rsidR="00000000" w:rsidRDefault="001826C1">
            <w:pPr>
              <w:rPr>
                <w:rFonts w:eastAsia="Times New Roman"/>
                <w:sz w:val="16"/>
                <w:szCs w:val="16"/>
              </w:rPr>
            </w:pPr>
            <w:r>
              <w:rPr>
                <w:rFonts w:eastAsia="Times New Roman"/>
                <w:sz w:val="16"/>
                <w:szCs w:val="16"/>
              </w:rPr>
              <w:t> </w:t>
            </w:r>
          </w:p>
        </w:tc>
        <w:tc>
          <w:tcPr>
            <w:tcW w:w="0" w:type="auto"/>
            <w:gridSpan w:val="30"/>
            <w:vAlign w:val="bottom"/>
            <w:hideMark/>
          </w:tcPr>
          <w:p w14:paraId="09ED2FE9" w14:textId="77777777" w:rsidR="00000000" w:rsidRDefault="001826C1">
            <w:pPr>
              <w:jc w:val="center"/>
              <w:rPr>
                <w:rFonts w:eastAsia="Times New Roman"/>
                <w:sz w:val="16"/>
                <w:szCs w:val="16"/>
              </w:rPr>
            </w:pPr>
            <w:r>
              <w:rPr>
                <w:rFonts w:eastAsia="Times New Roman"/>
                <w:sz w:val="16"/>
                <w:szCs w:val="16"/>
              </w:rPr>
              <w:t>($ in thousands)</w:t>
            </w:r>
          </w:p>
        </w:tc>
        <w:tc>
          <w:tcPr>
            <w:tcW w:w="0" w:type="auto"/>
            <w:vAlign w:val="bottom"/>
            <w:hideMark/>
          </w:tcPr>
          <w:p w14:paraId="6B53BD7B" w14:textId="77777777" w:rsidR="00000000" w:rsidRDefault="001826C1">
            <w:pPr>
              <w:rPr>
                <w:rFonts w:eastAsia="Times New Roman"/>
                <w:sz w:val="16"/>
                <w:szCs w:val="16"/>
              </w:rPr>
            </w:pPr>
            <w:r>
              <w:rPr>
                <w:rFonts w:eastAsia="Times New Roman"/>
                <w:sz w:val="16"/>
                <w:szCs w:val="16"/>
              </w:rPr>
              <w:t> </w:t>
            </w:r>
          </w:p>
        </w:tc>
      </w:tr>
      <w:tr w:rsidR="001826C1" w14:paraId="43374F4F" w14:textId="77777777">
        <w:tc>
          <w:tcPr>
            <w:tcW w:w="1000" w:type="pct"/>
            <w:shd w:val="clear" w:color="auto" w:fill="CCEEFF"/>
            <w:vAlign w:val="bottom"/>
            <w:hideMark/>
          </w:tcPr>
          <w:p w14:paraId="38D1C140" w14:textId="77777777" w:rsidR="00000000" w:rsidRDefault="001826C1">
            <w:pPr>
              <w:rPr>
                <w:rFonts w:eastAsia="Times New Roman"/>
                <w:sz w:val="16"/>
                <w:szCs w:val="16"/>
              </w:rPr>
            </w:pPr>
            <w:r>
              <w:rPr>
                <w:rFonts w:eastAsia="Times New Roman"/>
                <w:sz w:val="16"/>
                <w:szCs w:val="16"/>
              </w:rPr>
              <w:t>Net income (loss)</w:t>
            </w:r>
          </w:p>
        </w:tc>
        <w:tc>
          <w:tcPr>
            <w:tcW w:w="50" w:type="pct"/>
            <w:shd w:val="clear" w:color="auto" w:fill="CCEEFF"/>
            <w:vAlign w:val="bottom"/>
            <w:hideMark/>
          </w:tcPr>
          <w:p w14:paraId="61EF7A88"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3B3C9BC8" w14:textId="77777777" w:rsidR="00000000" w:rsidRDefault="001826C1">
            <w:pPr>
              <w:rPr>
                <w:rFonts w:eastAsia="Times New Roman"/>
                <w:sz w:val="16"/>
                <w:szCs w:val="16"/>
              </w:rPr>
            </w:pPr>
            <w:r>
              <w:rPr>
                <w:rFonts w:eastAsia="Times New Roman"/>
                <w:sz w:val="16"/>
                <w:szCs w:val="16"/>
              </w:rPr>
              <w:t>$</w:t>
            </w:r>
          </w:p>
        </w:tc>
        <w:tc>
          <w:tcPr>
            <w:tcW w:w="400" w:type="pct"/>
            <w:shd w:val="clear" w:color="auto" w:fill="CCEEFF"/>
            <w:vAlign w:val="bottom"/>
            <w:hideMark/>
          </w:tcPr>
          <w:p w14:paraId="1F312279" w14:textId="77777777" w:rsidR="00000000" w:rsidRDefault="001826C1">
            <w:pPr>
              <w:jc w:val="right"/>
              <w:rPr>
                <w:rFonts w:eastAsia="Times New Roman"/>
                <w:sz w:val="16"/>
                <w:szCs w:val="16"/>
              </w:rPr>
            </w:pPr>
            <w:r>
              <w:rPr>
                <w:rFonts w:eastAsia="Times New Roman"/>
                <w:sz w:val="16"/>
                <w:szCs w:val="16"/>
              </w:rPr>
              <w:t>333</w:t>
            </w:r>
          </w:p>
        </w:tc>
        <w:tc>
          <w:tcPr>
            <w:tcW w:w="50" w:type="pct"/>
            <w:shd w:val="clear" w:color="auto" w:fill="CCEEFF"/>
            <w:vAlign w:val="bottom"/>
            <w:hideMark/>
          </w:tcPr>
          <w:p w14:paraId="3B043521"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2B76FD2B"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0EDB2DB8" w14:textId="77777777" w:rsidR="00000000" w:rsidRDefault="001826C1">
            <w:pPr>
              <w:rPr>
                <w:rFonts w:eastAsia="Times New Roman"/>
                <w:sz w:val="16"/>
                <w:szCs w:val="16"/>
              </w:rPr>
            </w:pPr>
            <w:r>
              <w:rPr>
                <w:rFonts w:eastAsia="Times New Roman"/>
                <w:sz w:val="16"/>
                <w:szCs w:val="16"/>
              </w:rPr>
              <w:t>$</w:t>
            </w:r>
          </w:p>
        </w:tc>
        <w:tc>
          <w:tcPr>
            <w:tcW w:w="400" w:type="pct"/>
            <w:shd w:val="clear" w:color="auto" w:fill="CCEEFF"/>
            <w:vAlign w:val="bottom"/>
            <w:hideMark/>
          </w:tcPr>
          <w:p w14:paraId="0975B02F" w14:textId="77777777" w:rsidR="00000000" w:rsidRDefault="001826C1">
            <w:pPr>
              <w:jc w:val="right"/>
              <w:rPr>
                <w:rFonts w:eastAsia="Times New Roman"/>
                <w:sz w:val="16"/>
                <w:szCs w:val="16"/>
              </w:rPr>
            </w:pPr>
            <w:r>
              <w:rPr>
                <w:rFonts w:eastAsia="Times New Roman"/>
                <w:sz w:val="16"/>
                <w:szCs w:val="16"/>
              </w:rPr>
              <w:t>(138</w:t>
            </w:r>
          </w:p>
        </w:tc>
        <w:tc>
          <w:tcPr>
            <w:tcW w:w="50" w:type="pct"/>
            <w:shd w:val="clear" w:color="auto" w:fill="CCEEFF"/>
            <w:vAlign w:val="bottom"/>
            <w:hideMark/>
          </w:tcPr>
          <w:p w14:paraId="02F4A15E" w14:textId="77777777" w:rsidR="00000000" w:rsidRDefault="001826C1">
            <w:pPr>
              <w:rPr>
                <w:rFonts w:eastAsia="Times New Roman"/>
                <w:sz w:val="16"/>
                <w:szCs w:val="16"/>
              </w:rPr>
            </w:pPr>
            <w:r>
              <w:rPr>
                <w:rFonts w:eastAsia="Times New Roman"/>
                <w:sz w:val="16"/>
                <w:szCs w:val="16"/>
              </w:rPr>
              <w:t>)</w:t>
            </w:r>
          </w:p>
        </w:tc>
        <w:tc>
          <w:tcPr>
            <w:tcW w:w="50" w:type="pct"/>
            <w:shd w:val="clear" w:color="auto" w:fill="CCEEFF"/>
            <w:vAlign w:val="bottom"/>
            <w:hideMark/>
          </w:tcPr>
          <w:p w14:paraId="7DDF3FA7"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7899E5D3" w14:textId="77777777" w:rsidR="00000000" w:rsidRDefault="001826C1">
            <w:pPr>
              <w:rPr>
                <w:rFonts w:eastAsia="Times New Roman"/>
                <w:sz w:val="16"/>
                <w:szCs w:val="16"/>
              </w:rPr>
            </w:pPr>
            <w:r>
              <w:rPr>
                <w:rFonts w:eastAsia="Times New Roman"/>
                <w:sz w:val="16"/>
                <w:szCs w:val="16"/>
              </w:rPr>
              <w:t>$</w:t>
            </w:r>
          </w:p>
        </w:tc>
        <w:tc>
          <w:tcPr>
            <w:tcW w:w="250" w:type="pct"/>
            <w:shd w:val="clear" w:color="auto" w:fill="CCEEFF"/>
            <w:vAlign w:val="bottom"/>
            <w:hideMark/>
          </w:tcPr>
          <w:p w14:paraId="4312BFAC" w14:textId="77777777" w:rsidR="00000000" w:rsidRDefault="001826C1">
            <w:pPr>
              <w:jc w:val="right"/>
              <w:rPr>
                <w:rFonts w:eastAsia="Times New Roman"/>
                <w:sz w:val="16"/>
                <w:szCs w:val="16"/>
              </w:rPr>
            </w:pPr>
            <w:r>
              <w:rPr>
                <w:rFonts w:eastAsia="Times New Roman"/>
                <w:sz w:val="16"/>
                <w:szCs w:val="16"/>
              </w:rPr>
              <w:t>(771</w:t>
            </w:r>
          </w:p>
        </w:tc>
        <w:tc>
          <w:tcPr>
            <w:tcW w:w="50" w:type="pct"/>
            <w:shd w:val="clear" w:color="auto" w:fill="CCEEFF"/>
            <w:vAlign w:val="bottom"/>
            <w:hideMark/>
          </w:tcPr>
          <w:p w14:paraId="414FF23D" w14:textId="77777777" w:rsidR="00000000" w:rsidRDefault="001826C1">
            <w:pPr>
              <w:rPr>
                <w:rFonts w:eastAsia="Times New Roman"/>
                <w:sz w:val="16"/>
                <w:szCs w:val="16"/>
              </w:rPr>
            </w:pPr>
            <w:r>
              <w:rPr>
                <w:rFonts w:eastAsia="Times New Roman"/>
                <w:sz w:val="16"/>
                <w:szCs w:val="16"/>
              </w:rPr>
              <w:t>)</w:t>
            </w:r>
          </w:p>
        </w:tc>
        <w:tc>
          <w:tcPr>
            <w:tcW w:w="50" w:type="pct"/>
            <w:shd w:val="clear" w:color="auto" w:fill="CCEEFF"/>
            <w:vAlign w:val="bottom"/>
            <w:hideMark/>
          </w:tcPr>
          <w:p w14:paraId="330CF650"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135220F9" w14:textId="77777777" w:rsidR="00000000" w:rsidRDefault="001826C1">
            <w:pPr>
              <w:rPr>
                <w:rFonts w:eastAsia="Times New Roman"/>
                <w:sz w:val="16"/>
                <w:szCs w:val="16"/>
              </w:rPr>
            </w:pPr>
            <w:r>
              <w:rPr>
                <w:rFonts w:eastAsia="Times New Roman"/>
                <w:sz w:val="16"/>
                <w:szCs w:val="16"/>
              </w:rPr>
              <w:t>$</w:t>
            </w:r>
          </w:p>
        </w:tc>
        <w:tc>
          <w:tcPr>
            <w:tcW w:w="350" w:type="pct"/>
            <w:shd w:val="clear" w:color="auto" w:fill="CCEEFF"/>
            <w:vAlign w:val="bottom"/>
            <w:hideMark/>
          </w:tcPr>
          <w:p w14:paraId="50C7B5FD" w14:textId="77777777" w:rsidR="00000000" w:rsidRDefault="001826C1">
            <w:pPr>
              <w:jc w:val="right"/>
              <w:rPr>
                <w:rFonts w:eastAsia="Times New Roman"/>
                <w:sz w:val="16"/>
                <w:szCs w:val="16"/>
              </w:rPr>
            </w:pPr>
            <w:r>
              <w:rPr>
                <w:rFonts w:eastAsia="Times New Roman"/>
                <w:sz w:val="16"/>
                <w:szCs w:val="16"/>
              </w:rPr>
              <w:t>(296</w:t>
            </w:r>
          </w:p>
        </w:tc>
        <w:tc>
          <w:tcPr>
            <w:tcW w:w="50" w:type="pct"/>
            <w:shd w:val="clear" w:color="auto" w:fill="CCEEFF"/>
            <w:vAlign w:val="bottom"/>
            <w:hideMark/>
          </w:tcPr>
          <w:p w14:paraId="189D9A55" w14:textId="77777777" w:rsidR="00000000" w:rsidRDefault="001826C1">
            <w:pPr>
              <w:rPr>
                <w:rFonts w:eastAsia="Times New Roman"/>
                <w:sz w:val="16"/>
                <w:szCs w:val="16"/>
              </w:rPr>
            </w:pPr>
            <w:r>
              <w:rPr>
                <w:rFonts w:eastAsia="Times New Roman"/>
                <w:sz w:val="16"/>
                <w:szCs w:val="16"/>
              </w:rPr>
              <w:t>)</w:t>
            </w:r>
          </w:p>
        </w:tc>
        <w:tc>
          <w:tcPr>
            <w:tcW w:w="50" w:type="pct"/>
            <w:shd w:val="clear" w:color="auto" w:fill="CCEEFF"/>
            <w:vAlign w:val="bottom"/>
            <w:hideMark/>
          </w:tcPr>
          <w:p w14:paraId="7136662C"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4EFAA822" w14:textId="77777777" w:rsidR="00000000" w:rsidRDefault="001826C1">
            <w:pPr>
              <w:rPr>
                <w:rFonts w:eastAsia="Times New Roman"/>
                <w:sz w:val="16"/>
                <w:szCs w:val="16"/>
              </w:rPr>
            </w:pPr>
            <w:r>
              <w:rPr>
                <w:rFonts w:eastAsia="Times New Roman"/>
                <w:sz w:val="16"/>
                <w:szCs w:val="16"/>
              </w:rPr>
              <w:t>$</w:t>
            </w:r>
          </w:p>
        </w:tc>
        <w:tc>
          <w:tcPr>
            <w:tcW w:w="400" w:type="pct"/>
            <w:shd w:val="clear" w:color="auto" w:fill="CCEEFF"/>
            <w:vAlign w:val="bottom"/>
            <w:hideMark/>
          </w:tcPr>
          <w:p w14:paraId="01110DD3" w14:textId="77777777" w:rsidR="00000000" w:rsidRDefault="001826C1">
            <w:pPr>
              <w:jc w:val="right"/>
              <w:rPr>
                <w:rFonts w:eastAsia="Times New Roman"/>
                <w:sz w:val="16"/>
                <w:szCs w:val="16"/>
              </w:rPr>
            </w:pPr>
            <w:r>
              <w:rPr>
                <w:rFonts w:eastAsia="Times New Roman"/>
                <w:sz w:val="16"/>
                <w:szCs w:val="16"/>
              </w:rPr>
              <w:t>(576</w:t>
            </w:r>
          </w:p>
        </w:tc>
        <w:tc>
          <w:tcPr>
            <w:tcW w:w="50" w:type="pct"/>
            <w:shd w:val="clear" w:color="auto" w:fill="CCEEFF"/>
            <w:vAlign w:val="bottom"/>
            <w:hideMark/>
          </w:tcPr>
          <w:p w14:paraId="064C1998" w14:textId="77777777" w:rsidR="00000000" w:rsidRDefault="001826C1">
            <w:pPr>
              <w:rPr>
                <w:rFonts w:eastAsia="Times New Roman"/>
                <w:sz w:val="16"/>
                <w:szCs w:val="16"/>
              </w:rPr>
            </w:pPr>
            <w:r>
              <w:rPr>
                <w:rFonts w:eastAsia="Times New Roman"/>
                <w:sz w:val="16"/>
                <w:szCs w:val="16"/>
              </w:rPr>
              <w:t>)</w:t>
            </w:r>
          </w:p>
        </w:tc>
        <w:tc>
          <w:tcPr>
            <w:tcW w:w="50" w:type="pct"/>
            <w:shd w:val="clear" w:color="auto" w:fill="CCEEFF"/>
            <w:vAlign w:val="bottom"/>
            <w:hideMark/>
          </w:tcPr>
          <w:p w14:paraId="307E89B4"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0175872F" w14:textId="77777777" w:rsidR="00000000" w:rsidRDefault="001826C1">
            <w:pPr>
              <w:rPr>
                <w:rFonts w:eastAsia="Times New Roman"/>
                <w:sz w:val="16"/>
                <w:szCs w:val="16"/>
              </w:rPr>
            </w:pPr>
            <w:r>
              <w:rPr>
                <w:rFonts w:eastAsia="Times New Roman"/>
                <w:sz w:val="16"/>
                <w:szCs w:val="16"/>
              </w:rPr>
              <w:t>$</w:t>
            </w:r>
          </w:p>
        </w:tc>
        <w:tc>
          <w:tcPr>
            <w:tcW w:w="400" w:type="pct"/>
            <w:shd w:val="clear" w:color="auto" w:fill="CCEEFF"/>
            <w:vAlign w:val="bottom"/>
            <w:hideMark/>
          </w:tcPr>
          <w:p w14:paraId="14CFC086" w14:textId="77777777" w:rsidR="00000000" w:rsidRDefault="001826C1">
            <w:pPr>
              <w:jc w:val="right"/>
              <w:rPr>
                <w:rFonts w:eastAsia="Times New Roman"/>
                <w:sz w:val="16"/>
                <w:szCs w:val="16"/>
              </w:rPr>
            </w:pPr>
            <w:r>
              <w:rPr>
                <w:rFonts w:eastAsia="Times New Roman"/>
                <w:sz w:val="16"/>
                <w:szCs w:val="16"/>
              </w:rPr>
              <w:t>(1,832</w:t>
            </w:r>
          </w:p>
        </w:tc>
        <w:tc>
          <w:tcPr>
            <w:tcW w:w="50" w:type="pct"/>
            <w:shd w:val="clear" w:color="auto" w:fill="CCEEFF"/>
            <w:vAlign w:val="bottom"/>
            <w:hideMark/>
          </w:tcPr>
          <w:p w14:paraId="0119977C" w14:textId="77777777" w:rsidR="00000000" w:rsidRDefault="001826C1">
            <w:pPr>
              <w:rPr>
                <w:rFonts w:eastAsia="Times New Roman"/>
                <w:sz w:val="16"/>
                <w:szCs w:val="16"/>
              </w:rPr>
            </w:pPr>
            <w:r>
              <w:rPr>
                <w:rFonts w:eastAsia="Times New Roman"/>
                <w:sz w:val="16"/>
                <w:szCs w:val="16"/>
              </w:rPr>
              <w:t>)</w:t>
            </w:r>
          </w:p>
        </w:tc>
        <w:tc>
          <w:tcPr>
            <w:tcW w:w="50" w:type="pct"/>
            <w:shd w:val="clear" w:color="auto" w:fill="CCEEFF"/>
            <w:vAlign w:val="bottom"/>
            <w:hideMark/>
          </w:tcPr>
          <w:p w14:paraId="4DD51942"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0336CF13" w14:textId="77777777" w:rsidR="00000000" w:rsidRDefault="001826C1">
            <w:pPr>
              <w:rPr>
                <w:rFonts w:eastAsia="Times New Roman"/>
                <w:sz w:val="16"/>
                <w:szCs w:val="16"/>
              </w:rPr>
            </w:pPr>
            <w:r>
              <w:rPr>
                <w:rFonts w:eastAsia="Times New Roman"/>
                <w:sz w:val="16"/>
                <w:szCs w:val="16"/>
              </w:rPr>
              <w:t>$</w:t>
            </w:r>
          </w:p>
        </w:tc>
        <w:tc>
          <w:tcPr>
            <w:tcW w:w="250" w:type="pct"/>
            <w:shd w:val="clear" w:color="auto" w:fill="CCEEFF"/>
            <w:vAlign w:val="bottom"/>
            <w:hideMark/>
          </w:tcPr>
          <w:p w14:paraId="68B2BF87" w14:textId="77777777" w:rsidR="00000000" w:rsidRDefault="001826C1">
            <w:pPr>
              <w:jc w:val="right"/>
              <w:rPr>
                <w:rFonts w:eastAsia="Times New Roman"/>
                <w:sz w:val="16"/>
                <w:szCs w:val="16"/>
              </w:rPr>
            </w:pPr>
            <w:r>
              <w:rPr>
                <w:rFonts w:eastAsia="Times New Roman"/>
                <w:sz w:val="16"/>
                <w:szCs w:val="16"/>
              </w:rPr>
              <w:t>195</w:t>
            </w:r>
          </w:p>
        </w:tc>
        <w:tc>
          <w:tcPr>
            <w:tcW w:w="50" w:type="pct"/>
            <w:shd w:val="clear" w:color="auto" w:fill="CCEEFF"/>
            <w:vAlign w:val="bottom"/>
            <w:hideMark/>
          </w:tcPr>
          <w:p w14:paraId="2C6A7DA8"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0C6357D2" w14:textId="77777777" w:rsidR="00000000" w:rsidRDefault="001826C1">
            <w:pPr>
              <w:rPr>
                <w:rFonts w:eastAsia="Times New Roman"/>
                <w:sz w:val="16"/>
                <w:szCs w:val="16"/>
              </w:rPr>
            </w:pPr>
            <w:r>
              <w:rPr>
                <w:rFonts w:eastAsia="Times New Roman"/>
                <w:sz w:val="16"/>
                <w:szCs w:val="16"/>
              </w:rPr>
              <w:t> </w:t>
            </w:r>
          </w:p>
        </w:tc>
        <w:tc>
          <w:tcPr>
            <w:tcW w:w="50" w:type="pct"/>
            <w:shd w:val="clear" w:color="auto" w:fill="CCEEFF"/>
            <w:vAlign w:val="bottom"/>
            <w:hideMark/>
          </w:tcPr>
          <w:p w14:paraId="5A2CD932" w14:textId="77777777" w:rsidR="00000000" w:rsidRDefault="001826C1">
            <w:pPr>
              <w:rPr>
                <w:rFonts w:eastAsia="Times New Roman"/>
                <w:sz w:val="16"/>
                <w:szCs w:val="16"/>
              </w:rPr>
            </w:pPr>
            <w:r>
              <w:rPr>
                <w:rFonts w:eastAsia="Times New Roman"/>
                <w:sz w:val="16"/>
                <w:szCs w:val="16"/>
              </w:rPr>
              <w:t>$</w:t>
            </w:r>
          </w:p>
        </w:tc>
        <w:tc>
          <w:tcPr>
            <w:tcW w:w="350" w:type="pct"/>
            <w:shd w:val="clear" w:color="auto" w:fill="CCEEFF"/>
            <w:vAlign w:val="bottom"/>
            <w:hideMark/>
          </w:tcPr>
          <w:p w14:paraId="05953F11" w14:textId="77777777" w:rsidR="00000000" w:rsidRDefault="001826C1">
            <w:pPr>
              <w:jc w:val="right"/>
              <w:rPr>
                <w:rFonts w:eastAsia="Times New Roman"/>
                <w:sz w:val="16"/>
                <w:szCs w:val="16"/>
              </w:rPr>
            </w:pPr>
            <w:r>
              <w:rPr>
                <w:rFonts w:eastAsia="Times New Roman"/>
                <w:sz w:val="16"/>
                <w:szCs w:val="16"/>
              </w:rPr>
              <w:t>75</w:t>
            </w:r>
          </w:p>
        </w:tc>
        <w:tc>
          <w:tcPr>
            <w:tcW w:w="50" w:type="pct"/>
            <w:shd w:val="clear" w:color="auto" w:fill="CCEEFF"/>
            <w:vAlign w:val="bottom"/>
            <w:hideMark/>
          </w:tcPr>
          <w:p w14:paraId="49A111DE" w14:textId="77777777" w:rsidR="00000000" w:rsidRDefault="001826C1">
            <w:pPr>
              <w:rPr>
                <w:rFonts w:eastAsia="Times New Roman"/>
                <w:sz w:val="16"/>
                <w:szCs w:val="16"/>
              </w:rPr>
            </w:pPr>
            <w:r>
              <w:rPr>
                <w:rFonts w:eastAsia="Times New Roman"/>
                <w:sz w:val="16"/>
                <w:szCs w:val="16"/>
              </w:rPr>
              <w:t> </w:t>
            </w:r>
          </w:p>
        </w:tc>
      </w:tr>
      <w:tr w:rsidR="001826C1" w14:paraId="4DCFDB0F" w14:textId="77777777">
        <w:tc>
          <w:tcPr>
            <w:tcW w:w="0" w:type="auto"/>
            <w:shd w:val="clear" w:color="auto" w:fill="FFFFFF"/>
            <w:vAlign w:val="bottom"/>
            <w:hideMark/>
          </w:tcPr>
          <w:p w14:paraId="3BEA657D" w14:textId="77777777" w:rsidR="00000000" w:rsidRDefault="001826C1">
            <w:pPr>
              <w:rPr>
                <w:rFonts w:eastAsia="Times New Roman"/>
                <w:sz w:val="16"/>
                <w:szCs w:val="16"/>
              </w:rPr>
            </w:pPr>
            <w:r>
              <w:rPr>
                <w:rFonts w:eastAsia="Times New Roman"/>
                <w:sz w:val="16"/>
                <w:szCs w:val="16"/>
              </w:rPr>
              <w:t>Depreciation</w:t>
            </w:r>
          </w:p>
        </w:tc>
        <w:tc>
          <w:tcPr>
            <w:tcW w:w="0" w:type="auto"/>
            <w:shd w:val="clear" w:color="auto" w:fill="FFFFFF"/>
            <w:vAlign w:val="bottom"/>
            <w:hideMark/>
          </w:tcPr>
          <w:p w14:paraId="2A44337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76576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032290" w14:textId="77777777" w:rsidR="00000000" w:rsidRDefault="001826C1">
            <w:pPr>
              <w:jc w:val="right"/>
              <w:rPr>
                <w:rFonts w:eastAsia="Times New Roman"/>
                <w:sz w:val="16"/>
                <w:szCs w:val="16"/>
              </w:rPr>
            </w:pPr>
            <w:r>
              <w:rPr>
                <w:rFonts w:eastAsia="Times New Roman"/>
                <w:sz w:val="16"/>
                <w:szCs w:val="16"/>
              </w:rPr>
              <w:t>241</w:t>
            </w:r>
          </w:p>
        </w:tc>
        <w:tc>
          <w:tcPr>
            <w:tcW w:w="0" w:type="auto"/>
            <w:shd w:val="clear" w:color="auto" w:fill="FFFFFF"/>
            <w:vAlign w:val="bottom"/>
            <w:hideMark/>
          </w:tcPr>
          <w:p w14:paraId="2B51F7F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A23F6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67449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BFE7A0" w14:textId="77777777" w:rsidR="00000000" w:rsidRDefault="001826C1">
            <w:pPr>
              <w:jc w:val="right"/>
              <w:rPr>
                <w:rFonts w:eastAsia="Times New Roman"/>
                <w:sz w:val="16"/>
                <w:szCs w:val="16"/>
              </w:rPr>
            </w:pPr>
            <w:r>
              <w:rPr>
                <w:rFonts w:eastAsia="Times New Roman"/>
                <w:sz w:val="16"/>
                <w:szCs w:val="16"/>
              </w:rPr>
              <w:t>238</w:t>
            </w:r>
          </w:p>
        </w:tc>
        <w:tc>
          <w:tcPr>
            <w:tcW w:w="0" w:type="auto"/>
            <w:shd w:val="clear" w:color="auto" w:fill="FFFFFF"/>
            <w:vAlign w:val="bottom"/>
            <w:hideMark/>
          </w:tcPr>
          <w:p w14:paraId="2E258C2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17EF31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E4065F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7938505" w14:textId="77777777" w:rsidR="00000000" w:rsidRDefault="001826C1">
            <w:pPr>
              <w:jc w:val="right"/>
              <w:rPr>
                <w:rFonts w:eastAsia="Times New Roman"/>
                <w:sz w:val="16"/>
                <w:szCs w:val="16"/>
              </w:rPr>
            </w:pPr>
            <w:r>
              <w:rPr>
                <w:rFonts w:eastAsia="Times New Roman"/>
                <w:sz w:val="16"/>
                <w:szCs w:val="16"/>
              </w:rPr>
              <w:t>224</w:t>
            </w:r>
          </w:p>
        </w:tc>
        <w:tc>
          <w:tcPr>
            <w:tcW w:w="0" w:type="auto"/>
            <w:shd w:val="clear" w:color="auto" w:fill="FFFFFF"/>
            <w:vAlign w:val="bottom"/>
            <w:hideMark/>
          </w:tcPr>
          <w:p w14:paraId="7163130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0DE5B2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5B85A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B23A1D3" w14:textId="77777777" w:rsidR="00000000" w:rsidRDefault="001826C1">
            <w:pPr>
              <w:jc w:val="right"/>
              <w:rPr>
                <w:rFonts w:eastAsia="Times New Roman"/>
                <w:sz w:val="16"/>
                <w:szCs w:val="16"/>
              </w:rPr>
            </w:pPr>
            <w:r>
              <w:rPr>
                <w:rFonts w:eastAsia="Times New Roman"/>
                <w:sz w:val="16"/>
                <w:szCs w:val="16"/>
              </w:rPr>
              <w:t>207</w:t>
            </w:r>
          </w:p>
        </w:tc>
        <w:tc>
          <w:tcPr>
            <w:tcW w:w="0" w:type="auto"/>
            <w:shd w:val="clear" w:color="auto" w:fill="FFFFFF"/>
            <w:vAlign w:val="bottom"/>
            <w:hideMark/>
          </w:tcPr>
          <w:p w14:paraId="5104039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0A1C3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8E8F61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36C713" w14:textId="77777777" w:rsidR="00000000" w:rsidRDefault="001826C1">
            <w:pPr>
              <w:jc w:val="right"/>
              <w:rPr>
                <w:rFonts w:eastAsia="Times New Roman"/>
                <w:sz w:val="16"/>
                <w:szCs w:val="16"/>
              </w:rPr>
            </w:pPr>
            <w:r>
              <w:rPr>
                <w:rFonts w:eastAsia="Times New Roman"/>
                <w:sz w:val="16"/>
                <w:szCs w:val="16"/>
              </w:rPr>
              <w:t>203</w:t>
            </w:r>
          </w:p>
        </w:tc>
        <w:tc>
          <w:tcPr>
            <w:tcW w:w="0" w:type="auto"/>
            <w:shd w:val="clear" w:color="auto" w:fill="FFFFFF"/>
            <w:vAlign w:val="bottom"/>
            <w:hideMark/>
          </w:tcPr>
          <w:p w14:paraId="7C7FE63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1AF9C4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0C2B6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2E940A4" w14:textId="77777777" w:rsidR="00000000" w:rsidRDefault="001826C1">
            <w:pPr>
              <w:jc w:val="right"/>
              <w:rPr>
                <w:rFonts w:eastAsia="Times New Roman"/>
                <w:sz w:val="16"/>
                <w:szCs w:val="16"/>
              </w:rPr>
            </w:pPr>
            <w:r>
              <w:rPr>
                <w:rFonts w:eastAsia="Times New Roman"/>
                <w:sz w:val="16"/>
                <w:szCs w:val="16"/>
              </w:rPr>
              <w:t>189</w:t>
            </w:r>
          </w:p>
        </w:tc>
        <w:tc>
          <w:tcPr>
            <w:tcW w:w="0" w:type="auto"/>
            <w:shd w:val="clear" w:color="auto" w:fill="FFFFFF"/>
            <w:vAlign w:val="bottom"/>
            <w:hideMark/>
          </w:tcPr>
          <w:p w14:paraId="0961BEF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5E7554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BF7F4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B838623" w14:textId="77777777" w:rsidR="00000000" w:rsidRDefault="001826C1">
            <w:pPr>
              <w:jc w:val="right"/>
              <w:rPr>
                <w:rFonts w:eastAsia="Times New Roman"/>
                <w:sz w:val="16"/>
                <w:szCs w:val="16"/>
              </w:rPr>
            </w:pPr>
            <w:r>
              <w:rPr>
                <w:rFonts w:eastAsia="Times New Roman"/>
                <w:sz w:val="16"/>
                <w:szCs w:val="16"/>
              </w:rPr>
              <w:t>145</w:t>
            </w:r>
          </w:p>
        </w:tc>
        <w:tc>
          <w:tcPr>
            <w:tcW w:w="0" w:type="auto"/>
            <w:shd w:val="clear" w:color="auto" w:fill="FFFFFF"/>
            <w:vAlign w:val="bottom"/>
            <w:hideMark/>
          </w:tcPr>
          <w:p w14:paraId="0FBDCC6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F573D2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0D28BD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84B7C44" w14:textId="77777777" w:rsidR="00000000" w:rsidRDefault="001826C1">
            <w:pPr>
              <w:jc w:val="right"/>
              <w:rPr>
                <w:rFonts w:eastAsia="Times New Roman"/>
                <w:sz w:val="16"/>
                <w:szCs w:val="16"/>
              </w:rPr>
            </w:pPr>
            <w:r>
              <w:rPr>
                <w:rFonts w:eastAsia="Times New Roman"/>
                <w:sz w:val="16"/>
                <w:szCs w:val="16"/>
              </w:rPr>
              <w:t>151</w:t>
            </w:r>
          </w:p>
        </w:tc>
        <w:tc>
          <w:tcPr>
            <w:tcW w:w="0" w:type="auto"/>
            <w:shd w:val="clear" w:color="auto" w:fill="FFFFFF"/>
            <w:vAlign w:val="bottom"/>
            <w:hideMark/>
          </w:tcPr>
          <w:p w14:paraId="42EB0948" w14:textId="77777777" w:rsidR="00000000" w:rsidRDefault="001826C1">
            <w:pPr>
              <w:rPr>
                <w:rFonts w:eastAsia="Times New Roman"/>
                <w:sz w:val="16"/>
                <w:szCs w:val="16"/>
              </w:rPr>
            </w:pPr>
            <w:r>
              <w:rPr>
                <w:rFonts w:eastAsia="Times New Roman"/>
                <w:sz w:val="16"/>
                <w:szCs w:val="16"/>
              </w:rPr>
              <w:t> </w:t>
            </w:r>
          </w:p>
        </w:tc>
      </w:tr>
      <w:tr w:rsidR="001826C1" w14:paraId="2D61E16A" w14:textId="77777777">
        <w:tc>
          <w:tcPr>
            <w:tcW w:w="0" w:type="auto"/>
            <w:shd w:val="clear" w:color="auto" w:fill="CCEEFF"/>
            <w:vAlign w:val="bottom"/>
            <w:hideMark/>
          </w:tcPr>
          <w:p w14:paraId="3A13A85D" w14:textId="77777777" w:rsidR="00000000" w:rsidRDefault="001826C1">
            <w:pPr>
              <w:rPr>
                <w:rFonts w:eastAsia="Times New Roman"/>
                <w:sz w:val="16"/>
                <w:szCs w:val="16"/>
              </w:rPr>
            </w:pPr>
            <w:r>
              <w:rPr>
                <w:rFonts w:eastAsia="Times New Roman"/>
                <w:sz w:val="16"/>
                <w:szCs w:val="16"/>
              </w:rPr>
              <w:t>Amortization</w:t>
            </w:r>
          </w:p>
        </w:tc>
        <w:tc>
          <w:tcPr>
            <w:tcW w:w="0" w:type="auto"/>
            <w:shd w:val="clear" w:color="auto" w:fill="CCEEFF"/>
            <w:vAlign w:val="bottom"/>
            <w:hideMark/>
          </w:tcPr>
          <w:p w14:paraId="1F2ED06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1FEBAD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453A541" w14:textId="77777777" w:rsidR="00000000" w:rsidRDefault="001826C1">
            <w:pPr>
              <w:jc w:val="right"/>
              <w:rPr>
                <w:rFonts w:eastAsia="Times New Roman"/>
                <w:sz w:val="16"/>
                <w:szCs w:val="16"/>
              </w:rPr>
            </w:pPr>
            <w:r>
              <w:rPr>
                <w:rFonts w:eastAsia="Times New Roman"/>
                <w:sz w:val="16"/>
                <w:szCs w:val="16"/>
              </w:rPr>
              <w:t>358</w:t>
            </w:r>
          </w:p>
        </w:tc>
        <w:tc>
          <w:tcPr>
            <w:tcW w:w="0" w:type="auto"/>
            <w:shd w:val="clear" w:color="auto" w:fill="CCEEFF"/>
            <w:vAlign w:val="bottom"/>
            <w:hideMark/>
          </w:tcPr>
          <w:p w14:paraId="17F7507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D75C6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0157A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8B7E65" w14:textId="77777777" w:rsidR="00000000" w:rsidRDefault="001826C1">
            <w:pPr>
              <w:jc w:val="right"/>
              <w:rPr>
                <w:rFonts w:eastAsia="Times New Roman"/>
                <w:sz w:val="16"/>
                <w:szCs w:val="16"/>
              </w:rPr>
            </w:pPr>
            <w:r>
              <w:rPr>
                <w:rFonts w:eastAsia="Times New Roman"/>
                <w:sz w:val="16"/>
                <w:szCs w:val="16"/>
              </w:rPr>
              <w:t>576</w:t>
            </w:r>
          </w:p>
        </w:tc>
        <w:tc>
          <w:tcPr>
            <w:tcW w:w="0" w:type="auto"/>
            <w:shd w:val="clear" w:color="auto" w:fill="CCEEFF"/>
            <w:vAlign w:val="bottom"/>
            <w:hideMark/>
          </w:tcPr>
          <w:p w14:paraId="1A7CF0C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62D3D4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94E83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B9C955C" w14:textId="77777777" w:rsidR="00000000" w:rsidRDefault="001826C1">
            <w:pPr>
              <w:jc w:val="right"/>
              <w:rPr>
                <w:rFonts w:eastAsia="Times New Roman"/>
                <w:sz w:val="16"/>
                <w:szCs w:val="16"/>
              </w:rPr>
            </w:pPr>
            <w:r>
              <w:rPr>
                <w:rFonts w:eastAsia="Times New Roman"/>
                <w:sz w:val="16"/>
                <w:szCs w:val="16"/>
              </w:rPr>
              <w:t>612</w:t>
            </w:r>
          </w:p>
        </w:tc>
        <w:tc>
          <w:tcPr>
            <w:tcW w:w="0" w:type="auto"/>
            <w:shd w:val="clear" w:color="auto" w:fill="CCEEFF"/>
            <w:vAlign w:val="bottom"/>
            <w:hideMark/>
          </w:tcPr>
          <w:p w14:paraId="411AEA6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09F2E2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5BBA6D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AFBE01D" w14:textId="77777777" w:rsidR="00000000" w:rsidRDefault="001826C1">
            <w:pPr>
              <w:jc w:val="right"/>
              <w:rPr>
                <w:rFonts w:eastAsia="Times New Roman"/>
                <w:sz w:val="16"/>
                <w:szCs w:val="16"/>
              </w:rPr>
            </w:pPr>
            <w:r>
              <w:rPr>
                <w:rFonts w:eastAsia="Times New Roman"/>
                <w:sz w:val="16"/>
                <w:szCs w:val="16"/>
              </w:rPr>
              <w:t>550</w:t>
            </w:r>
          </w:p>
        </w:tc>
        <w:tc>
          <w:tcPr>
            <w:tcW w:w="0" w:type="auto"/>
            <w:shd w:val="clear" w:color="auto" w:fill="CCEEFF"/>
            <w:vAlign w:val="bottom"/>
            <w:hideMark/>
          </w:tcPr>
          <w:p w14:paraId="2BD1B53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21E26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F7B16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E5DC5C4" w14:textId="77777777" w:rsidR="00000000" w:rsidRDefault="001826C1">
            <w:pPr>
              <w:jc w:val="right"/>
              <w:rPr>
                <w:rFonts w:eastAsia="Times New Roman"/>
                <w:sz w:val="16"/>
                <w:szCs w:val="16"/>
              </w:rPr>
            </w:pPr>
            <w:r>
              <w:rPr>
                <w:rFonts w:eastAsia="Times New Roman"/>
                <w:sz w:val="16"/>
                <w:szCs w:val="16"/>
              </w:rPr>
              <w:t>678</w:t>
            </w:r>
          </w:p>
        </w:tc>
        <w:tc>
          <w:tcPr>
            <w:tcW w:w="0" w:type="auto"/>
            <w:shd w:val="clear" w:color="auto" w:fill="CCEEFF"/>
            <w:vAlign w:val="bottom"/>
            <w:hideMark/>
          </w:tcPr>
          <w:p w14:paraId="3E78A1A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4DE7F6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6C95B7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C5E887" w14:textId="77777777" w:rsidR="00000000" w:rsidRDefault="001826C1">
            <w:pPr>
              <w:jc w:val="right"/>
              <w:rPr>
                <w:rFonts w:eastAsia="Times New Roman"/>
                <w:sz w:val="16"/>
                <w:szCs w:val="16"/>
              </w:rPr>
            </w:pPr>
            <w:r>
              <w:rPr>
                <w:rFonts w:eastAsia="Times New Roman"/>
                <w:sz w:val="16"/>
                <w:szCs w:val="16"/>
              </w:rPr>
              <w:t>633</w:t>
            </w:r>
          </w:p>
        </w:tc>
        <w:tc>
          <w:tcPr>
            <w:tcW w:w="0" w:type="auto"/>
            <w:shd w:val="clear" w:color="auto" w:fill="CCEEFF"/>
            <w:vAlign w:val="bottom"/>
            <w:hideMark/>
          </w:tcPr>
          <w:p w14:paraId="14763AC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BA369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CE201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EB10FC1" w14:textId="77777777" w:rsidR="00000000" w:rsidRDefault="001826C1">
            <w:pPr>
              <w:jc w:val="right"/>
              <w:rPr>
                <w:rFonts w:eastAsia="Times New Roman"/>
                <w:sz w:val="16"/>
                <w:szCs w:val="16"/>
              </w:rPr>
            </w:pPr>
            <w:r>
              <w:rPr>
                <w:rFonts w:eastAsia="Times New Roman"/>
                <w:sz w:val="16"/>
                <w:szCs w:val="16"/>
              </w:rPr>
              <w:t>415</w:t>
            </w:r>
          </w:p>
        </w:tc>
        <w:tc>
          <w:tcPr>
            <w:tcW w:w="0" w:type="auto"/>
            <w:shd w:val="clear" w:color="auto" w:fill="CCEEFF"/>
            <w:vAlign w:val="bottom"/>
            <w:hideMark/>
          </w:tcPr>
          <w:p w14:paraId="69B6485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010B5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1CE01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ECEE519" w14:textId="77777777" w:rsidR="00000000" w:rsidRDefault="001826C1">
            <w:pPr>
              <w:jc w:val="right"/>
              <w:rPr>
                <w:rFonts w:eastAsia="Times New Roman"/>
                <w:sz w:val="16"/>
                <w:szCs w:val="16"/>
              </w:rPr>
            </w:pPr>
            <w:r>
              <w:rPr>
                <w:rFonts w:eastAsia="Times New Roman"/>
                <w:sz w:val="16"/>
                <w:szCs w:val="16"/>
              </w:rPr>
              <w:t>440</w:t>
            </w:r>
          </w:p>
        </w:tc>
        <w:tc>
          <w:tcPr>
            <w:tcW w:w="0" w:type="auto"/>
            <w:shd w:val="clear" w:color="auto" w:fill="CCEEFF"/>
            <w:vAlign w:val="bottom"/>
            <w:hideMark/>
          </w:tcPr>
          <w:p w14:paraId="0237AFDA" w14:textId="77777777" w:rsidR="00000000" w:rsidRDefault="001826C1">
            <w:pPr>
              <w:rPr>
                <w:rFonts w:eastAsia="Times New Roman"/>
                <w:sz w:val="16"/>
                <w:szCs w:val="16"/>
              </w:rPr>
            </w:pPr>
            <w:r>
              <w:rPr>
                <w:rFonts w:eastAsia="Times New Roman"/>
                <w:sz w:val="16"/>
                <w:szCs w:val="16"/>
              </w:rPr>
              <w:t> </w:t>
            </w:r>
          </w:p>
        </w:tc>
      </w:tr>
      <w:tr w:rsidR="001826C1" w14:paraId="08B6EBFA" w14:textId="77777777">
        <w:tc>
          <w:tcPr>
            <w:tcW w:w="0" w:type="auto"/>
            <w:shd w:val="clear" w:color="auto" w:fill="FFFFFF"/>
            <w:vAlign w:val="bottom"/>
            <w:hideMark/>
          </w:tcPr>
          <w:p w14:paraId="1F116139" w14:textId="77777777" w:rsidR="00000000" w:rsidRDefault="001826C1">
            <w:pPr>
              <w:rPr>
                <w:rFonts w:eastAsia="Times New Roman"/>
                <w:sz w:val="16"/>
                <w:szCs w:val="16"/>
              </w:rPr>
            </w:pPr>
            <w:r>
              <w:rPr>
                <w:rFonts w:eastAsia="Times New Roman"/>
                <w:sz w:val="16"/>
                <w:szCs w:val="16"/>
              </w:rPr>
              <w:t>Foreign exchange loss (gain) / other expense</w:t>
            </w:r>
          </w:p>
        </w:tc>
        <w:tc>
          <w:tcPr>
            <w:tcW w:w="0" w:type="auto"/>
            <w:shd w:val="clear" w:color="auto" w:fill="FFFFFF"/>
            <w:vAlign w:val="bottom"/>
            <w:hideMark/>
          </w:tcPr>
          <w:p w14:paraId="78CB9DA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66BD04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1213DA1" w14:textId="77777777" w:rsidR="00000000" w:rsidRDefault="001826C1">
            <w:pPr>
              <w:jc w:val="right"/>
              <w:rPr>
                <w:rFonts w:eastAsia="Times New Roman"/>
                <w:sz w:val="16"/>
                <w:szCs w:val="16"/>
              </w:rPr>
            </w:pPr>
            <w:r>
              <w:rPr>
                <w:rFonts w:eastAsia="Times New Roman"/>
                <w:sz w:val="16"/>
                <w:szCs w:val="16"/>
              </w:rPr>
              <w:t>418</w:t>
            </w:r>
          </w:p>
        </w:tc>
        <w:tc>
          <w:tcPr>
            <w:tcW w:w="0" w:type="auto"/>
            <w:shd w:val="clear" w:color="auto" w:fill="FFFFFF"/>
            <w:vAlign w:val="bottom"/>
            <w:hideMark/>
          </w:tcPr>
          <w:p w14:paraId="5346388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F39A9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77E5CE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5BE359F" w14:textId="77777777" w:rsidR="00000000" w:rsidRDefault="001826C1">
            <w:pPr>
              <w:jc w:val="right"/>
              <w:rPr>
                <w:rFonts w:eastAsia="Times New Roman"/>
                <w:sz w:val="16"/>
                <w:szCs w:val="16"/>
              </w:rPr>
            </w:pPr>
            <w:r>
              <w:rPr>
                <w:rFonts w:eastAsia="Times New Roman"/>
                <w:sz w:val="16"/>
                <w:szCs w:val="16"/>
              </w:rPr>
              <w:t>704</w:t>
            </w:r>
          </w:p>
        </w:tc>
        <w:tc>
          <w:tcPr>
            <w:tcW w:w="0" w:type="auto"/>
            <w:shd w:val="clear" w:color="auto" w:fill="FFFFFF"/>
            <w:vAlign w:val="bottom"/>
            <w:hideMark/>
          </w:tcPr>
          <w:p w14:paraId="1D1C07B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760507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4FAE6E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78FC51" w14:textId="77777777" w:rsidR="00000000" w:rsidRDefault="001826C1">
            <w:pPr>
              <w:jc w:val="right"/>
              <w:rPr>
                <w:rFonts w:eastAsia="Times New Roman"/>
                <w:sz w:val="16"/>
                <w:szCs w:val="16"/>
              </w:rPr>
            </w:pPr>
            <w:r>
              <w:rPr>
                <w:rFonts w:eastAsia="Times New Roman"/>
                <w:sz w:val="16"/>
                <w:szCs w:val="16"/>
              </w:rPr>
              <w:t>(539</w:t>
            </w:r>
          </w:p>
        </w:tc>
        <w:tc>
          <w:tcPr>
            <w:tcW w:w="0" w:type="auto"/>
            <w:shd w:val="clear" w:color="auto" w:fill="FFFFFF"/>
            <w:vAlign w:val="bottom"/>
            <w:hideMark/>
          </w:tcPr>
          <w:p w14:paraId="64748571"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65302DF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4606ED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2890F97" w14:textId="77777777" w:rsidR="00000000" w:rsidRDefault="001826C1">
            <w:pPr>
              <w:jc w:val="right"/>
              <w:rPr>
                <w:rFonts w:eastAsia="Times New Roman"/>
                <w:sz w:val="16"/>
                <w:szCs w:val="16"/>
              </w:rPr>
            </w:pPr>
            <w:r>
              <w:rPr>
                <w:rFonts w:eastAsia="Times New Roman"/>
                <w:sz w:val="16"/>
                <w:szCs w:val="16"/>
              </w:rPr>
              <w:t>244</w:t>
            </w:r>
          </w:p>
        </w:tc>
        <w:tc>
          <w:tcPr>
            <w:tcW w:w="0" w:type="auto"/>
            <w:shd w:val="clear" w:color="auto" w:fill="FFFFFF"/>
            <w:vAlign w:val="bottom"/>
            <w:hideMark/>
          </w:tcPr>
          <w:p w14:paraId="5F27D36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5E5A4B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5ED7F0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32E7134" w14:textId="77777777" w:rsidR="00000000" w:rsidRDefault="001826C1">
            <w:pPr>
              <w:jc w:val="right"/>
              <w:rPr>
                <w:rFonts w:eastAsia="Times New Roman"/>
                <w:sz w:val="16"/>
                <w:szCs w:val="16"/>
              </w:rPr>
            </w:pPr>
            <w:r>
              <w:rPr>
                <w:rFonts w:eastAsia="Times New Roman"/>
                <w:sz w:val="16"/>
                <w:szCs w:val="16"/>
              </w:rPr>
              <w:t>(330</w:t>
            </w:r>
          </w:p>
        </w:tc>
        <w:tc>
          <w:tcPr>
            <w:tcW w:w="0" w:type="auto"/>
            <w:shd w:val="clear" w:color="auto" w:fill="FFFFFF"/>
            <w:vAlign w:val="bottom"/>
            <w:hideMark/>
          </w:tcPr>
          <w:p w14:paraId="47B9ACEF"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392C2CE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EC2AEB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DB4BF47" w14:textId="77777777" w:rsidR="00000000" w:rsidRDefault="001826C1">
            <w:pPr>
              <w:jc w:val="right"/>
              <w:rPr>
                <w:rFonts w:eastAsia="Times New Roman"/>
                <w:sz w:val="16"/>
                <w:szCs w:val="16"/>
              </w:rPr>
            </w:pPr>
            <w:r>
              <w:rPr>
                <w:rFonts w:eastAsia="Times New Roman"/>
                <w:sz w:val="16"/>
                <w:szCs w:val="16"/>
              </w:rPr>
              <w:t>227</w:t>
            </w:r>
          </w:p>
        </w:tc>
        <w:tc>
          <w:tcPr>
            <w:tcW w:w="0" w:type="auto"/>
            <w:shd w:val="clear" w:color="auto" w:fill="FFFFFF"/>
            <w:vAlign w:val="bottom"/>
            <w:hideMark/>
          </w:tcPr>
          <w:p w14:paraId="5A1ACDC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154191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5449A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993BAB" w14:textId="77777777" w:rsidR="00000000" w:rsidRDefault="001826C1">
            <w:pPr>
              <w:jc w:val="right"/>
              <w:rPr>
                <w:rFonts w:eastAsia="Times New Roman"/>
                <w:sz w:val="16"/>
                <w:szCs w:val="16"/>
              </w:rPr>
            </w:pPr>
            <w:r>
              <w:rPr>
                <w:rFonts w:eastAsia="Times New Roman"/>
                <w:sz w:val="16"/>
                <w:szCs w:val="16"/>
              </w:rPr>
              <w:t>(185</w:t>
            </w:r>
          </w:p>
        </w:tc>
        <w:tc>
          <w:tcPr>
            <w:tcW w:w="0" w:type="auto"/>
            <w:shd w:val="clear" w:color="auto" w:fill="FFFFFF"/>
            <w:vAlign w:val="bottom"/>
            <w:hideMark/>
          </w:tcPr>
          <w:p w14:paraId="0F92DFF9"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10A7069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2B3712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9086012" w14:textId="77777777" w:rsidR="00000000" w:rsidRDefault="001826C1">
            <w:pPr>
              <w:jc w:val="right"/>
              <w:rPr>
                <w:rFonts w:eastAsia="Times New Roman"/>
                <w:sz w:val="16"/>
                <w:szCs w:val="16"/>
              </w:rPr>
            </w:pPr>
            <w:r>
              <w:rPr>
                <w:rFonts w:eastAsia="Times New Roman"/>
                <w:sz w:val="16"/>
                <w:szCs w:val="16"/>
              </w:rPr>
              <w:t>(147</w:t>
            </w:r>
          </w:p>
        </w:tc>
        <w:tc>
          <w:tcPr>
            <w:tcW w:w="0" w:type="auto"/>
            <w:shd w:val="clear" w:color="auto" w:fill="FFFFFF"/>
            <w:vAlign w:val="bottom"/>
            <w:hideMark/>
          </w:tcPr>
          <w:p w14:paraId="015A8542" w14:textId="77777777" w:rsidR="00000000" w:rsidRDefault="001826C1">
            <w:pPr>
              <w:rPr>
                <w:rFonts w:eastAsia="Times New Roman"/>
                <w:sz w:val="16"/>
                <w:szCs w:val="16"/>
              </w:rPr>
            </w:pPr>
            <w:r>
              <w:rPr>
                <w:rFonts w:eastAsia="Times New Roman"/>
                <w:sz w:val="16"/>
                <w:szCs w:val="16"/>
              </w:rPr>
              <w:t>)</w:t>
            </w:r>
          </w:p>
        </w:tc>
      </w:tr>
      <w:tr w:rsidR="001826C1" w14:paraId="0043B1A3" w14:textId="77777777">
        <w:tc>
          <w:tcPr>
            <w:tcW w:w="0" w:type="auto"/>
            <w:shd w:val="clear" w:color="auto" w:fill="CCEEFF"/>
            <w:vAlign w:val="bottom"/>
            <w:hideMark/>
          </w:tcPr>
          <w:p w14:paraId="6C8795BC" w14:textId="77777777" w:rsidR="00000000" w:rsidRDefault="001826C1">
            <w:pPr>
              <w:rPr>
                <w:rFonts w:eastAsia="Times New Roman"/>
                <w:sz w:val="16"/>
                <w:szCs w:val="16"/>
              </w:rPr>
            </w:pPr>
            <w:r>
              <w:rPr>
                <w:rFonts w:eastAsia="Times New Roman"/>
                <w:sz w:val="16"/>
                <w:szCs w:val="16"/>
              </w:rPr>
              <w:t>Interest expense - net</w:t>
            </w:r>
          </w:p>
        </w:tc>
        <w:tc>
          <w:tcPr>
            <w:tcW w:w="0" w:type="auto"/>
            <w:shd w:val="clear" w:color="auto" w:fill="CCEEFF"/>
            <w:vAlign w:val="bottom"/>
            <w:hideMark/>
          </w:tcPr>
          <w:p w14:paraId="2888305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BB25B9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7039E5" w14:textId="77777777" w:rsidR="00000000" w:rsidRDefault="001826C1">
            <w:pPr>
              <w:jc w:val="right"/>
              <w:rPr>
                <w:rFonts w:eastAsia="Times New Roman"/>
                <w:sz w:val="16"/>
                <w:szCs w:val="16"/>
              </w:rPr>
            </w:pPr>
            <w:r>
              <w:rPr>
                <w:rFonts w:eastAsia="Times New Roman"/>
                <w:sz w:val="16"/>
                <w:szCs w:val="16"/>
              </w:rPr>
              <w:t>39</w:t>
            </w:r>
          </w:p>
        </w:tc>
        <w:tc>
          <w:tcPr>
            <w:tcW w:w="0" w:type="auto"/>
            <w:shd w:val="clear" w:color="auto" w:fill="CCEEFF"/>
            <w:vAlign w:val="bottom"/>
            <w:hideMark/>
          </w:tcPr>
          <w:p w14:paraId="7069ED1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B88E1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2F542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3BB5F0B" w14:textId="77777777" w:rsidR="00000000" w:rsidRDefault="001826C1">
            <w:pPr>
              <w:jc w:val="right"/>
              <w:rPr>
                <w:rFonts w:eastAsia="Times New Roman"/>
                <w:sz w:val="16"/>
                <w:szCs w:val="16"/>
              </w:rPr>
            </w:pPr>
            <w:r>
              <w:rPr>
                <w:rFonts w:eastAsia="Times New Roman"/>
                <w:sz w:val="16"/>
                <w:szCs w:val="16"/>
              </w:rPr>
              <w:t>32</w:t>
            </w:r>
          </w:p>
        </w:tc>
        <w:tc>
          <w:tcPr>
            <w:tcW w:w="0" w:type="auto"/>
            <w:shd w:val="clear" w:color="auto" w:fill="CCEEFF"/>
            <w:vAlign w:val="bottom"/>
            <w:hideMark/>
          </w:tcPr>
          <w:p w14:paraId="4639CF6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D7B62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87303E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F698EAF" w14:textId="77777777" w:rsidR="00000000" w:rsidRDefault="001826C1">
            <w:pPr>
              <w:jc w:val="right"/>
              <w:rPr>
                <w:rFonts w:eastAsia="Times New Roman"/>
                <w:sz w:val="16"/>
                <w:szCs w:val="16"/>
              </w:rPr>
            </w:pPr>
            <w:r>
              <w:rPr>
                <w:rFonts w:eastAsia="Times New Roman"/>
                <w:sz w:val="16"/>
                <w:szCs w:val="16"/>
              </w:rPr>
              <w:t>33</w:t>
            </w:r>
          </w:p>
        </w:tc>
        <w:tc>
          <w:tcPr>
            <w:tcW w:w="0" w:type="auto"/>
            <w:shd w:val="clear" w:color="auto" w:fill="CCEEFF"/>
            <w:vAlign w:val="bottom"/>
            <w:hideMark/>
          </w:tcPr>
          <w:p w14:paraId="5F939A4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C92734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5E452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09111B7" w14:textId="77777777" w:rsidR="00000000" w:rsidRDefault="001826C1">
            <w:pPr>
              <w:jc w:val="right"/>
              <w:rPr>
                <w:rFonts w:eastAsia="Times New Roman"/>
                <w:sz w:val="16"/>
                <w:szCs w:val="16"/>
              </w:rPr>
            </w:pPr>
            <w:r>
              <w:rPr>
                <w:rFonts w:eastAsia="Times New Roman"/>
                <w:sz w:val="16"/>
                <w:szCs w:val="16"/>
              </w:rPr>
              <w:t>17</w:t>
            </w:r>
          </w:p>
        </w:tc>
        <w:tc>
          <w:tcPr>
            <w:tcW w:w="0" w:type="auto"/>
            <w:shd w:val="clear" w:color="auto" w:fill="CCEEFF"/>
            <w:vAlign w:val="bottom"/>
            <w:hideMark/>
          </w:tcPr>
          <w:p w14:paraId="286153B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8D4D90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97146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6F656A3" w14:textId="77777777" w:rsidR="00000000" w:rsidRDefault="001826C1">
            <w:pPr>
              <w:jc w:val="right"/>
              <w:rPr>
                <w:rFonts w:eastAsia="Times New Roman"/>
                <w:sz w:val="16"/>
                <w:szCs w:val="16"/>
              </w:rPr>
            </w:pPr>
            <w:r>
              <w:rPr>
                <w:rFonts w:eastAsia="Times New Roman"/>
                <w:sz w:val="16"/>
                <w:szCs w:val="16"/>
              </w:rPr>
              <w:t>57</w:t>
            </w:r>
          </w:p>
        </w:tc>
        <w:tc>
          <w:tcPr>
            <w:tcW w:w="0" w:type="auto"/>
            <w:shd w:val="clear" w:color="auto" w:fill="CCEEFF"/>
            <w:vAlign w:val="bottom"/>
            <w:hideMark/>
          </w:tcPr>
          <w:p w14:paraId="23666CE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6DA56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86F2A1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BADE395" w14:textId="77777777" w:rsidR="00000000" w:rsidRDefault="001826C1">
            <w:pPr>
              <w:jc w:val="right"/>
              <w:rPr>
                <w:rFonts w:eastAsia="Times New Roman"/>
                <w:sz w:val="16"/>
                <w:szCs w:val="16"/>
              </w:rPr>
            </w:pPr>
            <w:r>
              <w:rPr>
                <w:rFonts w:eastAsia="Times New Roman"/>
                <w:sz w:val="16"/>
                <w:szCs w:val="16"/>
              </w:rPr>
              <w:t>80</w:t>
            </w:r>
          </w:p>
        </w:tc>
        <w:tc>
          <w:tcPr>
            <w:tcW w:w="0" w:type="auto"/>
            <w:shd w:val="clear" w:color="auto" w:fill="CCEEFF"/>
            <w:vAlign w:val="bottom"/>
            <w:hideMark/>
          </w:tcPr>
          <w:p w14:paraId="6900AC4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9DF431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51DB4E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B0E851" w14:textId="77777777" w:rsidR="00000000" w:rsidRDefault="001826C1">
            <w:pPr>
              <w:jc w:val="right"/>
              <w:rPr>
                <w:rFonts w:eastAsia="Times New Roman"/>
                <w:sz w:val="16"/>
                <w:szCs w:val="16"/>
              </w:rPr>
            </w:pPr>
            <w:r>
              <w:rPr>
                <w:rFonts w:eastAsia="Times New Roman"/>
                <w:sz w:val="16"/>
                <w:szCs w:val="16"/>
              </w:rPr>
              <w:t>44</w:t>
            </w:r>
          </w:p>
        </w:tc>
        <w:tc>
          <w:tcPr>
            <w:tcW w:w="0" w:type="auto"/>
            <w:shd w:val="clear" w:color="auto" w:fill="CCEEFF"/>
            <w:vAlign w:val="bottom"/>
            <w:hideMark/>
          </w:tcPr>
          <w:p w14:paraId="00CD375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BD06B6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5B6339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9E67BAE" w14:textId="77777777" w:rsidR="00000000" w:rsidRDefault="001826C1">
            <w:pPr>
              <w:jc w:val="right"/>
              <w:rPr>
                <w:rFonts w:eastAsia="Times New Roman"/>
                <w:sz w:val="16"/>
                <w:szCs w:val="16"/>
              </w:rPr>
            </w:pPr>
            <w:r>
              <w:rPr>
                <w:rFonts w:eastAsia="Times New Roman"/>
                <w:sz w:val="16"/>
                <w:szCs w:val="16"/>
              </w:rPr>
              <w:t>69</w:t>
            </w:r>
          </w:p>
        </w:tc>
        <w:tc>
          <w:tcPr>
            <w:tcW w:w="0" w:type="auto"/>
            <w:shd w:val="clear" w:color="auto" w:fill="CCEEFF"/>
            <w:vAlign w:val="bottom"/>
            <w:hideMark/>
          </w:tcPr>
          <w:p w14:paraId="3A2388CB" w14:textId="77777777" w:rsidR="00000000" w:rsidRDefault="001826C1">
            <w:pPr>
              <w:rPr>
                <w:rFonts w:eastAsia="Times New Roman"/>
                <w:sz w:val="16"/>
                <w:szCs w:val="16"/>
              </w:rPr>
            </w:pPr>
            <w:r>
              <w:rPr>
                <w:rFonts w:eastAsia="Times New Roman"/>
                <w:sz w:val="16"/>
                <w:szCs w:val="16"/>
              </w:rPr>
              <w:t> </w:t>
            </w:r>
          </w:p>
        </w:tc>
      </w:tr>
      <w:tr w:rsidR="001826C1" w14:paraId="2BD7D8FC" w14:textId="77777777">
        <w:tc>
          <w:tcPr>
            <w:tcW w:w="0" w:type="auto"/>
            <w:shd w:val="clear" w:color="auto" w:fill="FFFFFF"/>
            <w:vAlign w:val="bottom"/>
            <w:hideMark/>
          </w:tcPr>
          <w:p w14:paraId="40025E2E" w14:textId="77777777" w:rsidR="00000000" w:rsidRDefault="001826C1">
            <w:pPr>
              <w:rPr>
                <w:rFonts w:eastAsia="Times New Roman"/>
                <w:sz w:val="16"/>
                <w:szCs w:val="16"/>
              </w:rPr>
            </w:pPr>
            <w:r>
              <w:rPr>
                <w:rFonts w:eastAsia="Times New Roman"/>
                <w:sz w:val="16"/>
                <w:szCs w:val="16"/>
              </w:rPr>
              <w:t>Income tax provision (benefit)</w:t>
            </w:r>
          </w:p>
        </w:tc>
        <w:tc>
          <w:tcPr>
            <w:tcW w:w="0" w:type="auto"/>
            <w:shd w:val="clear" w:color="auto" w:fill="FFFFFF"/>
            <w:vAlign w:val="bottom"/>
            <w:hideMark/>
          </w:tcPr>
          <w:p w14:paraId="35E3EBB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3D7C8D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41B542" w14:textId="77777777" w:rsidR="00000000" w:rsidRDefault="001826C1">
            <w:pPr>
              <w:jc w:val="right"/>
              <w:rPr>
                <w:rFonts w:eastAsia="Times New Roman"/>
                <w:sz w:val="16"/>
                <w:szCs w:val="16"/>
              </w:rPr>
            </w:pPr>
            <w:r>
              <w:rPr>
                <w:rFonts w:eastAsia="Times New Roman"/>
                <w:sz w:val="16"/>
                <w:szCs w:val="16"/>
              </w:rPr>
              <w:t>91</w:t>
            </w:r>
          </w:p>
        </w:tc>
        <w:tc>
          <w:tcPr>
            <w:tcW w:w="0" w:type="auto"/>
            <w:shd w:val="clear" w:color="auto" w:fill="FFFFFF"/>
            <w:vAlign w:val="bottom"/>
            <w:hideMark/>
          </w:tcPr>
          <w:p w14:paraId="5BD358D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6038B2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0FEB56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8226E2" w14:textId="77777777" w:rsidR="00000000" w:rsidRDefault="001826C1">
            <w:pPr>
              <w:jc w:val="right"/>
              <w:rPr>
                <w:rFonts w:eastAsia="Times New Roman"/>
                <w:sz w:val="16"/>
                <w:szCs w:val="16"/>
              </w:rPr>
            </w:pPr>
            <w:r>
              <w:rPr>
                <w:rFonts w:eastAsia="Times New Roman"/>
                <w:sz w:val="16"/>
                <w:szCs w:val="16"/>
              </w:rPr>
              <w:t>87</w:t>
            </w:r>
          </w:p>
        </w:tc>
        <w:tc>
          <w:tcPr>
            <w:tcW w:w="0" w:type="auto"/>
            <w:shd w:val="clear" w:color="auto" w:fill="FFFFFF"/>
            <w:vAlign w:val="bottom"/>
            <w:hideMark/>
          </w:tcPr>
          <w:p w14:paraId="6A1A663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1D156E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00AC5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FE09B89" w14:textId="77777777" w:rsidR="00000000" w:rsidRDefault="001826C1">
            <w:pPr>
              <w:jc w:val="right"/>
              <w:rPr>
                <w:rFonts w:eastAsia="Times New Roman"/>
                <w:sz w:val="16"/>
                <w:szCs w:val="16"/>
              </w:rPr>
            </w:pPr>
            <w:r>
              <w:rPr>
                <w:rFonts w:eastAsia="Times New Roman"/>
                <w:sz w:val="16"/>
                <w:szCs w:val="16"/>
              </w:rPr>
              <w:t>56</w:t>
            </w:r>
          </w:p>
        </w:tc>
        <w:tc>
          <w:tcPr>
            <w:tcW w:w="0" w:type="auto"/>
            <w:shd w:val="clear" w:color="auto" w:fill="FFFFFF"/>
            <w:vAlign w:val="bottom"/>
            <w:hideMark/>
          </w:tcPr>
          <w:p w14:paraId="46BBC25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C1C63B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296B7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80BCEB4" w14:textId="77777777" w:rsidR="00000000" w:rsidRDefault="001826C1">
            <w:pPr>
              <w:jc w:val="right"/>
              <w:rPr>
                <w:rFonts w:eastAsia="Times New Roman"/>
                <w:sz w:val="16"/>
                <w:szCs w:val="16"/>
              </w:rPr>
            </w:pPr>
            <w:r>
              <w:rPr>
                <w:rFonts w:eastAsia="Times New Roman"/>
                <w:sz w:val="16"/>
                <w:szCs w:val="16"/>
              </w:rPr>
              <w:t>(41</w:t>
            </w:r>
          </w:p>
        </w:tc>
        <w:tc>
          <w:tcPr>
            <w:tcW w:w="0" w:type="auto"/>
            <w:shd w:val="clear" w:color="auto" w:fill="FFFFFF"/>
            <w:vAlign w:val="bottom"/>
            <w:hideMark/>
          </w:tcPr>
          <w:p w14:paraId="0805A483"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5B84F64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6E7EC1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58E4FA" w14:textId="77777777" w:rsidR="00000000" w:rsidRDefault="001826C1">
            <w:pPr>
              <w:jc w:val="right"/>
              <w:rPr>
                <w:rFonts w:eastAsia="Times New Roman"/>
                <w:sz w:val="16"/>
                <w:szCs w:val="16"/>
              </w:rPr>
            </w:pPr>
            <w:r>
              <w:rPr>
                <w:rFonts w:eastAsia="Times New Roman"/>
                <w:sz w:val="16"/>
                <w:szCs w:val="16"/>
              </w:rPr>
              <w:t>(5</w:t>
            </w:r>
          </w:p>
        </w:tc>
        <w:tc>
          <w:tcPr>
            <w:tcW w:w="0" w:type="auto"/>
            <w:shd w:val="clear" w:color="auto" w:fill="FFFFFF"/>
            <w:vAlign w:val="bottom"/>
            <w:hideMark/>
          </w:tcPr>
          <w:p w14:paraId="1F55349F"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22D07D8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6C354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944B617" w14:textId="77777777" w:rsidR="00000000" w:rsidRDefault="001826C1">
            <w:pPr>
              <w:jc w:val="right"/>
              <w:rPr>
                <w:rFonts w:eastAsia="Times New Roman"/>
                <w:sz w:val="16"/>
                <w:szCs w:val="16"/>
              </w:rPr>
            </w:pPr>
            <w:r>
              <w:rPr>
                <w:rFonts w:eastAsia="Times New Roman"/>
                <w:sz w:val="16"/>
                <w:szCs w:val="16"/>
              </w:rPr>
              <w:t>(250</w:t>
            </w:r>
          </w:p>
        </w:tc>
        <w:tc>
          <w:tcPr>
            <w:tcW w:w="0" w:type="auto"/>
            <w:shd w:val="clear" w:color="auto" w:fill="FFFFFF"/>
            <w:vAlign w:val="bottom"/>
            <w:hideMark/>
          </w:tcPr>
          <w:p w14:paraId="3C0A6D44"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vAlign w:val="bottom"/>
            <w:hideMark/>
          </w:tcPr>
          <w:p w14:paraId="770EAC88"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8FDCDA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C7370B" w14:textId="77777777" w:rsidR="00000000" w:rsidRDefault="001826C1">
            <w:pPr>
              <w:jc w:val="right"/>
              <w:rPr>
                <w:rFonts w:eastAsia="Times New Roman"/>
                <w:sz w:val="16"/>
                <w:szCs w:val="16"/>
              </w:rPr>
            </w:pPr>
            <w:r>
              <w:rPr>
                <w:rFonts w:eastAsia="Times New Roman"/>
                <w:sz w:val="16"/>
                <w:szCs w:val="16"/>
              </w:rPr>
              <w:t>51</w:t>
            </w:r>
          </w:p>
        </w:tc>
        <w:tc>
          <w:tcPr>
            <w:tcW w:w="0" w:type="auto"/>
            <w:shd w:val="clear" w:color="auto" w:fill="FFFFFF"/>
            <w:vAlign w:val="bottom"/>
            <w:hideMark/>
          </w:tcPr>
          <w:p w14:paraId="74975D6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6DE6883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0056DF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B57920A" w14:textId="77777777" w:rsidR="00000000" w:rsidRDefault="001826C1">
            <w:pPr>
              <w:jc w:val="right"/>
              <w:rPr>
                <w:rFonts w:eastAsia="Times New Roman"/>
                <w:sz w:val="16"/>
                <w:szCs w:val="16"/>
              </w:rPr>
            </w:pPr>
            <w:r>
              <w:rPr>
                <w:rFonts w:eastAsia="Times New Roman"/>
                <w:sz w:val="16"/>
                <w:szCs w:val="16"/>
              </w:rPr>
              <w:t>47</w:t>
            </w:r>
          </w:p>
        </w:tc>
        <w:tc>
          <w:tcPr>
            <w:tcW w:w="0" w:type="auto"/>
            <w:shd w:val="clear" w:color="auto" w:fill="FFFFFF"/>
            <w:vAlign w:val="bottom"/>
            <w:hideMark/>
          </w:tcPr>
          <w:p w14:paraId="598A5B27" w14:textId="77777777" w:rsidR="00000000" w:rsidRDefault="001826C1">
            <w:pPr>
              <w:rPr>
                <w:rFonts w:eastAsia="Times New Roman"/>
                <w:sz w:val="16"/>
                <w:szCs w:val="16"/>
              </w:rPr>
            </w:pPr>
            <w:r>
              <w:rPr>
                <w:rFonts w:eastAsia="Times New Roman"/>
                <w:sz w:val="16"/>
                <w:szCs w:val="16"/>
              </w:rPr>
              <w:t> </w:t>
            </w:r>
          </w:p>
        </w:tc>
      </w:tr>
      <w:tr w:rsidR="001826C1" w14:paraId="78824BDD" w14:textId="77777777">
        <w:tc>
          <w:tcPr>
            <w:tcW w:w="0" w:type="auto"/>
            <w:shd w:val="clear" w:color="auto" w:fill="CCEEFF"/>
            <w:vAlign w:val="bottom"/>
            <w:hideMark/>
          </w:tcPr>
          <w:p w14:paraId="12AC1204" w14:textId="77777777" w:rsidR="00000000" w:rsidRDefault="001826C1">
            <w:pPr>
              <w:rPr>
                <w:rFonts w:eastAsia="Times New Roman"/>
                <w:sz w:val="16"/>
                <w:szCs w:val="16"/>
              </w:rPr>
            </w:pPr>
            <w:r>
              <w:rPr>
                <w:rFonts w:eastAsia="Times New Roman"/>
                <w:sz w:val="16"/>
                <w:szCs w:val="16"/>
              </w:rPr>
              <w:t>Stock-based compensation expense</w:t>
            </w:r>
          </w:p>
        </w:tc>
        <w:tc>
          <w:tcPr>
            <w:tcW w:w="0" w:type="auto"/>
            <w:shd w:val="clear" w:color="auto" w:fill="CCEEFF"/>
            <w:vAlign w:val="bottom"/>
            <w:hideMark/>
          </w:tcPr>
          <w:p w14:paraId="6E3BEE7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C37D18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46DE569" w14:textId="77777777" w:rsidR="00000000" w:rsidRDefault="001826C1">
            <w:pPr>
              <w:jc w:val="right"/>
              <w:rPr>
                <w:rFonts w:eastAsia="Times New Roman"/>
                <w:sz w:val="16"/>
                <w:szCs w:val="16"/>
              </w:rPr>
            </w:pPr>
            <w:r>
              <w:rPr>
                <w:rFonts w:eastAsia="Times New Roman"/>
                <w:sz w:val="16"/>
                <w:szCs w:val="16"/>
              </w:rPr>
              <w:t>890</w:t>
            </w:r>
          </w:p>
        </w:tc>
        <w:tc>
          <w:tcPr>
            <w:tcW w:w="0" w:type="auto"/>
            <w:shd w:val="clear" w:color="auto" w:fill="CCEEFF"/>
            <w:vAlign w:val="bottom"/>
            <w:hideMark/>
          </w:tcPr>
          <w:p w14:paraId="1706BDE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B0B2D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DCAC7F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76615FC" w14:textId="77777777" w:rsidR="00000000" w:rsidRDefault="001826C1">
            <w:pPr>
              <w:jc w:val="right"/>
              <w:rPr>
                <w:rFonts w:eastAsia="Times New Roman"/>
                <w:sz w:val="16"/>
                <w:szCs w:val="16"/>
              </w:rPr>
            </w:pPr>
            <w:r>
              <w:rPr>
                <w:rFonts w:eastAsia="Times New Roman"/>
                <w:sz w:val="16"/>
                <w:szCs w:val="16"/>
              </w:rPr>
              <w:t>775</w:t>
            </w:r>
          </w:p>
        </w:tc>
        <w:tc>
          <w:tcPr>
            <w:tcW w:w="0" w:type="auto"/>
            <w:shd w:val="clear" w:color="auto" w:fill="CCEEFF"/>
            <w:vAlign w:val="bottom"/>
            <w:hideMark/>
          </w:tcPr>
          <w:p w14:paraId="02665AC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BB59CA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146642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47D9F63" w14:textId="77777777" w:rsidR="00000000" w:rsidRDefault="001826C1">
            <w:pPr>
              <w:jc w:val="right"/>
              <w:rPr>
                <w:rFonts w:eastAsia="Times New Roman"/>
                <w:sz w:val="16"/>
                <w:szCs w:val="16"/>
              </w:rPr>
            </w:pPr>
            <w:r>
              <w:rPr>
                <w:rFonts w:eastAsia="Times New Roman"/>
                <w:sz w:val="16"/>
                <w:szCs w:val="16"/>
              </w:rPr>
              <w:t>792</w:t>
            </w:r>
          </w:p>
        </w:tc>
        <w:tc>
          <w:tcPr>
            <w:tcW w:w="0" w:type="auto"/>
            <w:shd w:val="clear" w:color="auto" w:fill="CCEEFF"/>
            <w:vAlign w:val="bottom"/>
            <w:hideMark/>
          </w:tcPr>
          <w:p w14:paraId="525863D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3FA346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0B80C7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FC3C112" w14:textId="77777777" w:rsidR="00000000" w:rsidRDefault="001826C1">
            <w:pPr>
              <w:jc w:val="right"/>
              <w:rPr>
                <w:rFonts w:eastAsia="Times New Roman"/>
                <w:sz w:val="16"/>
                <w:szCs w:val="16"/>
              </w:rPr>
            </w:pPr>
            <w:r>
              <w:rPr>
                <w:rFonts w:eastAsia="Times New Roman"/>
                <w:sz w:val="16"/>
                <w:szCs w:val="16"/>
              </w:rPr>
              <w:t>758</w:t>
            </w:r>
          </w:p>
        </w:tc>
        <w:tc>
          <w:tcPr>
            <w:tcW w:w="0" w:type="auto"/>
            <w:shd w:val="clear" w:color="auto" w:fill="CCEEFF"/>
            <w:vAlign w:val="bottom"/>
            <w:hideMark/>
          </w:tcPr>
          <w:p w14:paraId="53D2A91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AD406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88D7F7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6011AF" w14:textId="77777777" w:rsidR="00000000" w:rsidRDefault="001826C1">
            <w:pPr>
              <w:jc w:val="right"/>
              <w:rPr>
                <w:rFonts w:eastAsia="Times New Roman"/>
                <w:sz w:val="16"/>
                <w:szCs w:val="16"/>
              </w:rPr>
            </w:pPr>
            <w:r>
              <w:rPr>
                <w:rFonts w:eastAsia="Times New Roman"/>
                <w:sz w:val="16"/>
                <w:szCs w:val="16"/>
              </w:rPr>
              <w:t>940</w:t>
            </w:r>
          </w:p>
        </w:tc>
        <w:tc>
          <w:tcPr>
            <w:tcW w:w="0" w:type="auto"/>
            <w:shd w:val="clear" w:color="auto" w:fill="CCEEFF"/>
            <w:vAlign w:val="bottom"/>
            <w:hideMark/>
          </w:tcPr>
          <w:p w14:paraId="2B93406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B1AF42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416621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9BE4DAC" w14:textId="77777777" w:rsidR="00000000" w:rsidRDefault="001826C1">
            <w:pPr>
              <w:jc w:val="right"/>
              <w:rPr>
                <w:rFonts w:eastAsia="Times New Roman"/>
                <w:sz w:val="16"/>
                <w:szCs w:val="16"/>
              </w:rPr>
            </w:pPr>
            <w:r>
              <w:rPr>
                <w:rFonts w:eastAsia="Times New Roman"/>
                <w:sz w:val="16"/>
                <w:szCs w:val="16"/>
              </w:rPr>
              <w:t>987</w:t>
            </w:r>
          </w:p>
        </w:tc>
        <w:tc>
          <w:tcPr>
            <w:tcW w:w="0" w:type="auto"/>
            <w:shd w:val="clear" w:color="auto" w:fill="CCEEFF"/>
            <w:vAlign w:val="bottom"/>
            <w:hideMark/>
          </w:tcPr>
          <w:p w14:paraId="24B68B3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A086F2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09C729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CE52C1B" w14:textId="77777777" w:rsidR="00000000" w:rsidRDefault="001826C1">
            <w:pPr>
              <w:jc w:val="right"/>
              <w:rPr>
                <w:rFonts w:eastAsia="Times New Roman"/>
                <w:sz w:val="16"/>
                <w:szCs w:val="16"/>
              </w:rPr>
            </w:pPr>
            <w:r>
              <w:rPr>
                <w:rFonts w:eastAsia="Times New Roman"/>
                <w:sz w:val="16"/>
                <w:szCs w:val="16"/>
              </w:rPr>
              <w:t>409</w:t>
            </w:r>
          </w:p>
        </w:tc>
        <w:tc>
          <w:tcPr>
            <w:tcW w:w="0" w:type="auto"/>
            <w:shd w:val="clear" w:color="auto" w:fill="CCEEFF"/>
            <w:vAlign w:val="bottom"/>
            <w:hideMark/>
          </w:tcPr>
          <w:p w14:paraId="4ED9B71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151C3F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8D6906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6F6EF4" w14:textId="77777777" w:rsidR="00000000" w:rsidRDefault="001826C1">
            <w:pPr>
              <w:jc w:val="right"/>
              <w:rPr>
                <w:rFonts w:eastAsia="Times New Roman"/>
                <w:sz w:val="16"/>
                <w:szCs w:val="16"/>
              </w:rPr>
            </w:pPr>
            <w:r>
              <w:rPr>
                <w:rFonts w:eastAsia="Times New Roman"/>
                <w:sz w:val="16"/>
                <w:szCs w:val="16"/>
              </w:rPr>
              <w:t>128</w:t>
            </w:r>
          </w:p>
        </w:tc>
        <w:tc>
          <w:tcPr>
            <w:tcW w:w="0" w:type="auto"/>
            <w:shd w:val="clear" w:color="auto" w:fill="CCEEFF"/>
            <w:vAlign w:val="bottom"/>
            <w:hideMark/>
          </w:tcPr>
          <w:p w14:paraId="100059D0" w14:textId="77777777" w:rsidR="00000000" w:rsidRDefault="001826C1">
            <w:pPr>
              <w:rPr>
                <w:rFonts w:eastAsia="Times New Roman"/>
                <w:sz w:val="16"/>
                <w:szCs w:val="16"/>
              </w:rPr>
            </w:pPr>
            <w:r>
              <w:rPr>
                <w:rFonts w:eastAsia="Times New Roman"/>
                <w:sz w:val="16"/>
                <w:szCs w:val="16"/>
              </w:rPr>
              <w:t> </w:t>
            </w:r>
          </w:p>
        </w:tc>
      </w:tr>
      <w:tr w:rsidR="001826C1" w14:paraId="5035AE9F" w14:textId="77777777">
        <w:tc>
          <w:tcPr>
            <w:tcW w:w="0" w:type="auto"/>
            <w:shd w:val="clear" w:color="auto" w:fill="FFFFFF"/>
            <w:vAlign w:val="bottom"/>
            <w:hideMark/>
          </w:tcPr>
          <w:p w14:paraId="39A54C2E" w14:textId="77777777" w:rsidR="00000000" w:rsidRDefault="001826C1">
            <w:pPr>
              <w:rPr>
                <w:rFonts w:eastAsia="Times New Roman"/>
                <w:sz w:val="16"/>
                <w:szCs w:val="16"/>
              </w:rPr>
            </w:pPr>
            <w:r>
              <w:rPr>
                <w:rFonts w:eastAsia="Times New Roman"/>
                <w:sz w:val="16"/>
                <w:szCs w:val="16"/>
              </w:rPr>
              <w:t>Transaction and integration costs</w:t>
            </w:r>
          </w:p>
        </w:tc>
        <w:tc>
          <w:tcPr>
            <w:tcW w:w="0" w:type="auto"/>
            <w:shd w:val="clear" w:color="auto" w:fill="FFFFFF"/>
            <w:vAlign w:val="bottom"/>
            <w:hideMark/>
          </w:tcPr>
          <w:p w14:paraId="156853F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E69B04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79C5835" w14:textId="77777777" w:rsidR="00000000" w:rsidRDefault="001826C1">
            <w:pPr>
              <w:jc w:val="right"/>
              <w:rPr>
                <w:rFonts w:eastAsia="Times New Roman"/>
                <w:sz w:val="16"/>
                <w:szCs w:val="16"/>
              </w:rPr>
            </w:pPr>
            <w:r>
              <w:rPr>
                <w:rFonts w:eastAsia="Times New Roman"/>
                <w:sz w:val="16"/>
                <w:szCs w:val="16"/>
              </w:rPr>
              <w:t>333</w:t>
            </w:r>
          </w:p>
        </w:tc>
        <w:tc>
          <w:tcPr>
            <w:tcW w:w="0" w:type="auto"/>
            <w:shd w:val="clear" w:color="auto" w:fill="FFFFFF"/>
            <w:vAlign w:val="bottom"/>
            <w:hideMark/>
          </w:tcPr>
          <w:p w14:paraId="63F0968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CAEE5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2655C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4B5626D" w14:textId="77777777" w:rsidR="00000000" w:rsidRDefault="001826C1">
            <w:pPr>
              <w:jc w:val="right"/>
              <w:rPr>
                <w:rFonts w:eastAsia="Times New Roman"/>
                <w:sz w:val="16"/>
                <w:szCs w:val="16"/>
              </w:rPr>
            </w:pPr>
            <w:r>
              <w:rPr>
                <w:rFonts w:eastAsia="Times New Roman"/>
                <w:sz w:val="16"/>
                <w:szCs w:val="16"/>
              </w:rPr>
              <w:t>464</w:t>
            </w:r>
          </w:p>
        </w:tc>
        <w:tc>
          <w:tcPr>
            <w:tcW w:w="0" w:type="auto"/>
            <w:shd w:val="clear" w:color="auto" w:fill="FFFFFF"/>
            <w:vAlign w:val="bottom"/>
            <w:hideMark/>
          </w:tcPr>
          <w:p w14:paraId="5D8DACB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F28B0E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7716F9A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775AD21" w14:textId="77777777" w:rsidR="00000000" w:rsidRDefault="001826C1">
            <w:pPr>
              <w:jc w:val="right"/>
              <w:rPr>
                <w:rFonts w:eastAsia="Times New Roman"/>
                <w:sz w:val="16"/>
                <w:szCs w:val="16"/>
              </w:rPr>
            </w:pPr>
            <w:r>
              <w:rPr>
                <w:rFonts w:eastAsia="Times New Roman"/>
                <w:sz w:val="16"/>
                <w:szCs w:val="16"/>
              </w:rPr>
              <w:t>734</w:t>
            </w:r>
          </w:p>
        </w:tc>
        <w:tc>
          <w:tcPr>
            <w:tcW w:w="0" w:type="auto"/>
            <w:shd w:val="clear" w:color="auto" w:fill="FFFFFF"/>
            <w:vAlign w:val="bottom"/>
            <w:hideMark/>
          </w:tcPr>
          <w:p w14:paraId="087F9CE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2B2786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3C1A2E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693DE40" w14:textId="77777777" w:rsidR="00000000" w:rsidRDefault="001826C1">
            <w:pPr>
              <w:jc w:val="right"/>
              <w:rPr>
                <w:rFonts w:eastAsia="Times New Roman"/>
                <w:sz w:val="16"/>
                <w:szCs w:val="16"/>
              </w:rPr>
            </w:pPr>
            <w:r>
              <w:rPr>
                <w:rFonts w:eastAsia="Times New Roman"/>
                <w:sz w:val="16"/>
                <w:szCs w:val="16"/>
              </w:rPr>
              <w:t>205</w:t>
            </w:r>
          </w:p>
        </w:tc>
        <w:tc>
          <w:tcPr>
            <w:tcW w:w="0" w:type="auto"/>
            <w:shd w:val="clear" w:color="auto" w:fill="FFFFFF"/>
            <w:vAlign w:val="bottom"/>
            <w:hideMark/>
          </w:tcPr>
          <w:p w14:paraId="11C1FEA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A53893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1C2D09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9C884F3" w14:textId="77777777" w:rsidR="00000000" w:rsidRDefault="001826C1">
            <w:pPr>
              <w:jc w:val="right"/>
              <w:rPr>
                <w:rFonts w:eastAsia="Times New Roman"/>
                <w:sz w:val="16"/>
                <w:szCs w:val="16"/>
              </w:rPr>
            </w:pPr>
            <w:r>
              <w:rPr>
                <w:rFonts w:eastAsia="Times New Roman"/>
                <w:sz w:val="16"/>
                <w:szCs w:val="16"/>
              </w:rPr>
              <w:t>434</w:t>
            </w:r>
          </w:p>
        </w:tc>
        <w:tc>
          <w:tcPr>
            <w:tcW w:w="0" w:type="auto"/>
            <w:shd w:val="clear" w:color="auto" w:fill="FFFFFF"/>
            <w:vAlign w:val="bottom"/>
            <w:hideMark/>
          </w:tcPr>
          <w:p w14:paraId="5CA1272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D6905C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3110472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885F65C" w14:textId="77777777" w:rsidR="00000000" w:rsidRDefault="001826C1">
            <w:pPr>
              <w:jc w:val="right"/>
              <w:rPr>
                <w:rFonts w:eastAsia="Times New Roman"/>
                <w:sz w:val="16"/>
                <w:szCs w:val="16"/>
              </w:rPr>
            </w:pPr>
            <w:r>
              <w:rPr>
                <w:rFonts w:eastAsia="Times New Roman"/>
                <w:sz w:val="16"/>
                <w:szCs w:val="16"/>
              </w:rPr>
              <w:t>806</w:t>
            </w:r>
          </w:p>
        </w:tc>
        <w:tc>
          <w:tcPr>
            <w:tcW w:w="0" w:type="auto"/>
            <w:shd w:val="clear" w:color="auto" w:fill="FFFFFF"/>
            <w:vAlign w:val="bottom"/>
            <w:hideMark/>
          </w:tcPr>
          <w:p w14:paraId="26490FC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5BEFDFE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1C6E404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CA4613F" w14:textId="77777777" w:rsidR="00000000" w:rsidRDefault="001826C1">
            <w:pPr>
              <w:jc w:val="right"/>
              <w:rPr>
                <w:rFonts w:eastAsia="Times New Roman"/>
                <w:sz w:val="16"/>
                <w:szCs w:val="16"/>
              </w:rPr>
            </w:pPr>
            <w:r>
              <w:rPr>
                <w:rFonts w:eastAsia="Times New Roman"/>
                <w:sz w:val="16"/>
                <w:szCs w:val="16"/>
              </w:rPr>
              <w:t>472</w:t>
            </w:r>
          </w:p>
        </w:tc>
        <w:tc>
          <w:tcPr>
            <w:tcW w:w="0" w:type="auto"/>
            <w:shd w:val="clear" w:color="auto" w:fill="FFFFFF"/>
            <w:vAlign w:val="bottom"/>
            <w:hideMark/>
          </w:tcPr>
          <w:p w14:paraId="593380F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27E807E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0B8335C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vAlign w:val="bottom"/>
            <w:hideMark/>
          </w:tcPr>
          <w:p w14:paraId="43B1FFFC" w14:textId="77777777" w:rsidR="00000000" w:rsidRDefault="001826C1">
            <w:pPr>
              <w:jc w:val="right"/>
              <w:rPr>
                <w:rFonts w:eastAsia="Times New Roman"/>
                <w:sz w:val="16"/>
                <w:szCs w:val="16"/>
              </w:rPr>
            </w:pPr>
            <w:r>
              <w:rPr>
                <w:rFonts w:eastAsia="Times New Roman"/>
                <w:sz w:val="16"/>
                <w:szCs w:val="16"/>
              </w:rPr>
              <w:t>179</w:t>
            </w:r>
          </w:p>
        </w:tc>
        <w:tc>
          <w:tcPr>
            <w:tcW w:w="0" w:type="auto"/>
            <w:shd w:val="clear" w:color="auto" w:fill="FFFFFF"/>
            <w:vAlign w:val="bottom"/>
            <w:hideMark/>
          </w:tcPr>
          <w:p w14:paraId="1EB63C58" w14:textId="77777777" w:rsidR="00000000" w:rsidRDefault="001826C1">
            <w:pPr>
              <w:rPr>
                <w:rFonts w:eastAsia="Times New Roman"/>
                <w:sz w:val="16"/>
                <w:szCs w:val="16"/>
              </w:rPr>
            </w:pPr>
            <w:r>
              <w:rPr>
                <w:rFonts w:eastAsia="Times New Roman"/>
                <w:sz w:val="16"/>
                <w:szCs w:val="16"/>
              </w:rPr>
              <w:t> </w:t>
            </w:r>
          </w:p>
        </w:tc>
      </w:tr>
      <w:tr w:rsidR="001826C1" w14:paraId="1F5673D2" w14:textId="77777777">
        <w:tc>
          <w:tcPr>
            <w:tcW w:w="0" w:type="auto"/>
            <w:shd w:val="clear" w:color="auto" w:fill="CCEEFF"/>
            <w:vAlign w:val="bottom"/>
            <w:hideMark/>
          </w:tcPr>
          <w:p w14:paraId="3678DB82" w14:textId="77777777" w:rsidR="00000000" w:rsidRDefault="001826C1">
            <w:pPr>
              <w:rPr>
                <w:rFonts w:eastAsia="Times New Roman"/>
                <w:sz w:val="16"/>
                <w:szCs w:val="16"/>
              </w:rPr>
            </w:pPr>
            <w:r>
              <w:rPr>
                <w:rFonts w:eastAsia="Times New Roman"/>
                <w:sz w:val="16"/>
                <w:szCs w:val="16"/>
              </w:rPr>
              <w:t>Restructuring and impairment charges</w:t>
            </w:r>
          </w:p>
        </w:tc>
        <w:tc>
          <w:tcPr>
            <w:tcW w:w="0" w:type="auto"/>
            <w:shd w:val="clear" w:color="auto" w:fill="CCEEFF"/>
            <w:vAlign w:val="bottom"/>
            <w:hideMark/>
          </w:tcPr>
          <w:p w14:paraId="5589EA9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6F9469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41627B6" w14:textId="77777777" w:rsidR="00000000" w:rsidRDefault="001826C1">
            <w:pPr>
              <w:jc w:val="right"/>
              <w:rPr>
                <w:rFonts w:eastAsia="Times New Roman"/>
                <w:sz w:val="16"/>
                <w:szCs w:val="16"/>
              </w:rPr>
            </w:pPr>
            <w:r>
              <w:rPr>
                <w:rFonts w:eastAsia="Times New Roman"/>
                <w:sz w:val="16"/>
                <w:szCs w:val="16"/>
              </w:rPr>
              <w:t>83</w:t>
            </w:r>
          </w:p>
        </w:tc>
        <w:tc>
          <w:tcPr>
            <w:tcW w:w="0" w:type="auto"/>
            <w:shd w:val="clear" w:color="auto" w:fill="CCEEFF"/>
            <w:vAlign w:val="bottom"/>
            <w:hideMark/>
          </w:tcPr>
          <w:p w14:paraId="20FE399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3F388AE"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0CF519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C7A6B57" w14:textId="77777777" w:rsidR="00000000" w:rsidRDefault="001826C1">
            <w:pPr>
              <w:jc w:val="right"/>
              <w:rPr>
                <w:rFonts w:eastAsia="Times New Roman"/>
                <w:sz w:val="16"/>
                <w:szCs w:val="16"/>
              </w:rPr>
            </w:pPr>
            <w:r>
              <w:rPr>
                <w:rFonts w:eastAsia="Times New Roman"/>
                <w:sz w:val="16"/>
                <w:szCs w:val="16"/>
              </w:rPr>
              <w:t>136</w:t>
            </w:r>
          </w:p>
        </w:tc>
        <w:tc>
          <w:tcPr>
            <w:tcW w:w="0" w:type="auto"/>
            <w:shd w:val="clear" w:color="auto" w:fill="CCEEFF"/>
            <w:vAlign w:val="bottom"/>
            <w:hideMark/>
          </w:tcPr>
          <w:p w14:paraId="2F74E61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2ACA39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40D263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77FA23C"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667FAF9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B80EF6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6C31C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4DBF964F"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49F632C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05080E70"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11E8CF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C13CFDB"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0F19C76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6B03486D"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7FE7C8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8FC157D"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79D1638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0E338E2"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580A1B07"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16BBCF29"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E0715C9"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30DB9B3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73DE1C4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vAlign w:val="bottom"/>
            <w:hideMark/>
          </w:tcPr>
          <w:p w14:paraId="2AEF38A4"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14:paraId="365CC09F" w14:textId="77777777" w:rsidR="00000000" w:rsidRDefault="001826C1">
            <w:pPr>
              <w:rPr>
                <w:rFonts w:eastAsia="Times New Roman"/>
                <w:sz w:val="16"/>
                <w:szCs w:val="16"/>
              </w:rPr>
            </w:pPr>
            <w:r>
              <w:rPr>
                <w:rFonts w:eastAsia="Times New Roman"/>
                <w:sz w:val="16"/>
                <w:szCs w:val="16"/>
              </w:rPr>
              <w:t> </w:t>
            </w:r>
          </w:p>
        </w:tc>
      </w:tr>
      <w:tr w:rsidR="001826C1" w14:paraId="49C12BC6" w14:textId="77777777">
        <w:tc>
          <w:tcPr>
            <w:tcW w:w="0" w:type="auto"/>
            <w:shd w:val="clear" w:color="auto" w:fill="FFFFFF"/>
            <w:tcMar>
              <w:top w:w="0" w:type="dxa"/>
              <w:left w:w="0" w:type="dxa"/>
              <w:bottom w:w="30" w:type="dxa"/>
              <w:right w:w="0" w:type="dxa"/>
            </w:tcMar>
            <w:vAlign w:val="bottom"/>
            <w:hideMark/>
          </w:tcPr>
          <w:p w14:paraId="52A613E2" w14:textId="77777777" w:rsidR="00000000" w:rsidRDefault="001826C1">
            <w:pPr>
              <w:rPr>
                <w:rFonts w:eastAsia="Times New Roman"/>
                <w:sz w:val="16"/>
                <w:szCs w:val="16"/>
              </w:rPr>
            </w:pPr>
            <w:r>
              <w:rPr>
                <w:rFonts w:eastAsia="Times New Roman"/>
                <w:sz w:val="16"/>
                <w:szCs w:val="16"/>
              </w:rPr>
              <w:t>Change in contingent consideration</w:t>
            </w:r>
          </w:p>
        </w:tc>
        <w:tc>
          <w:tcPr>
            <w:tcW w:w="0" w:type="auto"/>
            <w:shd w:val="clear" w:color="auto" w:fill="FFFFFF"/>
            <w:tcMar>
              <w:top w:w="0" w:type="dxa"/>
              <w:left w:w="0" w:type="dxa"/>
              <w:bottom w:w="30" w:type="dxa"/>
              <w:right w:w="0" w:type="dxa"/>
            </w:tcMar>
            <w:vAlign w:val="bottom"/>
            <w:hideMark/>
          </w:tcPr>
          <w:p w14:paraId="4855A1B6"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829B07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262930E"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6AB035C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050D291C"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4EEC1A7"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3688237F" w14:textId="77777777" w:rsidR="00000000" w:rsidRDefault="001826C1">
            <w:pPr>
              <w:jc w:val="right"/>
              <w:rPr>
                <w:rFonts w:eastAsia="Times New Roman"/>
                <w:sz w:val="16"/>
                <w:szCs w:val="16"/>
              </w:rPr>
            </w:pPr>
            <w:r>
              <w:rPr>
                <w:rFonts w:eastAsia="Times New Roman"/>
                <w:sz w:val="16"/>
                <w:szCs w:val="16"/>
              </w:rPr>
              <w:t>(280</w:t>
            </w:r>
          </w:p>
        </w:tc>
        <w:tc>
          <w:tcPr>
            <w:tcW w:w="0" w:type="auto"/>
            <w:shd w:val="clear" w:color="auto" w:fill="FFFFFF"/>
            <w:tcMar>
              <w:top w:w="0" w:type="dxa"/>
              <w:left w:w="0" w:type="dxa"/>
              <w:bottom w:w="30" w:type="dxa"/>
              <w:right w:w="0" w:type="dxa"/>
            </w:tcMar>
            <w:vAlign w:val="bottom"/>
            <w:hideMark/>
          </w:tcPr>
          <w:p w14:paraId="1FC69455"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20354883"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372B95F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E241BEA" w14:textId="77777777" w:rsidR="00000000" w:rsidRDefault="001826C1">
            <w:pPr>
              <w:jc w:val="right"/>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6A4F9FE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0BB6F84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55E8F16"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7A3FEAF" w14:textId="77777777" w:rsidR="00000000" w:rsidRDefault="001826C1">
            <w:pPr>
              <w:jc w:val="right"/>
              <w:rPr>
                <w:rFonts w:eastAsia="Times New Roman"/>
                <w:sz w:val="16"/>
                <w:szCs w:val="16"/>
              </w:rPr>
            </w:pPr>
            <w:r>
              <w:rPr>
                <w:rFonts w:eastAsia="Times New Roman"/>
                <w:sz w:val="16"/>
                <w:szCs w:val="16"/>
              </w:rPr>
              <w:t>(64</w:t>
            </w:r>
          </w:p>
        </w:tc>
        <w:tc>
          <w:tcPr>
            <w:tcW w:w="0" w:type="auto"/>
            <w:shd w:val="clear" w:color="auto" w:fill="FFFFFF"/>
            <w:tcMar>
              <w:top w:w="0" w:type="dxa"/>
              <w:left w:w="0" w:type="dxa"/>
              <w:bottom w:w="30" w:type="dxa"/>
              <w:right w:w="0" w:type="dxa"/>
            </w:tcMar>
            <w:vAlign w:val="bottom"/>
            <w:hideMark/>
          </w:tcPr>
          <w:p w14:paraId="096E4230" w14:textId="77777777" w:rsidR="00000000" w:rsidRDefault="001826C1">
            <w:pPr>
              <w:rPr>
                <w:rFonts w:eastAsia="Times New Roman"/>
                <w:sz w:val="16"/>
                <w:szCs w:val="16"/>
              </w:rPr>
            </w:pPr>
            <w:r>
              <w:rPr>
                <w:rFonts w:eastAsia="Times New Roman"/>
                <w:sz w:val="16"/>
                <w:szCs w:val="16"/>
              </w:rPr>
              <w:t>)</w:t>
            </w:r>
          </w:p>
        </w:tc>
        <w:tc>
          <w:tcPr>
            <w:tcW w:w="0" w:type="auto"/>
            <w:shd w:val="clear" w:color="auto" w:fill="FFFFFF"/>
            <w:tcMar>
              <w:top w:w="0" w:type="dxa"/>
              <w:left w:w="0" w:type="dxa"/>
              <w:bottom w:w="30" w:type="dxa"/>
              <w:right w:w="0" w:type="dxa"/>
            </w:tcMar>
            <w:vAlign w:val="bottom"/>
            <w:hideMark/>
          </w:tcPr>
          <w:p w14:paraId="65EDF145"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44DC8FE"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724ABD0" w14:textId="77777777" w:rsidR="00000000" w:rsidRDefault="001826C1">
            <w:pPr>
              <w:jc w:val="right"/>
              <w:rPr>
                <w:rFonts w:eastAsia="Times New Roman"/>
                <w:sz w:val="16"/>
                <w:szCs w:val="16"/>
              </w:rPr>
            </w:pPr>
            <w:r>
              <w:rPr>
                <w:rFonts w:eastAsia="Times New Roman"/>
                <w:sz w:val="16"/>
                <w:szCs w:val="16"/>
              </w:rPr>
              <w:t>5</w:t>
            </w:r>
          </w:p>
        </w:tc>
        <w:tc>
          <w:tcPr>
            <w:tcW w:w="0" w:type="auto"/>
            <w:shd w:val="clear" w:color="auto" w:fill="FFFFFF"/>
            <w:tcMar>
              <w:top w:w="0" w:type="dxa"/>
              <w:left w:w="0" w:type="dxa"/>
              <w:bottom w:w="30" w:type="dxa"/>
              <w:right w:w="0" w:type="dxa"/>
            </w:tcMar>
            <w:vAlign w:val="bottom"/>
            <w:hideMark/>
          </w:tcPr>
          <w:p w14:paraId="04E02801"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266B4EE2"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DBE077E"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7E327357" w14:textId="77777777" w:rsidR="00000000" w:rsidRDefault="001826C1">
            <w:pPr>
              <w:jc w:val="right"/>
              <w:rPr>
                <w:rFonts w:eastAsia="Times New Roman"/>
                <w:sz w:val="16"/>
                <w:szCs w:val="16"/>
              </w:rPr>
            </w:pPr>
            <w:r>
              <w:rPr>
                <w:rFonts w:eastAsia="Times New Roman"/>
                <w:sz w:val="16"/>
                <w:szCs w:val="16"/>
              </w:rPr>
              <w:t>25</w:t>
            </w:r>
          </w:p>
        </w:tc>
        <w:tc>
          <w:tcPr>
            <w:tcW w:w="0" w:type="auto"/>
            <w:shd w:val="clear" w:color="auto" w:fill="FFFFFF"/>
            <w:tcMar>
              <w:top w:w="0" w:type="dxa"/>
              <w:left w:w="0" w:type="dxa"/>
              <w:bottom w:w="30" w:type="dxa"/>
              <w:right w:w="0" w:type="dxa"/>
            </w:tcMar>
            <w:vAlign w:val="bottom"/>
            <w:hideMark/>
          </w:tcPr>
          <w:p w14:paraId="707FD97F"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73C7D7F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54B42DAA"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1F48A901" w14:textId="77777777" w:rsidR="00000000" w:rsidRDefault="001826C1">
            <w:pPr>
              <w:jc w:val="right"/>
              <w:rPr>
                <w:rFonts w:eastAsia="Times New Roman"/>
                <w:sz w:val="16"/>
                <w:szCs w:val="16"/>
              </w:rPr>
            </w:pPr>
            <w:r>
              <w:rPr>
                <w:rFonts w:eastAsia="Times New Roman"/>
                <w:sz w:val="16"/>
                <w:szCs w:val="16"/>
              </w:rPr>
              <w:t>11</w:t>
            </w:r>
          </w:p>
        </w:tc>
        <w:tc>
          <w:tcPr>
            <w:tcW w:w="0" w:type="auto"/>
            <w:shd w:val="clear" w:color="auto" w:fill="FFFFFF"/>
            <w:tcMar>
              <w:top w:w="0" w:type="dxa"/>
              <w:left w:w="0" w:type="dxa"/>
              <w:bottom w:w="30" w:type="dxa"/>
              <w:right w:w="0" w:type="dxa"/>
            </w:tcMar>
            <w:vAlign w:val="bottom"/>
            <w:hideMark/>
          </w:tcPr>
          <w:p w14:paraId="41884176" w14:textId="77777777" w:rsidR="00000000" w:rsidRDefault="001826C1">
            <w:pPr>
              <w:rPr>
                <w:rFonts w:eastAsia="Times New Roman"/>
                <w:sz w:val="16"/>
                <w:szCs w:val="16"/>
              </w:rPr>
            </w:pPr>
            <w:r>
              <w:rPr>
                <w:rFonts w:eastAsia="Times New Roman"/>
                <w:sz w:val="16"/>
                <w:szCs w:val="16"/>
              </w:rPr>
              <w:t> </w:t>
            </w:r>
          </w:p>
        </w:tc>
        <w:tc>
          <w:tcPr>
            <w:tcW w:w="0" w:type="auto"/>
            <w:shd w:val="clear" w:color="auto" w:fill="FFFFFF"/>
            <w:tcMar>
              <w:top w:w="0" w:type="dxa"/>
              <w:left w:w="0" w:type="dxa"/>
              <w:bottom w:w="30" w:type="dxa"/>
              <w:right w:w="0" w:type="dxa"/>
            </w:tcMar>
            <w:vAlign w:val="bottom"/>
            <w:hideMark/>
          </w:tcPr>
          <w:p w14:paraId="23442B41"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093C18DC" w14:textId="77777777" w:rsidR="00000000" w:rsidRDefault="001826C1">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14:paraId="619264E5" w14:textId="77777777" w:rsidR="00000000" w:rsidRDefault="001826C1">
            <w:pPr>
              <w:jc w:val="right"/>
              <w:rPr>
                <w:rFonts w:eastAsia="Times New Roman"/>
                <w:sz w:val="16"/>
                <w:szCs w:val="16"/>
              </w:rPr>
            </w:pPr>
            <w:r>
              <w:rPr>
                <w:rFonts w:eastAsia="Times New Roman"/>
                <w:sz w:val="16"/>
                <w:szCs w:val="16"/>
              </w:rPr>
              <w:t>32</w:t>
            </w:r>
          </w:p>
        </w:tc>
        <w:tc>
          <w:tcPr>
            <w:tcW w:w="0" w:type="auto"/>
            <w:shd w:val="clear" w:color="auto" w:fill="FFFFFF"/>
            <w:tcMar>
              <w:top w:w="0" w:type="dxa"/>
              <w:left w:w="0" w:type="dxa"/>
              <w:bottom w:w="30" w:type="dxa"/>
              <w:right w:w="0" w:type="dxa"/>
            </w:tcMar>
            <w:vAlign w:val="bottom"/>
            <w:hideMark/>
          </w:tcPr>
          <w:p w14:paraId="48358F24" w14:textId="77777777" w:rsidR="00000000" w:rsidRDefault="001826C1">
            <w:pPr>
              <w:rPr>
                <w:rFonts w:eastAsia="Times New Roman"/>
                <w:sz w:val="16"/>
                <w:szCs w:val="16"/>
              </w:rPr>
            </w:pPr>
            <w:r>
              <w:rPr>
                <w:rFonts w:eastAsia="Times New Roman"/>
                <w:sz w:val="16"/>
                <w:szCs w:val="16"/>
              </w:rPr>
              <w:t> </w:t>
            </w:r>
          </w:p>
        </w:tc>
      </w:tr>
      <w:tr w:rsidR="001826C1" w14:paraId="19076CE9" w14:textId="77777777">
        <w:tc>
          <w:tcPr>
            <w:tcW w:w="0" w:type="auto"/>
            <w:shd w:val="clear" w:color="auto" w:fill="CCEEFF"/>
            <w:tcMar>
              <w:top w:w="0" w:type="dxa"/>
              <w:left w:w="0" w:type="dxa"/>
              <w:bottom w:w="50" w:type="dxa"/>
              <w:right w:w="0" w:type="dxa"/>
            </w:tcMar>
            <w:vAlign w:val="bottom"/>
            <w:hideMark/>
          </w:tcPr>
          <w:p w14:paraId="12B920A7" w14:textId="77777777" w:rsidR="00000000" w:rsidRDefault="001826C1">
            <w:pPr>
              <w:rPr>
                <w:rFonts w:eastAsia="Times New Roman"/>
                <w:sz w:val="16"/>
                <w:szCs w:val="16"/>
              </w:rPr>
            </w:pPr>
            <w:r>
              <w:rPr>
                <w:rFonts w:eastAsia="Times New Roman"/>
                <w:sz w:val="16"/>
                <w:szCs w:val="16"/>
              </w:rPr>
              <w:t>Adjusted EBITDA</w:t>
            </w:r>
          </w:p>
        </w:tc>
        <w:tc>
          <w:tcPr>
            <w:tcW w:w="0" w:type="auto"/>
            <w:shd w:val="clear" w:color="auto" w:fill="CCEEFF"/>
            <w:tcMar>
              <w:top w:w="0" w:type="dxa"/>
              <w:left w:w="0" w:type="dxa"/>
              <w:bottom w:w="50" w:type="dxa"/>
              <w:right w:w="0" w:type="dxa"/>
            </w:tcMar>
            <w:vAlign w:val="bottom"/>
            <w:hideMark/>
          </w:tcPr>
          <w:p w14:paraId="63265259"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50321C90"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2D7EA04C" w14:textId="77777777" w:rsidR="00000000" w:rsidRDefault="001826C1">
            <w:pPr>
              <w:jc w:val="right"/>
              <w:rPr>
                <w:rFonts w:eastAsia="Times New Roman"/>
                <w:sz w:val="16"/>
                <w:szCs w:val="16"/>
              </w:rPr>
            </w:pPr>
            <w:r>
              <w:rPr>
                <w:rFonts w:eastAsia="Times New Roman"/>
                <w:sz w:val="16"/>
                <w:szCs w:val="16"/>
              </w:rPr>
              <w:t>2,786</w:t>
            </w:r>
          </w:p>
        </w:tc>
        <w:tc>
          <w:tcPr>
            <w:tcW w:w="0" w:type="auto"/>
            <w:shd w:val="clear" w:color="auto" w:fill="CCEEFF"/>
            <w:tcMar>
              <w:top w:w="0" w:type="dxa"/>
              <w:left w:w="0" w:type="dxa"/>
              <w:bottom w:w="50" w:type="dxa"/>
              <w:right w:w="0" w:type="dxa"/>
            </w:tcMar>
            <w:vAlign w:val="bottom"/>
            <w:hideMark/>
          </w:tcPr>
          <w:p w14:paraId="6DD8513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1EB14B88"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12AB6711"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549DB5AA" w14:textId="77777777" w:rsidR="00000000" w:rsidRDefault="001826C1">
            <w:pPr>
              <w:jc w:val="right"/>
              <w:rPr>
                <w:rFonts w:eastAsia="Times New Roman"/>
                <w:sz w:val="16"/>
                <w:szCs w:val="16"/>
              </w:rPr>
            </w:pPr>
            <w:r>
              <w:rPr>
                <w:rFonts w:eastAsia="Times New Roman"/>
                <w:sz w:val="16"/>
                <w:szCs w:val="16"/>
              </w:rPr>
              <w:t>2,594</w:t>
            </w:r>
          </w:p>
        </w:tc>
        <w:tc>
          <w:tcPr>
            <w:tcW w:w="0" w:type="auto"/>
            <w:shd w:val="clear" w:color="auto" w:fill="CCEEFF"/>
            <w:tcMar>
              <w:top w:w="0" w:type="dxa"/>
              <w:left w:w="0" w:type="dxa"/>
              <w:bottom w:w="50" w:type="dxa"/>
              <w:right w:w="0" w:type="dxa"/>
            </w:tcMar>
            <w:vAlign w:val="bottom"/>
            <w:hideMark/>
          </w:tcPr>
          <w:p w14:paraId="414F2754"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14A4A2ED"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0B0B16AC"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43717D48" w14:textId="77777777" w:rsidR="00000000" w:rsidRDefault="001826C1">
            <w:pPr>
              <w:jc w:val="right"/>
              <w:rPr>
                <w:rFonts w:eastAsia="Times New Roman"/>
                <w:sz w:val="16"/>
                <w:szCs w:val="16"/>
              </w:rPr>
            </w:pPr>
            <w:r>
              <w:rPr>
                <w:rFonts w:eastAsia="Times New Roman"/>
                <w:sz w:val="16"/>
                <w:szCs w:val="16"/>
              </w:rPr>
              <w:t>1,141</w:t>
            </w:r>
          </w:p>
        </w:tc>
        <w:tc>
          <w:tcPr>
            <w:tcW w:w="0" w:type="auto"/>
            <w:shd w:val="clear" w:color="auto" w:fill="CCEEFF"/>
            <w:tcMar>
              <w:top w:w="0" w:type="dxa"/>
              <w:left w:w="0" w:type="dxa"/>
              <w:bottom w:w="50" w:type="dxa"/>
              <w:right w:w="0" w:type="dxa"/>
            </w:tcMar>
            <w:vAlign w:val="bottom"/>
            <w:hideMark/>
          </w:tcPr>
          <w:p w14:paraId="73E000DB"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738DB942"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1F0901CE"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3796F3CF" w14:textId="77777777" w:rsidR="00000000" w:rsidRDefault="001826C1">
            <w:pPr>
              <w:jc w:val="right"/>
              <w:rPr>
                <w:rFonts w:eastAsia="Times New Roman"/>
                <w:sz w:val="16"/>
                <w:szCs w:val="16"/>
              </w:rPr>
            </w:pPr>
            <w:r>
              <w:rPr>
                <w:rFonts w:eastAsia="Times New Roman"/>
                <w:sz w:val="16"/>
                <w:szCs w:val="16"/>
              </w:rPr>
              <w:t>1,580</w:t>
            </w:r>
          </w:p>
        </w:tc>
        <w:tc>
          <w:tcPr>
            <w:tcW w:w="0" w:type="auto"/>
            <w:shd w:val="clear" w:color="auto" w:fill="CCEEFF"/>
            <w:tcMar>
              <w:top w:w="0" w:type="dxa"/>
              <w:left w:w="0" w:type="dxa"/>
              <w:bottom w:w="50" w:type="dxa"/>
              <w:right w:w="0" w:type="dxa"/>
            </w:tcMar>
            <w:vAlign w:val="bottom"/>
            <w:hideMark/>
          </w:tcPr>
          <w:p w14:paraId="351419FA"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5F355420"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1BE93455"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5C895926" w14:textId="77777777" w:rsidR="00000000" w:rsidRDefault="001826C1">
            <w:pPr>
              <w:jc w:val="right"/>
              <w:rPr>
                <w:rFonts w:eastAsia="Times New Roman"/>
                <w:sz w:val="16"/>
                <w:szCs w:val="16"/>
              </w:rPr>
            </w:pPr>
            <w:r>
              <w:rPr>
                <w:rFonts w:eastAsia="Times New Roman"/>
                <w:sz w:val="16"/>
                <w:szCs w:val="16"/>
              </w:rPr>
              <w:t>1,406</w:t>
            </w:r>
          </w:p>
        </w:tc>
        <w:tc>
          <w:tcPr>
            <w:tcW w:w="0" w:type="auto"/>
            <w:shd w:val="clear" w:color="auto" w:fill="CCEEFF"/>
            <w:tcMar>
              <w:top w:w="0" w:type="dxa"/>
              <w:left w:w="0" w:type="dxa"/>
              <w:bottom w:w="50" w:type="dxa"/>
              <w:right w:w="0" w:type="dxa"/>
            </w:tcMar>
            <w:vAlign w:val="bottom"/>
            <w:hideMark/>
          </w:tcPr>
          <w:p w14:paraId="1C2DF075"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296E7054"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0CD8065C"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5678A19B" w14:textId="77777777" w:rsidR="00000000" w:rsidRDefault="001826C1">
            <w:pPr>
              <w:jc w:val="right"/>
              <w:rPr>
                <w:rFonts w:eastAsia="Times New Roman"/>
                <w:sz w:val="16"/>
                <w:szCs w:val="16"/>
              </w:rPr>
            </w:pPr>
            <w:r>
              <w:rPr>
                <w:rFonts w:eastAsia="Times New Roman"/>
                <w:sz w:val="16"/>
                <w:szCs w:val="16"/>
              </w:rPr>
              <w:t>865</w:t>
            </w:r>
          </w:p>
        </w:tc>
        <w:tc>
          <w:tcPr>
            <w:tcW w:w="0" w:type="auto"/>
            <w:shd w:val="clear" w:color="auto" w:fill="CCEEFF"/>
            <w:tcMar>
              <w:top w:w="0" w:type="dxa"/>
              <w:left w:w="0" w:type="dxa"/>
              <w:bottom w:w="50" w:type="dxa"/>
              <w:right w:w="0" w:type="dxa"/>
            </w:tcMar>
            <w:vAlign w:val="bottom"/>
            <w:hideMark/>
          </w:tcPr>
          <w:p w14:paraId="6CDC9B43"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663D3F04"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56A76906"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6F74EC95" w14:textId="77777777" w:rsidR="00000000" w:rsidRDefault="001826C1">
            <w:pPr>
              <w:jc w:val="right"/>
              <w:rPr>
                <w:rFonts w:eastAsia="Times New Roman"/>
                <w:sz w:val="16"/>
                <w:szCs w:val="16"/>
              </w:rPr>
            </w:pPr>
            <w:r>
              <w:rPr>
                <w:rFonts w:eastAsia="Times New Roman"/>
                <w:sz w:val="16"/>
                <w:szCs w:val="16"/>
              </w:rPr>
              <w:t>1,557</w:t>
            </w:r>
          </w:p>
        </w:tc>
        <w:tc>
          <w:tcPr>
            <w:tcW w:w="0" w:type="auto"/>
            <w:shd w:val="clear" w:color="auto" w:fill="CCEEFF"/>
            <w:tcMar>
              <w:top w:w="0" w:type="dxa"/>
              <w:left w:w="0" w:type="dxa"/>
              <w:bottom w:w="50" w:type="dxa"/>
              <w:right w:w="0" w:type="dxa"/>
            </w:tcMar>
            <w:vAlign w:val="bottom"/>
            <w:hideMark/>
          </w:tcPr>
          <w:p w14:paraId="73A5156C" w14:textId="77777777" w:rsidR="00000000" w:rsidRDefault="001826C1">
            <w:pPr>
              <w:rPr>
                <w:rFonts w:eastAsia="Times New Roman"/>
                <w:sz w:val="16"/>
                <w:szCs w:val="16"/>
              </w:rPr>
            </w:pPr>
            <w:r>
              <w:rPr>
                <w:rFonts w:eastAsia="Times New Roman"/>
                <w:sz w:val="16"/>
                <w:szCs w:val="16"/>
              </w:rPr>
              <w:t> </w:t>
            </w:r>
          </w:p>
        </w:tc>
        <w:tc>
          <w:tcPr>
            <w:tcW w:w="0" w:type="auto"/>
            <w:shd w:val="clear" w:color="auto" w:fill="CCEEFF"/>
            <w:tcMar>
              <w:top w:w="0" w:type="dxa"/>
              <w:left w:w="0" w:type="dxa"/>
              <w:bottom w:w="50" w:type="dxa"/>
              <w:right w:w="0" w:type="dxa"/>
            </w:tcMar>
            <w:vAlign w:val="bottom"/>
            <w:hideMark/>
          </w:tcPr>
          <w:p w14:paraId="1F33D5D5" w14:textId="77777777" w:rsidR="00000000" w:rsidRDefault="001826C1">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14:paraId="229F2120" w14:textId="77777777" w:rsidR="00000000" w:rsidRDefault="001826C1">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14:paraId="4DC68CCF" w14:textId="77777777" w:rsidR="00000000" w:rsidRDefault="001826C1">
            <w:pPr>
              <w:jc w:val="right"/>
              <w:rPr>
                <w:rFonts w:eastAsia="Times New Roman"/>
                <w:sz w:val="16"/>
                <w:szCs w:val="16"/>
              </w:rPr>
            </w:pPr>
            <w:r>
              <w:rPr>
                <w:rFonts w:eastAsia="Times New Roman"/>
                <w:sz w:val="16"/>
                <w:szCs w:val="16"/>
              </w:rPr>
              <w:t>974</w:t>
            </w:r>
          </w:p>
        </w:tc>
        <w:tc>
          <w:tcPr>
            <w:tcW w:w="0" w:type="auto"/>
            <w:shd w:val="clear" w:color="auto" w:fill="CCEEFF"/>
            <w:tcMar>
              <w:top w:w="0" w:type="dxa"/>
              <w:left w:w="0" w:type="dxa"/>
              <w:bottom w:w="50" w:type="dxa"/>
              <w:right w:w="0" w:type="dxa"/>
            </w:tcMar>
            <w:vAlign w:val="bottom"/>
            <w:hideMark/>
          </w:tcPr>
          <w:p w14:paraId="5514C647" w14:textId="77777777" w:rsidR="00000000" w:rsidRDefault="001826C1">
            <w:pPr>
              <w:rPr>
                <w:rFonts w:eastAsia="Times New Roman"/>
                <w:sz w:val="16"/>
                <w:szCs w:val="16"/>
              </w:rPr>
            </w:pPr>
            <w:r>
              <w:rPr>
                <w:rFonts w:eastAsia="Times New Roman"/>
                <w:sz w:val="16"/>
                <w:szCs w:val="16"/>
              </w:rPr>
              <w:t> </w:t>
            </w:r>
          </w:p>
        </w:tc>
      </w:tr>
    </w:tbl>
    <w:p w14:paraId="4CE9D553" w14:textId="77777777" w:rsidR="00000000" w:rsidRDefault="001826C1">
      <w:pPr>
        <w:pStyle w:val="a3"/>
        <w:shd w:val="clear" w:color="auto" w:fill="FFFFFF"/>
        <w:spacing w:before="0" w:beforeAutospacing="0" w:after="0" w:afterAutospacing="0"/>
        <w:rPr>
          <w:sz w:val="20"/>
          <w:szCs w:val="20"/>
        </w:rPr>
      </w:pPr>
      <w:r>
        <w:rPr>
          <w:b/>
          <w:bCs/>
          <w:sz w:val="20"/>
          <w:szCs w:val="20"/>
        </w:rPr>
        <w:t> </w:t>
      </w:r>
    </w:p>
    <w:p w14:paraId="41A9B136" w14:textId="77777777" w:rsidR="00000000" w:rsidRDefault="001826C1">
      <w:pPr>
        <w:pStyle w:val="a3"/>
        <w:spacing w:before="0" w:beforeAutospacing="0" w:after="0" w:afterAutospacing="0"/>
        <w:rPr>
          <w:sz w:val="20"/>
          <w:szCs w:val="20"/>
        </w:rPr>
      </w:pPr>
      <w:r>
        <w:rPr>
          <w:b/>
          <w:bCs/>
          <w:sz w:val="20"/>
          <w:szCs w:val="20"/>
        </w:rPr>
        <w:t>Key Metrics</w:t>
      </w:r>
    </w:p>
    <w:p w14:paraId="26003937" w14:textId="77777777" w:rsidR="00000000" w:rsidRDefault="001826C1">
      <w:pPr>
        <w:pStyle w:val="a3"/>
        <w:spacing w:before="0" w:beforeAutospacing="0" w:after="0" w:afterAutospacing="0"/>
        <w:rPr>
          <w:sz w:val="20"/>
          <w:szCs w:val="20"/>
        </w:rPr>
      </w:pPr>
      <w:r>
        <w:rPr>
          <w:sz w:val="20"/>
          <w:szCs w:val="20"/>
        </w:rPr>
        <w:t> </w:t>
      </w:r>
    </w:p>
    <w:p w14:paraId="719FA93A"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In </w:t>
      </w:r>
      <w:r>
        <w:rPr>
          <w:sz w:val="20"/>
          <w:szCs w:val="20"/>
        </w:rPr>
        <w:t>addition to the line items in our consolidated financial statements, we regularly review the following key metrics to evaluate our business, measure our performance, identify trends in our business, prepare financial projections, make strategic business de</w:t>
      </w:r>
      <w:r>
        <w:rPr>
          <w:sz w:val="20"/>
          <w:szCs w:val="20"/>
        </w:rPr>
        <w:t>cisions, and assess market share trends and working capital needs. We believe information on these metrics is useful for investors to understand the underlying trends in our business.</w:t>
      </w:r>
    </w:p>
    <w:p w14:paraId="152C036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48AEDC4"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Providers and Practices Served:</w:t>
      </w:r>
      <w:r>
        <w:rPr>
          <w:sz w:val="20"/>
          <w:szCs w:val="20"/>
        </w:rPr>
        <w:t xml:space="preserve"> As of December 31, 2019, we provided s</w:t>
      </w:r>
      <w:r>
        <w:rPr>
          <w:sz w:val="20"/>
          <w:szCs w:val="20"/>
        </w:rPr>
        <w:t>ervices to approximately 10,500 providers (which we define as physicians, nurses, nurse practitioners, physician assistants and other clinical staff that render bills for their services), representing approximately 1,800 practices. In addition, we served a</w:t>
      </w:r>
      <w:r>
        <w:rPr>
          <w:sz w:val="20"/>
          <w:szCs w:val="20"/>
        </w:rPr>
        <w:t>pproximately 200 clients who were not medical practices, but are service organizations who serve the healthcare community. As of December 31, 2018, we served approximately 10,000 providers representing approximately 1,800 practices.</w:t>
      </w:r>
    </w:p>
    <w:p w14:paraId="70D05B41"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449D1C4"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Customer Renewal Rate</w:t>
      </w:r>
      <w:r>
        <w:rPr>
          <w:b/>
          <w:bCs/>
          <w:i/>
          <w:iCs/>
          <w:sz w:val="20"/>
          <w:szCs w:val="20"/>
        </w:rPr>
        <w:t xml:space="preserve">: </w:t>
      </w:r>
      <w:r>
        <w:rPr>
          <w:sz w:val="20"/>
          <w:szCs w:val="20"/>
        </w:rPr>
        <w:t>Our customer renewal rate measures the percentage of our RCM clients who utilize our technology platform who were a party to a services agreement with us on January 1 of a particular year and continued to operate and be a client on December 31 of the sam</w:t>
      </w:r>
      <w:r>
        <w:rPr>
          <w:sz w:val="20"/>
          <w:szCs w:val="20"/>
        </w:rPr>
        <w:t>e year. It also includes acquired accounts, if they are a party to a services agreement with the company we acquired and are generating revenue for us, so long as the risk of client loss under the respective purchase agreement has fully shifted to us by Ja</w:t>
      </w:r>
      <w:r>
        <w:rPr>
          <w:sz w:val="20"/>
          <w:szCs w:val="20"/>
        </w:rPr>
        <w:t>nuary 1 of the particular year. Our renewal rates for 2019 and 2018 were 90% and 89%, respectively.</w:t>
      </w:r>
    </w:p>
    <w:p w14:paraId="1F00F724" w14:textId="77777777" w:rsidR="00000000" w:rsidRDefault="001826C1">
      <w:pPr>
        <w:pStyle w:val="a3"/>
        <w:shd w:val="clear" w:color="auto" w:fill="FFFFFF"/>
        <w:spacing w:before="0" w:beforeAutospacing="0" w:after="0" w:afterAutospacing="0"/>
        <w:jc w:val="both"/>
        <w:rPr>
          <w:sz w:val="20"/>
          <w:szCs w:val="20"/>
        </w:rPr>
      </w:pPr>
      <w:r>
        <w:rPr>
          <w:b/>
          <w:bCs/>
          <w:sz w:val="20"/>
          <w:szCs w:val="20"/>
        </w:rPr>
        <w:t> </w:t>
      </w:r>
    </w:p>
    <w:p w14:paraId="0315D6A1" w14:textId="77777777" w:rsidR="00000000" w:rsidRDefault="001826C1">
      <w:pPr>
        <w:pStyle w:val="a3"/>
        <w:shd w:val="clear" w:color="auto" w:fill="FFFFFF"/>
        <w:spacing w:before="0" w:beforeAutospacing="0" w:after="0" w:afterAutospacing="0"/>
        <w:jc w:val="both"/>
        <w:rPr>
          <w:sz w:val="20"/>
          <w:szCs w:val="20"/>
        </w:rPr>
      </w:pPr>
      <w:r>
        <w:rPr>
          <w:b/>
          <w:bCs/>
          <w:sz w:val="20"/>
          <w:szCs w:val="20"/>
        </w:rPr>
        <w:t>Sources of Revenue</w:t>
      </w:r>
    </w:p>
    <w:p w14:paraId="77D79AF4"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256072E3"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Revenue: </w:t>
      </w:r>
      <w:r>
        <w:rPr>
          <w:sz w:val="20"/>
          <w:szCs w:val="20"/>
        </w:rPr>
        <w:t>We primarily derive our revenues from bundled revenue cycle management services, typically billed as a percentage of payment</w:t>
      </w:r>
      <w:r>
        <w:rPr>
          <w:sz w:val="20"/>
          <w:szCs w:val="20"/>
        </w:rPr>
        <w:t>s collected by our customers. This fee includes RCM, as well as the ability to use our EHR and practice management software as part of the bundled fee. These payments accounted for approximately 67% and 76% of our revenues during the years ended December 3</w:t>
      </w:r>
      <w:r>
        <w:rPr>
          <w:sz w:val="20"/>
          <w:szCs w:val="20"/>
        </w:rPr>
        <w:t>1, 2019 and 2018, respectively. This includes customers utilizing our proprietary product suite, PracticePro</w:t>
      </w:r>
      <w:r>
        <w:rPr>
          <w:sz w:val="20"/>
          <w:szCs w:val="20"/>
          <w:vertAlign w:val="superscript"/>
        </w:rPr>
        <w:t>®</w:t>
      </w:r>
      <w:r>
        <w:rPr>
          <w:sz w:val="20"/>
          <w:szCs w:val="20"/>
        </w:rPr>
        <w:t>, as well as customers from acquisitions which we are servicing utilizing third-party software. Key drivers of our revenue include growth in the nu</w:t>
      </w:r>
      <w:r>
        <w:rPr>
          <w:sz w:val="20"/>
          <w:szCs w:val="20"/>
        </w:rPr>
        <w:t xml:space="preserve">mber of providers we are servicing, the number of patients served by those providers, and collections by those providers. We also generate revenue from our practice management and group purchasing services which began in July 2018 as a result of the Orion </w:t>
      </w:r>
      <w:r>
        <w:rPr>
          <w:sz w:val="20"/>
          <w:szCs w:val="20"/>
        </w:rPr>
        <w:t>acquisition. Revenue is also generated from transcription, coding, indexing and other ancillary services. By the end of 2019 and 2018, we moved approximately 52% and 57%, respectively, of the medical billing customers from prior years’ acquisitions that we</w:t>
      </w:r>
      <w:r>
        <w:rPr>
          <w:sz w:val="20"/>
          <w:szCs w:val="20"/>
        </w:rPr>
        <w:t>re on other platforms to our operating platform.</w:t>
      </w:r>
    </w:p>
    <w:p w14:paraId="00243CC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D8934F4" w14:textId="77777777">
        <w:trPr>
          <w:divId w:val="481429862"/>
        </w:trPr>
        <w:tc>
          <w:tcPr>
            <w:tcW w:w="5000" w:type="pct"/>
            <w:hideMark/>
          </w:tcPr>
          <w:p w14:paraId="093BFDED"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5D30B4B5" w14:textId="77777777">
        <w:tc>
          <w:tcPr>
            <w:tcW w:w="5000" w:type="pct"/>
            <w:hideMark/>
          </w:tcPr>
          <w:p w14:paraId="73C16446" w14:textId="77777777" w:rsidR="00000000" w:rsidRDefault="001826C1">
            <w:pPr>
              <w:jc w:val="center"/>
              <w:rPr>
                <w:rFonts w:eastAsia="Times New Roman"/>
                <w:sz w:val="20"/>
                <w:szCs w:val="20"/>
              </w:rPr>
            </w:pPr>
            <w:r>
              <w:rPr>
                <w:rFonts w:eastAsia="Times New Roman"/>
                <w:sz w:val="20"/>
                <w:szCs w:val="20"/>
              </w:rPr>
              <w:t> </w:t>
            </w:r>
          </w:p>
        </w:tc>
      </w:tr>
    </w:tbl>
    <w:p w14:paraId="30917785" w14:textId="77777777" w:rsidR="00000000" w:rsidRDefault="001826C1">
      <w:pPr>
        <w:pStyle w:val="a3"/>
        <w:spacing w:before="0" w:beforeAutospacing="0" w:after="0" w:afterAutospacing="0" w:line="256" w:lineRule="auto"/>
        <w:rPr>
          <w:sz w:val="20"/>
          <w:szCs w:val="20"/>
        </w:rPr>
      </w:pPr>
      <w:r>
        <w:rPr>
          <w:sz w:val="20"/>
          <w:szCs w:val="20"/>
        </w:rPr>
        <w:t> </w:t>
      </w:r>
    </w:p>
    <w:p w14:paraId="57A2F525"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earned approximately 8% and 7% of our revenue from printing and mailing operations, clearinghouse, EDI services and ancillary RCM services during the years ended December 31, 2019 and 2018, respectively. We earned approximately 2% of our revenue from group</w:t>
      </w:r>
      <w:r>
        <w:rPr>
          <w:sz w:val="20"/>
          <w:szCs w:val="20"/>
        </w:rPr>
        <w:t xml:space="preserve"> purchasing services during the same period.</w:t>
      </w:r>
    </w:p>
    <w:p w14:paraId="21A35F6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38F35BB" w14:textId="77777777" w:rsidR="00000000" w:rsidRDefault="001826C1">
      <w:pPr>
        <w:pStyle w:val="a3"/>
        <w:shd w:val="clear" w:color="auto" w:fill="FFFFFF"/>
        <w:spacing w:before="0" w:beforeAutospacing="0" w:after="0" w:afterAutospacing="0"/>
        <w:jc w:val="both"/>
        <w:rPr>
          <w:sz w:val="20"/>
          <w:szCs w:val="20"/>
        </w:rPr>
      </w:pPr>
      <w:r>
        <w:rPr>
          <w:sz w:val="20"/>
          <w:szCs w:val="20"/>
        </w:rPr>
        <w:t>We also earned approximately 21% and 13% of our revenue from practice management services, including reimbursement of certain costs plus a percentage of the operating profit, during the years ended December 31</w:t>
      </w:r>
      <w:r>
        <w:rPr>
          <w:sz w:val="20"/>
          <w:szCs w:val="20"/>
        </w:rPr>
        <w:t>, 2019 and 2018, respectively. We began providing practice management services and group purchasing services on July 1, 2018. In December 2019, we began the launch of the telemedicine service.</w:t>
      </w:r>
    </w:p>
    <w:p w14:paraId="780CF57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431A85B" w14:textId="77777777" w:rsidR="00000000" w:rsidRDefault="001826C1">
      <w:pPr>
        <w:pStyle w:val="a3"/>
        <w:spacing w:before="0" w:beforeAutospacing="0" w:after="0" w:afterAutospacing="0"/>
        <w:jc w:val="both"/>
        <w:rPr>
          <w:sz w:val="20"/>
          <w:szCs w:val="20"/>
        </w:rPr>
      </w:pPr>
      <w:r>
        <w:rPr>
          <w:b/>
          <w:bCs/>
          <w:sz w:val="20"/>
          <w:szCs w:val="20"/>
        </w:rPr>
        <w:t>Operating Expenses</w:t>
      </w:r>
    </w:p>
    <w:p w14:paraId="20146189" w14:textId="77777777" w:rsidR="00000000" w:rsidRDefault="001826C1">
      <w:pPr>
        <w:pStyle w:val="a3"/>
        <w:spacing w:before="0" w:beforeAutospacing="0" w:after="0" w:afterAutospacing="0"/>
        <w:jc w:val="both"/>
        <w:rPr>
          <w:sz w:val="20"/>
          <w:szCs w:val="20"/>
        </w:rPr>
      </w:pPr>
      <w:r>
        <w:rPr>
          <w:i/>
          <w:iCs/>
          <w:sz w:val="20"/>
          <w:szCs w:val="20"/>
        </w:rPr>
        <w:t> </w:t>
      </w:r>
    </w:p>
    <w:p w14:paraId="48EE7A45" w14:textId="77777777" w:rsidR="00000000" w:rsidRDefault="001826C1">
      <w:pPr>
        <w:pStyle w:val="a3"/>
        <w:spacing w:before="0" w:beforeAutospacing="0" w:after="0" w:afterAutospacing="0"/>
        <w:jc w:val="both"/>
        <w:rPr>
          <w:sz w:val="20"/>
          <w:szCs w:val="20"/>
        </w:rPr>
      </w:pPr>
      <w:r>
        <w:rPr>
          <w:i/>
          <w:iCs/>
          <w:sz w:val="20"/>
          <w:szCs w:val="20"/>
        </w:rPr>
        <w:t xml:space="preserve">Direct Operating Costs. </w:t>
      </w:r>
      <w:r>
        <w:rPr>
          <w:sz w:val="20"/>
          <w:szCs w:val="20"/>
        </w:rPr>
        <w:t>Direct operating</w:t>
      </w:r>
      <w:r>
        <w:rPr>
          <w:sz w:val="20"/>
          <w:szCs w:val="20"/>
        </w:rPr>
        <w:t xml:space="preserve"> costs consist primarily of salaries and benefits related to personnel who provide services to our customers and the patients of the three managed medical practices, claims processing costs, and other direct costs related to our services. Costs associated </w:t>
      </w:r>
      <w:r>
        <w:rPr>
          <w:sz w:val="20"/>
          <w:szCs w:val="20"/>
        </w:rPr>
        <w:t>with the implementation of new customers are expensed as incurred. The reported amounts of direct operating costs do not include depreciation and amortization, which are broken out separately in the consolidated statements of operations. Our Pakistan and S</w:t>
      </w:r>
      <w:r>
        <w:rPr>
          <w:sz w:val="20"/>
          <w:szCs w:val="20"/>
        </w:rPr>
        <w:t>ri Lanka operations together accounted for approximately 13% and 22% of direct operating costs for the years ended December 31, 2019 and 2018, respectively. As we grow, we expect to achieve further economies of scale and to see our direct operating costs d</w:t>
      </w:r>
      <w:r>
        <w:rPr>
          <w:sz w:val="20"/>
          <w:szCs w:val="20"/>
        </w:rPr>
        <w:t>ecrease as a percentage of revenue.</w:t>
      </w:r>
    </w:p>
    <w:p w14:paraId="7FD5771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B45A463"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consists primarily of compensation and benefits, commissions, travel and advertising expenses.</w:t>
      </w:r>
    </w:p>
    <w:p w14:paraId="79C0424D" w14:textId="77777777" w:rsidR="00000000" w:rsidRDefault="001826C1">
      <w:pPr>
        <w:pStyle w:val="a3"/>
        <w:shd w:val="clear" w:color="auto" w:fill="FFFFFF"/>
        <w:spacing w:before="0" w:beforeAutospacing="0" w:after="0" w:afterAutospacing="0"/>
        <w:rPr>
          <w:sz w:val="20"/>
          <w:szCs w:val="20"/>
        </w:rPr>
      </w:pPr>
      <w:r>
        <w:rPr>
          <w:sz w:val="20"/>
          <w:szCs w:val="20"/>
        </w:rPr>
        <w:t> </w:t>
      </w:r>
    </w:p>
    <w:p w14:paraId="5FBC8A18"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Research and Development Expense. </w:t>
      </w:r>
      <w:r>
        <w:rPr>
          <w:sz w:val="20"/>
          <w:szCs w:val="20"/>
        </w:rPr>
        <w:t>Research and development e</w:t>
      </w:r>
      <w:r>
        <w:rPr>
          <w:sz w:val="20"/>
          <w:szCs w:val="20"/>
        </w:rPr>
        <w:t>xpense consists primarily of personnel-related costs and third-party contractor costs. Because we incorporate our technology into our services as soon as technological feasibility is established, most costs are currently expensed as incurred.</w:t>
      </w:r>
    </w:p>
    <w:p w14:paraId="5F0A99F3"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4C0FA50"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General and administrative expense consists primarily of personnel-related expense for administrative employees, including compensation, benefits, travel, occupancy and insurance, software license fees and outside profes</w:t>
      </w:r>
      <w:r>
        <w:rPr>
          <w:sz w:val="20"/>
          <w:szCs w:val="20"/>
        </w:rPr>
        <w:t>sional fees. Our Pakistan and Sri Lanka offices accounted for approximately 16% and 20% of general and administrative expenses for the years ended December 31, 2019 and 2018, respectively.</w:t>
      </w:r>
    </w:p>
    <w:p w14:paraId="6A4F8C47"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8C568FF"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Contingent consideration represents the portion of consideration payable to the sellers of some of our acquisitions, the amount of which is based on the achievement of defined performance measures contained in the purchase agreements. The balance at Decemb</w:t>
      </w:r>
      <w:r>
        <w:rPr>
          <w:sz w:val="20"/>
          <w:szCs w:val="20"/>
        </w:rPr>
        <w:t>er 31, 2018 was payable in cash and the remaining balance was settled during 2019. Contingent consideration is adjusted to fair value at the end of each reporting period.</w:t>
      </w:r>
      <w:r>
        <w:rPr>
          <w:sz w:val="20"/>
          <w:szCs w:val="20"/>
        </w:rPr>
        <w:tab/>
      </w:r>
    </w:p>
    <w:p w14:paraId="1859B30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43552A8"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Depreciation and Amortization Expense. </w:t>
      </w:r>
      <w:r>
        <w:rPr>
          <w:sz w:val="20"/>
          <w:szCs w:val="20"/>
        </w:rPr>
        <w:t>Depreciation expense is charged using the s</w:t>
      </w:r>
      <w:r>
        <w:rPr>
          <w:sz w:val="20"/>
          <w:szCs w:val="20"/>
        </w:rPr>
        <w:t>traight-line method over the estimated lives of the assets ranging from three to five years. Amortization expense is charged on either an accelerated or on a straight-line basis over a period of three or four years for most intangible assets acquired in co</w:t>
      </w:r>
      <w:r>
        <w:rPr>
          <w:sz w:val="20"/>
          <w:szCs w:val="20"/>
        </w:rPr>
        <w:t>nnection with acquisitions including those intangibles related to the group purchasing services. Amortization expense related to the value of our practice management clients is amortized on a straight-line basis over a period of twelve years.</w:t>
      </w:r>
    </w:p>
    <w:p w14:paraId="4CB0C55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48F209A" w14:textId="77777777" w:rsidR="00000000" w:rsidRDefault="001826C1">
      <w:pPr>
        <w:pStyle w:val="a3"/>
        <w:shd w:val="clear" w:color="auto" w:fill="FFFFFF"/>
        <w:spacing w:before="0" w:beforeAutospacing="0" w:after="0" w:afterAutospacing="0"/>
        <w:jc w:val="both"/>
        <w:rPr>
          <w:sz w:val="20"/>
          <w:szCs w:val="20"/>
        </w:rPr>
      </w:pPr>
      <w:r>
        <w:rPr>
          <w:i/>
          <w:iCs/>
          <w:sz w:val="20"/>
          <w:szCs w:val="20"/>
        </w:rPr>
        <w:t>Interest an</w:t>
      </w:r>
      <w:r>
        <w:rPr>
          <w:i/>
          <w:iCs/>
          <w:sz w:val="20"/>
          <w:szCs w:val="20"/>
        </w:rPr>
        <w:t>d Other Income (Expense).</w:t>
      </w:r>
      <w:r>
        <w:rPr>
          <w:sz w:val="20"/>
          <w:szCs w:val="20"/>
        </w:rPr>
        <w:t xml:space="preserve"> Interest expense consists of interest costs and loan origination costs related to our working capital line of credit and amounts due in connection with acquisitions, offset by interest income. Our other income (expense) results pr</w:t>
      </w:r>
      <w:r>
        <w:rPr>
          <w:sz w:val="20"/>
          <w:szCs w:val="20"/>
        </w:rPr>
        <w:t>imarily from foreign currency transaction gains (losses), and amounted to a foreign exchange loss of $827,000 and a gain $435,000 for the years ended December 31, 2019 and 2018, respectively.</w:t>
      </w:r>
    </w:p>
    <w:p w14:paraId="71E27BC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8B448BB" w14:textId="77777777" w:rsidR="00000000" w:rsidRDefault="001826C1">
      <w:pPr>
        <w:pStyle w:val="a3"/>
        <w:shd w:val="clear" w:color="auto" w:fill="FFFFFF"/>
        <w:spacing w:before="0" w:beforeAutospacing="0" w:after="0" w:afterAutospacing="0"/>
        <w:jc w:val="both"/>
        <w:rPr>
          <w:sz w:val="20"/>
          <w:szCs w:val="20"/>
        </w:rPr>
      </w:pPr>
      <w:r>
        <w:rPr>
          <w:i/>
          <w:iCs/>
          <w:sz w:val="20"/>
          <w:szCs w:val="20"/>
        </w:rPr>
        <w:t>Income Tax.</w:t>
      </w:r>
      <w:r>
        <w:rPr>
          <w:sz w:val="20"/>
          <w:szCs w:val="20"/>
        </w:rPr>
        <w:t xml:space="preserve"> In preparing our consolidated financial statements</w:t>
      </w:r>
      <w:r>
        <w:rPr>
          <w:sz w:val="20"/>
          <w:szCs w:val="20"/>
        </w:rPr>
        <w:t>, we estimate income taxes in each of the jurisdictions in which we operate. This process involves estimating actual current tax exposure together with assessing temporary differences resulting from differing treatment of items for tax and financial report</w:t>
      </w:r>
      <w:r>
        <w:rPr>
          <w:sz w:val="20"/>
          <w:szCs w:val="20"/>
        </w:rPr>
        <w:t>ing purposes. These differences result in deferred income tax assets and liabilities. Although the Company is forecasting a return to profitability, it incurred losses historically and there is uncertainty regarding future US taxable income, which make rea</w:t>
      </w:r>
      <w:r>
        <w:rPr>
          <w:sz w:val="20"/>
          <w:szCs w:val="20"/>
        </w:rPr>
        <w:t>lization of a deferred tax asset difficult to support in accordance with ASC 740. Accordingly, a valuation allowance has been recorded against all deferred tax assets as of December 31, 2019 and December 31, 2018. Effective January 1, 2018, there is a glob</w:t>
      </w:r>
      <w:r>
        <w:rPr>
          <w:sz w:val="20"/>
          <w:szCs w:val="20"/>
        </w:rPr>
        <w:t>al intangible low-taxed income (“GILTI”) tax. Companies can either account for the GILTI inclusion in the period in which they are incurred or establish deferred tax liabilities for the expected future taxes associated with GILTI. The Company elected to re</w:t>
      </w:r>
      <w:r>
        <w:rPr>
          <w:sz w:val="20"/>
          <w:szCs w:val="20"/>
        </w:rPr>
        <w:t>cord the GILTI provisions as they are incurred each period.</w:t>
      </w:r>
    </w:p>
    <w:p w14:paraId="5756FF14" w14:textId="77777777" w:rsidR="00000000" w:rsidRDefault="001826C1">
      <w:pPr>
        <w:pStyle w:val="a3"/>
        <w:spacing w:before="0" w:beforeAutospacing="0" w:after="0" w:afterAutospacing="0" w:line="256" w:lineRule="auto"/>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CB8DA04" w14:textId="77777777">
        <w:trPr>
          <w:divId w:val="1003436555"/>
        </w:trPr>
        <w:tc>
          <w:tcPr>
            <w:tcW w:w="5000" w:type="pct"/>
            <w:hideMark/>
          </w:tcPr>
          <w:p w14:paraId="3F84979B"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5D60BA8B" w14:textId="77777777">
        <w:tc>
          <w:tcPr>
            <w:tcW w:w="5000" w:type="pct"/>
            <w:hideMark/>
          </w:tcPr>
          <w:p w14:paraId="3A90BAF2" w14:textId="77777777" w:rsidR="00000000" w:rsidRDefault="001826C1">
            <w:pPr>
              <w:jc w:val="center"/>
              <w:rPr>
                <w:rFonts w:eastAsia="Times New Roman"/>
                <w:sz w:val="20"/>
                <w:szCs w:val="20"/>
              </w:rPr>
            </w:pPr>
            <w:r>
              <w:rPr>
                <w:rFonts w:eastAsia="Times New Roman"/>
                <w:sz w:val="20"/>
                <w:szCs w:val="20"/>
              </w:rPr>
              <w:t> </w:t>
            </w:r>
          </w:p>
        </w:tc>
      </w:tr>
    </w:tbl>
    <w:p w14:paraId="62E13E29" w14:textId="77777777" w:rsidR="00000000" w:rsidRDefault="001826C1">
      <w:pPr>
        <w:pStyle w:val="a3"/>
        <w:spacing w:before="0" w:beforeAutospacing="0" w:after="0" w:afterAutospacing="0" w:line="256" w:lineRule="auto"/>
        <w:rPr>
          <w:sz w:val="20"/>
          <w:szCs w:val="20"/>
        </w:rPr>
      </w:pPr>
      <w:r>
        <w:rPr>
          <w:sz w:val="20"/>
          <w:szCs w:val="20"/>
        </w:rPr>
        <w:t> </w:t>
      </w:r>
    </w:p>
    <w:p w14:paraId="761A98A9" w14:textId="77777777" w:rsidR="00000000" w:rsidRDefault="001826C1">
      <w:pPr>
        <w:pStyle w:val="a3"/>
        <w:spacing w:before="0" w:beforeAutospacing="0" w:after="0" w:afterAutospacing="0"/>
        <w:rPr>
          <w:sz w:val="20"/>
          <w:szCs w:val="20"/>
        </w:rPr>
      </w:pPr>
      <w:r>
        <w:rPr>
          <w:sz w:val="20"/>
          <w:szCs w:val="20"/>
        </w:rPr>
        <w:t> </w:t>
      </w:r>
    </w:p>
    <w:p w14:paraId="755F8F91" w14:textId="77777777" w:rsidR="00000000" w:rsidRDefault="001826C1">
      <w:pPr>
        <w:pStyle w:val="a3"/>
        <w:shd w:val="clear" w:color="auto" w:fill="FFFFFF"/>
        <w:spacing w:before="0" w:beforeAutospacing="0" w:after="0" w:afterAutospacing="0"/>
        <w:jc w:val="both"/>
        <w:rPr>
          <w:sz w:val="20"/>
          <w:szCs w:val="20"/>
        </w:rPr>
      </w:pPr>
      <w:r>
        <w:rPr>
          <w:b/>
          <w:bCs/>
          <w:sz w:val="20"/>
          <w:szCs w:val="20"/>
        </w:rPr>
        <w:t>Critical Accounting Policies and Estimates</w:t>
      </w:r>
    </w:p>
    <w:p w14:paraId="6E13976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0A40949"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prepare our consolidated financial statements in accordance with GAAP. The preparation of these financial statements requires us to make estimates and assumptions about future events, and apply judgments that affect the reported amounts of assets, liabilit</w:t>
      </w:r>
      <w:r>
        <w:rPr>
          <w:sz w:val="20"/>
          <w:szCs w:val="20"/>
        </w:rPr>
        <w:t>ies, revenue, expense and related disclosures. We base our estimates, assumptions and judgments on historical experience, current trends and various other factors that we believe to be reasonable under the circumstances. The accounting estimates used in th</w:t>
      </w:r>
      <w:r>
        <w:rPr>
          <w:sz w:val="20"/>
          <w:szCs w:val="20"/>
        </w:rPr>
        <w:t>e preparation of our consolidated financial statements will change as new events occur, as more experience is acquired, as additional information is obtained and as our operating environment changes. On a regular basis, we review our accounting policies, e</w:t>
      </w:r>
      <w:r>
        <w:rPr>
          <w:sz w:val="20"/>
          <w:szCs w:val="20"/>
        </w:rPr>
        <w:t>stimates, assumptions and judgments to ensure that our financial statements are presented fairly and in accordance with GAAP. However, because future events and their effects cannot be determined with certainty, actual results could differ from our assumpt</w:t>
      </w:r>
      <w:r>
        <w:rPr>
          <w:sz w:val="20"/>
          <w:szCs w:val="20"/>
        </w:rPr>
        <w:t>ions and estimates, and such differences could be material. The methods, estimates and judgments that we use in applying our accounting policies have a significant impact on our results of operations.</w:t>
      </w:r>
    </w:p>
    <w:p w14:paraId="3004F84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9B5B5ED"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Critical accounting policies are those policies used </w:t>
      </w:r>
      <w:r>
        <w:rPr>
          <w:sz w:val="20"/>
          <w:szCs w:val="20"/>
        </w:rPr>
        <w:t>in the preparation of our consolidated financial statements that require management to make difficult, subjective, or complex adjustments, and to make estimates about the effect of matters that are inherently uncertain. As a result of our adoption of the n</w:t>
      </w:r>
      <w:r>
        <w:rPr>
          <w:sz w:val="20"/>
          <w:szCs w:val="20"/>
        </w:rPr>
        <w:t>ew revenue recognition standard on January 1, 2018, we re-assessed the estimates, assumptions, and judgments that are most critical in our recognition of revenue.</w:t>
      </w:r>
    </w:p>
    <w:p w14:paraId="5B112D4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D032622" w14:textId="77777777" w:rsidR="00000000" w:rsidRDefault="001826C1">
      <w:pPr>
        <w:pStyle w:val="a3"/>
        <w:shd w:val="clear" w:color="auto" w:fill="FFFFFF"/>
        <w:spacing w:before="0" w:beforeAutospacing="0" w:after="0" w:afterAutospacing="0"/>
        <w:jc w:val="both"/>
        <w:rPr>
          <w:sz w:val="20"/>
          <w:szCs w:val="20"/>
        </w:rPr>
      </w:pPr>
      <w:r>
        <w:rPr>
          <w:sz w:val="20"/>
          <w:szCs w:val="20"/>
          <w:u w:val="single"/>
        </w:rPr>
        <w:t>Revenue from Contracts with Customers</w:t>
      </w:r>
      <w:r>
        <w:rPr>
          <w:sz w:val="20"/>
          <w:szCs w:val="20"/>
        </w:rPr>
        <w:t>:</w:t>
      </w:r>
    </w:p>
    <w:p w14:paraId="3CDAAD4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C378A10" w14:textId="77777777" w:rsidR="00000000" w:rsidRDefault="001826C1">
      <w:pPr>
        <w:pStyle w:val="a3"/>
        <w:shd w:val="clear" w:color="auto" w:fill="FFFFFF"/>
        <w:spacing w:before="0" w:beforeAutospacing="0" w:after="0" w:afterAutospacing="0"/>
        <w:jc w:val="both"/>
        <w:rPr>
          <w:sz w:val="20"/>
          <w:szCs w:val="20"/>
        </w:rPr>
      </w:pPr>
      <w:r>
        <w:rPr>
          <w:sz w:val="20"/>
          <w:szCs w:val="20"/>
        </w:rPr>
        <w:t>We account for revenue in accordance with ASC 606,</w:t>
      </w:r>
      <w:r>
        <w:rPr>
          <w:sz w:val="20"/>
          <w:szCs w:val="20"/>
        </w:rPr>
        <w:t xml:space="preserve"> </w:t>
      </w:r>
      <w:r>
        <w:rPr>
          <w:i/>
          <w:iCs/>
          <w:sz w:val="20"/>
          <w:szCs w:val="20"/>
        </w:rPr>
        <w:t>Revenue from Contracts with Customers</w:t>
      </w:r>
      <w:r>
        <w:rPr>
          <w:sz w:val="20"/>
          <w:szCs w:val="20"/>
        </w:rPr>
        <w:t>. Our revenue recognition policies require us to make significant judgments and estimates, particularly as it relates to revenue cycle management and group purchasing revenue. Under ASC 606, certain significant account</w:t>
      </w:r>
      <w:r>
        <w:rPr>
          <w:sz w:val="20"/>
          <w:szCs w:val="20"/>
        </w:rPr>
        <w:t>ing estimates, such as payment-to-charge ratios, effective billing rates and the estimated contractual payment periods are required to measure the revenue cycle management revenue. To measure group purchasing services revenue, we need to estimate the numbe</w:t>
      </w:r>
      <w:r>
        <w:rPr>
          <w:sz w:val="20"/>
          <w:szCs w:val="20"/>
        </w:rPr>
        <w:t>r of providers purchasing vaccines and the amount and timing of those purchases. We analyze various factors including, but not limited to, contractual terms and conditions, the credit-worthiness of our customers and our pricing policies. Changes in judgmen</w:t>
      </w:r>
      <w:r>
        <w:rPr>
          <w:sz w:val="20"/>
          <w:szCs w:val="20"/>
        </w:rPr>
        <w:t>t on any of the above factors could materially impact the timing and amount of revenue recognized in a given period.</w:t>
      </w:r>
    </w:p>
    <w:p w14:paraId="69B863E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1DD5175" w14:textId="77777777" w:rsidR="00000000" w:rsidRDefault="001826C1">
      <w:pPr>
        <w:pStyle w:val="a3"/>
        <w:shd w:val="clear" w:color="auto" w:fill="FFFFFF"/>
        <w:spacing w:before="0" w:beforeAutospacing="0" w:after="0" w:afterAutospacing="0"/>
        <w:jc w:val="both"/>
        <w:rPr>
          <w:sz w:val="20"/>
          <w:szCs w:val="20"/>
        </w:rPr>
      </w:pPr>
      <w:r>
        <w:rPr>
          <w:sz w:val="20"/>
          <w:szCs w:val="20"/>
        </w:rPr>
        <w:t>Revenue is recognized as the performance obligations are satisfied. We derive revenue from seven primary sources: revenue cycle managemen</w:t>
      </w:r>
      <w:r>
        <w:rPr>
          <w:sz w:val="20"/>
          <w:szCs w:val="20"/>
        </w:rPr>
        <w:t>t services, practice management services, professional services, ancillary services, group purchasing services, printing and mailing services, and clearinghouse and EDI (electronic data interchange) services. All of our revenue arrangements are based on co</w:t>
      </w:r>
      <w:r>
        <w:rPr>
          <w:sz w:val="20"/>
          <w:szCs w:val="20"/>
        </w:rPr>
        <w:t>ntracts with customers. Most of our contracts with customers contain a single performance obligation. For contracts where we provide multiple services such as where we perform multiple ancillary services, each service represents its own performance obligat</w:t>
      </w:r>
      <w:r>
        <w:rPr>
          <w:sz w:val="20"/>
          <w:szCs w:val="20"/>
        </w:rPr>
        <w:t>ion. Selling or transaction prices are based on the contractual price for the service, which is consistent with the stand-alone selling price.</w:t>
      </w:r>
    </w:p>
    <w:p w14:paraId="028AECB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6A801F2" w14:textId="77777777" w:rsidR="00000000" w:rsidRDefault="001826C1">
      <w:pPr>
        <w:pStyle w:val="a3"/>
        <w:shd w:val="clear" w:color="auto" w:fill="FFFFFF"/>
        <w:spacing w:before="0" w:beforeAutospacing="0" w:after="0" w:afterAutospacing="0"/>
        <w:jc w:val="both"/>
        <w:rPr>
          <w:sz w:val="20"/>
          <w:szCs w:val="20"/>
        </w:rPr>
      </w:pPr>
      <w:r>
        <w:rPr>
          <w:i/>
          <w:iCs/>
          <w:sz w:val="20"/>
          <w:szCs w:val="20"/>
        </w:rPr>
        <w:t>Revenue cycle management services:</w:t>
      </w:r>
    </w:p>
    <w:p w14:paraId="165F761D"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6742EECE"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Revenue cycle management services are the recurring process of submitting </w:t>
      </w:r>
      <w:r>
        <w:rPr>
          <w:sz w:val="20"/>
          <w:szCs w:val="20"/>
        </w:rPr>
        <w:t>and following up on claims with health insurance companies in order for the healthcare providers to receive payment for the services they rendered. MTBC typically invoices customers on a monthly basis based on the actual collections received by its custome</w:t>
      </w:r>
      <w:r>
        <w:rPr>
          <w:sz w:val="20"/>
          <w:szCs w:val="20"/>
        </w:rPr>
        <w:t>rs and the agreed-upon rate in the sales contract. The services include use of practice management software and related tools (on a software-as-a-service (“SaaS”) basis), electronic health records (on a SaaS basis), medical billing services and use of mobi</w:t>
      </w:r>
      <w:r>
        <w:rPr>
          <w:sz w:val="20"/>
          <w:szCs w:val="20"/>
        </w:rPr>
        <w:t>le health solutions. We consider the services to be one performance obligation since the promises are not distinct in the context of the contract. The performance obligation consists of a series of distinct services that are substantially the same and have</w:t>
      </w:r>
      <w:r>
        <w:rPr>
          <w:sz w:val="20"/>
          <w:szCs w:val="20"/>
        </w:rPr>
        <w:t xml:space="preserve"> the same periodic pattern of transfer to our customers.</w:t>
      </w:r>
    </w:p>
    <w:p w14:paraId="0DD03E7D"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8F9F93C" w14:textId="77777777" w:rsidR="00000000" w:rsidRDefault="001826C1">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cause, thereby limiting the term in which we have enforceable rights and obligations, although this time perio</w:t>
      </w:r>
      <w:r>
        <w:rPr>
          <w:sz w:val="20"/>
          <w:szCs w:val="20"/>
        </w:rPr>
        <w:t>d can vary between clients. Our payment terms are normally net 30 days. Although our contracts typically have stated terms of one or more years, under ASC 606 our contracts are considered month-to-month and accordingly, there is no financing component.</w:t>
      </w:r>
    </w:p>
    <w:p w14:paraId="78DB32A2"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4C387E0" w14:textId="77777777">
        <w:trPr>
          <w:divId w:val="276763887"/>
        </w:trPr>
        <w:tc>
          <w:tcPr>
            <w:tcW w:w="5000" w:type="pct"/>
            <w:hideMark/>
          </w:tcPr>
          <w:p w14:paraId="0C3267C4"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2755F19F" w14:textId="77777777">
        <w:tc>
          <w:tcPr>
            <w:tcW w:w="5000" w:type="pct"/>
            <w:hideMark/>
          </w:tcPr>
          <w:p w14:paraId="5C403C4B" w14:textId="77777777" w:rsidR="00000000" w:rsidRDefault="001826C1">
            <w:pPr>
              <w:jc w:val="center"/>
              <w:rPr>
                <w:rFonts w:eastAsia="Times New Roman"/>
                <w:sz w:val="20"/>
                <w:szCs w:val="20"/>
              </w:rPr>
            </w:pPr>
            <w:r>
              <w:rPr>
                <w:rFonts w:eastAsia="Times New Roman"/>
                <w:sz w:val="20"/>
                <w:szCs w:val="20"/>
              </w:rPr>
              <w:t> </w:t>
            </w:r>
          </w:p>
        </w:tc>
      </w:tr>
    </w:tbl>
    <w:p w14:paraId="27233B94" w14:textId="77777777" w:rsidR="00000000" w:rsidRDefault="001826C1">
      <w:pPr>
        <w:pStyle w:val="a3"/>
        <w:spacing w:before="0" w:beforeAutospacing="0" w:after="0" w:afterAutospacing="0"/>
        <w:rPr>
          <w:sz w:val="20"/>
          <w:szCs w:val="20"/>
        </w:rPr>
      </w:pPr>
      <w:r>
        <w:rPr>
          <w:sz w:val="20"/>
          <w:szCs w:val="20"/>
        </w:rPr>
        <w:t> </w:t>
      </w:r>
    </w:p>
    <w:p w14:paraId="0DB155F0" w14:textId="77777777" w:rsidR="00000000" w:rsidRDefault="001826C1">
      <w:pPr>
        <w:pStyle w:val="a3"/>
        <w:spacing w:before="0" w:beforeAutospacing="0" w:after="0" w:afterAutospacing="0"/>
        <w:jc w:val="both"/>
        <w:rPr>
          <w:sz w:val="20"/>
          <w:szCs w:val="20"/>
        </w:rPr>
      </w:pPr>
      <w:r>
        <w:rPr>
          <w:sz w:val="20"/>
          <w:szCs w:val="20"/>
        </w:rPr>
        <w:t xml:space="preserve">For </w:t>
      </w:r>
      <w:r>
        <w:rPr>
          <w:sz w:val="20"/>
          <w:szCs w:val="20"/>
        </w:rPr>
        <w:t>the majority of our revenue cycle management contracts, the total transaction price is variable because our obligation is to process an unknown quantity of claims, as and when requested by our customers over the contract period. When a contract includes va</w:t>
      </w:r>
      <w:r>
        <w:rPr>
          <w:sz w:val="20"/>
          <w:szCs w:val="20"/>
        </w:rPr>
        <w:t>riable consideration, we evaluate the estimate of the variable consideration to determine whether the estimate needs to be constrained; therefore, we include variable consideration in the transaction price only to the extent that it is probable that a sign</w:t>
      </w:r>
      <w:r>
        <w:rPr>
          <w:sz w:val="20"/>
          <w:szCs w:val="20"/>
        </w:rPr>
        <w:t>ificant reversal of the amount of cumulative revenue recognized will not occur when the uncertainty associated with variable consideration is subsequently resolved. Estimates to determine variable consideration such as payment to charge ratios, effective b</w:t>
      </w:r>
      <w:r>
        <w:rPr>
          <w:sz w:val="20"/>
          <w:szCs w:val="20"/>
        </w:rPr>
        <w:t>illing rates, and the estimated contractual payment periods are updated at each reporting date. Revenue is recognized over the performance period using the input method.</w:t>
      </w:r>
    </w:p>
    <w:p w14:paraId="673AA25D"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4F73C33E"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Group purchasing services: </w:t>
      </w:r>
    </w:p>
    <w:p w14:paraId="27160C39"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13DFB35D" w14:textId="77777777" w:rsidR="00000000" w:rsidRDefault="001826C1">
      <w:pPr>
        <w:pStyle w:val="a3"/>
        <w:shd w:val="clear" w:color="auto" w:fill="FFFFFF"/>
        <w:spacing w:before="0" w:beforeAutospacing="0" w:after="0" w:afterAutospacing="0"/>
        <w:jc w:val="both"/>
        <w:rPr>
          <w:sz w:val="20"/>
          <w:szCs w:val="20"/>
        </w:rPr>
      </w:pPr>
      <w:r>
        <w:rPr>
          <w:sz w:val="20"/>
          <w:szCs w:val="20"/>
        </w:rPr>
        <w:t>We estimate the variable consideration which we expect</w:t>
      </w:r>
      <w:r>
        <w:rPr>
          <w:sz w:val="20"/>
          <w:szCs w:val="20"/>
        </w:rPr>
        <w:t xml:space="preserve"> to be entitled to for the group purchasing services based upon anticipated shipments to the medical providers enrolled in the program, seasonality and the changes in the number of providers. The estimate of variable consideration includes adjusting histor</w:t>
      </w:r>
      <w:r>
        <w:rPr>
          <w:sz w:val="20"/>
          <w:szCs w:val="20"/>
        </w:rPr>
        <w:t>ical data for anticipated changes from prior periods. When reviewing our estimates, in order to ensure that our estimates do not pose a risk of significantly overstating our revenue in any reporting period, we will apply constraints, when appropriate, to c</w:t>
      </w:r>
      <w:r>
        <w:rPr>
          <w:sz w:val="20"/>
          <w:szCs w:val="20"/>
        </w:rPr>
        <w:t>ertain estimates around our variable consideration. Variable consideration estimates are updated at each reporting period.</w:t>
      </w:r>
    </w:p>
    <w:p w14:paraId="07F0A34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5B54A0A" w14:textId="77777777" w:rsidR="00000000" w:rsidRDefault="001826C1">
      <w:pPr>
        <w:pStyle w:val="a3"/>
        <w:shd w:val="clear" w:color="auto" w:fill="FFFFFF"/>
        <w:spacing w:before="0" w:beforeAutospacing="0" w:after="0" w:afterAutospacing="0"/>
        <w:jc w:val="both"/>
        <w:rPr>
          <w:sz w:val="20"/>
          <w:szCs w:val="20"/>
        </w:rPr>
      </w:pPr>
      <w:r>
        <w:rPr>
          <w:i/>
          <w:iCs/>
          <w:sz w:val="20"/>
          <w:szCs w:val="20"/>
        </w:rPr>
        <w:t>Practice management services:</w:t>
      </w:r>
    </w:p>
    <w:p w14:paraId="06E63AA7"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4964C40D" w14:textId="77777777" w:rsidR="00000000" w:rsidRDefault="001826C1">
      <w:pPr>
        <w:pStyle w:val="a3"/>
        <w:shd w:val="clear" w:color="auto" w:fill="FFFFFF"/>
        <w:spacing w:before="0" w:beforeAutospacing="0" w:after="0" w:afterAutospacing="0"/>
        <w:jc w:val="both"/>
        <w:rPr>
          <w:sz w:val="20"/>
          <w:szCs w:val="20"/>
        </w:rPr>
      </w:pPr>
      <w:r>
        <w:rPr>
          <w:sz w:val="20"/>
          <w:szCs w:val="20"/>
        </w:rPr>
        <w:t>We estimate the amount that will be collected on claims submitted to insurance carriers which is us</w:t>
      </w:r>
      <w:r>
        <w:rPr>
          <w:sz w:val="20"/>
          <w:szCs w:val="20"/>
        </w:rPr>
        <w:t>ed to determine the compensation to be paid to the owners of the managed practices. These compensation amounts reduce the revenue that the Company recognizes since they are deducted from gross billings. The estimate of the amounts to be received from the i</w:t>
      </w:r>
      <w:r>
        <w:rPr>
          <w:sz w:val="20"/>
          <w:szCs w:val="20"/>
        </w:rPr>
        <w:t>nsurance claims are updated at each reporting period.</w:t>
      </w:r>
    </w:p>
    <w:p w14:paraId="39C2071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3967ABB" w14:textId="77777777" w:rsidR="00000000" w:rsidRDefault="001826C1">
      <w:pPr>
        <w:pStyle w:val="a3"/>
        <w:shd w:val="clear" w:color="auto" w:fill="FFFFFF"/>
        <w:spacing w:before="0" w:beforeAutospacing="0" w:after="0" w:afterAutospacing="0"/>
        <w:jc w:val="both"/>
        <w:rPr>
          <w:sz w:val="20"/>
          <w:szCs w:val="20"/>
        </w:rPr>
      </w:pPr>
      <w:r>
        <w:rPr>
          <w:sz w:val="20"/>
          <w:szCs w:val="20"/>
        </w:rPr>
        <w:t>Although we believe that our approach to estimates and judgments is reasonable, actual results could differ, and we may be exposed to increases or decreases in revenue that could be material. Our esti</w:t>
      </w:r>
      <w:r>
        <w:rPr>
          <w:sz w:val="20"/>
          <w:szCs w:val="20"/>
        </w:rPr>
        <w:t>mates of variable consideration may prove to be inaccurate, in which case we may have understated or overstated the revenue recognized in an accounting period. The amount of variable consideration recognized to date that remains subject to estimation is in</w:t>
      </w:r>
      <w:r>
        <w:rPr>
          <w:sz w:val="20"/>
          <w:szCs w:val="20"/>
        </w:rPr>
        <w:t>cluded within the contract asset on the consolidated balance sheet.</w:t>
      </w:r>
    </w:p>
    <w:p w14:paraId="1EEF4A6D"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D07000D" w14:textId="77777777" w:rsidR="00000000" w:rsidRDefault="001826C1">
      <w:pPr>
        <w:pStyle w:val="a3"/>
        <w:shd w:val="clear" w:color="auto" w:fill="FFFFFF"/>
        <w:spacing w:before="0" w:beforeAutospacing="0" w:after="0" w:afterAutospacing="0"/>
        <w:jc w:val="both"/>
        <w:rPr>
          <w:sz w:val="20"/>
          <w:szCs w:val="20"/>
        </w:rPr>
      </w:pPr>
      <w:r>
        <w:rPr>
          <w:sz w:val="20"/>
          <w:szCs w:val="20"/>
          <w:u w:val="single"/>
        </w:rPr>
        <w:t>Contingent Consideration:</w:t>
      </w:r>
    </w:p>
    <w:p w14:paraId="7099E55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B00F72D" w14:textId="77777777" w:rsidR="00000000" w:rsidRDefault="001826C1">
      <w:pPr>
        <w:pStyle w:val="a3"/>
        <w:shd w:val="clear" w:color="auto" w:fill="FFFFFF"/>
        <w:spacing w:before="0" w:beforeAutospacing="0" w:after="0" w:afterAutospacing="0"/>
        <w:jc w:val="both"/>
        <w:rPr>
          <w:sz w:val="20"/>
          <w:szCs w:val="20"/>
        </w:rPr>
      </w:pPr>
      <w:r>
        <w:rPr>
          <w:sz w:val="20"/>
          <w:szCs w:val="20"/>
        </w:rPr>
        <w:t>If a business combination provides for contingent consideration, the Company records the contingent consideration at fair value at the acquisition date. The C</w:t>
      </w:r>
      <w:r>
        <w:rPr>
          <w:sz w:val="20"/>
          <w:szCs w:val="20"/>
        </w:rPr>
        <w:t>ompany adjusts the contingent consideration liability at the end of each reporting period based on fair value inputs representing changes in forecasted revenue of the acquired entities and the probability of an adjustment to the purchase price. Critical es</w:t>
      </w:r>
      <w:r>
        <w:rPr>
          <w:sz w:val="20"/>
          <w:szCs w:val="20"/>
        </w:rPr>
        <w:t>timates include determining the forecasted revenue for certain acquisitions, probability and timing of cash collections and an appropriate discount rate. Changes in the fair value of the contingent consideration after the acquisition date are included in e</w:t>
      </w:r>
      <w:r>
        <w:rPr>
          <w:sz w:val="20"/>
          <w:szCs w:val="20"/>
        </w:rPr>
        <w:t>arnings if the contingent consideration is recorded as a liability.</w:t>
      </w:r>
    </w:p>
    <w:p w14:paraId="4F1763D2"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4F5D4D66" w14:textId="77777777" w:rsidR="00000000" w:rsidRDefault="001826C1">
      <w:pPr>
        <w:pStyle w:val="a3"/>
        <w:shd w:val="clear" w:color="auto" w:fill="FFFFFF"/>
        <w:spacing w:before="0" w:beforeAutospacing="0" w:after="0" w:afterAutospacing="0"/>
        <w:jc w:val="both"/>
        <w:rPr>
          <w:sz w:val="20"/>
          <w:szCs w:val="20"/>
        </w:rPr>
      </w:pPr>
      <w:r>
        <w:rPr>
          <w:sz w:val="20"/>
          <w:szCs w:val="20"/>
          <w:u w:val="single"/>
        </w:rPr>
        <w:t>Goodwill Impairment:</w:t>
      </w:r>
    </w:p>
    <w:p w14:paraId="496F214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75CE88D" w14:textId="77777777" w:rsidR="00000000" w:rsidRDefault="001826C1">
      <w:pPr>
        <w:pStyle w:val="a3"/>
        <w:spacing w:before="0" w:beforeAutospacing="0" w:after="0" w:afterAutospacing="0"/>
        <w:jc w:val="both"/>
        <w:rPr>
          <w:sz w:val="20"/>
          <w:szCs w:val="20"/>
        </w:rPr>
      </w:pPr>
      <w:r>
        <w:rPr>
          <w:sz w:val="20"/>
          <w:szCs w:val="20"/>
        </w:rPr>
        <w:t>Goodwill is evaluated for impairment annually as of October 31</w:t>
      </w:r>
      <w:r>
        <w:rPr>
          <w:sz w:val="20"/>
          <w:szCs w:val="20"/>
          <w:vertAlign w:val="superscript"/>
        </w:rPr>
        <w:t>st</w:t>
      </w:r>
      <w:r>
        <w:rPr>
          <w:sz w:val="20"/>
          <w:szCs w:val="20"/>
        </w:rPr>
        <w:t>, referred to as the annual test date. The Company will also test for impairment between annual test dates if an event occurs or circumstances change that would indicate the carrying amount may be impaired. Impairment testing for goodwill is performed at t</w:t>
      </w:r>
      <w:r>
        <w:rPr>
          <w:sz w:val="20"/>
          <w:szCs w:val="20"/>
        </w:rPr>
        <w:t>he reporting-unit level. The Company has determined that its business consists of two operating segments and two reporting units (Healthcare IT and Practice Management). Application of the goodwill impairment test requires judgment including the use of a d</w:t>
      </w:r>
      <w:r>
        <w:rPr>
          <w:sz w:val="20"/>
          <w:szCs w:val="20"/>
        </w:rPr>
        <w:t>iscounted cash flow and market approach methodology. These analyses require significant assumptions and judgments. These assumptions and judgments include estimation of future cash flows, which is dependent on internal forecasts, estimation of the long-ter</w:t>
      </w:r>
      <w:r>
        <w:rPr>
          <w:sz w:val="20"/>
          <w:szCs w:val="20"/>
        </w:rPr>
        <w:t>m rate of growth for our business, estimation of the useful life over which cash flows will occur, determination of our weighted average cost of capital and the selection of comparable companies and the interpretation of their data. Future business and eco</w:t>
      </w:r>
      <w:r>
        <w:rPr>
          <w:sz w:val="20"/>
          <w:szCs w:val="20"/>
        </w:rPr>
        <w:t>nomic conditions, as well as differences in actual financial results related to any of the assumptions, could materially impact the consolidated financial statements through impairment of goodwill or intangible assets and acceleration of the amortization p</w:t>
      </w:r>
      <w:r>
        <w:rPr>
          <w:sz w:val="20"/>
          <w:szCs w:val="20"/>
        </w:rPr>
        <w:t>eriod of the purchased intangible assets which are finite-lived assets. No impairment charges were recorded during the years ended December 31, 2019 or 2018.</w:t>
      </w:r>
    </w:p>
    <w:p w14:paraId="52524CCD"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C9FCA3A" w14:textId="77777777">
        <w:trPr>
          <w:divId w:val="873005919"/>
        </w:trPr>
        <w:tc>
          <w:tcPr>
            <w:tcW w:w="5000" w:type="pct"/>
            <w:hideMark/>
          </w:tcPr>
          <w:p w14:paraId="3A593DAC"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3625DCBB" w14:textId="77777777">
        <w:tc>
          <w:tcPr>
            <w:tcW w:w="5000" w:type="pct"/>
            <w:hideMark/>
          </w:tcPr>
          <w:p w14:paraId="691DC545" w14:textId="77777777" w:rsidR="00000000" w:rsidRDefault="001826C1">
            <w:pPr>
              <w:jc w:val="center"/>
              <w:rPr>
                <w:rFonts w:eastAsia="Times New Roman"/>
                <w:sz w:val="20"/>
                <w:szCs w:val="20"/>
              </w:rPr>
            </w:pPr>
            <w:r>
              <w:rPr>
                <w:rFonts w:eastAsia="Times New Roman"/>
                <w:sz w:val="20"/>
                <w:szCs w:val="20"/>
              </w:rPr>
              <w:t> </w:t>
            </w:r>
          </w:p>
        </w:tc>
      </w:tr>
    </w:tbl>
    <w:p w14:paraId="6591C4A7" w14:textId="77777777" w:rsidR="00000000" w:rsidRDefault="001826C1">
      <w:pPr>
        <w:pStyle w:val="a3"/>
        <w:spacing w:before="0" w:beforeAutospacing="0" w:after="0" w:afterAutospacing="0"/>
        <w:rPr>
          <w:sz w:val="20"/>
          <w:szCs w:val="20"/>
        </w:rPr>
      </w:pPr>
      <w:r>
        <w:rPr>
          <w:sz w:val="20"/>
          <w:szCs w:val="20"/>
        </w:rPr>
        <w:t> </w:t>
      </w:r>
    </w:p>
    <w:p w14:paraId="243228E4" w14:textId="77777777" w:rsidR="00000000" w:rsidRDefault="001826C1">
      <w:pPr>
        <w:pStyle w:val="a3"/>
        <w:spacing w:before="0" w:beforeAutospacing="0" w:after="0" w:afterAutospacing="0"/>
        <w:rPr>
          <w:sz w:val="20"/>
          <w:szCs w:val="20"/>
        </w:rPr>
      </w:pPr>
      <w:r>
        <w:rPr>
          <w:sz w:val="20"/>
          <w:szCs w:val="20"/>
          <w:u w:val="single"/>
        </w:rPr>
        <w:t>Business Combinations:</w:t>
      </w:r>
    </w:p>
    <w:p w14:paraId="33576DB9" w14:textId="77777777" w:rsidR="00000000" w:rsidRDefault="001826C1">
      <w:pPr>
        <w:pStyle w:val="a3"/>
        <w:spacing w:before="0" w:beforeAutospacing="0" w:after="0" w:afterAutospacing="0"/>
        <w:rPr>
          <w:sz w:val="20"/>
          <w:szCs w:val="20"/>
        </w:rPr>
      </w:pPr>
      <w:r>
        <w:rPr>
          <w:sz w:val="20"/>
          <w:szCs w:val="20"/>
        </w:rPr>
        <w:t> </w:t>
      </w:r>
    </w:p>
    <w:p w14:paraId="3C192335" w14:textId="77777777" w:rsidR="00000000" w:rsidRDefault="001826C1">
      <w:pPr>
        <w:pStyle w:val="a3"/>
        <w:spacing w:before="0" w:beforeAutospacing="0" w:after="0" w:afterAutospacing="0"/>
        <w:jc w:val="both"/>
        <w:rPr>
          <w:sz w:val="20"/>
          <w:szCs w:val="20"/>
        </w:rPr>
      </w:pPr>
      <w:r>
        <w:rPr>
          <w:sz w:val="20"/>
          <w:szCs w:val="20"/>
        </w:rPr>
        <w:t>The Company accounts for business combinations under the prov</w:t>
      </w:r>
      <w:r>
        <w:rPr>
          <w:sz w:val="20"/>
          <w:szCs w:val="20"/>
        </w:rPr>
        <w:t xml:space="preserve">isions of ASC 805, </w:t>
      </w:r>
      <w:r>
        <w:rPr>
          <w:i/>
          <w:iCs/>
          <w:sz w:val="20"/>
          <w:szCs w:val="20"/>
        </w:rPr>
        <w:t>Business Combinations</w:t>
      </w:r>
      <w:r>
        <w:rPr>
          <w:sz w:val="20"/>
          <w:szCs w:val="20"/>
        </w:rPr>
        <w:t>, which requires that the acquisition method of accounting be used for all business combinations. Assets acquired and liabilities assumed are recorded at the date of acquisition at their respective fair values. The f</w:t>
      </w:r>
      <w:r>
        <w:rPr>
          <w:sz w:val="20"/>
          <w:szCs w:val="20"/>
        </w:rPr>
        <w:t>air value amount assigned to intangible assets is based on an exit price from a market participant’s viewpoint, and utilizes data such as discounted cash flow analysis and replacement cost models. Critical estimates in valuing certain intangible assets inc</w:t>
      </w:r>
      <w:r>
        <w:rPr>
          <w:sz w:val="20"/>
          <w:szCs w:val="20"/>
        </w:rPr>
        <w:t>lude, but are not limited to, historical and projected client retention rates, expected future cash inflows and outflows, discount rates, and estimated useful lives of those intangible assets. ASC 805 also specifies criteria that intangible assets acquired</w:t>
      </w:r>
      <w:r>
        <w:rPr>
          <w:sz w:val="20"/>
          <w:szCs w:val="20"/>
        </w:rPr>
        <w:t xml:space="preserve"> in a business combination must meet to be recognized and reported apart from goodwill. Goodwill represents the excess purchase price over the fair value of the tangible net assets and intangible assets acquired in a business combination. Acquisition-relat</w:t>
      </w:r>
      <w:r>
        <w:rPr>
          <w:sz w:val="20"/>
          <w:szCs w:val="20"/>
        </w:rPr>
        <w:t>ed expenses are recognized separately from the business combinations and are expensed as incurred.</w:t>
      </w:r>
    </w:p>
    <w:p w14:paraId="2B68694B" w14:textId="77777777" w:rsidR="00000000" w:rsidRDefault="001826C1">
      <w:pPr>
        <w:pStyle w:val="a3"/>
        <w:shd w:val="clear" w:color="auto" w:fill="FFFFFF"/>
        <w:spacing w:before="0" w:beforeAutospacing="0" w:after="0" w:afterAutospacing="0"/>
        <w:jc w:val="both"/>
        <w:rPr>
          <w:sz w:val="20"/>
          <w:szCs w:val="20"/>
        </w:rPr>
      </w:pPr>
      <w:r>
        <w:rPr>
          <w:b/>
          <w:bCs/>
          <w:sz w:val="20"/>
          <w:szCs w:val="20"/>
        </w:rPr>
        <w:t> </w:t>
      </w:r>
    </w:p>
    <w:p w14:paraId="5F9C2F32" w14:textId="77777777" w:rsidR="00000000" w:rsidRDefault="001826C1">
      <w:pPr>
        <w:pStyle w:val="a3"/>
        <w:shd w:val="clear" w:color="auto" w:fill="FFFFFF"/>
        <w:spacing w:before="0" w:beforeAutospacing="0" w:after="0" w:afterAutospacing="0"/>
        <w:jc w:val="both"/>
        <w:rPr>
          <w:sz w:val="20"/>
          <w:szCs w:val="20"/>
        </w:rPr>
      </w:pPr>
      <w:r>
        <w:rPr>
          <w:b/>
          <w:bCs/>
          <w:sz w:val="20"/>
          <w:szCs w:val="20"/>
        </w:rPr>
        <w:t>Results of Operations</w:t>
      </w:r>
    </w:p>
    <w:p w14:paraId="05CB7FE9" w14:textId="77777777" w:rsidR="00000000" w:rsidRDefault="001826C1">
      <w:pPr>
        <w:pStyle w:val="a3"/>
        <w:shd w:val="clear" w:color="auto" w:fill="FFFFFF"/>
        <w:spacing w:before="0" w:beforeAutospacing="0" w:after="0" w:afterAutospacing="0"/>
        <w:jc w:val="both"/>
        <w:rPr>
          <w:sz w:val="20"/>
          <w:szCs w:val="20"/>
        </w:rPr>
      </w:pPr>
      <w:r>
        <w:rPr>
          <w:b/>
          <w:bCs/>
          <w:sz w:val="20"/>
          <w:szCs w:val="20"/>
        </w:rPr>
        <w:t> </w:t>
      </w:r>
    </w:p>
    <w:p w14:paraId="6AF6D2F3" w14:textId="77777777" w:rsidR="00000000" w:rsidRDefault="001826C1">
      <w:pPr>
        <w:pStyle w:val="a3"/>
        <w:spacing w:before="0" w:beforeAutospacing="0" w:after="0" w:afterAutospacing="0"/>
        <w:jc w:val="both"/>
        <w:rPr>
          <w:sz w:val="20"/>
          <w:szCs w:val="20"/>
        </w:rPr>
      </w:pPr>
      <w:r>
        <w:rPr>
          <w:sz w:val="20"/>
          <w:szCs w:val="20"/>
        </w:rPr>
        <w:t>The following table sets forth our consolidated results of operations as a percentage of total revenue for the years shown.</w:t>
      </w:r>
    </w:p>
    <w:p w14:paraId="1A07B52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05"/>
        <w:gridCol w:w="85"/>
        <w:gridCol w:w="50"/>
        <w:gridCol w:w="850"/>
        <w:gridCol w:w="234"/>
        <w:gridCol w:w="85"/>
        <w:gridCol w:w="50"/>
        <w:gridCol w:w="852"/>
        <w:gridCol w:w="234"/>
      </w:tblGrid>
      <w:tr w:rsidR="00000000" w14:paraId="113AB90A" w14:textId="77777777">
        <w:tc>
          <w:tcPr>
            <w:tcW w:w="0" w:type="auto"/>
            <w:vAlign w:val="bottom"/>
            <w:hideMark/>
          </w:tcPr>
          <w:p w14:paraId="34BD8331" w14:textId="77777777" w:rsidR="00000000" w:rsidRDefault="001826C1">
            <w:pPr>
              <w:rPr>
                <w:rFonts w:eastAsia="Times New Roman"/>
                <w:color w:val="FF0000"/>
                <w:sz w:val="20"/>
                <w:szCs w:val="20"/>
              </w:rPr>
            </w:pPr>
            <w:r>
              <w:rPr>
                <w:rFonts w:eastAsia="Times New Roman"/>
                <w:color w:val="FF0000"/>
                <w:sz w:val="20"/>
                <w:szCs w:val="20"/>
              </w:rPr>
              <w:t> </w:t>
            </w:r>
          </w:p>
        </w:tc>
        <w:tc>
          <w:tcPr>
            <w:tcW w:w="0" w:type="auto"/>
            <w:tcMar>
              <w:top w:w="0" w:type="dxa"/>
              <w:left w:w="0" w:type="dxa"/>
              <w:bottom w:w="30" w:type="dxa"/>
              <w:right w:w="0" w:type="dxa"/>
            </w:tcMar>
            <w:vAlign w:val="bottom"/>
            <w:hideMark/>
          </w:tcPr>
          <w:p w14:paraId="655EC976"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063ABD5"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0AC3B671" w14:textId="77777777" w:rsidR="00000000" w:rsidRDefault="001826C1">
            <w:pPr>
              <w:rPr>
                <w:rFonts w:eastAsia="Times New Roman"/>
                <w:b/>
                <w:bCs/>
                <w:sz w:val="20"/>
                <w:szCs w:val="20"/>
              </w:rPr>
            </w:pPr>
            <w:r>
              <w:rPr>
                <w:rFonts w:eastAsia="Times New Roman"/>
                <w:b/>
                <w:bCs/>
                <w:sz w:val="20"/>
                <w:szCs w:val="20"/>
              </w:rPr>
              <w:t> </w:t>
            </w:r>
          </w:p>
        </w:tc>
      </w:tr>
      <w:tr w:rsidR="00000000" w14:paraId="375B4E55" w14:textId="77777777">
        <w:tc>
          <w:tcPr>
            <w:tcW w:w="0" w:type="auto"/>
            <w:vAlign w:val="bottom"/>
            <w:hideMark/>
          </w:tcPr>
          <w:p w14:paraId="14D96807"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3788FFF"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391BB6"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0E91744"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92E792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6EB755C"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5202253C" w14:textId="77777777" w:rsidR="00000000" w:rsidRDefault="001826C1">
            <w:pPr>
              <w:rPr>
                <w:rFonts w:eastAsia="Times New Roman"/>
                <w:b/>
                <w:bCs/>
                <w:sz w:val="20"/>
                <w:szCs w:val="20"/>
              </w:rPr>
            </w:pPr>
            <w:r>
              <w:rPr>
                <w:rFonts w:eastAsia="Times New Roman"/>
                <w:b/>
                <w:bCs/>
                <w:sz w:val="20"/>
                <w:szCs w:val="20"/>
              </w:rPr>
              <w:t> </w:t>
            </w:r>
          </w:p>
        </w:tc>
      </w:tr>
      <w:tr w:rsidR="00000000" w14:paraId="000D3B50" w14:textId="77777777">
        <w:tc>
          <w:tcPr>
            <w:tcW w:w="3200" w:type="pct"/>
            <w:shd w:val="clear" w:color="auto" w:fill="CCEEFF"/>
            <w:vAlign w:val="bottom"/>
            <w:hideMark/>
          </w:tcPr>
          <w:p w14:paraId="44D8DD0F" w14:textId="77777777" w:rsidR="00000000" w:rsidRDefault="001826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4EA55B8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B5CE32" w14:textId="77777777" w:rsidR="00000000" w:rsidRDefault="001826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1B420D1" w14:textId="77777777" w:rsidR="00000000" w:rsidRDefault="001826C1">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665BC4CB"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69999BE6"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FEC5EF" w14:textId="77777777" w:rsidR="00000000" w:rsidRDefault="001826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CFC3391" w14:textId="77777777" w:rsidR="00000000" w:rsidRDefault="001826C1">
            <w:pPr>
              <w:jc w:val="right"/>
              <w:rPr>
                <w:rFonts w:eastAsia="Times New Roman"/>
                <w:sz w:val="20"/>
                <w:szCs w:val="20"/>
              </w:rPr>
            </w:pPr>
            <w:r>
              <w:rPr>
                <w:rFonts w:eastAsia="Times New Roman"/>
                <w:sz w:val="20"/>
                <w:szCs w:val="20"/>
              </w:rPr>
              <w:t>100.0</w:t>
            </w:r>
          </w:p>
        </w:tc>
        <w:tc>
          <w:tcPr>
            <w:tcW w:w="50" w:type="pct"/>
            <w:shd w:val="clear" w:color="auto" w:fill="CCEEFF"/>
            <w:vAlign w:val="bottom"/>
            <w:hideMark/>
          </w:tcPr>
          <w:p w14:paraId="72534865" w14:textId="77777777" w:rsidR="00000000" w:rsidRDefault="001826C1">
            <w:pPr>
              <w:rPr>
                <w:rFonts w:eastAsia="Times New Roman"/>
                <w:sz w:val="20"/>
                <w:szCs w:val="20"/>
              </w:rPr>
            </w:pPr>
            <w:r>
              <w:rPr>
                <w:rFonts w:eastAsia="Times New Roman"/>
                <w:sz w:val="20"/>
                <w:szCs w:val="20"/>
              </w:rPr>
              <w:t>%</w:t>
            </w:r>
          </w:p>
        </w:tc>
      </w:tr>
      <w:tr w:rsidR="00000000" w14:paraId="6EEA7304" w14:textId="77777777">
        <w:tc>
          <w:tcPr>
            <w:tcW w:w="0" w:type="auto"/>
            <w:shd w:val="clear" w:color="auto" w:fill="FFFFFF"/>
            <w:vAlign w:val="bottom"/>
            <w:hideMark/>
          </w:tcPr>
          <w:p w14:paraId="16A91FD7" w14:textId="77777777" w:rsidR="00000000" w:rsidRDefault="001826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7137424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6E77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19CAA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E80DC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8EBD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0C66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C641F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5DDF41A" w14:textId="77777777" w:rsidR="00000000" w:rsidRDefault="001826C1">
            <w:pPr>
              <w:rPr>
                <w:rFonts w:eastAsia="Times New Roman"/>
                <w:sz w:val="20"/>
                <w:szCs w:val="20"/>
              </w:rPr>
            </w:pPr>
            <w:r>
              <w:rPr>
                <w:rFonts w:eastAsia="Times New Roman"/>
                <w:sz w:val="20"/>
                <w:szCs w:val="20"/>
              </w:rPr>
              <w:t> </w:t>
            </w:r>
          </w:p>
        </w:tc>
      </w:tr>
      <w:tr w:rsidR="00000000" w14:paraId="17A4D261" w14:textId="77777777">
        <w:tc>
          <w:tcPr>
            <w:tcW w:w="0" w:type="auto"/>
            <w:shd w:val="clear" w:color="auto" w:fill="CCEEFF"/>
            <w:tcMar>
              <w:top w:w="0" w:type="dxa"/>
              <w:left w:w="200" w:type="dxa"/>
              <w:bottom w:w="0" w:type="dxa"/>
              <w:right w:w="0" w:type="dxa"/>
            </w:tcMar>
            <w:vAlign w:val="bottom"/>
            <w:hideMark/>
          </w:tcPr>
          <w:p w14:paraId="334B5E09" w14:textId="77777777" w:rsidR="00000000" w:rsidRDefault="001826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6D63433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16FE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3267EF" w14:textId="77777777" w:rsidR="00000000" w:rsidRDefault="001826C1">
            <w:pPr>
              <w:jc w:val="right"/>
              <w:rPr>
                <w:rFonts w:eastAsia="Times New Roman"/>
                <w:sz w:val="20"/>
                <w:szCs w:val="20"/>
              </w:rPr>
            </w:pPr>
            <w:r>
              <w:rPr>
                <w:rFonts w:eastAsia="Times New Roman"/>
                <w:sz w:val="20"/>
                <w:szCs w:val="20"/>
              </w:rPr>
              <w:t>63.9</w:t>
            </w:r>
          </w:p>
        </w:tc>
        <w:tc>
          <w:tcPr>
            <w:tcW w:w="0" w:type="auto"/>
            <w:shd w:val="clear" w:color="auto" w:fill="CCEEFF"/>
            <w:vAlign w:val="bottom"/>
            <w:hideMark/>
          </w:tcPr>
          <w:p w14:paraId="15CA1DAF"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5E17E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C253A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0FFD9E" w14:textId="77777777" w:rsidR="00000000" w:rsidRDefault="001826C1">
            <w:pPr>
              <w:jc w:val="right"/>
              <w:rPr>
                <w:rFonts w:eastAsia="Times New Roman"/>
                <w:sz w:val="20"/>
                <w:szCs w:val="20"/>
              </w:rPr>
            </w:pPr>
            <w:r>
              <w:rPr>
                <w:rFonts w:eastAsia="Times New Roman"/>
                <w:sz w:val="20"/>
                <w:szCs w:val="20"/>
              </w:rPr>
              <w:t>61.8</w:t>
            </w:r>
          </w:p>
        </w:tc>
        <w:tc>
          <w:tcPr>
            <w:tcW w:w="0" w:type="auto"/>
            <w:shd w:val="clear" w:color="auto" w:fill="CCEEFF"/>
            <w:vAlign w:val="bottom"/>
            <w:hideMark/>
          </w:tcPr>
          <w:p w14:paraId="788168F7" w14:textId="77777777" w:rsidR="00000000" w:rsidRDefault="001826C1">
            <w:pPr>
              <w:rPr>
                <w:rFonts w:eastAsia="Times New Roman"/>
                <w:sz w:val="20"/>
                <w:szCs w:val="20"/>
              </w:rPr>
            </w:pPr>
            <w:r>
              <w:rPr>
                <w:rFonts w:eastAsia="Times New Roman"/>
                <w:sz w:val="20"/>
                <w:szCs w:val="20"/>
              </w:rPr>
              <w:t>%</w:t>
            </w:r>
          </w:p>
        </w:tc>
      </w:tr>
      <w:tr w:rsidR="00000000" w14:paraId="3933903A" w14:textId="77777777">
        <w:tc>
          <w:tcPr>
            <w:tcW w:w="0" w:type="auto"/>
            <w:shd w:val="clear" w:color="auto" w:fill="FFFFFF"/>
            <w:tcMar>
              <w:top w:w="0" w:type="dxa"/>
              <w:left w:w="200" w:type="dxa"/>
              <w:bottom w:w="0" w:type="dxa"/>
              <w:right w:w="0" w:type="dxa"/>
            </w:tcMar>
            <w:vAlign w:val="bottom"/>
            <w:hideMark/>
          </w:tcPr>
          <w:p w14:paraId="29279673" w14:textId="77777777" w:rsidR="00000000" w:rsidRDefault="001826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6EC390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9E4A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A09FD4" w14:textId="77777777" w:rsidR="00000000" w:rsidRDefault="001826C1">
            <w:pPr>
              <w:jc w:val="right"/>
              <w:rPr>
                <w:rFonts w:eastAsia="Times New Roman"/>
                <w:sz w:val="20"/>
                <w:szCs w:val="20"/>
              </w:rPr>
            </w:pPr>
            <w:r>
              <w:rPr>
                <w:rFonts w:eastAsia="Times New Roman"/>
                <w:sz w:val="20"/>
                <w:szCs w:val="20"/>
              </w:rPr>
              <w:t>2.4</w:t>
            </w:r>
          </w:p>
        </w:tc>
        <w:tc>
          <w:tcPr>
            <w:tcW w:w="0" w:type="auto"/>
            <w:shd w:val="clear" w:color="auto" w:fill="FFFFFF"/>
            <w:vAlign w:val="bottom"/>
            <w:hideMark/>
          </w:tcPr>
          <w:p w14:paraId="6B207675"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76D5C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988D0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C04483" w14:textId="77777777" w:rsidR="00000000" w:rsidRDefault="001826C1">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5B1113DB" w14:textId="77777777" w:rsidR="00000000" w:rsidRDefault="001826C1">
            <w:pPr>
              <w:rPr>
                <w:rFonts w:eastAsia="Times New Roman"/>
                <w:sz w:val="20"/>
                <w:szCs w:val="20"/>
              </w:rPr>
            </w:pPr>
            <w:r>
              <w:rPr>
                <w:rFonts w:eastAsia="Times New Roman"/>
                <w:sz w:val="20"/>
                <w:szCs w:val="20"/>
              </w:rPr>
              <w:t>%</w:t>
            </w:r>
          </w:p>
        </w:tc>
      </w:tr>
      <w:tr w:rsidR="00000000" w14:paraId="2C85D33D" w14:textId="77777777">
        <w:tc>
          <w:tcPr>
            <w:tcW w:w="0" w:type="auto"/>
            <w:shd w:val="clear" w:color="auto" w:fill="CCEEFF"/>
            <w:tcMar>
              <w:top w:w="0" w:type="dxa"/>
              <w:left w:w="200" w:type="dxa"/>
              <w:bottom w:w="0" w:type="dxa"/>
              <w:right w:w="0" w:type="dxa"/>
            </w:tcMar>
            <w:vAlign w:val="bottom"/>
            <w:hideMark/>
          </w:tcPr>
          <w:p w14:paraId="0A30C87B" w14:textId="77777777" w:rsidR="00000000" w:rsidRDefault="001826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0C87CE2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FBB1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DD7845" w14:textId="77777777" w:rsidR="00000000" w:rsidRDefault="001826C1">
            <w:pPr>
              <w:jc w:val="right"/>
              <w:rPr>
                <w:rFonts w:eastAsia="Times New Roman"/>
                <w:sz w:val="20"/>
                <w:szCs w:val="20"/>
              </w:rPr>
            </w:pPr>
            <w:r>
              <w:rPr>
                <w:rFonts w:eastAsia="Times New Roman"/>
                <w:sz w:val="20"/>
                <w:szCs w:val="20"/>
              </w:rPr>
              <w:t>27.8</w:t>
            </w:r>
          </w:p>
        </w:tc>
        <w:tc>
          <w:tcPr>
            <w:tcW w:w="0" w:type="auto"/>
            <w:shd w:val="clear" w:color="auto" w:fill="CCEEFF"/>
            <w:vAlign w:val="bottom"/>
            <w:hideMark/>
          </w:tcPr>
          <w:p w14:paraId="655BD125"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E736F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9213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EFDE6F" w14:textId="77777777" w:rsidR="00000000" w:rsidRDefault="001826C1">
            <w:pPr>
              <w:jc w:val="right"/>
              <w:rPr>
                <w:rFonts w:eastAsia="Times New Roman"/>
                <w:sz w:val="20"/>
                <w:szCs w:val="20"/>
              </w:rPr>
            </w:pPr>
            <w:r>
              <w:rPr>
                <w:rFonts w:eastAsia="Times New Roman"/>
                <w:sz w:val="20"/>
                <w:szCs w:val="20"/>
              </w:rPr>
              <w:t>32.2</w:t>
            </w:r>
          </w:p>
        </w:tc>
        <w:tc>
          <w:tcPr>
            <w:tcW w:w="0" w:type="auto"/>
            <w:shd w:val="clear" w:color="auto" w:fill="CCEEFF"/>
            <w:vAlign w:val="bottom"/>
            <w:hideMark/>
          </w:tcPr>
          <w:p w14:paraId="783536D7" w14:textId="77777777" w:rsidR="00000000" w:rsidRDefault="001826C1">
            <w:pPr>
              <w:rPr>
                <w:rFonts w:eastAsia="Times New Roman"/>
                <w:sz w:val="20"/>
                <w:szCs w:val="20"/>
              </w:rPr>
            </w:pPr>
            <w:r>
              <w:rPr>
                <w:rFonts w:eastAsia="Times New Roman"/>
                <w:sz w:val="20"/>
                <w:szCs w:val="20"/>
              </w:rPr>
              <w:t>%</w:t>
            </w:r>
          </w:p>
        </w:tc>
      </w:tr>
      <w:tr w:rsidR="00000000" w14:paraId="625B85F0" w14:textId="77777777">
        <w:tc>
          <w:tcPr>
            <w:tcW w:w="0" w:type="auto"/>
            <w:shd w:val="clear" w:color="auto" w:fill="FFFFFF"/>
            <w:tcMar>
              <w:top w:w="0" w:type="dxa"/>
              <w:left w:w="200" w:type="dxa"/>
              <w:bottom w:w="0" w:type="dxa"/>
              <w:right w:w="0" w:type="dxa"/>
            </w:tcMar>
            <w:vAlign w:val="bottom"/>
            <w:hideMark/>
          </w:tcPr>
          <w:p w14:paraId="25058BD3" w14:textId="77777777" w:rsidR="00000000" w:rsidRDefault="001826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60D1EE2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A91E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083079" w14:textId="77777777" w:rsidR="00000000" w:rsidRDefault="001826C1">
            <w:pPr>
              <w:jc w:val="right"/>
              <w:rPr>
                <w:rFonts w:eastAsia="Times New Roman"/>
                <w:sz w:val="20"/>
                <w:szCs w:val="20"/>
              </w:rPr>
            </w:pPr>
            <w:r>
              <w:rPr>
                <w:rFonts w:eastAsia="Times New Roman"/>
                <w:sz w:val="20"/>
                <w:szCs w:val="20"/>
              </w:rPr>
              <w:t>1.4</w:t>
            </w:r>
          </w:p>
        </w:tc>
        <w:tc>
          <w:tcPr>
            <w:tcW w:w="0" w:type="auto"/>
            <w:shd w:val="clear" w:color="auto" w:fill="FFFFFF"/>
            <w:vAlign w:val="bottom"/>
            <w:hideMark/>
          </w:tcPr>
          <w:p w14:paraId="0C3857B8"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889E5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33F1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BEC03F" w14:textId="77777777" w:rsidR="00000000" w:rsidRDefault="001826C1">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14:paraId="5CE1ED5A" w14:textId="77777777" w:rsidR="00000000" w:rsidRDefault="001826C1">
            <w:pPr>
              <w:rPr>
                <w:rFonts w:eastAsia="Times New Roman"/>
                <w:sz w:val="20"/>
                <w:szCs w:val="20"/>
              </w:rPr>
            </w:pPr>
            <w:r>
              <w:rPr>
                <w:rFonts w:eastAsia="Times New Roman"/>
                <w:sz w:val="20"/>
                <w:szCs w:val="20"/>
              </w:rPr>
              <w:t>%</w:t>
            </w:r>
          </w:p>
        </w:tc>
      </w:tr>
      <w:tr w:rsidR="00000000" w14:paraId="41650BE5" w14:textId="77777777">
        <w:tc>
          <w:tcPr>
            <w:tcW w:w="0" w:type="auto"/>
            <w:shd w:val="clear" w:color="auto" w:fill="CCEEFF"/>
            <w:tcMar>
              <w:top w:w="0" w:type="dxa"/>
              <w:left w:w="200" w:type="dxa"/>
              <w:bottom w:w="0" w:type="dxa"/>
              <w:right w:w="0" w:type="dxa"/>
            </w:tcMar>
            <w:vAlign w:val="bottom"/>
            <w:hideMark/>
          </w:tcPr>
          <w:p w14:paraId="6C2E25C5"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416BF1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261D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5607E1" w14:textId="77777777" w:rsidR="00000000" w:rsidRDefault="001826C1">
            <w:pPr>
              <w:jc w:val="right"/>
              <w:rPr>
                <w:rFonts w:eastAsia="Times New Roman"/>
                <w:sz w:val="20"/>
                <w:szCs w:val="20"/>
              </w:rPr>
            </w:pPr>
            <w:r>
              <w:rPr>
                <w:rFonts w:eastAsia="Times New Roman"/>
                <w:sz w:val="20"/>
                <w:szCs w:val="20"/>
              </w:rPr>
              <w:t>(0.5</w:t>
            </w:r>
          </w:p>
        </w:tc>
        <w:tc>
          <w:tcPr>
            <w:tcW w:w="0" w:type="auto"/>
            <w:shd w:val="clear" w:color="auto" w:fill="CCEEFF"/>
            <w:vAlign w:val="bottom"/>
            <w:hideMark/>
          </w:tcPr>
          <w:p w14:paraId="3978F7D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0C9AA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AA9A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3B5F95" w14:textId="77777777" w:rsidR="00000000" w:rsidRDefault="001826C1">
            <w:pPr>
              <w:jc w:val="right"/>
              <w:rPr>
                <w:rFonts w:eastAsia="Times New Roman"/>
                <w:sz w:val="20"/>
                <w:szCs w:val="20"/>
              </w:rPr>
            </w:pPr>
            <w:r>
              <w:rPr>
                <w:rFonts w:eastAsia="Times New Roman"/>
                <w:sz w:val="20"/>
                <w:szCs w:val="20"/>
              </w:rPr>
              <w:t>0.1</w:t>
            </w:r>
          </w:p>
        </w:tc>
        <w:tc>
          <w:tcPr>
            <w:tcW w:w="0" w:type="auto"/>
            <w:shd w:val="clear" w:color="auto" w:fill="CCEEFF"/>
            <w:vAlign w:val="bottom"/>
            <w:hideMark/>
          </w:tcPr>
          <w:p w14:paraId="11CEB0E5" w14:textId="77777777" w:rsidR="00000000" w:rsidRDefault="001826C1">
            <w:pPr>
              <w:rPr>
                <w:rFonts w:eastAsia="Times New Roman"/>
                <w:sz w:val="20"/>
                <w:szCs w:val="20"/>
              </w:rPr>
            </w:pPr>
            <w:r>
              <w:rPr>
                <w:rFonts w:eastAsia="Times New Roman"/>
                <w:sz w:val="20"/>
                <w:szCs w:val="20"/>
              </w:rPr>
              <w:t>%</w:t>
            </w:r>
          </w:p>
        </w:tc>
      </w:tr>
      <w:tr w:rsidR="00000000" w14:paraId="0306BA2C" w14:textId="77777777">
        <w:tc>
          <w:tcPr>
            <w:tcW w:w="0" w:type="auto"/>
            <w:shd w:val="clear" w:color="auto" w:fill="FFFFFF"/>
            <w:tcMar>
              <w:top w:w="0" w:type="dxa"/>
              <w:left w:w="200" w:type="dxa"/>
              <w:bottom w:w="0" w:type="dxa"/>
              <w:right w:w="0" w:type="dxa"/>
            </w:tcMar>
            <w:vAlign w:val="bottom"/>
            <w:hideMark/>
          </w:tcPr>
          <w:p w14:paraId="5C862DB3" w14:textId="77777777" w:rsidR="00000000" w:rsidRDefault="001826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229420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A5B9C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5A7B2" w14:textId="77777777" w:rsidR="00000000" w:rsidRDefault="001826C1">
            <w:pPr>
              <w:jc w:val="right"/>
              <w:rPr>
                <w:rFonts w:eastAsia="Times New Roman"/>
                <w:sz w:val="20"/>
                <w:szCs w:val="20"/>
              </w:rPr>
            </w:pPr>
            <w:r>
              <w:rPr>
                <w:rFonts w:eastAsia="Times New Roman"/>
                <w:sz w:val="20"/>
                <w:szCs w:val="20"/>
              </w:rPr>
              <w:t>4.7</w:t>
            </w:r>
          </w:p>
        </w:tc>
        <w:tc>
          <w:tcPr>
            <w:tcW w:w="0" w:type="auto"/>
            <w:shd w:val="clear" w:color="auto" w:fill="FFFFFF"/>
            <w:vAlign w:val="bottom"/>
            <w:hideMark/>
          </w:tcPr>
          <w:p w14:paraId="6E8F104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1718C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346A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ED112C" w14:textId="77777777" w:rsidR="00000000" w:rsidRDefault="001826C1">
            <w:pPr>
              <w:jc w:val="right"/>
              <w:rPr>
                <w:rFonts w:eastAsia="Times New Roman"/>
                <w:sz w:val="20"/>
                <w:szCs w:val="20"/>
              </w:rPr>
            </w:pPr>
            <w:r>
              <w:rPr>
                <w:rFonts w:eastAsia="Times New Roman"/>
                <w:sz w:val="20"/>
                <w:szCs w:val="20"/>
              </w:rPr>
              <w:t>5.6</w:t>
            </w:r>
          </w:p>
        </w:tc>
        <w:tc>
          <w:tcPr>
            <w:tcW w:w="0" w:type="auto"/>
            <w:shd w:val="clear" w:color="auto" w:fill="FFFFFF"/>
            <w:vAlign w:val="bottom"/>
            <w:hideMark/>
          </w:tcPr>
          <w:p w14:paraId="7EB864FA" w14:textId="77777777" w:rsidR="00000000" w:rsidRDefault="001826C1">
            <w:pPr>
              <w:rPr>
                <w:rFonts w:eastAsia="Times New Roman"/>
                <w:sz w:val="20"/>
                <w:szCs w:val="20"/>
              </w:rPr>
            </w:pPr>
            <w:r>
              <w:rPr>
                <w:rFonts w:eastAsia="Times New Roman"/>
                <w:sz w:val="20"/>
                <w:szCs w:val="20"/>
              </w:rPr>
              <w:t>%</w:t>
            </w:r>
          </w:p>
        </w:tc>
      </w:tr>
      <w:tr w:rsidR="00000000" w14:paraId="16D069BD" w14:textId="77777777">
        <w:tc>
          <w:tcPr>
            <w:tcW w:w="0" w:type="auto"/>
            <w:shd w:val="clear" w:color="auto" w:fill="CCEEFF"/>
            <w:tcMar>
              <w:top w:w="0" w:type="dxa"/>
              <w:left w:w="200" w:type="dxa"/>
              <w:bottom w:w="30" w:type="dxa"/>
              <w:right w:w="0" w:type="dxa"/>
            </w:tcMar>
            <w:vAlign w:val="bottom"/>
            <w:hideMark/>
          </w:tcPr>
          <w:p w14:paraId="3420CB07"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14:paraId="6919A95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82E26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352552" w14:textId="77777777" w:rsidR="00000000" w:rsidRDefault="001826C1">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41E59DB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0DF868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A38290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78BD348" w14:textId="77777777" w:rsidR="00000000" w:rsidRDefault="001826C1">
            <w:pPr>
              <w:jc w:val="right"/>
              <w:rPr>
                <w:rFonts w:eastAsia="Times New Roman"/>
                <w:sz w:val="20"/>
                <w:szCs w:val="20"/>
              </w:rPr>
            </w:pPr>
            <w:r>
              <w:rPr>
                <w:rFonts w:eastAsia="Times New Roman"/>
                <w:sz w:val="20"/>
                <w:szCs w:val="20"/>
              </w:rPr>
              <w:t>0.0</w:t>
            </w:r>
          </w:p>
        </w:tc>
        <w:tc>
          <w:tcPr>
            <w:tcW w:w="0" w:type="auto"/>
            <w:shd w:val="clear" w:color="auto" w:fill="CCEEFF"/>
            <w:tcMar>
              <w:top w:w="0" w:type="dxa"/>
              <w:left w:w="0" w:type="dxa"/>
              <w:bottom w:w="30" w:type="dxa"/>
              <w:right w:w="0" w:type="dxa"/>
            </w:tcMar>
            <w:vAlign w:val="bottom"/>
            <w:hideMark/>
          </w:tcPr>
          <w:p w14:paraId="6A3538C9" w14:textId="77777777" w:rsidR="00000000" w:rsidRDefault="001826C1">
            <w:pPr>
              <w:rPr>
                <w:rFonts w:eastAsia="Times New Roman"/>
                <w:sz w:val="20"/>
                <w:szCs w:val="20"/>
              </w:rPr>
            </w:pPr>
            <w:r>
              <w:rPr>
                <w:rFonts w:eastAsia="Times New Roman"/>
                <w:sz w:val="20"/>
                <w:szCs w:val="20"/>
              </w:rPr>
              <w:t>%</w:t>
            </w:r>
          </w:p>
        </w:tc>
      </w:tr>
      <w:tr w:rsidR="00000000" w14:paraId="120CB71D" w14:textId="77777777">
        <w:tc>
          <w:tcPr>
            <w:tcW w:w="0" w:type="auto"/>
            <w:shd w:val="clear" w:color="auto" w:fill="FFFFFF"/>
            <w:tcMar>
              <w:top w:w="0" w:type="dxa"/>
              <w:left w:w="200" w:type="dxa"/>
              <w:bottom w:w="30" w:type="dxa"/>
              <w:right w:w="0" w:type="dxa"/>
            </w:tcMar>
            <w:vAlign w:val="bottom"/>
            <w:hideMark/>
          </w:tcPr>
          <w:p w14:paraId="54752EA8" w14:textId="77777777" w:rsidR="00000000" w:rsidRDefault="001826C1">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2E8BC94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B6B33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0624D0" w14:textId="77777777" w:rsidR="00000000" w:rsidRDefault="001826C1">
            <w:pPr>
              <w:jc w:val="right"/>
              <w:rPr>
                <w:rFonts w:eastAsia="Times New Roman"/>
                <w:sz w:val="20"/>
                <w:szCs w:val="20"/>
              </w:rPr>
            </w:pPr>
            <w:r>
              <w:rPr>
                <w:rFonts w:eastAsia="Times New Roman"/>
                <w:sz w:val="20"/>
                <w:szCs w:val="20"/>
              </w:rPr>
              <w:t>100.0</w:t>
            </w:r>
          </w:p>
        </w:tc>
        <w:tc>
          <w:tcPr>
            <w:tcW w:w="0" w:type="auto"/>
            <w:shd w:val="clear" w:color="auto" w:fill="FFFFFF"/>
            <w:tcMar>
              <w:top w:w="0" w:type="dxa"/>
              <w:left w:w="0" w:type="dxa"/>
              <w:bottom w:w="30" w:type="dxa"/>
              <w:right w:w="0" w:type="dxa"/>
            </w:tcMar>
            <w:vAlign w:val="bottom"/>
            <w:hideMark/>
          </w:tcPr>
          <w:p w14:paraId="2DBF259E"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912E10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44EF5E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43D43A9" w14:textId="77777777" w:rsidR="00000000" w:rsidRDefault="001826C1">
            <w:pPr>
              <w:jc w:val="right"/>
              <w:rPr>
                <w:rFonts w:eastAsia="Times New Roman"/>
                <w:sz w:val="20"/>
                <w:szCs w:val="20"/>
              </w:rPr>
            </w:pPr>
            <w:r>
              <w:rPr>
                <w:rFonts w:eastAsia="Times New Roman"/>
                <w:sz w:val="20"/>
                <w:szCs w:val="20"/>
              </w:rPr>
              <w:t>104.9</w:t>
            </w:r>
          </w:p>
        </w:tc>
        <w:tc>
          <w:tcPr>
            <w:tcW w:w="0" w:type="auto"/>
            <w:shd w:val="clear" w:color="auto" w:fill="FFFFFF"/>
            <w:tcMar>
              <w:top w:w="0" w:type="dxa"/>
              <w:left w:w="0" w:type="dxa"/>
              <w:bottom w:w="30" w:type="dxa"/>
              <w:right w:w="0" w:type="dxa"/>
            </w:tcMar>
            <w:vAlign w:val="bottom"/>
            <w:hideMark/>
          </w:tcPr>
          <w:p w14:paraId="1D599DF0" w14:textId="77777777" w:rsidR="00000000" w:rsidRDefault="001826C1">
            <w:pPr>
              <w:rPr>
                <w:rFonts w:eastAsia="Times New Roman"/>
                <w:sz w:val="20"/>
                <w:szCs w:val="20"/>
              </w:rPr>
            </w:pPr>
            <w:r>
              <w:rPr>
                <w:rFonts w:eastAsia="Times New Roman"/>
                <w:sz w:val="20"/>
                <w:szCs w:val="20"/>
              </w:rPr>
              <w:t>%</w:t>
            </w:r>
          </w:p>
        </w:tc>
      </w:tr>
      <w:tr w:rsidR="00000000" w14:paraId="108D57D9" w14:textId="77777777">
        <w:tc>
          <w:tcPr>
            <w:tcW w:w="0" w:type="auto"/>
            <w:shd w:val="clear" w:color="auto" w:fill="CCEEFF"/>
            <w:vAlign w:val="bottom"/>
            <w:hideMark/>
          </w:tcPr>
          <w:p w14:paraId="0CD98C7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EF265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9DF7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231575"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0FB27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173A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3D72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6A7D0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C4BBC8D" w14:textId="77777777" w:rsidR="00000000" w:rsidRDefault="001826C1">
            <w:pPr>
              <w:rPr>
                <w:rFonts w:eastAsia="Times New Roman"/>
                <w:sz w:val="20"/>
                <w:szCs w:val="20"/>
              </w:rPr>
            </w:pPr>
            <w:r>
              <w:rPr>
                <w:rFonts w:eastAsia="Times New Roman"/>
                <w:sz w:val="20"/>
                <w:szCs w:val="20"/>
              </w:rPr>
              <w:t> </w:t>
            </w:r>
          </w:p>
        </w:tc>
      </w:tr>
      <w:tr w:rsidR="00000000" w14:paraId="2F7781C7" w14:textId="77777777">
        <w:tc>
          <w:tcPr>
            <w:tcW w:w="0" w:type="auto"/>
            <w:shd w:val="clear" w:color="auto" w:fill="FFFFFF"/>
            <w:tcMar>
              <w:top w:w="0" w:type="dxa"/>
              <w:left w:w="400" w:type="dxa"/>
              <w:bottom w:w="0" w:type="dxa"/>
              <w:right w:w="0" w:type="dxa"/>
            </w:tcMar>
            <w:vAlign w:val="bottom"/>
            <w:hideMark/>
          </w:tcPr>
          <w:p w14:paraId="196FE585" w14:textId="77777777" w:rsidR="00000000" w:rsidRDefault="001826C1">
            <w:pPr>
              <w:rPr>
                <w:rFonts w:eastAsia="Times New Roman"/>
                <w:sz w:val="20"/>
                <w:szCs w:val="20"/>
              </w:rPr>
            </w:pPr>
            <w:r>
              <w:rPr>
                <w:rFonts w:eastAsia="Times New Roman"/>
                <w:sz w:val="20"/>
                <w:szCs w:val="20"/>
              </w:rPr>
              <w:t>Operating profit (loss)</w:t>
            </w:r>
          </w:p>
        </w:tc>
        <w:tc>
          <w:tcPr>
            <w:tcW w:w="0" w:type="auto"/>
            <w:shd w:val="clear" w:color="auto" w:fill="FFFFFF"/>
            <w:vAlign w:val="bottom"/>
            <w:hideMark/>
          </w:tcPr>
          <w:p w14:paraId="74C4CF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6A4C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FF356B" w14:textId="77777777" w:rsidR="00000000" w:rsidRDefault="001826C1">
            <w:pPr>
              <w:jc w:val="right"/>
              <w:rPr>
                <w:rFonts w:eastAsia="Times New Roman"/>
                <w:sz w:val="20"/>
                <w:szCs w:val="20"/>
              </w:rPr>
            </w:pPr>
            <w:r>
              <w:rPr>
                <w:rFonts w:eastAsia="Times New Roman"/>
                <w:sz w:val="20"/>
                <w:szCs w:val="20"/>
              </w:rPr>
              <w:t>0.0</w:t>
            </w:r>
          </w:p>
        </w:tc>
        <w:tc>
          <w:tcPr>
            <w:tcW w:w="0" w:type="auto"/>
            <w:shd w:val="clear" w:color="auto" w:fill="FFFFFF"/>
            <w:vAlign w:val="bottom"/>
            <w:hideMark/>
          </w:tcPr>
          <w:p w14:paraId="26B109D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0D41B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2C407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30834" w14:textId="77777777" w:rsidR="00000000" w:rsidRDefault="001826C1">
            <w:pPr>
              <w:jc w:val="right"/>
              <w:rPr>
                <w:rFonts w:eastAsia="Times New Roman"/>
                <w:sz w:val="20"/>
                <w:szCs w:val="20"/>
              </w:rPr>
            </w:pPr>
            <w:r>
              <w:rPr>
                <w:rFonts w:eastAsia="Times New Roman"/>
                <w:sz w:val="20"/>
                <w:szCs w:val="20"/>
              </w:rPr>
              <w:t>(4.9</w:t>
            </w:r>
          </w:p>
        </w:tc>
        <w:tc>
          <w:tcPr>
            <w:tcW w:w="0" w:type="auto"/>
            <w:shd w:val="clear" w:color="auto" w:fill="FFFFFF"/>
            <w:vAlign w:val="bottom"/>
            <w:hideMark/>
          </w:tcPr>
          <w:p w14:paraId="6F4E71FA" w14:textId="77777777" w:rsidR="00000000" w:rsidRDefault="001826C1">
            <w:pPr>
              <w:rPr>
                <w:rFonts w:eastAsia="Times New Roman"/>
                <w:sz w:val="20"/>
                <w:szCs w:val="20"/>
              </w:rPr>
            </w:pPr>
            <w:r>
              <w:rPr>
                <w:rFonts w:eastAsia="Times New Roman"/>
                <w:sz w:val="20"/>
                <w:szCs w:val="20"/>
              </w:rPr>
              <w:t>)%</w:t>
            </w:r>
          </w:p>
        </w:tc>
      </w:tr>
      <w:tr w:rsidR="00000000" w14:paraId="129A82CE" w14:textId="77777777">
        <w:tc>
          <w:tcPr>
            <w:tcW w:w="0" w:type="auto"/>
            <w:shd w:val="clear" w:color="auto" w:fill="CCEEFF"/>
            <w:vAlign w:val="bottom"/>
            <w:hideMark/>
          </w:tcPr>
          <w:p w14:paraId="16BA7B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1AC6D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A36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0D3F5"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D70258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DCAB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35F0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4AA158"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51C8801" w14:textId="77777777" w:rsidR="00000000" w:rsidRDefault="001826C1">
            <w:pPr>
              <w:rPr>
                <w:rFonts w:eastAsia="Times New Roman"/>
                <w:sz w:val="20"/>
                <w:szCs w:val="20"/>
              </w:rPr>
            </w:pPr>
            <w:r>
              <w:rPr>
                <w:rFonts w:eastAsia="Times New Roman"/>
                <w:sz w:val="20"/>
                <w:szCs w:val="20"/>
              </w:rPr>
              <w:t> </w:t>
            </w:r>
          </w:p>
        </w:tc>
      </w:tr>
      <w:tr w:rsidR="00000000" w14:paraId="75F5D158" w14:textId="77777777">
        <w:tc>
          <w:tcPr>
            <w:tcW w:w="0" w:type="auto"/>
            <w:shd w:val="clear" w:color="auto" w:fill="FFFFFF"/>
            <w:vAlign w:val="bottom"/>
            <w:hideMark/>
          </w:tcPr>
          <w:p w14:paraId="4C98D6A7" w14:textId="77777777" w:rsidR="00000000" w:rsidRDefault="001826C1">
            <w:pPr>
              <w:rPr>
                <w:rFonts w:eastAsia="Times New Roman"/>
                <w:sz w:val="20"/>
                <w:szCs w:val="20"/>
              </w:rPr>
            </w:pPr>
            <w:r>
              <w:rPr>
                <w:rFonts w:eastAsia="Times New Roman"/>
                <w:sz w:val="20"/>
                <w:szCs w:val="20"/>
              </w:rPr>
              <w:t>Interest expense - net</w:t>
            </w:r>
          </w:p>
        </w:tc>
        <w:tc>
          <w:tcPr>
            <w:tcW w:w="0" w:type="auto"/>
            <w:shd w:val="clear" w:color="auto" w:fill="FFFFFF"/>
            <w:vAlign w:val="bottom"/>
            <w:hideMark/>
          </w:tcPr>
          <w:p w14:paraId="1E6F98E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491C9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DAF526" w14:textId="77777777" w:rsidR="00000000" w:rsidRDefault="001826C1">
            <w:pPr>
              <w:jc w:val="right"/>
              <w:rPr>
                <w:rFonts w:eastAsia="Times New Roman"/>
                <w:sz w:val="20"/>
                <w:szCs w:val="20"/>
              </w:rPr>
            </w:pPr>
            <w:r>
              <w:rPr>
                <w:rFonts w:eastAsia="Times New Roman"/>
                <w:sz w:val="20"/>
                <w:szCs w:val="20"/>
              </w:rPr>
              <w:t>0.2</w:t>
            </w:r>
          </w:p>
        </w:tc>
        <w:tc>
          <w:tcPr>
            <w:tcW w:w="0" w:type="auto"/>
            <w:shd w:val="clear" w:color="auto" w:fill="FFFFFF"/>
            <w:vAlign w:val="bottom"/>
            <w:hideMark/>
          </w:tcPr>
          <w:p w14:paraId="67FB64EE"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25BEC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7F91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F8D75B" w14:textId="77777777" w:rsidR="00000000" w:rsidRDefault="001826C1">
            <w:pPr>
              <w:jc w:val="right"/>
              <w:rPr>
                <w:rFonts w:eastAsia="Times New Roman"/>
                <w:sz w:val="20"/>
                <w:szCs w:val="20"/>
              </w:rPr>
            </w:pPr>
            <w:r>
              <w:rPr>
                <w:rFonts w:eastAsia="Times New Roman"/>
                <w:sz w:val="20"/>
                <w:szCs w:val="20"/>
              </w:rPr>
              <w:t>0.5</w:t>
            </w:r>
          </w:p>
        </w:tc>
        <w:tc>
          <w:tcPr>
            <w:tcW w:w="0" w:type="auto"/>
            <w:shd w:val="clear" w:color="auto" w:fill="FFFFFF"/>
            <w:vAlign w:val="bottom"/>
            <w:hideMark/>
          </w:tcPr>
          <w:p w14:paraId="606AA2D6" w14:textId="77777777" w:rsidR="00000000" w:rsidRDefault="001826C1">
            <w:pPr>
              <w:rPr>
                <w:rFonts w:eastAsia="Times New Roman"/>
                <w:sz w:val="20"/>
                <w:szCs w:val="20"/>
              </w:rPr>
            </w:pPr>
            <w:r>
              <w:rPr>
                <w:rFonts w:eastAsia="Times New Roman"/>
                <w:sz w:val="20"/>
                <w:szCs w:val="20"/>
              </w:rPr>
              <w:t>%</w:t>
            </w:r>
          </w:p>
        </w:tc>
      </w:tr>
      <w:tr w:rsidR="00000000" w14:paraId="3D4232EB" w14:textId="77777777">
        <w:tc>
          <w:tcPr>
            <w:tcW w:w="0" w:type="auto"/>
            <w:shd w:val="clear" w:color="auto" w:fill="CCEEFF"/>
            <w:tcMar>
              <w:top w:w="0" w:type="dxa"/>
              <w:left w:w="0" w:type="dxa"/>
              <w:bottom w:w="30" w:type="dxa"/>
              <w:right w:w="0" w:type="dxa"/>
            </w:tcMar>
            <w:vAlign w:val="bottom"/>
            <w:hideMark/>
          </w:tcPr>
          <w:p w14:paraId="726D027E" w14:textId="77777777" w:rsidR="00000000" w:rsidRDefault="001826C1">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14:paraId="5B05A0C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F58F4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86EF09" w14:textId="77777777" w:rsidR="00000000" w:rsidRDefault="001826C1">
            <w:pPr>
              <w:jc w:val="right"/>
              <w:rPr>
                <w:rFonts w:eastAsia="Times New Roman"/>
                <w:sz w:val="20"/>
                <w:szCs w:val="20"/>
              </w:rPr>
            </w:pPr>
            <w:r>
              <w:rPr>
                <w:rFonts w:eastAsia="Times New Roman"/>
                <w:sz w:val="20"/>
                <w:szCs w:val="20"/>
              </w:rPr>
              <w:t>(1.0</w:t>
            </w:r>
          </w:p>
        </w:tc>
        <w:tc>
          <w:tcPr>
            <w:tcW w:w="0" w:type="auto"/>
            <w:shd w:val="clear" w:color="auto" w:fill="CCEEFF"/>
            <w:tcMar>
              <w:top w:w="0" w:type="dxa"/>
              <w:left w:w="0" w:type="dxa"/>
              <w:bottom w:w="30" w:type="dxa"/>
              <w:right w:w="0" w:type="dxa"/>
            </w:tcMar>
            <w:vAlign w:val="bottom"/>
            <w:hideMark/>
          </w:tcPr>
          <w:p w14:paraId="078D0E5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496C7A9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A8FD2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03ACE3" w14:textId="77777777" w:rsidR="00000000" w:rsidRDefault="001826C1">
            <w:pPr>
              <w:jc w:val="right"/>
              <w:rPr>
                <w:rFonts w:eastAsia="Times New Roman"/>
                <w:sz w:val="20"/>
                <w:szCs w:val="20"/>
              </w:rPr>
            </w:pPr>
            <w:r>
              <w:rPr>
                <w:rFonts w:eastAsia="Times New Roman"/>
                <w:sz w:val="20"/>
                <w:szCs w:val="20"/>
              </w:rPr>
              <w:t>1.0</w:t>
            </w:r>
          </w:p>
        </w:tc>
        <w:tc>
          <w:tcPr>
            <w:tcW w:w="0" w:type="auto"/>
            <w:shd w:val="clear" w:color="auto" w:fill="CCEEFF"/>
            <w:tcMar>
              <w:top w:w="0" w:type="dxa"/>
              <w:left w:w="0" w:type="dxa"/>
              <w:bottom w:w="30" w:type="dxa"/>
              <w:right w:w="0" w:type="dxa"/>
            </w:tcMar>
            <w:vAlign w:val="bottom"/>
            <w:hideMark/>
          </w:tcPr>
          <w:p w14:paraId="470C4865" w14:textId="77777777" w:rsidR="00000000" w:rsidRDefault="001826C1">
            <w:pPr>
              <w:rPr>
                <w:rFonts w:eastAsia="Times New Roman"/>
                <w:sz w:val="20"/>
                <w:szCs w:val="20"/>
              </w:rPr>
            </w:pPr>
            <w:r>
              <w:rPr>
                <w:rFonts w:eastAsia="Times New Roman"/>
                <w:sz w:val="20"/>
                <w:szCs w:val="20"/>
              </w:rPr>
              <w:t>%</w:t>
            </w:r>
          </w:p>
        </w:tc>
      </w:tr>
      <w:tr w:rsidR="00000000" w14:paraId="14B41FCD" w14:textId="77777777">
        <w:tc>
          <w:tcPr>
            <w:tcW w:w="0" w:type="auto"/>
            <w:shd w:val="clear" w:color="auto" w:fill="FFFFFF"/>
            <w:tcMar>
              <w:top w:w="0" w:type="dxa"/>
              <w:left w:w="400" w:type="dxa"/>
              <w:bottom w:w="0" w:type="dxa"/>
              <w:right w:w="0" w:type="dxa"/>
            </w:tcMar>
            <w:vAlign w:val="bottom"/>
            <w:hideMark/>
          </w:tcPr>
          <w:p w14:paraId="2FA82E40" w14:textId="77777777" w:rsidR="00000000" w:rsidRDefault="001826C1">
            <w:pPr>
              <w:rPr>
                <w:rFonts w:eastAsia="Times New Roman"/>
                <w:sz w:val="20"/>
                <w:szCs w:val="20"/>
              </w:rPr>
            </w:pPr>
            <w:r>
              <w:rPr>
                <w:rFonts w:eastAsia="Times New Roman"/>
                <w:sz w:val="20"/>
                <w:szCs w:val="20"/>
              </w:rPr>
              <w:t>Loss before income taxes</w:t>
            </w:r>
          </w:p>
        </w:tc>
        <w:tc>
          <w:tcPr>
            <w:tcW w:w="0" w:type="auto"/>
            <w:shd w:val="clear" w:color="auto" w:fill="FFFFFF"/>
            <w:vAlign w:val="bottom"/>
            <w:hideMark/>
          </w:tcPr>
          <w:p w14:paraId="62030EA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56593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A86093" w14:textId="77777777" w:rsidR="00000000" w:rsidRDefault="001826C1">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14:paraId="4F8DD4F2"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F2F373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64D5C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6AD724" w14:textId="77777777" w:rsidR="00000000" w:rsidRDefault="001826C1">
            <w:pPr>
              <w:jc w:val="right"/>
              <w:rPr>
                <w:rFonts w:eastAsia="Times New Roman"/>
                <w:sz w:val="20"/>
                <w:szCs w:val="20"/>
              </w:rPr>
            </w:pPr>
            <w:r>
              <w:rPr>
                <w:rFonts w:eastAsia="Times New Roman"/>
                <w:sz w:val="20"/>
                <w:szCs w:val="20"/>
              </w:rPr>
              <w:t>(4.4</w:t>
            </w:r>
          </w:p>
        </w:tc>
        <w:tc>
          <w:tcPr>
            <w:tcW w:w="0" w:type="auto"/>
            <w:shd w:val="clear" w:color="auto" w:fill="FFFFFF"/>
            <w:vAlign w:val="bottom"/>
            <w:hideMark/>
          </w:tcPr>
          <w:p w14:paraId="01CC465D" w14:textId="77777777" w:rsidR="00000000" w:rsidRDefault="001826C1">
            <w:pPr>
              <w:rPr>
                <w:rFonts w:eastAsia="Times New Roman"/>
                <w:sz w:val="20"/>
                <w:szCs w:val="20"/>
              </w:rPr>
            </w:pPr>
            <w:r>
              <w:rPr>
                <w:rFonts w:eastAsia="Times New Roman"/>
                <w:sz w:val="20"/>
                <w:szCs w:val="20"/>
              </w:rPr>
              <w:t>)%</w:t>
            </w:r>
          </w:p>
        </w:tc>
      </w:tr>
      <w:tr w:rsidR="00000000" w14:paraId="57F9FF71" w14:textId="77777777">
        <w:tc>
          <w:tcPr>
            <w:tcW w:w="0" w:type="auto"/>
            <w:shd w:val="clear" w:color="auto" w:fill="CCEEFF"/>
            <w:tcMar>
              <w:top w:w="0" w:type="dxa"/>
              <w:left w:w="0" w:type="dxa"/>
              <w:bottom w:w="30" w:type="dxa"/>
              <w:right w:w="0" w:type="dxa"/>
            </w:tcMar>
            <w:vAlign w:val="bottom"/>
            <w:hideMark/>
          </w:tcPr>
          <w:p w14:paraId="5D34AFEC" w14:textId="77777777" w:rsidR="00000000" w:rsidRDefault="001826C1">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494DE74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AE298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07C8D6A" w14:textId="77777777" w:rsidR="00000000" w:rsidRDefault="001826C1">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554A0621"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3DA0C0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F0C8C4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6DBBC3" w14:textId="77777777" w:rsidR="00000000" w:rsidRDefault="001826C1">
            <w:pPr>
              <w:jc w:val="right"/>
              <w:rPr>
                <w:rFonts w:eastAsia="Times New Roman"/>
                <w:sz w:val="20"/>
                <w:szCs w:val="20"/>
              </w:rPr>
            </w:pPr>
            <w:r>
              <w:rPr>
                <w:rFonts w:eastAsia="Times New Roman"/>
                <w:sz w:val="20"/>
                <w:szCs w:val="20"/>
              </w:rPr>
              <w:t>(0.3</w:t>
            </w:r>
          </w:p>
        </w:tc>
        <w:tc>
          <w:tcPr>
            <w:tcW w:w="0" w:type="auto"/>
            <w:shd w:val="clear" w:color="auto" w:fill="CCEEFF"/>
            <w:tcMar>
              <w:top w:w="0" w:type="dxa"/>
              <w:left w:w="0" w:type="dxa"/>
              <w:bottom w:w="30" w:type="dxa"/>
              <w:right w:w="0" w:type="dxa"/>
            </w:tcMar>
            <w:vAlign w:val="bottom"/>
            <w:hideMark/>
          </w:tcPr>
          <w:p w14:paraId="7FC8DE02" w14:textId="77777777" w:rsidR="00000000" w:rsidRDefault="001826C1">
            <w:pPr>
              <w:rPr>
                <w:rFonts w:eastAsia="Times New Roman"/>
                <w:sz w:val="20"/>
                <w:szCs w:val="20"/>
              </w:rPr>
            </w:pPr>
            <w:r>
              <w:rPr>
                <w:rFonts w:eastAsia="Times New Roman"/>
                <w:sz w:val="20"/>
                <w:szCs w:val="20"/>
              </w:rPr>
              <w:t>)%</w:t>
            </w:r>
          </w:p>
        </w:tc>
      </w:tr>
      <w:tr w:rsidR="00000000" w14:paraId="61CAAFD4" w14:textId="77777777">
        <w:tc>
          <w:tcPr>
            <w:tcW w:w="0" w:type="auto"/>
            <w:shd w:val="clear" w:color="auto" w:fill="FFFFFF"/>
            <w:tcMar>
              <w:top w:w="0" w:type="dxa"/>
              <w:left w:w="400" w:type="dxa"/>
              <w:bottom w:w="50" w:type="dxa"/>
              <w:right w:w="0" w:type="dxa"/>
            </w:tcMar>
            <w:vAlign w:val="bottom"/>
            <w:hideMark/>
          </w:tcPr>
          <w:p w14:paraId="2CC970B0" w14:textId="77777777" w:rsidR="00000000" w:rsidRDefault="001826C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46F4D33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9580FE5"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668409" w14:textId="77777777" w:rsidR="00000000" w:rsidRDefault="001826C1">
            <w:pPr>
              <w:jc w:val="right"/>
              <w:rPr>
                <w:rFonts w:eastAsia="Times New Roman"/>
                <w:sz w:val="20"/>
                <w:szCs w:val="20"/>
              </w:rPr>
            </w:pPr>
            <w:r>
              <w:rPr>
                <w:rFonts w:eastAsia="Times New Roman"/>
                <w:sz w:val="20"/>
                <w:szCs w:val="20"/>
              </w:rPr>
              <w:t>(1.5</w:t>
            </w:r>
          </w:p>
        </w:tc>
        <w:tc>
          <w:tcPr>
            <w:tcW w:w="0" w:type="auto"/>
            <w:shd w:val="clear" w:color="auto" w:fill="FFFFFF"/>
            <w:tcMar>
              <w:top w:w="0" w:type="dxa"/>
              <w:left w:w="0" w:type="dxa"/>
              <w:bottom w:w="50" w:type="dxa"/>
              <w:right w:w="0" w:type="dxa"/>
            </w:tcMar>
            <w:vAlign w:val="bottom"/>
            <w:hideMark/>
          </w:tcPr>
          <w:p w14:paraId="31E3F775"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199011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5CBF266"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C1F167B" w14:textId="77777777" w:rsidR="00000000" w:rsidRDefault="001826C1">
            <w:pPr>
              <w:jc w:val="right"/>
              <w:rPr>
                <w:rFonts w:eastAsia="Times New Roman"/>
                <w:sz w:val="20"/>
                <w:szCs w:val="20"/>
              </w:rPr>
            </w:pPr>
            <w:r>
              <w:rPr>
                <w:rFonts w:eastAsia="Times New Roman"/>
                <w:sz w:val="20"/>
                <w:szCs w:val="20"/>
              </w:rPr>
              <w:t>(4.1</w:t>
            </w:r>
          </w:p>
        </w:tc>
        <w:tc>
          <w:tcPr>
            <w:tcW w:w="0" w:type="auto"/>
            <w:shd w:val="clear" w:color="auto" w:fill="FFFFFF"/>
            <w:tcMar>
              <w:top w:w="0" w:type="dxa"/>
              <w:left w:w="0" w:type="dxa"/>
              <w:bottom w:w="50" w:type="dxa"/>
              <w:right w:w="0" w:type="dxa"/>
            </w:tcMar>
            <w:vAlign w:val="bottom"/>
            <w:hideMark/>
          </w:tcPr>
          <w:p w14:paraId="7FAE6E4E" w14:textId="77777777" w:rsidR="00000000" w:rsidRDefault="001826C1">
            <w:pPr>
              <w:rPr>
                <w:rFonts w:eastAsia="Times New Roman"/>
                <w:sz w:val="20"/>
                <w:szCs w:val="20"/>
              </w:rPr>
            </w:pPr>
            <w:r>
              <w:rPr>
                <w:rFonts w:eastAsia="Times New Roman"/>
                <w:sz w:val="20"/>
                <w:szCs w:val="20"/>
              </w:rPr>
              <w:t>)%</w:t>
            </w:r>
          </w:p>
        </w:tc>
      </w:tr>
    </w:tbl>
    <w:p w14:paraId="37C83DD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7F95B8B" w14:textId="77777777" w:rsidR="00000000" w:rsidRDefault="001826C1">
      <w:pPr>
        <w:pStyle w:val="a3"/>
        <w:shd w:val="clear" w:color="auto" w:fill="FFFFFF"/>
        <w:spacing w:before="0" w:beforeAutospacing="0" w:after="0" w:afterAutospacing="0"/>
        <w:rPr>
          <w:sz w:val="20"/>
          <w:szCs w:val="20"/>
        </w:rPr>
      </w:pPr>
      <w:r>
        <w:rPr>
          <w:b/>
          <w:bCs/>
          <w:i/>
          <w:iCs/>
          <w:sz w:val="20"/>
          <w:szCs w:val="20"/>
        </w:rPr>
        <w:t>Comparison of 2019 and 2018</w:t>
      </w:r>
    </w:p>
    <w:p w14:paraId="54398F54" w14:textId="77777777" w:rsidR="00000000" w:rsidRDefault="001826C1">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341"/>
        <w:gridCol w:w="82"/>
        <w:gridCol w:w="100"/>
        <w:gridCol w:w="900"/>
        <w:gridCol w:w="50"/>
        <w:gridCol w:w="50"/>
        <w:gridCol w:w="100"/>
        <w:gridCol w:w="900"/>
        <w:gridCol w:w="50"/>
        <w:gridCol w:w="50"/>
        <w:gridCol w:w="100"/>
        <w:gridCol w:w="900"/>
        <w:gridCol w:w="50"/>
        <w:gridCol w:w="50"/>
        <w:gridCol w:w="51"/>
        <w:gridCol w:w="704"/>
        <w:gridCol w:w="167"/>
      </w:tblGrid>
      <w:tr w:rsidR="00000000" w14:paraId="6C323FA4" w14:textId="77777777">
        <w:tc>
          <w:tcPr>
            <w:tcW w:w="0" w:type="auto"/>
            <w:vAlign w:val="bottom"/>
            <w:hideMark/>
          </w:tcPr>
          <w:p w14:paraId="3F3C6D52"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C3ABA89"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412C1C8"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1EA0EF59"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F0AED12"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13586D0" w14:textId="77777777" w:rsidR="00000000" w:rsidRDefault="001826C1">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7D8180AC" w14:textId="77777777" w:rsidR="00000000" w:rsidRDefault="001826C1">
            <w:pPr>
              <w:rPr>
                <w:rFonts w:eastAsia="Times New Roman"/>
                <w:b/>
                <w:bCs/>
                <w:sz w:val="20"/>
                <w:szCs w:val="20"/>
              </w:rPr>
            </w:pPr>
            <w:r>
              <w:rPr>
                <w:rFonts w:eastAsia="Times New Roman"/>
                <w:b/>
                <w:bCs/>
                <w:sz w:val="20"/>
                <w:szCs w:val="20"/>
              </w:rPr>
              <w:t> </w:t>
            </w:r>
          </w:p>
        </w:tc>
      </w:tr>
      <w:tr w:rsidR="00000000" w14:paraId="75AAC290" w14:textId="77777777">
        <w:tc>
          <w:tcPr>
            <w:tcW w:w="0" w:type="auto"/>
            <w:vAlign w:val="bottom"/>
            <w:hideMark/>
          </w:tcPr>
          <w:p w14:paraId="5EC07761"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8B0A75F"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11A6E7"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C3CB905"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092CB2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87BAC8"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041565EC"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F3CB5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CD1382" w14:textId="77777777" w:rsidR="00000000" w:rsidRDefault="001826C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28725DEF"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68A6F7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7E319AC" w14:textId="77777777" w:rsidR="00000000" w:rsidRDefault="001826C1">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6E5CB579" w14:textId="77777777" w:rsidR="00000000" w:rsidRDefault="001826C1">
            <w:pPr>
              <w:rPr>
                <w:rFonts w:eastAsia="Times New Roman"/>
                <w:b/>
                <w:bCs/>
                <w:sz w:val="20"/>
                <w:szCs w:val="20"/>
              </w:rPr>
            </w:pPr>
            <w:r>
              <w:rPr>
                <w:rFonts w:eastAsia="Times New Roman"/>
                <w:b/>
                <w:bCs/>
                <w:sz w:val="20"/>
                <w:szCs w:val="20"/>
              </w:rPr>
              <w:t> </w:t>
            </w:r>
          </w:p>
        </w:tc>
      </w:tr>
      <w:tr w:rsidR="00000000" w14:paraId="2EED1952" w14:textId="77777777">
        <w:tc>
          <w:tcPr>
            <w:tcW w:w="1800" w:type="pct"/>
            <w:shd w:val="clear" w:color="auto" w:fill="CCEEFF"/>
            <w:vAlign w:val="bottom"/>
            <w:hideMark/>
          </w:tcPr>
          <w:p w14:paraId="32F705D3" w14:textId="77777777" w:rsidR="00000000" w:rsidRDefault="001826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49A73EB4"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01D4B12"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6ED5B68C" w14:textId="77777777" w:rsidR="00000000" w:rsidRDefault="001826C1">
            <w:pPr>
              <w:jc w:val="right"/>
              <w:rPr>
                <w:rFonts w:eastAsia="Times New Roman"/>
                <w:sz w:val="20"/>
                <w:szCs w:val="20"/>
              </w:rPr>
            </w:pPr>
            <w:r>
              <w:rPr>
                <w:rFonts w:eastAsia="Times New Roman"/>
                <w:sz w:val="20"/>
                <w:szCs w:val="20"/>
              </w:rPr>
              <w:t>64,438,594</w:t>
            </w:r>
          </w:p>
        </w:tc>
        <w:tc>
          <w:tcPr>
            <w:tcW w:w="50" w:type="pct"/>
            <w:shd w:val="clear" w:color="auto" w:fill="CCEEFF"/>
            <w:vAlign w:val="bottom"/>
            <w:hideMark/>
          </w:tcPr>
          <w:p w14:paraId="17C8FDDE"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4BFDB6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F51E421"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23A97F4F" w14:textId="77777777" w:rsidR="00000000" w:rsidRDefault="001826C1">
            <w:pPr>
              <w:jc w:val="right"/>
              <w:rPr>
                <w:rFonts w:eastAsia="Times New Roman"/>
                <w:sz w:val="20"/>
                <w:szCs w:val="20"/>
              </w:rPr>
            </w:pPr>
            <w:r>
              <w:rPr>
                <w:rFonts w:eastAsia="Times New Roman"/>
                <w:sz w:val="20"/>
                <w:szCs w:val="20"/>
              </w:rPr>
              <w:t>50,545,781</w:t>
            </w:r>
          </w:p>
        </w:tc>
        <w:tc>
          <w:tcPr>
            <w:tcW w:w="50" w:type="pct"/>
            <w:shd w:val="clear" w:color="auto" w:fill="CCEEFF"/>
            <w:vAlign w:val="bottom"/>
            <w:hideMark/>
          </w:tcPr>
          <w:p w14:paraId="3885D1D1"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0CF09C9"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1B702BE"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04F0F8A3" w14:textId="77777777" w:rsidR="00000000" w:rsidRDefault="001826C1">
            <w:pPr>
              <w:jc w:val="right"/>
              <w:rPr>
                <w:rFonts w:eastAsia="Times New Roman"/>
                <w:sz w:val="20"/>
                <w:szCs w:val="20"/>
              </w:rPr>
            </w:pPr>
            <w:r>
              <w:rPr>
                <w:rFonts w:eastAsia="Times New Roman"/>
                <w:sz w:val="20"/>
                <w:szCs w:val="20"/>
              </w:rPr>
              <w:t>13,892,813</w:t>
            </w:r>
          </w:p>
        </w:tc>
        <w:tc>
          <w:tcPr>
            <w:tcW w:w="50" w:type="pct"/>
            <w:shd w:val="clear" w:color="auto" w:fill="CCEEFF"/>
            <w:vAlign w:val="bottom"/>
            <w:hideMark/>
          </w:tcPr>
          <w:p w14:paraId="2B7F3A61"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AEF5D10"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BD20B63" w14:textId="77777777" w:rsidR="00000000" w:rsidRDefault="001826C1">
            <w:pPr>
              <w:rPr>
                <w:rFonts w:eastAsia="Times New Roman"/>
                <w:sz w:val="20"/>
                <w:szCs w:val="20"/>
              </w:rPr>
            </w:pPr>
            <w:r>
              <w:rPr>
                <w:rFonts w:eastAsia="Times New Roman"/>
                <w:sz w:val="20"/>
                <w:szCs w:val="20"/>
              </w:rPr>
              <w:t> </w:t>
            </w:r>
          </w:p>
        </w:tc>
        <w:tc>
          <w:tcPr>
            <w:tcW w:w="600" w:type="pct"/>
            <w:shd w:val="clear" w:color="auto" w:fill="CCEEFF"/>
            <w:vAlign w:val="bottom"/>
            <w:hideMark/>
          </w:tcPr>
          <w:p w14:paraId="240BAB95" w14:textId="77777777" w:rsidR="00000000" w:rsidRDefault="001826C1">
            <w:pPr>
              <w:jc w:val="right"/>
              <w:rPr>
                <w:rFonts w:eastAsia="Times New Roman"/>
                <w:sz w:val="20"/>
                <w:szCs w:val="20"/>
              </w:rPr>
            </w:pPr>
            <w:r>
              <w:rPr>
                <w:rFonts w:eastAsia="Times New Roman"/>
                <w:sz w:val="20"/>
                <w:szCs w:val="20"/>
              </w:rPr>
              <w:t>27</w:t>
            </w:r>
          </w:p>
        </w:tc>
        <w:tc>
          <w:tcPr>
            <w:tcW w:w="50" w:type="pct"/>
            <w:shd w:val="clear" w:color="auto" w:fill="CCEEFF"/>
            <w:vAlign w:val="bottom"/>
            <w:hideMark/>
          </w:tcPr>
          <w:p w14:paraId="6EC24C11" w14:textId="77777777" w:rsidR="00000000" w:rsidRDefault="001826C1">
            <w:pPr>
              <w:rPr>
                <w:rFonts w:eastAsia="Times New Roman"/>
                <w:sz w:val="20"/>
                <w:szCs w:val="20"/>
              </w:rPr>
            </w:pPr>
            <w:r>
              <w:rPr>
                <w:rFonts w:eastAsia="Times New Roman"/>
                <w:sz w:val="20"/>
                <w:szCs w:val="20"/>
              </w:rPr>
              <w:t>%</w:t>
            </w:r>
          </w:p>
        </w:tc>
      </w:tr>
    </w:tbl>
    <w:p w14:paraId="58F11D0E" w14:textId="77777777" w:rsidR="00000000" w:rsidRDefault="001826C1">
      <w:pPr>
        <w:pStyle w:val="a3"/>
        <w:spacing w:before="0" w:beforeAutospacing="0" w:after="0" w:afterAutospacing="0"/>
        <w:rPr>
          <w:sz w:val="20"/>
          <w:szCs w:val="20"/>
        </w:rPr>
      </w:pPr>
      <w:r>
        <w:rPr>
          <w:sz w:val="20"/>
          <w:szCs w:val="20"/>
        </w:rPr>
        <w:t> </w:t>
      </w:r>
    </w:p>
    <w:p w14:paraId="34F479C1" w14:textId="77777777" w:rsidR="00000000" w:rsidRDefault="001826C1">
      <w:pPr>
        <w:pStyle w:val="a3"/>
        <w:spacing w:before="0" w:beforeAutospacing="0" w:after="0" w:afterAutospacing="0"/>
        <w:jc w:val="both"/>
        <w:rPr>
          <w:sz w:val="20"/>
          <w:szCs w:val="20"/>
        </w:rPr>
      </w:pPr>
      <w:r>
        <w:rPr>
          <w:i/>
          <w:iCs/>
          <w:sz w:val="20"/>
          <w:szCs w:val="20"/>
        </w:rPr>
        <w:t xml:space="preserve">Net revenue. </w:t>
      </w:r>
      <w:r>
        <w:rPr>
          <w:sz w:val="20"/>
          <w:szCs w:val="20"/>
        </w:rPr>
        <w:t xml:space="preserve">Net revenue of </w:t>
      </w:r>
      <w:r>
        <w:rPr>
          <w:sz w:val="20"/>
          <w:szCs w:val="20"/>
        </w:rPr>
        <w:t>$64.4 million for the year ended December 31, 2019 increased by $13.9 million or 27% from revenue of $50.5 million for the year ended December 31, 2018. Total revenue for the year ended December 31, 2019 included $5.1 million and $29 million from the acqui</w:t>
      </w:r>
      <w:r>
        <w:rPr>
          <w:sz w:val="20"/>
          <w:szCs w:val="20"/>
        </w:rPr>
        <w:t>sitions of ETM and Orion, respectively offset by attrition from customers. Total revenue for the year ended December 31, 2018 included $17.8 million as a result of the Orion acquisition in July 2018.</w:t>
      </w:r>
    </w:p>
    <w:p w14:paraId="21EFA886"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076B959" w14:textId="77777777">
        <w:trPr>
          <w:divId w:val="277955283"/>
        </w:trPr>
        <w:tc>
          <w:tcPr>
            <w:tcW w:w="5000" w:type="pct"/>
            <w:hideMark/>
          </w:tcPr>
          <w:p w14:paraId="0220D421"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23353E22" w14:textId="77777777">
        <w:tc>
          <w:tcPr>
            <w:tcW w:w="5000" w:type="pct"/>
            <w:hideMark/>
          </w:tcPr>
          <w:p w14:paraId="25B1707D" w14:textId="77777777" w:rsidR="00000000" w:rsidRDefault="001826C1">
            <w:pPr>
              <w:jc w:val="center"/>
              <w:rPr>
                <w:rFonts w:eastAsia="Times New Roman"/>
                <w:sz w:val="20"/>
                <w:szCs w:val="20"/>
              </w:rPr>
            </w:pPr>
            <w:r>
              <w:rPr>
                <w:rFonts w:eastAsia="Times New Roman"/>
                <w:sz w:val="20"/>
                <w:szCs w:val="20"/>
              </w:rPr>
              <w:t> </w:t>
            </w:r>
          </w:p>
        </w:tc>
      </w:tr>
    </w:tbl>
    <w:p w14:paraId="4C9D6635" w14:textId="77777777" w:rsidR="00000000" w:rsidRDefault="001826C1">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320"/>
        <w:gridCol w:w="61"/>
        <w:gridCol w:w="100"/>
        <w:gridCol w:w="900"/>
        <w:gridCol w:w="67"/>
        <w:gridCol w:w="61"/>
        <w:gridCol w:w="100"/>
        <w:gridCol w:w="900"/>
        <w:gridCol w:w="50"/>
        <w:gridCol w:w="50"/>
        <w:gridCol w:w="100"/>
        <w:gridCol w:w="900"/>
        <w:gridCol w:w="67"/>
        <w:gridCol w:w="50"/>
        <w:gridCol w:w="51"/>
        <w:gridCol w:w="634"/>
        <w:gridCol w:w="234"/>
      </w:tblGrid>
      <w:tr w:rsidR="00000000" w14:paraId="5B6E43C3" w14:textId="77777777">
        <w:tc>
          <w:tcPr>
            <w:tcW w:w="0" w:type="auto"/>
            <w:vAlign w:val="bottom"/>
            <w:hideMark/>
          </w:tcPr>
          <w:p w14:paraId="4D66E08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EBFD295"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FFEABE5"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08153D26"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1D77CD3"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2DC6FF6" w14:textId="77777777" w:rsidR="00000000" w:rsidRDefault="001826C1">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4DC00AE1" w14:textId="77777777" w:rsidR="00000000" w:rsidRDefault="001826C1">
            <w:pPr>
              <w:rPr>
                <w:rFonts w:eastAsia="Times New Roman"/>
                <w:b/>
                <w:bCs/>
                <w:sz w:val="20"/>
                <w:szCs w:val="20"/>
              </w:rPr>
            </w:pPr>
            <w:r>
              <w:rPr>
                <w:rFonts w:eastAsia="Times New Roman"/>
                <w:b/>
                <w:bCs/>
                <w:sz w:val="20"/>
                <w:szCs w:val="20"/>
              </w:rPr>
              <w:t> </w:t>
            </w:r>
          </w:p>
        </w:tc>
      </w:tr>
      <w:tr w:rsidR="00000000" w14:paraId="13237694" w14:textId="77777777">
        <w:tc>
          <w:tcPr>
            <w:tcW w:w="0" w:type="auto"/>
            <w:vAlign w:val="bottom"/>
            <w:hideMark/>
          </w:tcPr>
          <w:p w14:paraId="302A6A81"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644A87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FF8949"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5042AE3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922D8E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8E752EF"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1D6565D4"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6004909"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3FEC1FF" w14:textId="77777777" w:rsidR="00000000" w:rsidRDefault="001826C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3F654AC6"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BF2606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C6A0EEA" w14:textId="77777777" w:rsidR="00000000" w:rsidRDefault="001826C1">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5BCAEE43" w14:textId="77777777" w:rsidR="00000000" w:rsidRDefault="001826C1">
            <w:pPr>
              <w:rPr>
                <w:rFonts w:eastAsia="Times New Roman"/>
                <w:b/>
                <w:bCs/>
                <w:sz w:val="20"/>
                <w:szCs w:val="20"/>
              </w:rPr>
            </w:pPr>
            <w:r>
              <w:rPr>
                <w:rFonts w:eastAsia="Times New Roman"/>
                <w:b/>
                <w:bCs/>
                <w:sz w:val="20"/>
                <w:szCs w:val="20"/>
              </w:rPr>
              <w:t> </w:t>
            </w:r>
          </w:p>
        </w:tc>
      </w:tr>
      <w:tr w:rsidR="00000000" w14:paraId="65AF06E8" w14:textId="77777777">
        <w:tc>
          <w:tcPr>
            <w:tcW w:w="1800" w:type="pct"/>
            <w:shd w:val="clear" w:color="auto" w:fill="CCEEFF"/>
            <w:vAlign w:val="bottom"/>
            <w:hideMark/>
          </w:tcPr>
          <w:p w14:paraId="5288D75E" w14:textId="77777777" w:rsidR="00000000" w:rsidRDefault="001826C1">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66BB158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36AB59"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76584919" w14:textId="77777777" w:rsidR="00000000" w:rsidRDefault="001826C1">
            <w:pPr>
              <w:jc w:val="right"/>
              <w:rPr>
                <w:rFonts w:eastAsia="Times New Roman"/>
                <w:sz w:val="20"/>
                <w:szCs w:val="20"/>
              </w:rPr>
            </w:pPr>
            <w:r>
              <w:rPr>
                <w:rFonts w:eastAsia="Times New Roman"/>
                <w:sz w:val="20"/>
                <w:szCs w:val="20"/>
              </w:rPr>
              <w:t>41,186,024</w:t>
            </w:r>
          </w:p>
        </w:tc>
        <w:tc>
          <w:tcPr>
            <w:tcW w:w="50" w:type="pct"/>
            <w:shd w:val="clear" w:color="auto" w:fill="CCEEFF"/>
            <w:vAlign w:val="bottom"/>
            <w:hideMark/>
          </w:tcPr>
          <w:p w14:paraId="33F94722"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D2AB159"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E2A6E7"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3729EA9F" w14:textId="77777777" w:rsidR="00000000" w:rsidRDefault="001826C1">
            <w:pPr>
              <w:jc w:val="right"/>
              <w:rPr>
                <w:rFonts w:eastAsia="Times New Roman"/>
                <w:sz w:val="20"/>
                <w:szCs w:val="20"/>
              </w:rPr>
            </w:pPr>
            <w:r>
              <w:rPr>
                <w:rFonts w:eastAsia="Times New Roman"/>
                <w:sz w:val="20"/>
                <w:szCs w:val="20"/>
              </w:rPr>
              <w:t>31,252,535</w:t>
            </w:r>
          </w:p>
        </w:tc>
        <w:tc>
          <w:tcPr>
            <w:tcW w:w="50" w:type="pct"/>
            <w:shd w:val="clear" w:color="auto" w:fill="CCEEFF"/>
            <w:vAlign w:val="bottom"/>
            <w:hideMark/>
          </w:tcPr>
          <w:p w14:paraId="5E1AB585"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1B28E6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0DCC26"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7E5DB99F" w14:textId="77777777" w:rsidR="00000000" w:rsidRDefault="001826C1">
            <w:pPr>
              <w:jc w:val="right"/>
              <w:rPr>
                <w:rFonts w:eastAsia="Times New Roman"/>
                <w:sz w:val="20"/>
                <w:szCs w:val="20"/>
              </w:rPr>
            </w:pPr>
            <w:r>
              <w:rPr>
                <w:rFonts w:eastAsia="Times New Roman"/>
                <w:sz w:val="20"/>
                <w:szCs w:val="20"/>
              </w:rPr>
              <w:t>9,933,489</w:t>
            </w:r>
          </w:p>
        </w:tc>
        <w:tc>
          <w:tcPr>
            <w:tcW w:w="50" w:type="pct"/>
            <w:shd w:val="clear" w:color="auto" w:fill="CCEEFF"/>
            <w:vAlign w:val="bottom"/>
            <w:hideMark/>
          </w:tcPr>
          <w:p w14:paraId="6CA717A6"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143242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CDE452" w14:textId="77777777" w:rsidR="00000000" w:rsidRDefault="001826C1">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0BD11ED" w14:textId="77777777" w:rsidR="00000000" w:rsidRDefault="001826C1">
            <w:pPr>
              <w:jc w:val="right"/>
              <w:rPr>
                <w:rFonts w:eastAsia="Times New Roman"/>
                <w:sz w:val="20"/>
                <w:szCs w:val="20"/>
              </w:rPr>
            </w:pPr>
            <w:r>
              <w:rPr>
                <w:rFonts w:eastAsia="Times New Roman"/>
                <w:sz w:val="20"/>
                <w:szCs w:val="20"/>
              </w:rPr>
              <w:t>32</w:t>
            </w:r>
          </w:p>
        </w:tc>
        <w:tc>
          <w:tcPr>
            <w:tcW w:w="50" w:type="pct"/>
            <w:shd w:val="clear" w:color="auto" w:fill="CCEEFF"/>
            <w:vAlign w:val="bottom"/>
            <w:hideMark/>
          </w:tcPr>
          <w:p w14:paraId="50659FC4" w14:textId="77777777" w:rsidR="00000000" w:rsidRDefault="001826C1">
            <w:pPr>
              <w:rPr>
                <w:rFonts w:eastAsia="Times New Roman"/>
                <w:sz w:val="20"/>
                <w:szCs w:val="20"/>
              </w:rPr>
            </w:pPr>
            <w:r>
              <w:rPr>
                <w:rFonts w:eastAsia="Times New Roman"/>
                <w:sz w:val="20"/>
                <w:szCs w:val="20"/>
              </w:rPr>
              <w:t>%</w:t>
            </w:r>
          </w:p>
        </w:tc>
      </w:tr>
      <w:tr w:rsidR="00000000" w14:paraId="70F69591" w14:textId="77777777">
        <w:tc>
          <w:tcPr>
            <w:tcW w:w="0" w:type="auto"/>
            <w:shd w:val="clear" w:color="auto" w:fill="FFFFFF"/>
            <w:vAlign w:val="bottom"/>
            <w:hideMark/>
          </w:tcPr>
          <w:p w14:paraId="06A8D0EB" w14:textId="77777777" w:rsidR="00000000" w:rsidRDefault="001826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15638AA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CB2D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927D2E" w14:textId="77777777" w:rsidR="00000000" w:rsidRDefault="001826C1">
            <w:pPr>
              <w:jc w:val="right"/>
              <w:rPr>
                <w:rFonts w:eastAsia="Times New Roman"/>
                <w:sz w:val="20"/>
                <w:szCs w:val="20"/>
              </w:rPr>
            </w:pPr>
            <w:r>
              <w:rPr>
                <w:rFonts w:eastAsia="Times New Roman"/>
                <w:sz w:val="20"/>
                <w:szCs w:val="20"/>
              </w:rPr>
              <w:t>1,521,815</w:t>
            </w:r>
          </w:p>
        </w:tc>
        <w:tc>
          <w:tcPr>
            <w:tcW w:w="0" w:type="auto"/>
            <w:shd w:val="clear" w:color="auto" w:fill="FFFFFF"/>
            <w:vAlign w:val="bottom"/>
            <w:hideMark/>
          </w:tcPr>
          <w:p w14:paraId="1DD944A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2A6B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331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31B807" w14:textId="77777777" w:rsidR="00000000" w:rsidRDefault="001826C1">
            <w:pPr>
              <w:jc w:val="right"/>
              <w:rPr>
                <w:rFonts w:eastAsia="Times New Roman"/>
                <w:sz w:val="20"/>
                <w:szCs w:val="20"/>
              </w:rPr>
            </w:pPr>
            <w:r>
              <w:rPr>
                <w:rFonts w:eastAsia="Times New Roman"/>
                <w:sz w:val="20"/>
                <w:szCs w:val="20"/>
              </w:rPr>
              <w:t>1,611,982</w:t>
            </w:r>
          </w:p>
        </w:tc>
        <w:tc>
          <w:tcPr>
            <w:tcW w:w="0" w:type="auto"/>
            <w:shd w:val="clear" w:color="auto" w:fill="FFFFFF"/>
            <w:vAlign w:val="bottom"/>
            <w:hideMark/>
          </w:tcPr>
          <w:p w14:paraId="596DBE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44863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DEB0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370522" w14:textId="77777777" w:rsidR="00000000" w:rsidRDefault="001826C1">
            <w:pPr>
              <w:jc w:val="right"/>
              <w:rPr>
                <w:rFonts w:eastAsia="Times New Roman"/>
                <w:sz w:val="20"/>
                <w:szCs w:val="20"/>
              </w:rPr>
            </w:pPr>
            <w:r>
              <w:rPr>
                <w:rFonts w:eastAsia="Times New Roman"/>
                <w:sz w:val="20"/>
                <w:szCs w:val="20"/>
              </w:rPr>
              <w:t>(90,167</w:t>
            </w:r>
          </w:p>
        </w:tc>
        <w:tc>
          <w:tcPr>
            <w:tcW w:w="0" w:type="auto"/>
            <w:shd w:val="clear" w:color="auto" w:fill="FFFFFF"/>
            <w:vAlign w:val="bottom"/>
            <w:hideMark/>
          </w:tcPr>
          <w:p w14:paraId="2CCCE5A9"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B93450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CD20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74DAB9" w14:textId="77777777" w:rsidR="00000000" w:rsidRDefault="001826C1">
            <w:pPr>
              <w:jc w:val="right"/>
              <w:rPr>
                <w:rFonts w:eastAsia="Times New Roman"/>
                <w:sz w:val="20"/>
                <w:szCs w:val="20"/>
              </w:rPr>
            </w:pPr>
            <w:r>
              <w:rPr>
                <w:rFonts w:eastAsia="Times New Roman"/>
                <w:sz w:val="20"/>
                <w:szCs w:val="20"/>
              </w:rPr>
              <w:t>(6</w:t>
            </w:r>
          </w:p>
        </w:tc>
        <w:tc>
          <w:tcPr>
            <w:tcW w:w="0" w:type="auto"/>
            <w:shd w:val="clear" w:color="auto" w:fill="FFFFFF"/>
            <w:vAlign w:val="bottom"/>
            <w:hideMark/>
          </w:tcPr>
          <w:p w14:paraId="18F7AEB8" w14:textId="77777777" w:rsidR="00000000" w:rsidRDefault="001826C1">
            <w:pPr>
              <w:rPr>
                <w:rFonts w:eastAsia="Times New Roman"/>
                <w:sz w:val="20"/>
                <w:szCs w:val="20"/>
              </w:rPr>
            </w:pPr>
            <w:r>
              <w:rPr>
                <w:rFonts w:eastAsia="Times New Roman"/>
                <w:sz w:val="20"/>
                <w:szCs w:val="20"/>
              </w:rPr>
              <w:t>)%</w:t>
            </w:r>
          </w:p>
        </w:tc>
      </w:tr>
      <w:tr w:rsidR="00000000" w14:paraId="671C355F" w14:textId="77777777">
        <w:tc>
          <w:tcPr>
            <w:tcW w:w="0" w:type="auto"/>
            <w:shd w:val="clear" w:color="auto" w:fill="CCEEFF"/>
            <w:vAlign w:val="bottom"/>
            <w:hideMark/>
          </w:tcPr>
          <w:p w14:paraId="3ED4DBE1" w14:textId="77777777" w:rsidR="00000000" w:rsidRDefault="001826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070418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2C2D6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D6B8E3" w14:textId="77777777" w:rsidR="00000000" w:rsidRDefault="001826C1">
            <w:pPr>
              <w:jc w:val="right"/>
              <w:rPr>
                <w:rFonts w:eastAsia="Times New Roman"/>
                <w:sz w:val="20"/>
                <w:szCs w:val="20"/>
              </w:rPr>
            </w:pPr>
            <w:r>
              <w:rPr>
                <w:rFonts w:eastAsia="Times New Roman"/>
                <w:sz w:val="20"/>
                <w:szCs w:val="20"/>
              </w:rPr>
              <w:t>17,911,797</w:t>
            </w:r>
          </w:p>
        </w:tc>
        <w:tc>
          <w:tcPr>
            <w:tcW w:w="0" w:type="auto"/>
            <w:shd w:val="clear" w:color="auto" w:fill="CCEEFF"/>
            <w:vAlign w:val="bottom"/>
            <w:hideMark/>
          </w:tcPr>
          <w:p w14:paraId="187FA8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7397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E942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D5662B" w14:textId="77777777" w:rsidR="00000000" w:rsidRDefault="001826C1">
            <w:pPr>
              <w:jc w:val="right"/>
              <w:rPr>
                <w:rFonts w:eastAsia="Times New Roman"/>
                <w:sz w:val="20"/>
                <w:szCs w:val="20"/>
              </w:rPr>
            </w:pPr>
            <w:r>
              <w:rPr>
                <w:rFonts w:eastAsia="Times New Roman"/>
                <w:sz w:val="20"/>
                <w:szCs w:val="20"/>
              </w:rPr>
              <w:t>16,264,473</w:t>
            </w:r>
          </w:p>
        </w:tc>
        <w:tc>
          <w:tcPr>
            <w:tcW w:w="0" w:type="auto"/>
            <w:shd w:val="clear" w:color="auto" w:fill="CCEEFF"/>
            <w:vAlign w:val="bottom"/>
            <w:hideMark/>
          </w:tcPr>
          <w:p w14:paraId="06BD519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F003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B47A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B9459D" w14:textId="77777777" w:rsidR="00000000" w:rsidRDefault="001826C1">
            <w:pPr>
              <w:jc w:val="right"/>
              <w:rPr>
                <w:rFonts w:eastAsia="Times New Roman"/>
                <w:sz w:val="20"/>
                <w:szCs w:val="20"/>
              </w:rPr>
            </w:pPr>
            <w:r>
              <w:rPr>
                <w:rFonts w:eastAsia="Times New Roman"/>
                <w:sz w:val="20"/>
                <w:szCs w:val="20"/>
              </w:rPr>
              <w:t>1,647,324</w:t>
            </w:r>
          </w:p>
        </w:tc>
        <w:tc>
          <w:tcPr>
            <w:tcW w:w="0" w:type="auto"/>
            <w:shd w:val="clear" w:color="auto" w:fill="CCEEFF"/>
            <w:vAlign w:val="bottom"/>
            <w:hideMark/>
          </w:tcPr>
          <w:p w14:paraId="11B07C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9CFE1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CBD48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A60129" w14:textId="77777777" w:rsidR="00000000" w:rsidRDefault="001826C1">
            <w:pPr>
              <w:jc w:val="right"/>
              <w:rPr>
                <w:rFonts w:eastAsia="Times New Roman"/>
                <w:sz w:val="20"/>
                <w:szCs w:val="20"/>
              </w:rPr>
            </w:pPr>
            <w:r>
              <w:rPr>
                <w:rFonts w:eastAsia="Times New Roman"/>
                <w:sz w:val="20"/>
                <w:szCs w:val="20"/>
              </w:rPr>
              <w:t>10</w:t>
            </w:r>
          </w:p>
        </w:tc>
        <w:tc>
          <w:tcPr>
            <w:tcW w:w="0" w:type="auto"/>
            <w:shd w:val="clear" w:color="auto" w:fill="CCEEFF"/>
            <w:vAlign w:val="bottom"/>
            <w:hideMark/>
          </w:tcPr>
          <w:p w14:paraId="548756DD" w14:textId="77777777" w:rsidR="00000000" w:rsidRDefault="001826C1">
            <w:pPr>
              <w:rPr>
                <w:rFonts w:eastAsia="Times New Roman"/>
                <w:sz w:val="20"/>
                <w:szCs w:val="20"/>
              </w:rPr>
            </w:pPr>
            <w:r>
              <w:rPr>
                <w:rFonts w:eastAsia="Times New Roman"/>
                <w:sz w:val="20"/>
                <w:szCs w:val="20"/>
              </w:rPr>
              <w:t>%</w:t>
            </w:r>
          </w:p>
        </w:tc>
      </w:tr>
      <w:tr w:rsidR="00000000" w14:paraId="632995DC" w14:textId="77777777">
        <w:tc>
          <w:tcPr>
            <w:tcW w:w="0" w:type="auto"/>
            <w:shd w:val="clear" w:color="auto" w:fill="FFFFFF"/>
            <w:vAlign w:val="bottom"/>
            <w:hideMark/>
          </w:tcPr>
          <w:p w14:paraId="40387C97" w14:textId="77777777" w:rsidR="00000000" w:rsidRDefault="001826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521089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6828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DAF522" w14:textId="77777777" w:rsidR="00000000" w:rsidRDefault="001826C1">
            <w:pPr>
              <w:jc w:val="right"/>
              <w:rPr>
                <w:rFonts w:eastAsia="Times New Roman"/>
                <w:sz w:val="20"/>
                <w:szCs w:val="20"/>
              </w:rPr>
            </w:pPr>
            <w:r>
              <w:rPr>
                <w:rFonts w:eastAsia="Times New Roman"/>
                <w:sz w:val="20"/>
                <w:szCs w:val="20"/>
              </w:rPr>
              <w:t>870,780</w:t>
            </w:r>
          </w:p>
        </w:tc>
        <w:tc>
          <w:tcPr>
            <w:tcW w:w="0" w:type="auto"/>
            <w:shd w:val="clear" w:color="auto" w:fill="FFFFFF"/>
            <w:vAlign w:val="bottom"/>
            <w:hideMark/>
          </w:tcPr>
          <w:p w14:paraId="1FFAF3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5ECFD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57BCC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2D4B8" w14:textId="77777777" w:rsidR="00000000" w:rsidRDefault="001826C1">
            <w:pPr>
              <w:jc w:val="right"/>
              <w:rPr>
                <w:rFonts w:eastAsia="Times New Roman"/>
                <w:sz w:val="20"/>
                <w:szCs w:val="20"/>
              </w:rPr>
            </w:pPr>
            <w:r>
              <w:rPr>
                <w:rFonts w:eastAsia="Times New Roman"/>
                <w:sz w:val="20"/>
                <w:szCs w:val="20"/>
              </w:rPr>
              <w:t>1,029,510</w:t>
            </w:r>
          </w:p>
        </w:tc>
        <w:tc>
          <w:tcPr>
            <w:tcW w:w="0" w:type="auto"/>
            <w:shd w:val="clear" w:color="auto" w:fill="FFFFFF"/>
            <w:vAlign w:val="bottom"/>
            <w:hideMark/>
          </w:tcPr>
          <w:p w14:paraId="6BD7854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2137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61F9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A52EA6" w14:textId="77777777" w:rsidR="00000000" w:rsidRDefault="001826C1">
            <w:pPr>
              <w:jc w:val="right"/>
              <w:rPr>
                <w:rFonts w:eastAsia="Times New Roman"/>
                <w:sz w:val="20"/>
                <w:szCs w:val="20"/>
              </w:rPr>
            </w:pPr>
            <w:r>
              <w:rPr>
                <w:rFonts w:eastAsia="Times New Roman"/>
                <w:sz w:val="20"/>
                <w:szCs w:val="20"/>
              </w:rPr>
              <w:t>(158,730</w:t>
            </w:r>
          </w:p>
        </w:tc>
        <w:tc>
          <w:tcPr>
            <w:tcW w:w="0" w:type="auto"/>
            <w:shd w:val="clear" w:color="auto" w:fill="FFFFFF"/>
            <w:vAlign w:val="bottom"/>
            <w:hideMark/>
          </w:tcPr>
          <w:p w14:paraId="3BFB7AE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9A7FA7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417B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1F7185" w14:textId="77777777" w:rsidR="00000000" w:rsidRDefault="001826C1">
            <w:pPr>
              <w:jc w:val="right"/>
              <w:rPr>
                <w:rFonts w:eastAsia="Times New Roman"/>
                <w:sz w:val="20"/>
                <w:szCs w:val="20"/>
              </w:rPr>
            </w:pPr>
            <w:r>
              <w:rPr>
                <w:rFonts w:eastAsia="Times New Roman"/>
                <w:sz w:val="20"/>
                <w:szCs w:val="20"/>
              </w:rPr>
              <w:t>(15</w:t>
            </w:r>
          </w:p>
        </w:tc>
        <w:tc>
          <w:tcPr>
            <w:tcW w:w="0" w:type="auto"/>
            <w:shd w:val="clear" w:color="auto" w:fill="FFFFFF"/>
            <w:vAlign w:val="bottom"/>
            <w:hideMark/>
          </w:tcPr>
          <w:p w14:paraId="0C52E50B" w14:textId="77777777" w:rsidR="00000000" w:rsidRDefault="001826C1">
            <w:pPr>
              <w:rPr>
                <w:rFonts w:eastAsia="Times New Roman"/>
                <w:sz w:val="20"/>
                <w:szCs w:val="20"/>
              </w:rPr>
            </w:pPr>
            <w:r>
              <w:rPr>
                <w:rFonts w:eastAsia="Times New Roman"/>
                <w:sz w:val="20"/>
                <w:szCs w:val="20"/>
              </w:rPr>
              <w:t>)%</w:t>
            </w:r>
          </w:p>
        </w:tc>
      </w:tr>
      <w:tr w:rsidR="00000000" w14:paraId="4089D6A0" w14:textId="77777777">
        <w:tc>
          <w:tcPr>
            <w:tcW w:w="0" w:type="auto"/>
            <w:shd w:val="clear" w:color="auto" w:fill="CCEEFF"/>
            <w:vAlign w:val="bottom"/>
            <w:hideMark/>
          </w:tcPr>
          <w:p w14:paraId="4D6701F9"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03C37A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3616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14EA93" w14:textId="77777777" w:rsidR="00000000" w:rsidRDefault="001826C1">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14:paraId="0077BCE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C95D56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8F68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86BF80" w14:textId="77777777" w:rsidR="00000000" w:rsidRDefault="001826C1">
            <w:pPr>
              <w:jc w:val="right"/>
              <w:rPr>
                <w:rFonts w:eastAsia="Times New Roman"/>
                <w:sz w:val="20"/>
                <w:szCs w:val="20"/>
              </w:rPr>
            </w:pPr>
            <w:r>
              <w:rPr>
                <w:rFonts w:eastAsia="Times New Roman"/>
                <w:sz w:val="20"/>
                <w:szCs w:val="20"/>
              </w:rPr>
              <w:t>73,271</w:t>
            </w:r>
          </w:p>
        </w:tc>
        <w:tc>
          <w:tcPr>
            <w:tcW w:w="0" w:type="auto"/>
            <w:shd w:val="clear" w:color="auto" w:fill="CCEEFF"/>
            <w:vAlign w:val="bottom"/>
            <w:hideMark/>
          </w:tcPr>
          <w:p w14:paraId="556D45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12FB7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45964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A3661C" w14:textId="77777777" w:rsidR="00000000" w:rsidRDefault="001826C1">
            <w:pPr>
              <w:jc w:val="right"/>
              <w:rPr>
                <w:rFonts w:eastAsia="Times New Roman"/>
                <w:sz w:val="20"/>
                <w:szCs w:val="20"/>
              </w:rPr>
            </w:pPr>
            <w:r>
              <w:rPr>
                <w:rFonts w:eastAsia="Times New Roman"/>
                <w:sz w:val="20"/>
                <w:szCs w:val="20"/>
              </w:rPr>
              <w:t>(417,039</w:t>
            </w:r>
          </w:p>
        </w:tc>
        <w:tc>
          <w:tcPr>
            <w:tcW w:w="0" w:type="auto"/>
            <w:shd w:val="clear" w:color="auto" w:fill="CCEEFF"/>
            <w:vAlign w:val="bottom"/>
            <w:hideMark/>
          </w:tcPr>
          <w:p w14:paraId="1690EFC1"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14A7F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11E5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AD634C" w14:textId="77777777" w:rsidR="00000000" w:rsidRDefault="001826C1">
            <w:pPr>
              <w:jc w:val="right"/>
              <w:rPr>
                <w:rFonts w:eastAsia="Times New Roman"/>
                <w:sz w:val="20"/>
                <w:szCs w:val="20"/>
              </w:rPr>
            </w:pPr>
            <w:r>
              <w:rPr>
                <w:rFonts w:eastAsia="Times New Roman"/>
                <w:sz w:val="20"/>
                <w:szCs w:val="20"/>
              </w:rPr>
              <w:t>(569</w:t>
            </w:r>
          </w:p>
        </w:tc>
        <w:tc>
          <w:tcPr>
            <w:tcW w:w="0" w:type="auto"/>
            <w:shd w:val="clear" w:color="auto" w:fill="CCEEFF"/>
            <w:vAlign w:val="bottom"/>
            <w:hideMark/>
          </w:tcPr>
          <w:p w14:paraId="5DC74408" w14:textId="77777777" w:rsidR="00000000" w:rsidRDefault="001826C1">
            <w:pPr>
              <w:rPr>
                <w:rFonts w:eastAsia="Times New Roman"/>
                <w:sz w:val="20"/>
                <w:szCs w:val="20"/>
              </w:rPr>
            </w:pPr>
            <w:r>
              <w:rPr>
                <w:rFonts w:eastAsia="Times New Roman"/>
                <w:sz w:val="20"/>
                <w:szCs w:val="20"/>
              </w:rPr>
              <w:t>)%</w:t>
            </w:r>
          </w:p>
        </w:tc>
      </w:tr>
      <w:tr w:rsidR="00000000" w14:paraId="39C8C8A0" w14:textId="77777777">
        <w:tc>
          <w:tcPr>
            <w:tcW w:w="0" w:type="auto"/>
            <w:shd w:val="clear" w:color="auto" w:fill="FFFFFF"/>
            <w:vAlign w:val="bottom"/>
            <w:hideMark/>
          </w:tcPr>
          <w:p w14:paraId="02FB8B4D" w14:textId="77777777" w:rsidR="00000000" w:rsidRDefault="001826C1">
            <w:pPr>
              <w:rPr>
                <w:rFonts w:eastAsia="Times New Roman"/>
                <w:sz w:val="20"/>
                <w:szCs w:val="20"/>
              </w:rPr>
            </w:pPr>
            <w:r>
              <w:rPr>
                <w:rFonts w:eastAsia="Times New Roman"/>
                <w:sz w:val="20"/>
                <w:szCs w:val="20"/>
              </w:rPr>
              <w:t>Depreciation</w:t>
            </w:r>
          </w:p>
        </w:tc>
        <w:tc>
          <w:tcPr>
            <w:tcW w:w="0" w:type="auto"/>
            <w:shd w:val="clear" w:color="auto" w:fill="FFFFFF"/>
            <w:vAlign w:val="bottom"/>
            <w:hideMark/>
          </w:tcPr>
          <w:p w14:paraId="071BAD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EBB2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2D4260" w14:textId="77777777" w:rsidR="00000000" w:rsidRDefault="001826C1">
            <w:pPr>
              <w:jc w:val="right"/>
              <w:rPr>
                <w:rFonts w:eastAsia="Times New Roman"/>
                <w:sz w:val="20"/>
                <w:szCs w:val="20"/>
              </w:rPr>
            </w:pPr>
            <w:r>
              <w:rPr>
                <w:rFonts w:eastAsia="Times New Roman"/>
                <w:sz w:val="20"/>
                <w:szCs w:val="20"/>
              </w:rPr>
              <w:t>909,157</w:t>
            </w:r>
          </w:p>
        </w:tc>
        <w:tc>
          <w:tcPr>
            <w:tcW w:w="0" w:type="auto"/>
            <w:shd w:val="clear" w:color="auto" w:fill="FFFFFF"/>
            <w:vAlign w:val="bottom"/>
            <w:hideMark/>
          </w:tcPr>
          <w:p w14:paraId="5F5816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6F53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D9682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7CCECC" w14:textId="77777777" w:rsidR="00000000" w:rsidRDefault="001826C1">
            <w:pPr>
              <w:jc w:val="right"/>
              <w:rPr>
                <w:rFonts w:eastAsia="Times New Roman"/>
                <w:sz w:val="20"/>
                <w:szCs w:val="20"/>
              </w:rPr>
            </w:pPr>
            <w:r>
              <w:rPr>
                <w:rFonts w:eastAsia="Times New Roman"/>
                <w:sz w:val="20"/>
                <w:szCs w:val="20"/>
              </w:rPr>
              <w:t>688,020</w:t>
            </w:r>
          </w:p>
        </w:tc>
        <w:tc>
          <w:tcPr>
            <w:tcW w:w="0" w:type="auto"/>
            <w:shd w:val="clear" w:color="auto" w:fill="FFFFFF"/>
            <w:vAlign w:val="bottom"/>
            <w:hideMark/>
          </w:tcPr>
          <w:p w14:paraId="481637E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6BAA4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704E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79622D" w14:textId="77777777" w:rsidR="00000000" w:rsidRDefault="001826C1">
            <w:pPr>
              <w:jc w:val="right"/>
              <w:rPr>
                <w:rFonts w:eastAsia="Times New Roman"/>
                <w:sz w:val="20"/>
                <w:szCs w:val="20"/>
              </w:rPr>
            </w:pPr>
            <w:r>
              <w:rPr>
                <w:rFonts w:eastAsia="Times New Roman"/>
                <w:sz w:val="20"/>
                <w:szCs w:val="20"/>
              </w:rPr>
              <w:t>221,137</w:t>
            </w:r>
          </w:p>
        </w:tc>
        <w:tc>
          <w:tcPr>
            <w:tcW w:w="0" w:type="auto"/>
            <w:shd w:val="clear" w:color="auto" w:fill="FFFFFF"/>
            <w:vAlign w:val="bottom"/>
            <w:hideMark/>
          </w:tcPr>
          <w:p w14:paraId="76B82FA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0871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F754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690FA5" w14:textId="77777777" w:rsidR="00000000" w:rsidRDefault="001826C1">
            <w:pPr>
              <w:jc w:val="right"/>
              <w:rPr>
                <w:rFonts w:eastAsia="Times New Roman"/>
                <w:sz w:val="20"/>
                <w:szCs w:val="20"/>
              </w:rPr>
            </w:pPr>
            <w:r>
              <w:rPr>
                <w:rFonts w:eastAsia="Times New Roman"/>
                <w:sz w:val="20"/>
                <w:szCs w:val="20"/>
              </w:rPr>
              <w:t>32</w:t>
            </w:r>
          </w:p>
        </w:tc>
        <w:tc>
          <w:tcPr>
            <w:tcW w:w="0" w:type="auto"/>
            <w:shd w:val="clear" w:color="auto" w:fill="FFFFFF"/>
            <w:vAlign w:val="bottom"/>
            <w:hideMark/>
          </w:tcPr>
          <w:p w14:paraId="2589FD57" w14:textId="77777777" w:rsidR="00000000" w:rsidRDefault="001826C1">
            <w:pPr>
              <w:rPr>
                <w:rFonts w:eastAsia="Times New Roman"/>
                <w:sz w:val="20"/>
                <w:szCs w:val="20"/>
              </w:rPr>
            </w:pPr>
            <w:r>
              <w:rPr>
                <w:rFonts w:eastAsia="Times New Roman"/>
                <w:sz w:val="20"/>
                <w:szCs w:val="20"/>
              </w:rPr>
              <w:t>%</w:t>
            </w:r>
          </w:p>
        </w:tc>
      </w:tr>
      <w:tr w:rsidR="00000000" w14:paraId="552A1B51" w14:textId="77777777">
        <w:tc>
          <w:tcPr>
            <w:tcW w:w="0" w:type="auto"/>
            <w:shd w:val="clear" w:color="auto" w:fill="CCEEFF"/>
            <w:vAlign w:val="bottom"/>
            <w:hideMark/>
          </w:tcPr>
          <w:p w14:paraId="66C569AE" w14:textId="77777777" w:rsidR="00000000" w:rsidRDefault="001826C1">
            <w:pPr>
              <w:rPr>
                <w:rFonts w:eastAsia="Times New Roman"/>
                <w:sz w:val="20"/>
                <w:szCs w:val="20"/>
              </w:rPr>
            </w:pPr>
            <w:r>
              <w:rPr>
                <w:rFonts w:eastAsia="Times New Roman"/>
                <w:sz w:val="20"/>
                <w:szCs w:val="20"/>
              </w:rPr>
              <w:t>Amortization</w:t>
            </w:r>
          </w:p>
        </w:tc>
        <w:tc>
          <w:tcPr>
            <w:tcW w:w="0" w:type="auto"/>
            <w:shd w:val="clear" w:color="auto" w:fill="CCEEFF"/>
            <w:vAlign w:val="bottom"/>
            <w:hideMark/>
          </w:tcPr>
          <w:p w14:paraId="3E7423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944F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BA2DF3" w14:textId="77777777" w:rsidR="00000000" w:rsidRDefault="001826C1">
            <w:pPr>
              <w:jc w:val="right"/>
              <w:rPr>
                <w:rFonts w:eastAsia="Times New Roman"/>
                <w:sz w:val="20"/>
                <w:szCs w:val="20"/>
              </w:rPr>
            </w:pPr>
            <w:r>
              <w:rPr>
                <w:rFonts w:eastAsia="Times New Roman"/>
                <w:sz w:val="20"/>
                <w:szCs w:val="20"/>
              </w:rPr>
              <w:t>2,096,449</w:t>
            </w:r>
          </w:p>
        </w:tc>
        <w:tc>
          <w:tcPr>
            <w:tcW w:w="0" w:type="auto"/>
            <w:shd w:val="clear" w:color="auto" w:fill="CCEEFF"/>
            <w:vAlign w:val="bottom"/>
            <w:hideMark/>
          </w:tcPr>
          <w:p w14:paraId="4D819E5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A357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60ADA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F3C06F" w14:textId="77777777" w:rsidR="00000000" w:rsidRDefault="001826C1">
            <w:pPr>
              <w:jc w:val="right"/>
              <w:rPr>
                <w:rFonts w:eastAsia="Times New Roman"/>
                <w:sz w:val="20"/>
                <w:szCs w:val="20"/>
              </w:rPr>
            </w:pPr>
            <w:r>
              <w:rPr>
                <w:rFonts w:eastAsia="Times New Roman"/>
                <w:sz w:val="20"/>
                <w:szCs w:val="20"/>
              </w:rPr>
              <w:t>2,165,807</w:t>
            </w:r>
          </w:p>
        </w:tc>
        <w:tc>
          <w:tcPr>
            <w:tcW w:w="0" w:type="auto"/>
            <w:shd w:val="clear" w:color="auto" w:fill="CCEEFF"/>
            <w:vAlign w:val="bottom"/>
            <w:hideMark/>
          </w:tcPr>
          <w:p w14:paraId="7A2A27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3DDC7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3FB0F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742D73" w14:textId="77777777" w:rsidR="00000000" w:rsidRDefault="001826C1">
            <w:pPr>
              <w:jc w:val="right"/>
              <w:rPr>
                <w:rFonts w:eastAsia="Times New Roman"/>
                <w:sz w:val="20"/>
                <w:szCs w:val="20"/>
              </w:rPr>
            </w:pPr>
            <w:r>
              <w:rPr>
                <w:rFonts w:eastAsia="Times New Roman"/>
                <w:sz w:val="20"/>
                <w:szCs w:val="20"/>
              </w:rPr>
              <w:t>(69,358</w:t>
            </w:r>
          </w:p>
        </w:tc>
        <w:tc>
          <w:tcPr>
            <w:tcW w:w="0" w:type="auto"/>
            <w:shd w:val="clear" w:color="auto" w:fill="CCEEFF"/>
            <w:vAlign w:val="bottom"/>
            <w:hideMark/>
          </w:tcPr>
          <w:p w14:paraId="68006014"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172CE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5BCE2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000D6D" w14:textId="77777777" w:rsidR="00000000" w:rsidRDefault="001826C1">
            <w:pPr>
              <w:jc w:val="right"/>
              <w:rPr>
                <w:rFonts w:eastAsia="Times New Roman"/>
                <w:sz w:val="20"/>
                <w:szCs w:val="20"/>
              </w:rPr>
            </w:pPr>
            <w:r>
              <w:rPr>
                <w:rFonts w:eastAsia="Times New Roman"/>
                <w:sz w:val="20"/>
                <w:szCs w:val="20"/>
              </w:rPr>
              <w:t>(3</w:t>
            </w:r>
          </w:p>
        </w:tc>
        <w:tc>
          <w:tcPr>
            <w:tcW w:w="0" w:type="auto"/>
            <w:shd w:val="clear" w:color="auto" w:fill="CCEEFF"/>
            <w:vAlign w:val="bottom"/>
            <w:hideMark/>
          </w:tcPr>
          <w:p w14:paraId="220FD9FA" w14:textId="77777777" w:rsidR="00000000" w:rsidRDefault="001826C1">
            <w:pPr>
              <w:rPr>
                <w:rFonts w:eastAsia="Times New Roman"/>
                <w:sz w:val="20"/>
                <w:szCs w:val="20"/>
              </w:rPr>
            </w:pPr>
            <w:r>
              <w:rPr>
                <w:rFonts w:eastAsia="Times New Roman"/>
                <w:sz w:val="20"/>
                <w:szCs w:val="20"/>
              </w:rPr>
              <w:t>)%</w:t>
            </w:r>
          </w:p>
        </w:tc>
      </w:tr>
      <w:tr w:rsidR="00000000" w14:paraId="139BA43D" w14:textId="77777777">
        <w:tc>
          <w:tcPr>
            <w:tcW w:w="0" w:type="auto"/>
            <w:shd w:val="clear" w:color="auto" w:fill="FFFFFF"/>
            <w:tcMar>
              <w:top w:w="0" w:type="dxa"/>
              <w:left w:w="0" w:type="dxa"/>
              <w:bottom w:w="30" w:type="dxa"/>
              <w:right w:w="0" w:type="dxa"/>
            </w:tcMar>
            <w:vAlign w:val="bottom"/>
            <w:hideMark/>
          </w:tcPr>
          <w:p w14:paraId="4B66E7EA" w14:textId="77777777" w:rsidR="00000000" w:rsidRDefault="001826C1">
            <w:pPr>
              <w:rPr>
                <w:rFonts w:eastAsia="Times New Roman"/>
                <w:sz w:val="20"/>
                <w:szCs w:val="20"/>
              </w:rPr>
            </w:pPr>
            <w:r>
              <w:rPr>
                <w:rFonts w:eastAsia="Times New Roman"/>
                <w:sz w:val="20"/>
                <w:szCs w:val="20"/>
              </w:rPr>
              <w:t>Resturcturing and impairment charges</w:t>
            </w:r>
          </w:p>
        </w:tc>
        <w:tc>
          <w:tcPr>
            <w:tcW w:w="0" w:type="auto"/>
            <w:shd w:val="clear" w:color="auto" w:fill="FFFFFF"/>
            <w:tcMar>
              <w:top w:w="0" w:type="dxa"/>
              <w:left w:w="0" w:type="dxa"/>
              <w:bottom w:w="30" w:type="dxa"/>
              <w:right w:w="0" w:type="dxa"/>
            </w:tcMar>
            <w:vAlign w:val="bottom"/>
            <w:hideMark/>
          </w:tcPr>
          <w:p w14:paraId="45DBCEA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93C3E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BCFF3BF" w14:textId="77777777" w:rsidR="00000000" w:rsidRDefault="001826C1">
            <w:pPr>
              <w:jc w:val="right"/>
              <w:rPr>
                <w:rFonts w:eastAsia="Times New Roman"/>
                <w:sz w:val="20"/>
                <w:szCs w:val="20"/>
              </w:rPr>
            </w:pPr>
            <w:r>
              <w:rPr>
                <w:rFonts w:eastAsia="Times New Roman"/>
                <w:sz w:val="20"/>
                <w:szCs w:val="20"/>
              </w:rPr>
              <w:t>219,013</w:t>
            </w:r>
          </w:p>
        </w:tc>
        <w:tc>
          <w:tcPr>
            <w:tcW w:w="0" w:type="auto"/>
            <w:shd w:val="clear" w:color="auto" w:fill="FFFFFF"/>
            <w:tcMar>
              <w:top w:w="0" w:type="dxa"/>
              <w:left w:w="0" w:type="dxa"/>
              <w:bottom w:w="30" w:type="dxa"/>
              <w:right w:w="0" w:type="dxa"/>
            </w:tcMar>
            <w:vAlign w:val="bottom"/>
            <w:hideMark/>
          </w:tcPr>
          <w:p w14:paraId="23C6DD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F27707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1133E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002B9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395D6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6562D4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14EA1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647B20" w14:textId="77777777" w:rsidR="00000000" w:rsidRDefault="001826C1">
            <w:pPr>
              <w:jc w:val="right"/>
              <w:rPr>
                <w:rFonts w:eastAsia="Times New Roman"/>
                <w:sz w:val="20"/>
                <w:szCs w:val="20"/>
              </w:rPr>
            </w:pPr>
            <w:r>
              <w:rPr>
                <w:rFonts w:eastAsia="Times New Roman"/>
                <w:sz w:val="20"/>
                <w:szCs w:val="20"/>
              </w:rPr>
              <w:t>219,013</w:t>
            </w:r>
          </w:p>
        </w:tc>
        <w:tc>
          <w:tcPr>
            <w:tcW w:w="0" w:type="auto"/>
            <w:shd w:val="clear" w:color="auto" w:fill="FFFFFF"/>
            <w:tcMar>
              <w:top w:w="0" w:type="dxa"/>
              <w:left w:w="0" w:type="dxa"/>
              <w:bottom w:w="30" w:type="dxa"/>
              <w:right w:w="0" w:type="dxa"/>
            </w:tcMar>
            <w:vAlign w:val="bottom"/>
            <w:hideMark/>
          </w:tcPr>
          <w:p w14:paraId="6DD432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094A62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B6476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8DD5D0F" w14:textId="77777777" w:rsidR="00000000" w:rsidRDefault="001826C1">
            <w:pPr>
              <w:jc w:val="right"/>
              <w:rPr>
                <w:rFonts w:eastAsia="Times New Roman"/>
                <w:sz w:val="20"/>
                <w:szCs w:val="20"/>
              </w:rPr>
            </w:pPr>
            <w:r>
              <w:rPr>
                <w:rFonts w:eastAsia="Times New Roman"/>
                <w:sz w:val="20"/>
                <w:szCs w:val="20"/>
              </w:rPr>
              <w:t>100</w:t>
            </w:r>
          </w:p>
        </w:tc>
        <w:tc>
          <w:tcPr>
            <w:tcW w:w="0" w:type="auto"/>
            <w:shd w:val="clear" w:color="auto" w:fill="FFFFFF"/>
            <w:tcMar>
              <w:top w:w="0" w:type="dxa"/>
              <w:left w:w="0" w:type="dxa"/>
              <w:bottom w:w="30" w:type="dxa"/>
              <w:right w:w="0" w:type="dxa"/>
            </w:tcMar>
            <w:vAlign w:val="bottom"/>
            <w:hideMark/>
          </w:tcPr>
          <w:p w14:paraId="4F47E150" w14:textId="77777777" w:rsidR="00000000" w:rsidRDefault="001826C1">
            <w:pPr>
              <w:rPr>
                <w:rFonts w:eastAsia="Times New Roman"/>
                <w:sz w:val="20"/>
                <w:szCs w:val="20"/>
              </w:rPr>
            </w:pPr>
            <w:r>
              <w:rPr>
                <w:rFonts w:eastAsia="Times New Roman"/>
                <w:sz w:val="20"/>
                <w:szCs w:val="20"/>
              </w:rPr>
              <w:t>%</w:t>
            </w:r>
          </w:p>
        </w:tc>
      </w:tr>
      <w:tr w:rsidR="00000000" w14:paraId="48469B3C" w14:textId="77777777">
        <w:tc>
          <w:tcPr>
            <w:tcW w:w="0" w:type="auto"/>
            <w:shd w:val="clear" w:color="auto" w:fill="CCEEFF"/>
            <w:tcMar>
              <w:top w:w="0" w:type="dxa"/>
              <w:left w:w="200" w:type="dxa"/>
              <w:bottom w:w="50" w:type="dxa"/>
              <w:right w:w="0" w:type="dxa"/>
            </w:tcMar>
            <w:vAlign w:val="bottom"/>
            <w:hideMark/>
          </w:tcPr>
          <w:p w14:paraId="54F87A65" w14:textId="77777777" w:rsidR="00000000" w:rsidRDefault="001826C1">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14:paraId="5B7C646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E24E35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83165BA" w14:textId="77777777" w:rsidR="00000000" w:rsidRDefault="001826C1">
            <w:pPr>
              <w:jc w:val="right"/>
              <w:rPr>
                <w:rFonts w:eastAsia="Times New Roman"/>
                <w:sz w:val="20"/>
                <w:szCs w:val="20"/>
              </w:rPr>
            </w:pPr>
            <w:r>
              <w:rPr>
                <w:rFonts w:eastAsia="Times New Roman"/>
                <w:sz w:val="20"/>
                <w:szCs w:val="20"/>
              </w:rPr>
              <w:t>64,371,267</w:t>
            </w:r>
          </w:p>
        </w:tc>
        <w:tc>
          <w:tcPr>
            <w:tcW w:w="0" w:type="auto"/>
            <w:shd w:val="clear" w:color="auto" w:fill="CCEEFF"/>
            <w:tcMar>
              <w:top w:w="0" w:type="dxa"/>
              <w:left w:w="0" w:type="dxa"/>
              <w:bottom w:w="50" w:type="dxa"/>
              <w:right w:w="0" w:type="dxa"/>
            </w:tcMar>
            <w:vAlign w:val="bottom"/>
            <w:hideMark/>
          </w:tcPr>
          <w:p w14:paraId="1A187F7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8DECB7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630D997"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B1860A1" w14:textId="77777777" w:rsidR="00000000" w:rsidRDefault="001826C1">
            <w:pPr>
              <w:jc w:val="right"/>
              <w:rPr>
                <w:rFonts w:eastAsia="Times New Roman"/>
                <w:sz w:val="20"/>
                <w:szCs w:val="20"/>
              </w:rPr>
            </w:pPr>
            <w:r>
              <w:rPr>
                <w:rFonts w:eastAsia="Times New Roman"/>
                <w:sz w:val="20"/>
                <w:szCs w:val="20"/>
              </w:rPr>
              <w:t>53,085,598</w:t>
            </w:r>
          </w:p>
        </w:tc>
        <w:tc>
          <w:tcPr>
            <w:tcW w:w="0" w:type="auto"/>
            <w:shd w:val="clear" w:color="auto" w:fill="CCEEFF"/>
            <w:tcMar>
              <w:top w:w="0" w:type="dxa"/>
              <w:left w:w="0" w:type="dxa"/>
              <w:bottom w:w="50" w:type="dxa"/>
              <w:right w:w="0" w:type="dxa"/>
            </w:tcMar>
            <w:vAlign w:val="bottom"/>
            <w:hideMark/>
          </w:tcPr>
          <w:p w14:paraId="613FD4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8B904EB"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CFEA7E8"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07C1E69" w14:textId="77777777" w:rsidR="00000000" w:rsidRDefault="001826C1">
            <w:pPr>
              <w:jc w:val="right"/>
              <w:rPr>
                <w:rFonts w:eastAsia="Times New Roman"/>
                <w:sz w:val="20"/>
                <w:szCs w:val="20"/>
              </w:rPr>
            </w:pPr>
            <w:r>
              <w:rPr>
                <w:rFonts w:eastAsia="Times New Roman"/>
                <w:sz w:val="20"/>
                <w:szCs w:val="20"/>
              </w:rPr>
              <w:t>11,285,669</w:t>
            </w:r>
          </w:p>
        </w:tc>
        <w:tc>
          <w:tcPr>
            <w:tcW w:w="0" w:type="auto"/>
            <w:shd w:val="clear" w:color="auto" w:fill="CCEEFF"/>
            <w:tcMar>
              <w:top w:w="0" w:type="dxa"/>
              <w:left w:w="0" w:type="dxa"/>
              <w:bottom w:w="50" w:type="dxa"/>
              <w:right w:w="0" w:type="dxa"/>
            </w:tcMar>
            <w:vAlign w:val="bottom"/>
            <w:hideMark/>
          </w:tcPr>
          <w:p w14:paraId="64A785A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9BF138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25D4DA2"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077F1AE" w14:textId="77777777" w:rsidR="00000000" w:rsidRDefault="001826C1">
            <w:pPr>
              <w:jc w:val="right"/>
              <w:rPr>
                <w:rFonts w:eastAsia="Times New Roman"/>
                <w:sz w:val="20"/>
                <w:szCs w:val="20"/>
              </w:rPr>
            </w:pPr>
            <w:r>
              <w:rPr>
                <w:rFonts w:eastAsia="Times New Roman"/>
                <w:sz w:val="20"/>
                <w:szCs w:val="20"/>
              </w:rPr>
              <w:t>21</w:t>
            </w:r>
          </w:p>
        </w:tc>
        <w:tc>
          <w:tcPr>
            <w:tcW w:w="0" w:type="auto"/>
            <w:shd w:val="clear" w:color="auto" w:fill="CCEEFF"/>
            <w:tcMar>
              <w:top w:w="0" w:type="dxa"/>
              <w:left w:w="0" w:type="dxa"/>
              <w:bottom w:w="50" w:type="dxa"/>
              <w:right w:w="0" w:type="dxa"/>
            </w:tcMar>
            <w:vAlign w:val="bottom"/>
            <w:hideMark/>
          </w:tcPr>
          <w:p w14:paraId="247F7209" w14:textId="77777777" w:rsidR="00000000" w:rsidRDefault="001826C1">
            <w:pPr>
              <w:rPr>
                <w:rFonts w:eastAsia="Times New Roman"/>
                <w:sz w:val="20"/>
                <w:szCs w:val="20"/>
              </w:rPr>
            </w:pPr>
            <w:r>
              <w:rPr>
                <w:rFonts w:eastAsia="Times New Roman"/>
                <w:sz w:val="20"/>
                <w:szCs w:val="20"/>
              </w:rPr>
              <w:t>%</w:t>
            </w:r>
          </w:p>
        </w:tc>
      </w:tr>
    </w:tbl>
    <w:p w14:paraId="57BE3013" w14:textId="77777777" w:rsidR="00000000" w:rsidRDefault="001826C1">
      <w:pPr>
        <w:pStyle w:val="a3"/>
        <w:spacing w:before="0" w:beforeAutospacing="0" w:after="0" w:afterAutospacing="0"/>
        <w:jc w:val="both"/>
        <w:rPr>
          <w:sz w:val="20"/>
          <w:szCs w:val="20"/>
        </w:rPr>
      </w:pPr>
      <w:r>
        <w:rPr>
          <w:i/>
          <w:iCs/>
          <w:sz w:val="20"/>
          <w:szCs w:val="20"/>
        </w:rPr>
        <w:t> </w:t>
      </w:r>
    </w:p>
    <w:p w14:paraId="36473C98"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Direct Operating Costs. </w:t>
      </w:r>
      <w:r>
        <w:rPr>
          <w:sz w:val="20"/>
          <w:szCs w:val="20"/>
        </w:rPr>
        <w:t xml:space="preserve">Direct operating costs of $41.2 million for the year ended December 31, 2019 increased by $9.9 million or </w:t>
      </w:r>
      <w:r>
        <w:rPr>
          <w:sz w:val="20"/>
          <w:szCs w:val="20"/>
        </w:rPr>
        <w:t>32% from direct operating costs of $31.3 million for the year ended December 31, 2018. Salary costs increased by $4.8 million primarily as a result of the Orion and ETM acquisitions. Medical supplies increased by $2.7 million as a result of the addition of</w:t>
      </w:r>
      <w:r>
        <w:rPr>
          <w:sz w:val="20"/>
          <w:szCs w:val="20"/>
        </w:rPr>
        <w:t xml:space="preserve"> the managed practices. Outsourcing and other customer processing costs increased by $752,000, facility costs increased by $968,000 and postage and delivery costs increased by $299,000.</w:t>
      </w:r>
    </w:p>
    <w:p w14:paraId="65EC5813"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36FBCE55"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Selling and Marketing Expense. </w:t>
      </w:r>
      <w:r>
        <w:rPr>
          <w:sz w:val="20"/>
          <w:szCs w:val="20"/>
        </w:rPr>
        <w:t>Selling and marketing expense of $1.5</w:t>
      </w:r>
      <w:r>
        <w:rPr>
          <w:sz w:val="20"/>
          <w:szCs w:val="20"/>
        </w:rPr>
        <w:t xml:space="preserve"> million for the year ended December 31, 2019 decreased by $90,000 or 6% from selling and marketing expense of $1.6 million for the year ended December 31, 2018.</w:t>
      </w:r>
    </w:p>
    <w:p w14:paraId="75276F43"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4E45C1F"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General and Administrative Expense. </w:t>
      </w:r>
      <w:r>
        <w:rPr>
          <w:sz w:val="20"/>
          <w:szCs w:val="20"/>
        </w:rPr>
        <w:t xml:space="preserve">General and administrative expense of $17.9 million for </w:t>
      </w:r>
      <w:r>
        <w:rPr>
          <w:sz w:val="20"/>
          <w:szCs w:val="20"/>
        </w:rPr>
        <w:t xml:space="preserve">the year ended December 31, 2019 increased by $1.6 million or 10% from general and administrative expense of $16.3 million for the year ended December 31, 2018. Salary costs increased by $1.4 million as a result of the Orion and ETM acquisitions and stock </w:t>
      </w:r>
      <w:r>
        <w:rPr>
          <w:sz w:val="20"/>
          <w:szCs w:val="20"/>
        </w:rPr>
        <w:t>compensation expense.</w:t>
      </w:r>
    </w:p>
    <w:p w14:paraId="47AED1A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8ACC217" w14:textId="77777777" w:rsidR="00000000" w:rsidRDefault="001826C1">
      <w:pPr>
        <w:pStyle w:val="a3"/>
        <w:shd w:val="clear" w:color="auto" w:fill="FFFFFF"/>
        <w:spacing w:before="0" w:beforeAutospacing="0" w:after="0" w:afterAutospacing="0"/>
        <w:jc w:val="both"/>
        <w:rPr>
          <w:sz w:val="20"/>
          <w:szCs w:val="20"/>
        </w:rPr>
      </w:pPr>
      <w:r>
        <w:rPr>
          <w:i/>
          <w:iCs/>
          <w:sz w:val="20"/>
          <w:szCs w:val="20"/>
        </w:rPr>
        <w:t>Research and Development Expense.</w:t>
      </w:r>
      <w:r>
        <w:rPr>
          <w:sz w:val="20"/>
          <w:szCs w:val="20"/>
        </w:rPr>
        <w:t xml:space="preserve"> Research and development expense of $871,000 for the year ended December 31, 2019 decreased by $159,000 or 15% from research and development expense of $1 million in the prior year.</w:t>
      </w:r>
    </w:p>
    <w:p w14:paraId="369EB377"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01579E2C"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Contingent Consideration. </w:t>
      </w:r>
      <w:r>
        <w:rPr>
          <w:sz w:val="20"/>
          <w:szCs w:val="20"/>
        </w:rPr>
        <w:t>The changes in contingent consideration of $(344,000) and $73,000 for the years ended December 31, 2019 and 2018, respectively, relate to changes in the fair value of the contingent consideration. The losses in 2018 resulted prima</w:t>
      </w:r>
      <w:r>
        <w:rPr>
          <w:sz w:val="20"/>
          <w:szCs w:val="20"/>
        </w:rPr>
        <w:t>rily from increases in the revenue estimates for acquisitions made in 2015 and 2016. The gain in 2019 primarily represents a favorable settlement related to previous acquisitions.</w:t>
      </w:r>
    </w:p>
    <w:p w14:paraId="195BAB7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CCDD7E2"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Depreciation. </w:t>
      </w:r>
      <w:r>
        <w:rPr>
          <w:sz w:val="20"/>
          <w:szCs w:val="20"/>
        </w:rPr>
        <w:t>Depreciation of $909,000 for the year ended December 31, 201</w:t>
      </w:r>
      <w:r>
        <w:rPr>
          <w:sz w:val="20"/>
          <w:szCs w:val="20"/>
        </w:rPr>
        <w:t>9 increased by $221,000 or 32% from depreciation of $688,000 for the year ended December 31, 2018, primarily as a result of additional property and equipment purchases and the property and equipment obtained from the Orion and ETM acquisitions.</w:t>
      </w:r>
    </w:p>
    <w:p w14:paraId="2FDFF4C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DBE0EF2" w14:textId="77777777" w:rsidR="00000000" w:rsidRDefault="001826C1">
      <w:pPr>
        <w:pStyle w:val="a3"/>
        <w:shd w:val="clear" w:color="auto" w:fill="FFFFFF"/>
        <w:spacing w:before="0" w:beforeAutospacing="0" w:after="0" w:afterAutospacing="0"/>
        <w:jc w:val="both"/>
        <w:rPr>
          <w:sz w:val="20"/>
          <w:szCs w:val="20"/>
        </w:rPr>
      </w:pPr>
      <w:r>
        <w:rPr>
          <w:i/>
          <w:iCs/>
          <w:sz w:val="20"/>
          <w:szCs w:val="20"/>
        </w:rPr>
        <w:t>Amortizat</w:t>
      </w:r>
      <w:r>
        <w:rPr>
          <w:i/>
          <w:iCs/>
          <w:sz w:val="20"/>
          <w:szCs w:val="20"/>
        </w:rPr>
        <w:t xml:space="preserve">ion Expense. </w:t>
      </w:r>
      <w:r>
        <w:rPr>
          <w:sz w:val="20"/>
          <w:szCs w:val="20"/>
        </w:rPr>
        <w:t>Amortization expense of $2.1 million for the year ended December 31, 2019, decreased by $69,000 or 3% from amortization expense of $2.2 million for the year ended December 31, 2018. This decrease is due to intangibles being amortized using the</w:t>
      </w:r>
      <w:r>
        <w:rPr>
          <w:sz w:val="20"/>
          <w:szCs w:val="20"/>
        </w:rPr>
        <w:t xml:space="preserve"> double declining method resulting in increased amortization expense in the initial years.</w:t>
      </w:r>
    </w:p>
    <w:p w14:paraId="3F502A8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17CB4B2"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Restructuring and Impairment Charges. </w:t>
      </w:r>
      <w:r>
        <w:rPr>
          <w:sz w:val="20"/>
          <w:szCs w:val="20"/>
        </w:rPr>
        <w:t xml:space="preserve">Restructuring charges represent the remaining lease costs for a facility no longer used by the Company as the employees were </w:t>
      </w:r>
      <w:r>
        <w:rPr>
          <w:sz w:val="20"/>
          <w:szCs w:val="20"/>
        </w:rPr>
        <w:t>transferred to another Company facility. Impairment charges represent charges recorded for a leased facility no longer being used by the Company. The Company is marketing the facility for sublease and recorded the difference between the contractual rent ob</w:t>
      </w:r>
      <w:r>
        <w:rPr>
          <w:sz w:val="20"/>
          <w:szCs w:val="20"/>
        </w:rPr>
        <w:t>ligation and the estimated sub lease payments as an impairment charge. There were no similar costs incurred in 2018.</w:t>
      </w:r>
    </w:p>
    <w:p w14:paraId="282CCBD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6F9C761" w14:textId="77777777">
        <w:trPr>
          <w:divId w:val="310795805"/>
        </w:trPr>
        <w:tc>
          <w:tcPr>
            <w:tcW w:w="5000" w:type="pct"/>
            <w:hideMark/>
          </w:tcPr>
          <w:p w14:paraId="59957D6E"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3038A161" w14:textId="77777777">
        <w:tc>
          <w:tcPr>
            <w:tcW w:w="5000" w:type="pct"/>
            <w:hideMark/>
          </w:tcPr>
          <w:p w14:paraId="4762B14D" w14:textId="77777777" w:rsidR="00000000" w:rsidRDefault="001826C1">
            <w:pPr>
              <w:jc w:val="center"/>
              <w:rPr>
                <w:rFonts w:eastAsia="Times New Roman"/>
                <w:sz w:val="20"/>
                <w:szCs w:val="20"/>
              </w:rPr>
            </w:pPr>
            <w:r>
              <w:rPr>
                <w:rFonts w:eastAsia="Times New Roman"/>
                <w:sz w:val="20"/>
                <w:szCs w:val="20"/>
              </w:rPr>
              <w:t> </w:t>
            </w:r>
          </w:p>
        </w:tc>
      </w:tr>
    </w:tbl>
    <w:p w14:paraId="0793C7E1" w14:textId="77777777" w:rsidR="00000000" w:rsidRDefault="001826C1">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2354"/>
        <w:gridCol w:w="95"/>
        <w:gridCol w:w="100"/>
        <w:gridCol w:w="759"/>
        <w:gridCol w:w="67"/>
        <w:gridCol w:w="95"/>
        <w:gridCol w:w="100"/>
        <w:gridCol w:w="759"/>
        <w:gridCol w:w="67"/>
        <w:gridCol w:w="96"/>
        <w:gridCol w:w="100"/>
        <w:gridCol w:w="867"/>
        <w:gridCol w:w="67"/>
        <w:gridCol w:w="96"/>
        <w:gridCol w:w="51"/>
        <w:gridCol w:w="738"/>
        <w:gridCol w:w="234"/>
      </w:tblGrid>
      <w:tr w:rsidR="00000000" w14:paraId="0CD9B74F" w14:textId="77777777">
        <w:tc>
          <w:tcPr>
            <w:tcW w:w="0" w:type="auto"/>
            <w:vAlign w:val="bottom"/>
            <w:hideMark/>
          </w:tcPr>
          <w:p w14:paraId="4B67BAB6"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572A5E4"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7A530A7E"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5EC68ED7"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262ACBE"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E89B850" w14:textId="77777777" w:rsidR="00000000" w:rsidRDefault="001826C1">
            <w:pPr>
              <w:jc w:val="center"/>
              <w:rPr>
                <w:rFonts w:eastAsia="Times New Roman"/>
                <w:b/>
                <w:bCs/>
                <w:sz w:val="20"/>
                <w:szCs w:val="20"/>
              </w:rPr>
            </w:pPr>
            <w:r>
              <w:rPr>
                <w:rFonts w:eastAsia="Times New Roman"/>
                <w:b/>
                <w:bCs/>
                <w:sz w:val="20"/>
                <w:szCs w:val="20"/>
              </w:rPr>
              <w:t>Change</w:t>
            </w:r>
          </w:p>
        </w:tc>
        <w:tc>
          <w:tcPr>
            <w:tcW w:w="0" w:type="auto"/>
            <w:tcMar>
              <w:top w:w="0" w:type="dxa"/>
              <w:left w:w="0" w:type="dxa"/>
              <w:bottom w:w="30" w:type="dxa"/>
              <w:right w:w="0" w:type="dxa"/>
            </w:tcMar>
            <w:vAlign w:val="bottom"/>
            <w:hideMark/>
          </w:tcPr>
          <w:p w14:paraId="24708CE3" w14:textId="77777777" w:rsidR="00000000" w:rsidRDefault="001826C1">
            <w:pPr>
              <w:rPr>
                <w:rFonts w:eastAsia="Times New Roman"/>
                <w:b/>
                <w:bCs/>
                <w:sz w:val="20"/>
                <w:szCs w:val="20"/>
              </w:rPr>
            </w:pPr>
            <w:r>
              <w:rPr>
                <w:rFonts w:eastAsia="Times New Roman"/>
                <w:b/>
                <w:bCs/>
                <w:sz w:val="20"/>
                <w:szCs w:val="20"/>
              </w:rPr>
              <w:t> </w:t>
            </w:r>
          </w:p>
        </w:tc>
      </w:tr>
      <w:tr w:rsidR="00000000" w14:paraId="0F8C2BA9" w14:textId="77777777">
        <w:tc>
          <w:tcPr>
            <w:tcW w:w="0" w:type="auto"/>
            <w:vAlign w:val="bottom"/>
            <w:hideMark/>
          </w:tcPr>
          <w:p w14:paraId="175A192F"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684DE7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2584703"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FA9239D"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6C842F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BD93D6"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02DD42A0"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D51AB5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1274A27" w14:textId="77777777" w:rsidR="00000000" w:rsidRDefault="001826C1">
            <w:pPr>
              <w:jc w:val="center"/>
              <w:rPr>
                <w:rFonts w:eastAsia="Times New Roman"/>
                <w:b/>
                <w:bCs/>
                <w:sz w:val="20"/>
                <w:szCs w:val="20"/>
              </w:rPr>
            </w:pPr>
            <w:r>
              <w:rPr>
                <w:rFonts w:eastAsia="Times New Roman"/>
                <w:b/>
                <w:bCs/>
                <w:sz w:val="20"/>
                <w:szCs w:val="20"/>
              </w:rPr>
              <w:t>Amount</w:t>
            </w:r>
          </w:p>
        </w:tc>
        <w:tc>
          <w:tcPr>
            <w:tcW w:w="0" w:type="auto"/>
            <w:tcMar>
              <w:top w:w="0" w:type="dxa"/>
              <w:left w:w="0" w:type="dxa"/>
              <w:bottom w:w="30" w:type="dxa"/>
              <w:right w:w="0" w:type="dxa"/>
            </w:tcMar>
            <w:vAlign w:val="bottom"/>
            <w:hideMark/>
          </w:tcPr>
          <w:p w14:paraId="1B549C67"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800D3EB"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2CE9032" w14:textId="77777777" w:rsidR="00000000" w:rsidRDefault="001826C1">
            <w:pPr>
              <w:jc w:val="center"/>
              <w:rPr>
                <w:rFonts w:eastAsia="Times New Roman"/>
                <w:b/>
                <w:bCs/>
                <w:sz w:val="20"/>
                <w:szCs w:val="20"/>
              </w:rPr>
            </w:pPr>
            <w:r>
              <w:rPr>
                <w:rFonts w:eastAsia="Times New Roman"/>
                <w:b/>
                <w:bCs/>
                <w:sz w:val="20"/>
                <w:szCs w:val="20"/>
              </w:rPr>
              <w:t>Percent</w:t>
            </w:r>
          </w:p>
        </w:tc>
        <w:tc>
          <w:tcPr>
            <w:tcW w:w="0" w:type="auto"/>
            <w:tcMar>
              <w:top w:w="0" w:type="dxa"/>
              <w:left w:w="0" w:type="dxa"/>
              <w:bottom w:w="30" w:type="dxa"/>
              <w:right w:w="0" w:type="dxa"/>
            </w:tcMar>
            <w:vAlign w:val="bottom"/>
            <w:hideMark/>
          </w:tcPr>
          <w:p w14:paraId="797EC659" w14:textId="77777777" w:rsidR="00000000" w:rsidRDefault="001826C1">
            <w:pPr>
              <w:rPr>
                <w:rFonts w:eastAsia="Times New Roman"/>
                <w:b/>
                <w:bCs/>
                <w:sz w:val="20"/>
                <w:szCs w:val="20"/>
              </w:rPr>
            </w:pPr>
            <w:r>
              <w:rPr>
                <w:rFonts w:eastAsia="Times New Roman"/>
                <w:b/>
                <w:bCs/>
                <w:sz w:val="20"/>
                <w:szCs w:val="20"/>
              </w:rPr>
              <w:t> </w:t>
            </w:r>
          </w:p>
        </w:tc>
      </w:tr>
      <w:tr w:rsidR="00000000" w14:paraId="7348F92F" w14:textId="77777777">
        <w:tc>
          <w:tcPr>
            <w:tcW w:w="1800" w:type="pct"/>
            <w:shd w:val="clear" w:color="auto" w:fill="CCEEFF"/>
            <w:vAlign w:val="bottom"/>
            <w:hideMark/>
          </w:tcPr>
          <w:p w14:paraId="0F73B875" w14:textId="77777777" w:rsidR="00000000" w:rsidRDefault="001826C1">
            <w:pPr>
              <w:rPr>
                <w:rFonts w:eastAsia="Times New Roman"/>
                <w:sz w:val="20"/>
                <w:szCs w:val="20"/>
              </w:rPr>
            </w:pPr>
            <w:r>
              <w:rPr>
                <w:rFonts w:eastAsia="Times New Roman"/>
                <w:sz w:val="20"/>
                <w:szCs w:val="20"/>
              </w:rPr>
              <w:t>Interest income</w:t>
            </w:r>
          </w:p>
        </w:tc>
        <w:tc>
          <w:tcPr>
            <w:tcW w:w="100" w:type="pct"/>
            <w:shd w:val="clear" w:color="auto" w:fill="CCEEFF"/>
            <w:vAlign w:val="bottom"/>
            <w:hideMark/>
          </w:tcPr>
          <w:p w14:paraId="65780D9C"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9AF00D9"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59C0633E" w14:textId="77777777" w:rsidR="00000000" w:rsidRDefault="001826C1">
            <w:pPr>
              <w:jc w:val="right"/>
              <w:rPr>
                <w:rFonts w:eastAsia="Times New Roman"/>
                <w:sz w:val="20"/>
                <w:szCs w:val="20"/>
              </w:rPr>
            </w:pPr>
            <w:r>
              <w:rPr>
                <w:rFonts w:eastAsia="Times New Roman"/>
                <w:sz w:val="20"/>
                <w:szCs w:val="20"/>
              </w:rPr>
              <w:t>262,001</w:t>
            </w:r>
          </w:p>
        </w:tc>
        <w:tc>
          <w:tcPr>
            <w:tcW w:w="50" w:type="pct"/>
            <w:shd w:val="clear" w:color="auto" w:fill="CCEEFF"/>
            <w:vAlign w:val="bottom"/>
            <w:hideMark/>
          </w:tcPr>
          <w:p w14:paraId="44AC1644"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8DF194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1D89154"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2C4C1EA1" w14:textId="77777777" w:rsidR="00000000" w:rsidRDefault="001826C1">
            <w:pPr>
              <w:jc w:val="right"/>
              <w:rPr>
                <w:rFonts w:eastAsia="Times New Roman"/>
                <w:sz w:val="20"/>
                <w:szCs w:val="20"/>
              </w:rPr>
            </w:pPr>
            <w:r>
              <w:rPr>
                <w:rFonts w:eastAsia="Times New Roman"/>
                <w:sz w:val="20"/>
                <w:szCs w:val="20"/>
              </w:rPr>
              <w:t>100,788</w:t>
            </w:r>
          </w:p>
        </w:tc>
        <w:tc>
          <w:tcPr>
            <w:tcW w:w="50" w:type="pct"/>
            <w:shd w:val="clear" w:color="auto" w:fill="CCEEFF"/>
            <w:vAlign w:val="bottom"/>
            <w:hideMark/>
          </w:tcPr>
          <w:p w14:paraId="7F3FDB87"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FD5D07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8AB39F9"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3BDBF001" w14:textId="77777777" w:rsidR="00000000" w:rsidRDefault="001826C1">
            <w:pPr>
              <w:jc w:val="right"/>
              <w:rPr>
                <w:rFonts w:eastAsia="Times New Roman"/>
                <w:sz w:val="20"/>
                <w:szCs w:val="20"/>
              </w:rPr>
            </w:pPr>
            <w:r>
              <w:rPr>
                <w:rFonts w:eastAsia="Times New Roman"/>
                <w:sz w:val="20"/>
                <w:szCs w:val="20"/>
              </w:rPr>
              <w:t>161,213</w:t>
            </w:r>
          </w:p>
        </w:tc>
        <w:tc>
          <w:tcPr>
            <w:tcW w:w="50" w:type="pct"/>
            <w:shd w:val="clear" w:color="auto" w:fill="CCEEFF"/>
            <w:vAlign w:val="bottom"/>
            <w:hideMark/>
          </w:tcPr>
          <w:p w14:paraId="7F933B70"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E5C392A"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309D54D" w14:textId="77777777" w:rsidR="00000000" w:rsidRDefault="001826C1">
            <w:pPr>
              <w:rPr>
                <w:rFonts w:eastAsia="Times New Roman"/>
                <w:sz w:val="20"/>
                <w:szCs w:val="20"/>
              </w:rPr>
            </w:pPr>
            <w:r>
              <w:rPr>
                <w:rFonts w:eastAsia="Times New Roman"/>
                <w:sz w:val="20"/>
                <w:szCs w:val="20"/>
              </w:rPr>
              <w:t> </w:t>
            </w:r>
          </w:p>
        </w:tc>
        <w:tc>
          <w:tcPr>
            <w:tcW w:w="600" w:type="pct"/>
            <w:shd w:val="clear" w:color="auto" w:fill="CCEEFF"/>
            <w:vAlign w:val="bottom"/>
            <w:hideMark/>
          </w:tcPr>
          <w:p w14:paraId="6B48CB07" w14:textId="77777777" w:rsidR="00000000" w:rsidRDefault="001826C1">
            <w:pPr>
              <w:jc w:val="right"/>
              <w:rPr>
                <w:rFonts w:eastAsia="Times New Roman"/>
                <w:sz w:val="20"/>
                <w:szCs w:val="20"/>
              </w:rPr>
            </w:pPr>
            <w:r>
              <w:rPr>
                <w:rFonts w:eastAsia="Times New Roman"/>
                <w:sz w:val="20"/>
                <w:szCs w:val="20"/>
              </w:rPr>
              <w:t>160</w:t>
            </w:r>
          </w:p>
        </w:tc>
        <w:tc>
          <w:tcPr>
            <w:tcW w:w="50" w:type="pct"/>
            <w:shd w:val="clear" w:color="auto" w:fill="CCEEFF"/>
            <w:vAlign w:val="bottom"/>
            <w:hideMark/>
          </w:tcPr>
          <w:p w14:paraId="62A1C680" w14:textId="77777777" w:rsidR="00000000" w:rsidRDefault="001826C1">
            <w:pPr>
              <w:rPr>
                <w:rFonts w:eastAsia="Times New Roman"/>
                <w:sz w:val="20"/>
                <w:szCs w:val="20"/>
              </w:rPr>
            </w:pPr>
            <w:r>
              <w:rPr>
                <w:rFonts w:eastAsia="Times New Roman"/>
                <w:sz w:val="20"/>
                <w:szCs w:val="20"/>
              </w:rPr>
              <w:t>%</w:t>
            </w:r>
          </w:p>
        </w:tc>
      </w:tr>
      <w:tr w:rsidR="00000000" w14:paraId="1379F9D1" w14:textId="77777777">
        <w:tc>
          <w:tcPr>
            <w:tcW w:w="0" w:type="auto"/>
            <w:shd w:val="clear" w:color="auto" w:fill="FFFFFF"/>
            <w:vAlign w:val="bottom"/>
            <w:hideMark/>
          </w:tcPr>
          <w:p w14:paraId="518C745D" w14:textId="77777777" w:rsidR="00000000" w:rsidRDefault="001826C1">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1458EA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16EB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4264BF" w14:textId="77777777" w:rsidR="00000000" w:rsidRDefault="001826C1">
            <w:pPr>
              <w:jc w:val="right"/>
              <w:rPr>
                <w:rFonts w:eastAsia="Times New Roman"/>
                <w:sz w:val="20"/>
                <w:szCs w:val="20"/>
              </w:rPr>
            </w:pPr>
            <w:r>
              <w:rPr>
                <w:rFonts w:eastAsia="Times New Roman"/>
                <w:sz w:val="20"/>
                <w:szCs w:val="20"/>
              </w:rPr>
              <w:t>(382,673</w:t>
            </w:r>
          </w:p>
        </w:tc>
        <w:tc>
          <w:tcPr>
            <w:tcW w:w="0" w:type="auto"/>
            <w:shd w:val="clear" w:color="auto" w:fill="FFFFFF"/>
            <w:vAlign w:val="bottom"/>
            <w:hideMark/>
          </w:tcPr>
          <w:p w14:paraId="721FD5F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A614C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C4E6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D31554" w14:textId="77777777" w:rsidR="00000000" w:rsidRDefault="001826C1">
            <w:pPr>
              <w:jc w:val="right"/>
              <w:rPr>
                <w:rFonts w:eastAsia="Times New Roman"/>
                <w:sz w:val="20"/>
                <w:szCs w:val="20"/>
              </w:rPr>
            </w:pPr>
            <w:r>
              <w:rPr>
                <w:rFonts w:eastAsia="Times New Roman"/>
                <w:sz w:val="20"/>
                <w:szCs w:val="20"/>
              </w:rPr>
              <w:t>(351,168</w:t>
            </w:r>
          </w:p>
        </w:tc>
        <w:tc>
          <w:tcPr>
            <w:tcW w:w="0" w:type="auto"/>
            <w:shd w:val="clear" w:color="auto" w:fill="FFFFFF"/>
            <w:vAlign w:val="bottom"/>
            <w:hideMark/>
          </w:tcPr>
          <w:p w14:paraId="41E6091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0F86F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EBDC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713414" w14:textId="77777777" w:rsidR="00000000" w:rsidRDefault="001826C1">
            <w:pPr>
              <w:jc w:val="right"/>
              <w:rPr>
                <w:rFonts w:eastAsia="Times New Roman"/>
                <w:sz w:val="20"/>
                <w:szCs w:val="20"/>
              </w:rPr>
            </w:pPr>
            <w:r>
              <w:rPr>
                <w:rFonts w:eastAsia="Times New Roman"/>
                <w:sz w:val="20"/>
                <w:szCs w:val="20"/>
              </w:rPr>
              <w:t>(31,505</w:t>
            </w:r>
          </w:p>
        </w:tc>
        <w:tc>
          <w:tcPr>
            <w:tcW w:w="0" w:type="auto"/>
            <w:shd w:val="clear" w:color="auto" w:fill="FFFFFF"/>
            <w:vAlign w:val="bottom"/>
            <w:hideMark/>
          </w:tcPr>
          <w:p w14:paraId="05E78C68"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F021A8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C119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EE6154" w14:textId="77777777" w:rsidR="00000000" w:rsidRDefault="001826C1">
            <w:pPr>
              <w:jc w:val="right"/>
              <w:rPr>
                <w:rFonts w:eastAsia="Times New Roman"/>
                <w:sz w:val="20"/>
                <w:szCs w:val="20"/>
              </w:rPr>
            </w:pPr>
            <w:r>
              <w:rPr>
                <w:rFonts w:eastAsia="Times New Roman"/>
                <w:sz w:val="20"/>
                <w:szCs w:val="20"/>
              </w:rPr>
              <w:t>9</w:t>
            </w:r>
          </w:p>
        </w:tc>
        <w:tc>
          <w:tcPr>
            <w:tcW w:w="0" w:type="auto"/>
            <w:shd w:val="clear" w:color="auto" w:fill="FFFFFF"/>
            <w:vAlign w:val="bottom"/>
            <w:hideMark/>
          </w:tcPr>
          <w:p w14:paraId="1418B8E6" w14:textId="77777777" w:rsidR="00000000" w:rsidRDefault="001826C1">
            <w:pPr>
              <w:rPr>
                <w:rFonts w:eastAsia="Times New Roman"/>
                <w:sz w:val="20"/>
                <w:szCs w:val="20"/>
              </w:rPr>
            </w:pPr>
            <w:r>
              <w:rPr>
                <w:rFonts w:eastAsia="Times New Roman"/>
                <w:sz w:val="20"/>
                <w:szCs w:val="20"/>
              </w:rPr>
              <w:t>%</w:t>
            </w:r>
          </w:p>
        </w:tc>
      </w:tr>
      <w:tr w:rsidR="00000000" w14:paraId="5C21BE81" w14:textId="77777777">
        <w:tc>
          <w:tcPr>
            <w:tcW w:w="0" w:type="auto"/>
            <w:shd w:val="clear" w:color="auto" w:fill="CCEEFF"/>
            <w:vAlign w:val="bottom"/>
            <w:hideMark/>
          </w:tcPr>
          <w:p w14:paraId="49718B7C" w14:textId="77777777" w:rsidR="00000000" w:rsidRDefault="001826C1">
            <w:pPr>
              <w:rPr>
                <w:rFonts w:eastAsia="Times New Roman"/>
                <w:sz w:val="20"/>
                <w:szCs w:val="20"/>
              </w:rPr>
            </w:pPr>
            <w:r>
              <w:rPr>
                <w:rFonts w:eastAsia="Times New Roman"/>
                <w:sz w:val="20"/>
                <w:szCs w:val="20"/>
              </w:rPr>
              <w:t>Other (expense) income - net</w:t>
            </w:r>
          </w:p>
        </w:tc>
        <w:tc>
          <w:tcPr>
            <w:tcW w:w="0" w:type="auto"/>
            <w:shd w:val="clear" w:color="auto" w:fill="CCEEFF"/>
            <w:vAlign w:val="bottom"/>
            <w:hideMark/>
          </w:tcPr>
          <w:p w14:paraId="2400F5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DB01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185D8" w14:textId="77777777" w:rsidR="00000000" w:rsidRDefault="001826C1">
            <w:pPr>
              <w:jc w:val="right"/>
              <w:rPr>
                <w:rFonts w:eastAsia="Times New Roman"/>
                <w:sz w:val="20"/>
                <w:szCs w:val="20"/>
              </w:rPr>
            </w:pPr>
            <w:r>
              <w:rPr>
                <w:rFonts w:eastAsia="Times New Roman"/>
                <w:sz w:val="20"/>
                <w:szCs w:val="20"/>
              </w:rPr>
              <w:t>(625,675</w:t>
            </w:r>
          </w:p>
        </w:tc>
        <w:tc>
          <w:tcPr>
            <w:tcW w:w="0" w:type="auto"/>
            <w:shd w:val="clear" w:color="auto" w:fill="CCEEFF"/>
            <w:vAlign w:val="bottom"/>
            <w:hideMark/>
          </w:tcPr>
          <w:p w14:paraId="4DD87DE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56381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59CF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7B0352" w14:textId="77777777" w:rsidR="00000000" w:rsidRDefault="001826C1">
            <w:pPr>
              <w:jc w:val="right"/>
              <w:rPr>
                <w:rFonts w:eastAsia="Times New Roman"/>
                <w:sz w:val="20"/>
                <w:szCs w:val="20"/>
              </w:rPr>
            </w:pPr>
            <w:r>
              <w:rPr>
                <w:rFonts w:eastAsia="Times New Roman"/>
                <w:sz w:val="20"/>
                <w:szCs w:val="20"/>
              </w:rPr>
              <w:t>494,332</w:t>
            </w:r>
          </w:p>
        </w:tc>
        <w:tc>
          <w:tcPr>
            <w:tcW w:w="0" w:type="auto"/>
            <w:shd w:val="clear" w:color="auto" w:fill="CCEEFF"/>
            <w:vAlign w:val="bottom"/>
            <w:hideMark/>
          </w:tcPr>
          <w:p w14:paraId="173B511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A35D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4469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8A8F77" w14:textId="77777777" w:rsidR="00000000" w:rsidRDefault="001826C1">
            <w:pPr>
              <w:jc w:val="right"/>
              <w:rPr>
                <w:rFonts w:eastAsia="Times New Roman"/>
                <w:sz w:val="20"/>
                <w:szCs w:val="20"/>
              </w:rPr>
            </w:pPr>
            <w:r>
              <w:rPr>
                <w:rFonts w:eastAsia="Times New Roman"/>
                <w:sz w:val="20"/>
                <w:szCs w:val="20"/>
              </w:rPr>
              <w:t>(1,120,007</w:t>
            </w:r>
          </w:p>
        </w:tc>
        <w:tc>
          <w:tcPr>
            <w:tcW w:w="0" w:type="auto"/>
            <w:shd w:val="clear" w:color="auto" w:fill="CCEEFF"/>
            <w:vAlign w:val="bottom"/>
            <w:hideMark/>
          </w:tcPr>
          <w:p w14:paraId="70AEA61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727973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E16D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2360FB" w14:textId="77777777" w:rsidR="00000000" w:rsidRDefault="001826C1">
            <w:pPr>
              <w:jc w:val="right"/>
              <w:rPr>
                <w:rFonts w:eastAsia="Times New Roman"/>
                <w:sz w:val="20"/>
                <w:szCs w:val="20"/>
              </w:rPr>
            </w:pPr>
            <w:r>
              <w:rPr>
                <w:rFonts w:eastAsia="Times New Roman"/>
                <w:sz w:val="20"/>
                <w:szCs w:val="20"/>
              </w:rPr>
              <w:t>(227</w:t>
            </w:r>
          </w:p>
        </w:tc>
        <w:tc>
          <w:tcPr>
            <w:tcW w:w="0" w:type="auto"/>
            <w:shd w:val="clear" w:color="auto" w:fill="CCEEFF"/>
            <w:vAlign w:val="bottom"/>
            <w:hideMark/>
          </w:tcPr>
          <w:p w14:paraId="434C2B31" w14:textId="77777777" w:rsidR="00000000" w:rsidRDefault="001826C1">
            <w:pPr>
              <w:rPr>
                <w:rFonts w:eastAsia="Times New Roman"/>
                <w:sz w:val="20"/>
                <w:szCs w:val="20"/>
              </w:rPr>
            </w:pPr>
            <w:r>
              <w:rPr>
                <w:rFonts w:eastAsia="Times New Roman"/>
                <w:sz w:val="20"/>
                <w:szCs w:val="20"/>
              </w:rPr>
              <w:t>)%</w:t>
            </w:r>
          </w:p>
        </w:tc>
      </w:tr>
      <w:tr w:rsidR="00000000" w14:paraId="598E2D9A" w14:textId="77777777">
        <w:tc>
          <w:tcPr>
            <w:tcW w:w="0" w:type="auto"/>
            <w:shd w:val="clear" w:color="auto" w:fill="FFFFFF"/>
            <w:vAlign w:val="bottom"/>
            <w:hideMark/>
          </w:tcPr>
          <w:p w14:paraId="1596548D" w14:textId="77777777" w:rsidR="00000000" w:rsidRDefault="001826C1">
            <w:pPr>
              <w:rPr>
                <w:rFonts w:eastAsia="Times New Roman"/>
                <w:sz w:val="20"/>
                <w:szCs w:val="20"/>
              </w:rPr>
            </w:pPr>
            <w:r>
              <w:rPr>
                <w:rFonts w:eastAsia="Times New Roman"/>
                <w:sz w:val="20"/>
                <w:szCs w:val="20"/>
              </w:rPr>
              <w:t>Income tax provision (benefit)</w:t>
            </w:r>
          </w:p>
        </w:tc>
        <w:tc>
          <w:tcPr>
            <w:tcW w:w="0" w:type="auto"/>
            <w:shd w:val="clear" w:color="auto" w:fill="FFFFFF"/>
            <w:vAlign w:val="bottom"/>
            <w:hideMark/>
          </w:tcPr>
          <w:p w14:paraId="4336581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DE9DB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56094A" w14:textId="77777777" w:rsidR="00000000" w:rsidRDefault="001826C1">
            <w:pPr>
              <w:jc w:val="right"/>
              <w:rPr>
                <w:rFonts w:eastAsia="Times New Roman"/>
                <w:sz w:val="20"/>
                <w:szCs w:val="20"/>
              </w:rPr>
            </w:pPr>
            <w:r>
              <w:rPr>
                <w:rFonts w:eastAsia="Times New Roman"/>
                <w:sz w:val="20"/>
                <w:szCs w:val="20"/>
              </w:rPr>
              <w:t>192,780</w:t>
            </w:r>
          </w:p>
        </w:tc>
        <w:tc>
          <w:tcPr>
            <w:tcW w:w="0" w:type="auto"/>
            <w:shd w:val="clear" w:color="auto" w:fill="FFFFFF"/>
            <w:vAlign w:val="bottom"/>
            <w:hideMark/>
          </w:tcPr>
          <w:p w14:paraId="00AF4D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3C02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476F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8C2BF4" w14:textId="77777777" w:rsidR="00000000" w:rsidRDefault="001826C1">
            <w:pPr>
              <w:jc w:val="right"/>
              <w:rPr>
                <w:rFonts w:eastAsia="Times New Roman"/>
                <w:sz w:val="20"/>
                <w:szCs w:val="20"/>
              </w:rPr>
            </w:pPr>
            <w:r>
              <w:rPr>
                <w:rFonts w:eastAsia="Times New Roman"/>
                <w:sz w:val="20"/>
                <w:szCs w:val="20"/>
              </w:rPr>
              <w:t>(157,385</w:t>
            </w:r>
          </w:p>
        </w:tc>
        <w:tc>
          <w:tcPr>
            <w:tcW w:w="0" w:type="auto"/>
            <w:shd w:val="clear" w:color="auto" w:fill="FFFFFF"/>
            <w:vAlign w:val="bottom"/>
            <w:hideMark/>
          </w:tcPr>
          <w:p w14:paraId="507F161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67E6F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8D4B1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862511" w14:textId="77777777" w:rsidR="00000000" w:rsidRDefault="001826C1">
            <w:pPr>
              <w:jc w:val="right"/>
              <w:rPr>
                <w:rFonts w:eastAsia="Times New Roman"/>
                <w:sz w:val="20"/>
                <w:szCs w:val="20"/>
              </w:rPr>
            </w:pPr>
            <w:r>
              <w:rPr>
                <w:rFonts w:eastAsia="Times New Roman"/>
                <w:sz w:val="20"/>
                <w:szCs w:val="20"/>
              </w:rPr>
              <w:t>350,165</w:t>
            </w:r>
          </w:p>
        </w:tc>
        <w:tc>
          <w:tcPr>
            <w:tcW w:w="0" w:type="auto"/>
            <w:shd w:val="clear" w:color="auto" w:fill="FFFFFF"/>
            <w:vAlign w:val="bottom"/>
            <w:hideMark/>
          </w:tcPr>
          <w:p w14:paraId="4348DF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A3F8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73FF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126493" w14:textId="77777777" w:rsidR="00000000" w:rsidRDefault="001826C1">
            <w:pPr>
              <w:jc w:val="right"/>
              <w:rPr>
                <w:rFonts w:eastAsia="Times New Roman"/>
                <w:sz w:val="20"/>
                <w:szCs w:val="20"/>
              </w:rPr>
            </w:pPr>
            <w:r>
              <w:rPr>
                <w:rFonts w:eastAsia="Times New Roman"/>
                <w:sz w:val="20"/>
                <w:szCs w:val="20"/>
              </w:rPr>
              <w:t>(222</w:t>
            </w:r>
          </w:p>
        </w:tc>
        <w:tc>
          <w:tcPr>
            <w:tcW w:w="0" w:type="auto"/>
            <w:shd w:val="clear" w:color="auto" w:fill="FFFFFF"/>
            <w:vAlign w:val="bottom"/>
            <w:hideMark/>
          </w:tcPr>
          <w:p w14:paraId="6BA950D0" w14:textId="77777777" w:rsidR="00000000" w:rsidRDefault="001826C1">
            <w:pPr>
              <w:rPr>
                <w:rFonts w:eastAsia="Times New Roman"/>
                <w:sz w:val="20"/>
                <w:szCs w:val="20"/>
              </w:rPr>
            </w:pPr>
            <w:r>
              <w:rPr>
                <w:rFonts w:eastAsia="Times New Roman"/>
                <w:sz w:val="20"/>
                <w:szCs w:val="20"/>
              </w:rPr>
              <w:t>)%</w:t>
            </w:r>
          </w:p>
        </w:tc>
      </w:tr>
    </w:tbl>
    <w:p w14:paraId="3E785878" w14:textId="77777777" w:rsidR="00000000" w:rsidRDefault="001826C1">
      <w:pPr>
        <w:pStyle w:val="a3"/>
        <w:spacing w:before="0" w:beforeAutospacing="0" w:after="0" w:afterAutospacing="0"/>
        <w:rPr>
          <w:sz w:val="20"/>
          <w:szCs w:val="20"/>
        </w:rPr>
      </w:pPr>
      <w:r>
        <w:rPr>
          <w:sz w:val="20"/>
          <w:szCs w:val="20"/>
        </w:rPr>
        <w:t> </w:t>
      </w:r>
    </w:p>
    <w:p w14:paraId="29E6C02C"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Interest Income. </w:t>
      </w:r>
      <w:r>
        <w:rPr>
          <w:sz w:val="20"/>
          <w:szCs w:val="20"/>
        </w:rPr>
        <w:t xml:space="preserve">Interest income of $262,000 for the year ended December 31, 2019 increased by $161,000 or 160% from interest income of $101,000 </w:t>
      </w:r>
      <w:r>
        <w:rPr>
          <w:sz w:val="20"/>
          <w:szCs w:val="20"/>
        </w:rPr>
        <w:t>for the year ended December 31, 2018. Interest income primarily represents interest earned on temporary cash investments and late fees from customers.</w:t>
      </w:r>
    </w:p>
    <w:p w14:paraId="146723E4"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53D89561"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Interest Expense. </w:t>
      </w:r>
      <w:r>
        <w:rPr>
          <w:sz w:val="20"/>
          <w:szCs w:val="20"/>
        </w:rPr>
        <w:t>Interest expense of $383,000 for the year ended December 31, 2019 increased by $32,00</w:t>
      </w:r>
      <w:r>
        <w:rPr>
          <w:sz w:val="20"/>
          <w:szCs w:val="20"/>
        </w:rPr>
        <w:t>0 or 9% from interest expense of $351,000 for the year ended December 31, 2018 primarily as a result of the adoption of ASC 842. Interest expense also includes the amortization of deferred financing costs which was approximately $192,000 during both the ye</w:t>
      </w:r>
      <w:r>
        <w:rPr>
          <w:sz w:val="20"/>
          <w:szCs w:val="20"/>
        </w:rPr>
        <w:t>ars ended December 31, 2019 and 2018.</w:t>
      </w:r>
    </w:p>
    <w:p w14:paraId="36E782E1"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 </w:t>
      </w:r>
    </w:p>
    <w:p w14:paraId="6A94C701" w14:textId="77777777" w:rsidR="00000000" w:rsidRDefault="001826C1">
      <w:pPr>
        <w:pStyle w:val="a3"/>
        <w:shd w:val="clear" w:color="auto" w:fill="FFFFFF"/>
        <w:spacing w:before="0" w:beforeAutospacing="0" w:after="0" w:afterAutospacing="0"/>
        <w:jc w:val="both"/>
        <w:rPr>
          <w:sz w:val="20"/>
          <w:szCs w:val="20"/>
        </w:rPr>
      </w:pPr>
      <w:r>
        <w:rPr>
          <w:i/>
          <w:iCs/>
          <w:sz w:val="20"/>
          <w:szCs w:val="20"/>
        </w:rPr>
        <w:t xml:space="preserve">Other Income (expense) - net. </w:t>
      </w:r>
      <w:r>
        <w:rPr>
          <w:sz w:val="20"/>
          <w:szCs w:val="20"/>
        </w:rPr>
        <w:t xml:space="preserve">Other expense - net was $626,000 for the year ended December 31, 2019 compared to other income - net of $494,000 for the year ended December 31, 2018. Included in other income (expense) </w:t>
      </w:r>
      <w:r>
        <w:rPr>
          <w:sz w:val="20"/>
          <w:szCs w:val="20"/>
        </w:rPr>
        <w:t>- net are foreign currency transaction gains (losses) primarily resulting from transactions in foreign currencies other than the functional currency. These transaction gains and losses are recorded in the consolidated statements of operations related to th</w:t>
      </w:r>
      <w:r>
        <w:rPr>
          <w:sz w:val="20"/>
          <w:szCs w:val="20"/>
        </w:rPr>
        <w:t>e recurring measurement and settlement of such transactions.</w:t>
      </w:r>
    </w:p>
    <w:p w14:paraId="68A36653" w14:textId="77777777" w:rsidR="00000000" w:rsidRDefault="001826C1">
      <w:pPr>
        <w:pStyle w:val="a3"/>
        <w:shd w:val="clear" w:color="auto" w:fill="FFFFFF"/>
        <w:spacing w:before="0" w:beforeAutospacing="0" w:after="0" w:afterAutospacing="0"/>
        <w:ind w:firstLine="540"/>
        <w:jc w:val="both"/>
        <w:rPr>
          <w:sz w:val="20"/>
          <w:szCs w:val="20"/>
        </w:rPr>
      </w:pPr>
      <w:r>
        <w:rPr>
          <w:b/>
          <w:bCs/>
          <w:i/>
          <w:iCs/>
          <w:sz w:val="20"/>
          <w:szCs w:val="20"/>
        </w:rPr>
        <w:t> </w:t>
      </w:r>
    </w:p>
    <w:p w14:paraId="5F996CBF" w14:textId="77777777" w:rsidR="00000000" w:rsidRDefault="001826C1">
      <w:pPr>
        <w:pStyle w:val="a3"/>
        <w:spacing w:before="0" w:beforeAutospacing="0" w:after="0" w:afterAutospacing="0"/>
        <w:jc w:val="both"/>
        <w:rPr>
          <w:sz w:val="20"/>
          <w:szCs w:val="20"/>
        </w:rPr>
      </w:pPr>
      <w:r>
        <w:rPr>
          <w:i/>
          <w:iCs/>
          <w:sz w:val="20"/>
          <w:szCs w:val="20"/>
        </w:rPr>
        <w:t xml:space="preserve">Income Tax Provision (Benefit). </w:t>
      </w:r>
      <w:r>
        <w:rPr>
          <w:sz w:val="20"/>
          <w:szCs w:val="20"/>
        </w:rPr>
        <w:t xml:space="preserve">There was a $193,000 provision </w:t>
      </w:r>
      <w:r>
        <w:rPr>
          <w:sz w:val="20"/>
          <w:szCs w:val="20"/>
        </w:rPr>
        <w:t>for income taxes for the year ended December 31, 2019, compared to the benefit for income taxes of $157,000 for the year ended December 31, 2018. Included in the tax provision for the year ended December 31, 2019 is an $80,000 deferred income tax provision</w:t>
      </w:r>
      <w:r>
        <w:rPr>
          <w:sz w:val="20"/>
          <w:szCs w:val="20"/>
        </w:rPr>
        <w:t xml:space="preserve">. </w:t>
      </w:r>
    </w:p>
    <w:p w14:paraId="1BEDB920" w14:textId="77777777" w:rsidR="00000000" w:rsidRDefault="001826C1">
      <w:pPr>
        <w:pStyle w:val="a3"/>
        <w:spacing w:before="0" w:beforeAutospacing="0" w:after="0" w:afterAutospacing="0"/>
        <w:jc w:val="both"/>
        <w:rPr>
          <w:sz w:val="20"/>
          <w:szCs w:val="20"/>
        </w:rPr>
      </w:pPr>
      <w:r>
        <w:rPr>
          <w:sz w:val="20"/>
          <w:szCs w:val="20"/>
        </w:rPr>
        <w:t> </w:t>
      </w:r>
    </w:p>
    <w:p w14:paraId="09E3BD05" w14:textId="77777777" w:rsidR="00000000" w:rsidRDefault="001826C1">
      <w:pPr>
        <w:pStyle w:val="a3"/>
        <w:spacing w:before="0" w:beforeAutospacing="0" w:after="0" w:afterAutospacing="0"/>
        <w:jc w:val="both"/>
        <w:rPr>
          <w:sz w:val="20"/>
          <w:szCs w:val="20"/>
        </w:rPr>
      </w:pPr>
      <w:r>
        <w:rPr>
          <w:sz w:val="20"/>
          <w:szCs w:val="20"/>
        </w:rPr>
        <w:t>The current income tax provision for the year ended December 31, 2019 and 2018 was approximately $113,000 and $50,000, respectively and primarily relates to state minimum taxes and foreign income taxes. The pre-tax loss was $679,000 and $2.3 million f</w:t>
      </w:r>
      <w:r>
        <w:rPr>
          <w:sz w:val="20"/>
          <w:szCs w:val="20"/>
        </w:rPr>
        <w:t>or the years ended December 31, 2019 and 2018, respectively. The Company has incurred losses historically and there is uncertainty regarding future US taxable income, which make realization of a deferred tax asset difficult to support in accordance with AS</w:t>
      </w:r>
      <w:r>
        <w:rPr>
          <w:sz w:val="20"/>
          <w:szCs w:val="20"/>
        </w:rPr>
        <w:t>C 740. Accordingly, a valuation allowance was recorded against all deferred tax assets at December 31, 2019 and 2018.</w:t>
      </w:r>
    </w:p>
    <w:p w14:paraId="00D72BBB" w14:textId="77777777" w:rsidR="00000000" w:rsidRDefault="001826C1">
      <w:pPr>
        <w:pStyle w:val="a3"/>
        <w:spacing w:before="0" w:beforeAutospacing="0" w:after="0" w:afterAutospacing="0"/>
        <w:jc w:val="both"/>
        <w:rPr>
          <w:sz w:val="20"/>
          <w:szCs w:val="20"/>
        </w:rPr>
      </w:pPr>
      <w:r>
        <w:rPr>
          <w:sz w:val="20"/>
          <w:szCs w:val="20"/>
        </w:rPr>
        <w:t> </w:t>
      </w:r>
    </w:p>
    <w:p w14:paraId="59B56047" w14:textId="77777777" w:rsidR="00000000" w:rsidRDefault="001826C1">
      <w:pPr>
        <w:pStyle w:val="a3"/>
        <w:spacing w:before="0" w:beforeAutospacing="0" w:after="0" w:afterAutospacing="0"/>
        <w:jc w:val="both"/>
        <w:rPr>
          <w:sz w:val="20"/>
          <w:szCs w:val="20"/>
        </w:rPr>
      </w:pPr>
      <w:r>
        <w:rPr>
          <w:sz w:val="20"/>
          <w:szCs w:val="20"/>
        </w:rPr>
        <w:t xml:space="preserve">The Company has recorded goodwill as a result of its acquisitions. Goodwill is not amortized for financial reporting purposes. However, </w:t>
      </w:r>
      <w:r>
        <w:rPr>
          <w:sz w:val="20"/>
          <w:szCs w:val="20"/>
        </w:rPr>
        <w:t>goodwill is tax deductible and amortized over 15 years for tax purposes. As such, deferred income tax expense and a deferred tax liability arise as a result of the tax-deductibility of this indefinitely lived asset. The resulting deferred tax liability, wh</w:t>
      </w:r>
      <w:r>
        <w:rPr>
          <w:sz w:val="20"/>
          <w:szCs w:val="20"/>
        </w:rPr>
        <w:t>ich is expected to continue to be recorded over the amortization period, will have an indefinite life. As a result of the Company incurring tax losses for 2019 and 2018 which have an indefinite life under the recent tax reform legislation, the federal defe</w:t>
      </w:r>
      <w:r>
        <w:rPr>
          <w:sz w:val="20"/>
          <w:szCs w:val="20"/>
        </w:rPr>
        <w:t>rred tax liability resulting from the amortization of goodwill was offset against these indefinite federal operating net loss deferred tax assets to the extent allowable. The remaining deferred tax liability could remain on the Company’s consolidated balan</w:t>
      </w:r>
      <w:r>
        <w:rPr>
          <w:sz w:val="20"/>
          <w:szCs w:val="20"/>
        </w:rPr>
        <w:t>ce sheet indefinitely unless there is an impairment of goodwill (for financial reporting purposes) or a portion of the related business is sold.</w:t>
      </w:r>
    </w:p>
    <w:p w14:paraId="1E3B583E" w14:textId="77777777" w:rsidR="00000000" w:rsidRDefault="001826C1">
      <w:pPr>
        <w:pStyle w:val="a3"/>
        <w:spacing w:before="0" w:beforeAutospacing="0" w:after="0" w:afterAutospacing="0"/>
        <w:rPr>
          <w:sz w:val="20"/>
          <w:szCs w:val="20"/>
        </w:rPr>
      </w:pPr>
      <w:r>
        <w:rPr>
          <w:sz w:val="20"/>
          <w:szCs w:val="20"/>
        </w:rPr>
        <w:t> </w:t>
      </w:r>
    </w:p>
    <w:p w14:paraId="65B4F64C" w14:textId="77777777" w:rsidR="00000000" w:rsidRDefault="001826C1">
      <w:pPr>
        <w:pStyle w:val="a3"/>
        <w:spacing w:before="0" w:beforeAutospacing="0" w:after="0" w:afterAutospacing="0"/>
        <w:jc w:val="both"/>
        <w:rPr>
          <w:sz w:val="20"/>
          <w:szCs w:val="20"/>
        </w:rPr>
      </w:pPr>
      <w:r>
        <w:rPr>
          <w:sz w:val="20"/>
          <w:szCs w:val="20"/>
        </w:rPr>
        <w:t>The Company will maintain a full valuation allowance on deferred tax assets until there is sufficient evidenc</w:t>
      </w:r>
      <w:r>
        <w:rPr>
          <w:sz w:val="20"/>
          <w:szCs w:val="20"/>
        </w:rPr>
        <w:t>e to support the reversal of all or some portion of these allowances. While the Company’s plan is to be profitable in the future and begin utilizing these deferred tax assets, the Company currently lacks sufficient evidence to allow it to release the valua</w:t>
      </w:r>
      <w:r>
        <w:rPr>
          <w:sz w:val="20"/>
          <w:szCs w:val="20"/>
        </w:rPr>
        <w:t>tion allowance in 2019 and 2018. Release of the valuation allowance would result in the recognition of certain deferred tax assets and an income tax benefit in the period of release.</w:t>
      </w:r>
    </w:p>
    <w:p w14:paraId="6A59AF27" w14:textId="77777777" w:rsidR="00000000" w:rsidRDefault="001826C1">
      <w:pPr>
        <w:pStyle w:val="a3"/>
        <w:spacing w:before="0" w:beforeAutospacing="0" w:after="0" w:afterAutospacing="0"/>
        <w:jc w:val="both"/>
        <w:rPr>
          <w:sz w:val="20"/>
          <w:szCs w:val="20"/>
        </w:rPr>
      </w:pPr>
      <w:r>
        <w:rPr>
          <w:sz w:val="20"/>
          <w:szCs w:val="20"/>
        </w:rPr>
        <w:t> </w:t>
      </w:r>
    </w:p>
    <w:p w14:paraId="0DA15A71" w14:textId="77777777" w:rsidR="00000000" w:rsidRDefault="001826C1">
      <w:pPr>
        <w:pStyle w:val="a3"/>
        <w:spacing w:before="0" w:beforeAutospacing="0" w:after="0" w:afterAutospacing="0"/>
        <w:jc w:val="both"/>
        <w:rPr>
          <w:sz w:val="20"/>
          <w:szCs w:val="20"/>
        </w:rPr>
      </w:pPr>
      <w:r>
        <w:rPr>
          <w:sz w:val="20"/>
          <w:szCs w:val="20"/>
        </w:rPr>
        <w:t>The Company has a federal NOL carry forward of approximately $19.8 mill</w:t>
      </w:r>
      <w:r>
        <w:rPr>
          <w:sz w:val="20"/>
          <w:szCs w:val="20"/>
        </w:rPr>
        <w:t>ion of which approximately $15.8 million will expire between 2034 and 2037 and the balance has an indefinite life. The Company has state NOL carry forwards of approximately $38.5 million, of which $17.9 million relates to the State of New Jersey. These NOL</w:t>
      </w:r>
      <w:r>
        <w:rPr>
          <w:sz w:val="20"/>
          <w:szCs w:val="20"/>
        </w:rPr>
        <w:t>s expire between 2034 to 2039.</w:t>
      </w:r>
    </w:p>
    <w:p w14:paraId="02174A6A"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024BEA2" w14:textId="77777777">
        <w:trPr>
          <w:divId w:val="1021510776"/>
        </w:trPr>
        <w:tc>
          <w:tcPr>
            <w:tcW w:w="5000" w:type="pct"/>
            <w:hideMark/>
          </w:tcPr>
          <w:p w14:paraId="528E822C"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39638765" w14:textId="77777777">
        <w:tc>
          <w:tcPr>
            <w:tcW w:w="5000" w:type="pct"/>
            <w:hideMark/>
          </w:tcPr>
          <w:p w14:paraId="5CB225DD" w14:textId="77777777" w:rsidR="00000000" w:rsidRDefault="001826C1">
            <w:pPr>
              <w:jc w:val="center"/>
              <w:rPr>
                <w:rFonts w:eastAsia="Times New Roman"/>
                <w:sz w:val="20"/>
                <w:szCs w:val="20"/>
              </w:rPr>
            </w:pPr>
            <w:r>
              <w:rPr>
                <w:rFonts w:eastAsia="Times New Roman"/>
                <w:sz w:val="20"/>
                <w:szCs w:val="20"/>
              </w:rPr>
              <w:t> </w:t>
            </w:r>
          </w:p>
        </w:tc>
      </w:tr>
    </w:tbl>
    <w:p w14:paraId="3A4E0E0D" w14:textId="77777777" w:rsidR="00000000" w:rsidRDefault="001826C1">
      <w:pPr>
        <w:pStyle w:val="a3"/>
        <w:spacing w:before="0" w:beforeAutospacing="0" w:after="0" w:afterAutospacing="0"/>
        <w:rPr>
          <w:sz w:val="20"/>
          <w:szCs w:val="20"/>
        </w:rPr>
      </w:pPr>
      <w:r>
        <w:rPr>
          <w:sz w:val="20"/>
          <w:szCs w:val="20"/>
        </w:rPr>
        <w:t> </w:t>
      </w:r>
    </w:p>
    <w:p w14:paraId="5F7DD2D3" w14:textId="77777777" w:rsidR="00000000" w:rsidRDefault="001826C1">
      <w:pPr>
        <w:pStyle w:val="a3"/>
        <w:shd w:val="clear" w:color="auto" w:fill="FFFFFF"/>
        <w:spacing w:before="0" w:beforeAutospacing="0" w:after="0" w:afterAutospacing="0"/>
        <w:rPr>
          <w:sz w:val="20"/>
          <w:szCs w:val="20"/>
        </w:rPr>
      </w:pPr>
      <w:r>
        <w:rPr>
          <w:b/>
          <w:bCs/>
          <w:sz w:val="20"/>
          <w:szCs w:val="20"/>
        </w:rPr>
        <w:t>Liquidity and Capital Resources</w:t>
      </w:r>
    </w:p>
    <w:p w14:paraId="790DDB2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39CE2E6"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During the year ended December 31, 2019, there was </w:t>
      </w:r>
      <w:r>
        <w:rPr>
          <w:color w:val="000000"/>
          <w:sz w:val="20"/>
          <w:szCs w:val="20"/>
        </w:rPr>
        <w:t xml:space="preserve">positive cash flow from operations of </w:t>
      </w:r>
      <w:r>
        <w:rPr>
          <w:sz w:val="20"/>
          <w:szCs w:val="20"/>
        </w:rPr>
        <w:t xml:space="preserve">approximately $7.6 million </w:t>
      </w:r>
      <w:r>
        <w:rPr>
          <w:color w:val="000000"/>
          <w:sz w:val="20"/>
          <w:szCs w:val="20"/>
        </w:rPr>
        <w:t xml:space="preserve">and at </w:t>
      </w:r>
      <w:r>
        <w:rPr>
          <w:sz w:val="20"/>
          <w:szCs w:val="20"/>
        </w:rPr>
        <w:t xml:space="preserve">year-end </w:t>
      </w:r>
      <w:r>
        <w:rPr>
          <w:color w:val="000000"/>
          <w:sz w:val="20"/>
          <w:szCs w:val="20"/>
        </w:rPr>
        <w:t xml:space="preserve">the Company </w:t>
      </w:r>
      <w:r>
        <w:rPr>
          <w:sz w:val="20"/>
          <w:szCs w:val="20"/>
        </w:rPr>
        <w:t xml:space="preserve">had $19.8 million </w:t>
      </w:r>
      <w:r>
        <w:rPr>
          <w:color w:val="000000"/>
          <w:sz w:val="20"/>
          <w:szCs w:val="20"/>
        </w:rPr>
        <w:t xml:space="preserve">in cash, positive working capital </w:t>
      </w:r>
      <w:r>
        <w:rPr>
          <w:sz w:val="20"/>
          <w:szCs w:val="20"/>
        </w:rPr>
        <w:t xml:space="preserve">of $19.8 million </w:t>
      </w:r>
      <w:r>
        <w:rPr>
          <w:color w:val="000000"/>
          <w:sz w:val="20"/>
          <w:szCs w:val="20"/>
        </w:rPr>
        <w:t xml:space="preserve">and </w:t>
      </w:r>
      <w:r>
        <w:rPr>
          <w:sz w:val="20"/>
          <w:szCs w:val="20"/>
        </w:rPr>
        <w:t>no bank debt. During the three months ended December 31, 2019, cash provided by operations was $2.9 million. The Company has a revolving line of credit with SVB, and, as of December 31, 2019, there was</w:t>
      </w:r>
      <w:r>
        <w:rPr>
          <w:sz w:val="20"/>
          <w:szCs w:val="20"/>
        </w:rPr>
        <w:t xml:space="preserve"> no balance outstanding. During 2018, the Company sold 1,020,000 shares of Preferred Stock and raised net proceeds of approximately $22.8 million. </w:t>
      </w:r>
      <w:r>
        <w:rPr>
          <w:color w:val="000000"/>
          <w:sz w:val="20"/>
          <w:szCs w:val="20"/>
        </w:rPr>
        <w:t>During the year ended December 31, 2019, the Company sold</w:t>
      </w:r>
      <w:r>
        <w:rPr>
          <w:sz w:val="20"/>
          <w:szCs w:val="20"/>
        </w:rPr>
        <w:t xml:space="preserve"> 373,000 </w:t>
      </w:r>
      <w:r>
        <w:rPr>
          <w:color w:val="000000"/>
          <w:sz w:val="20"/>
          <w:szCs w:val="20"/>
        </w:rPr>
        <w:t xml:space="preserve">shares of Preferred Stock and raised </w:t>
      </w:r>
      <w:r>
        <w:rPr>
          <w:sz w:val="20"/>
          <w:szCs w:val="20"/>
        </w:rPr>
        <w:t>$9.6 m</w:t>
      </w:r>
      <w:r>
        <w:rPr>
          <w:sz w:val="20"/>
          <w:szCs w:val="20"/>
        </w:rPr>
        <w:t xml:space="preserve">illion </w:t>
      </w:r>
      <w:r>
        <w:rPr>
          <w:color w:val="000000"/>
          <w:sz w:val="20"/>
          <w:szCs w:val="20"/>
        </w:rPr>
        <w:t>in net proceeds after fees and expenses.</w:t>
      </w:r>
    </w:p>
    <w:p w14:paraId="54B95DE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6546AA4" w14:textId="77777777" w:rsidR="00000000" w:rsidRDefault="001826C1">
      <w:pPr>
        <w:pStyle w:val="a3"/>
        <w:shd w:val="clear" w:color="auto" w:fill="FFFFFF"/>
        <w:spacing w:before="0" w:beforeAutospacing="0" w:after="0" w:afterAutospacing="0"/>
        <w:rPr>
          <w:sz w:val="20"/>
          <w:szCs w:val="20"/>
        </w:rPr>
      </w:pPr>
      <w:r>
        <w:rPr>
          <w:sz w:val="20"/>
          <w:szCs w:val="20"/>
        </w:rPr>
        <w:t>The following table summarizes our cash flows for the years presented.</w:t>
      </w:r>
    </w:p>
    <w:p w14:paraId="4F8BFBDB" w14:textId="77777777" w:rsidR="00000000" w:rsidRDefault="001826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26"/>
        <w:gridCol w:w="107"/>
        <w:gridCol w:w="100"/>
        <w:gridCol w:w="904"/>
        <w:gridCol w:w="67"/>
        <w:gridCol w:w="107"/>
        <w:gridCol w:w="100"/>
        <w:gridCol w:w="967"/>
        <w:gridCol w:w="67"/>
      </w:tblGrid>
      <w:tr w:rsidR="00000000" w14:paraId="1DC49189" w14:textId="77777777">
        <w:tc>
          <w:tcPr>
            <w:tcW w:w="0" w:type="auto"/>
            <w:vAlign w:val="bottom"/>
            <w:hideMark/>
          </w:tcPr>
          <w:p w14:paraId="4849D81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3F330BC"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3A1825A"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5612794E" w14:textId="77777777" w:rsidR="00000000" w:rsidRDefault="001826C1">
            <w:pPr>
              <w:rPr>
                <w:rFonts w:eastAsia="Times New Roman"/>
                <w:b/>
                <w:bCs/>
                <w:sz w:val="20"/>
                <w:szCs w:val="20"/>
              </w:rPr>
            </w:pPr>
            <w:r>
              <w:rPr>
                <w:rFonts w:eastAsia="Times New Roman"/>
                <w:b/>
                <w:bCs/>
                <w:sz w:val="20"/>
                <w:szCs w:val="20"/>
              </w:rPr>
              <w:t> </w:t>
            </w:r>
          </w:p>
        </w:tc>
      </w:tr>
      <w:tr w:rsidR="00000000" w14:paraId="6C79A444" w14:textId="77777777">
        <w:tc>
          <w:tcPr>
            <w:tcW w:w="0" w:type="auto"/>
            <w:vAlign w:val="bottom"/>
            <w:hideMark/>
          </w:tcPr>
          <w:p w14:paraId="190FF356"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F6F76C"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47EA129"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8F95AD8"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11EC5BE"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494E97B"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0FCDFD43" w14:textId="77777777" w:rsidR="00000000" w:rsidRDefault="001826C1">
            <w:pPr>
              <w:rPr>
                <w:rFonts w:eastAsia="Times New Roman"/>
                <w:b/>
                <w:bCs/>
                <w:sz w:val="20"/>
                <w:szCs w:val="20"/>
              </w:rPr>
            </w:pPr>
            <w:r>
              <w:rPr>
                <w:rFonts w:eastAsia="Times New Roman"/>
                <w:b/>
                <w:bCs/>
                <w:sz w:val="20"/>
                <w:szCs w:val="20"/>
              </w:rPr>
              <w:t> </w:t>
            </w:r>
          </w:p>
        </w:tc>
      </w:tr>
      <w:tr w:rsidR="00000000" w14:paraId="03BA0173" w14:textId="77777777">
        <w:tc>
          <w:tcPr>
            <w:tcW w:w="3200" w:type="pct"/>
            <w:shd w:val="clear" w:color="auto" w:fill="CCEEFF"/>
            <w:vAlign w:val="bottom"/>
            <w:hideMark/>
          </w:tcPr>
          <w:p w14:paraId="119FB5FF" w14:textId="77777777" w:rsidR="00000000" w:rsidRDefault="001826C1">
            <w:pPr>
              <w:rPr>
                <w:rFonts w:eastAsia="Times New Roman"/>
                <w:sz w:val="20"/>
                <w:szCs w:val="20"/>
              </w:rPr>
            </w:pPr>
            <w:r>
              <w:rPr>
                <w:rFonts w:eastAsia="Times New Roman"/>
                <w:sz w:val="20"/>
                <w:szCs w:val="20"/>
              </w:rPr>
              <w:t>Net cash provided by operating activities</w:t>
            </w:r>
          </w:p>
        </w:tc>
        <w:tc>
          <w:tcPr>
            <w:tcW w:w="100" w:type="pct"/>
            <w:shd w:val="clear" w:color="auto" w:fill="CCEEFF"/>
            <w:vAlign w:val="bottom"/>
            <w:hideMark/>
          </w:tcPr>
          <w:p w14:paraId="3715C3B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9011EC9"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1B06FBC9" w14:textId="77777777" w:rsidR="00000000" w:rsidRDefault="001826C1">
            <w:pPr>
              <w:jc w:val="right"/>
              <w:rPr>
                <w:rFonts w:eastAsia="Times New Roman"/>
                <w:sz w:val="20"/>
                <w:szCs w:val="20"/>
              </w:rPr>
            </w:pPr>
            <w:r>
              <w:rPr>
                <w:rFonts w:eastAsia="Times New Roman"/>
                <w:sz w:val="20"/>
                <w:szCs w:val="20"/>
              </w:rPr>
              <w:t>7,617,987</w:t>
            </w:r>
          </w:p>
        </w:tc>
        <w:tc>
          <w:tcPr>
            <w:tcW w:w="50" w:type="pct"/>
            <w:shd w:val="clear" w:color="auto" w:fill="CCEEFF"/>
            <w:vAlign w:val="bottom"/>
            <w:hideMark/>
          </w:tcPr>
          <w:p w14:paraId="75F5FDAC"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9119D6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3D0643E"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5CA260AF" w14:textId="77777777" w:rsidR="00000000" w:rsidRDefault="001826C1">
            <w:pPr>
              <w:jc w:val="right"/>
              <w:rPr>
                <w:rFonts w:eastAsia="Times New Roman"/>
                <w:sz w:val="20"/>
                <w:szCs w:val="20"/>
              </w:rPr>
            </w:pPr>
            <w:r>
              <w:rPr>
                <w:rFonts w:eastAsia="Times New Roman"/>
                <w:sz w:val="20"/>
                <w:szCs w:val="20"/>
              </w:rPr>
              <w:t>6,812,474</w:t>
            </w:r>
          </w:p>
        </w:tc>
        <w:tc>
          <w:tcPr>
            <w:tcW w:w="50" w:type="pct"/>
            <w:shd w:val="clear" w:color="auto" w:fill="CCEEFF"/>
            <w:vAlign w:val="bottom"/>
            <w:hideMark/>
          </w:tcPr>
          <w:p w14:paraId="5C640253" w14:textId="77777777" w:rsidR="00000000" w:rsidRDefault="001826C1">
            <w:pPr>
              <w:rPr>
                <w:rFonts w:eastAsia="Times New Roman"/>
                <w:sz w:val="20"/>
                <w:szCs w:val="20"/>
              </w:rPr>
            </w:pPr>
            <w:r>
              <w:rPr>
                <w:rFonts w:eastAsia="Times New Roman"/>
                <w:sz w:val="20"/>
                <w:szCs w:val="20"/>
              </w:rPr>
              <w:t> </w:t>
            </w:r>
          </w:p>
        </w:tc>
      </w:tr>
      <w:tr w:rsidR="00000000" w14:paraId="3F2F4C84" w14:textId="77777777">
        <w:tc>
          <w:tcPr>
            <w:tcW w:w="0" w:type="auto"/>
            <w:shd w:val="clear" w:color="auto" w:fill="FFFFFF"/>
            <w:vAlign w:val="bottom"/>
            <w:hideMark/>
          </w:tcPr>
          <w:p w14:paraId="11D63D58" w14:textId="77777777" w:rsidR="00000000" w:rsidRDefault="001826C1">
            <w:pPr>
              <w:rPr>
                <w:rFonts w:eastAsia="Times New Roman"/>
                <w:sz w:val="20"/>
                <w:szCs w:val="20"/>
              </w:rPr>
            </w:pPr>
            <w:r>
              <w:rPr>
                <w:rFonts w:eastAsia="Times New Roman"/>
                <w:sz w:val="20"/>
                <w:szCs w:val="20"/>
              </w:rPr>
              <w:t>Net cash used in investing activities</w:t>
            </w:r>
          </w:p>
        </w:tc>
        <w:tc>
          <w:tcPr>
            <w:tcW w:w="0" w:type="auto"/>
            <w:shd w:val="clear" w:color="auto" w:fill="FFFFFF"/>
            <w:vAlign w:val="bottom"/>
            <w:hideMark/>
          </w:tcPr>
          <w:p w14:paraId="62FC25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2518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302884" w14:textId="77777777" w:rsidR="00000000" w:rsidRDefault="001826C1">
            <w:pPr>
              <w:jc w:val="right"/>
              <w:rPr>
                <w:rFonts w:eastAsia="Times New Roman"/>
                <w:sz w:val="20"/>
                <w:szCs w:val="20"/>
              </w:rPr>
            </w:pPr>
            <w:r>
              <w:rPr>
                <w:rFonts w:eastAsia="Times New Roman"/>
                <w:sz w:val="20"/>
                <w:szCs w:val="20"/>
              </w:rPr>
              <w:t>(4,158,159</w:t>
            </w:r>
          </w:p>
        </w:tc>
        <w:tc>
          <w:tcPr>
            <w:tcW w:w="0" w:type="auto"/>
            <w:shd w:val="clear" w:color="auto" w:fill="FFFFFF"/>
            <w:vAlign w:val="bottom"/>
            <w:hideMark/>
          </w:tcPr>
          <w:p w14:paraId="028F4C6A"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E7326B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A235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EFE324" w14:textId="77777777" w:rsidR="00000000" w:rsidRDefault="001826C1">
            <w:pPr>
              <w:jc w:val="right"/>
              <w:rPr>
                <w:rFonts w:eastAsia="Times New Roman"/>
                <w:sz w:val="20"/>
                <w:szCs w:val="20"/>
              </w:rPr>
            </w:pPr>
            <w:r>
              <w:rPr>
                <w:rFonts w:eastAsia="Times New Roman"/>
                <w:sz w:val="20"/>
                <w:szCs w:val="20"/>
              </w:rPr>
              <w:t>(13,628,249</w:t>
            </w:r>
          </w:p>
        </w:tc>
        <w:tc>
          <w:tcPr>
            <w:tcW w:w="0" w:type="auto"/>
            <w:shd w:val="clear" w:color="auto" w:fill="FFFFFF"/>
            <w:vAlign w:val="bottom"/>
            <w:hideMark/>
          </w:tcPr>
          <w:p w14:paraId="74E98F67" w14:textId="77777777" w:rsidR="00000000" w:rsidRDefault="001826C1">
            <w:pPr>
              <w:rPr>
                <w:rFonts w:eastAsia="Times New Roman"/>
                <w:sz w:val="20"/>
                <w:szCs w:val="20"/>
              </w:rPr>
            </w:pPr>
            <w:r>
              <w:rPr>
                <w:rFonts w:eastAsia="Times New Roman"/>
                <w:sz w:val="20"/>
                <w:szCs w:val="20"/>
              </w:rPr>
              <w:t>)</w:t>
            </w:r>
          </w:p>
        </w:tc>
      </w:tr>
      <w:tr w:rsidR="00000000" w14:paraId="3B356400" w14:textId="77777777">
        <w:tc>
          <w:tcPr>
            <w:tcW w:w="0" w:type="auto"/>
            <w:shd w:val="clear" w:color="auto" w:fill="CCEEFF"/>
            <w:vAlign w:val="bottom"/>
            <w:hideMark/>
          </w:tcPr>
          <w:p w14:paraId="14974596" w14:textId="77777777" w:rsidR="00000000" w:rsidRDefault="001826C1">
            <w:pPr>
              <w:rPr>
                <w:rFonts w:eastAsia="Times New Roman"/>
                <w:sz w:val="20"/>
                <w:szCs w:val="20"/>
              </w:rPr>
            </w:pPr>
            <w:r>
              <w:rPr>
                <w:rFonts w:eastAsia="Times New Roman"/>
                <w:sz w:val="20"/>
                <w:szCs w:val="20"/>
              </w:rPr>
              <w:t>Net cash provided by financing activities</w:t>
            </w:r>
          </w:p>
        </w:tc>
        <w:tc>
          <w:tcPr>
            <w:tcW w:w="0" w:type="auto"/>
            <w:shd w:val="clear" w:color="auto" w:fill="CCEEFF"/>
            <w:vAlign w:val="bottom"/>
            <w:hideMark/>
          </w:tcPr>
          <w:p w14:paraId="0A5558F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42F4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B99DA7" w14:textId="77777777" w:rsidR="00000000" w:rsidRDefault="001826C1">
            <w:pPr>
              <w:jc w:val="right"/>
              <w:rPr>
                <w:rFonts w:eastAsia="Times New Roman"/>
                <w:sz w:val="20"/>
                <w:szCs w:val="20"/>
              </w:rPr>
            </w:pPr>
            <w:r>
              <w:rPr>
                <w:rFonts w:eastAsia="Times New Roman"/>
                <w:sz w:val="20"/>
                <w:szCs w:val="20"/>
              </w:rPr>
              <w:t>1,422,201</w:t>
            </w:r>
          </w:p>
        </w:tc>
        <w:tc>
          <w:tcPr>
            <w:tcW w:w="0" w:type="auto"/>
            <w:shd w:val="clear" w:color="auto" w:fill="CCEEFF"/>
            <w:vAlign w:val="bottom"/>
            <w:hideMark/>
          </w:tcPr>
          <w:p w14:paraId="21E1EC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66C3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B2112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82423" w14:textId="77777777" w:rsidR="00000000" w:rsidRDefault="001826C1">
            <w:pPr>
              <w:jc w:val="right"/>
              <w:rPr>
                <w:rFonts w:eastAsia="Times New Roman"/>
                <w:sz w:val="20"/>
                <w:szCs w:val="20"/>
              </w:rPr>
            </w:pPr>
            <w:r>
              <w:rPr>
                <w:rFonts w:eastAsia="Times New Roman"/>
                <w:sz w:val="20"/>
                <w:szCs w:val="20"/>
              </w:rPr>
              <w:t>17,656,537</w:t>
            </w:r>
          </w:p>
        </w:tc>
        <w:tc>
          <w:tcPr>
            <w:tcW w:w="0" w:type="auto"/>
            <w:shd w:val="clear" w:color="auto" w:fill="CCEEFF"/>
            <w:vAlign w:val="bottom"/>
            <w:hideMark/>
          </w:tcPr>
          <w:p w14:paraId="739F2402" w14:textId="77777777" w:rsidR="00000000" w:rsidRDefault="001826C1">
            <w:pPr>
              <w:rPr>
                <w:rFonts w:eastAsia="Times New Roman"/>
                <w:sz w:val="20"/>
                <w:szCs w:val="20"/>
              </w:rPr>
            </w:pPr>
            <w:r>
              <w:rPr>
                <w:rFonts w:eastAsia="Times New Roman"/>
                <w:sz w:val="20"/>
                <w:szCs w:val="20"/>
              </w:rPr>
              <w:t> </w:t>
            </w:r>
          </w:p>
        </w:tc>
      </w:tr>
      <w:tr w:rsidR="00000000" w14:paraId="471337B5" w14:textId="77777777">
        <w:tc>
          <w:tcPr>
            <w:tcW w:w="0" w:type="auto"/>
            <w:shd w:val="clear" w:color="auto" w:fill="FFFFFF"/>
            <w:tcMar>
              <w:top w:w="0" w:type="dxa"/>
              <w:left w:w="0" w:type="dxa"/>
              <w:bottom w:w="30" w:type="dxa"/>
              <w:right w:w="0" w:type="dxa"/>
            </w:tcMar>
            <w:vAlign w:val="bottom"/>
            <w:hideMark/>
          </w:tcPr>
          <w:p w14:paraId="0A4A36D6" w14:textId="77777777" w:rsidR="00000000" w:rsidRDefault="001826C1">
            <w:pPr>
              <w:rPr>
                <w:rFonts w:eastAsia="Times New Roman"/>
                <w:sz w:val="20"/>
                <w:szCs w:val="20"/>
              </w:rPr>
            </w:pPr>
            <w:r>
              <w:rPr>
                <w:rFonts w:eastAsia="Times New Roman"/>
                <w:sz w:val="20"/>
                <w:szCs w:val="20"/>
              </w:rPr>
              <w:t>Effect of exchange rate changes on cash</w:t>
            </w:r>
          </w:p>
        </w:tc>
        <w:tc>
          <w:tcPr>
            <w:tcW w:w="0" w:type="auto"/>
            <w:shd w:val="clear" w:color="auto" w:fill="FFFFFF"/>
            <w:tcMar>
              <w:top w:w="0" w:type="dxa"/>
              <w:left w:w="0" w:type="dxa"/>
              <w:bottom w:w="30" w:type="dxa"/>
              <w:right w:w="0" w:type="dxa"/>
            </w:tcMar>
            <w:vAlign w:val="bottom"/>
            <w:hideMark/>
          </w:tcPr>
          <w:p w14:paraId="5C26534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54E89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6AB121" w14:textId="77777777" w:rsidR="00000000" w:rsidRDefault="001826C1">
            <w:pPr>
              <w:jc w:val="right"/>
              <w:rPr>
                <w:rFonts w:eastAsia="Times New Roman"/>
                <w:sz w:val="20"/>
                <w:szCs w:val="20"/>
              </w:rPr>
            </w:pPr>
            <w:r>
              <w:rPr>
                <w:rFonts w:eastAsia="Times New Roman"/>
                <w:sz w:val="20"/>
                <w:szCs w:val="20"/>
              </w:rPr>
              <w:t>639,622</w:t>
            </w:r>
          </w:p>
        </w:tc>
        <w:tc>
          <w:tcPr>
            <w:tcW w:w="0" w:type="auto"/>
            <w:shd w:val="clear" w:color="auto" w:fill="FFFFFF"/>
            <w:tcMar>
              <w:top w:w="0" w:type="dxa"/>
              <w:left w:w="0" w:type="dxa"/>
              <w:bottom w:w="30" w:type="dxa"/>
              <w:right w:w="0" w:type="dxa"/>
            </w:tcMar>
            <w:vAlign w:val="bottom"/>
            <w:hideMark/>
          </w:tcPr>
          <w:p w14:paraId="491A30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C3A5D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BD44C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0457D1" w14:textId="77777777" w:rsidR="00000000" w:rsidRDefault="001826C1">
            <w:pPr>
              <w:jc w:val="right"/>
              <w:rPr>
                <w:rFonts w:eastAsia="Times New Roman"/>
                <w:sz w:val="20"/>
                <w:szCs w:val="20"/>
              </w:rPr>
            </w:pPr>
            <w:r>
              <w:rPr>
                <w:rFonts w:eastAsia="Times New Roman"/>
                <w:sz w:val="20"/>
                <w:szCs w:val="20"/>
              </w:rPr>
              <w:t>(730,511</w:t>
            </w:r>
          </w:p>
        </w:tc>
        <w:tc>
          <w:tcPr>
            <w:tcW w:w="0" w:type="auto"/>
            <w:shd w:val="clear" w:color="auto" w:fill="FFFFFF"/>
            <w:tcMar>
              <w:top w:w="0" w:type="dxa"/>
              <w:left w:w="0" w:type="dxa"/>
              <w:bottom w:w="30" w:type="dxa"/>
              <w:right w:w="0" w:type="dxa"/>
            </w:tcMar>
            <w:vAlign w:val="bottom"/>
            <w:hideMark/>
          </w:tcPr>
          <w:p w14:paraId="61A9B860" w14:textId="77777777" w:rsidR="00000000" w:rsidRDefault="001826C1">
            <w:pPr>
              <w:rPr>
                <w:rFonts w:eastAsia="Times New Roman"/>
                <w:sz w:val="20"/>
                <w:szCs w:val="20"/>
              </w:rPr>
            </w:pPr>
            <w:r>
              <w:rPr>
                <w:rFonts w:eastAsia="Times New Roman"/>
                <w:sz w:val="20"/>
                <w:szCs w:val="20"/>
              </w:rPr>
              <w:t>)</w:t>
            </w:r>
          </w:p>
        </w:tc>
      </w:tr>
      <w:tr w:rsidR="00000000" w14:paraId="3B889CEB" w14:textId="77777777">
        <w:tc>
          <w:tcPr>
            <w:tcW w:w="0" w:type="auto"/>
            <w:shd w:val="clear" w:color="auto" w:fill="CCEEFF"/>
            <w:tcMar>
              <w:top w:w="0" w:type="dxa"/>
              <w:left w:w="0" w:type="dxa"/>
              <w:bottom w:w="50" w:type="dxa"/>
              <w:right w:w="0" w:type="dxa"/>
            </w:tcMar>
            <w:vAlign w:val="bottom"/>
            <w:hideMark/>
          </w:tcPr>
          <w:p w14:paraId="474CE5C2" w14:textId="77777777" w:rsidR="00000000" w:rsidRDefault="001826C1">
            <w:pPr>
              <w:rPr>
                <w:rFonts w:eastAsia="Times New Roman"/>
                <w:sz w:val="20"/>
                <w:szCs w:val="20"/>
              </w:rPr>
            </w:pPr>
            <w:r>
              <w:rPr>
                <w:rFonts w:eastAsia="Times New Roman"/>
                <w:sz w:val="20"/>
                <w:szCs w:val="20"/>
              </w:rPr>
              <w:t>Net increase in cash</w:t>
            </w:r>
          </w:p>
        </w:tc>
        <w:tc>
          <w:tcPr>
            <w:tcW w:w="0" w:type="auto"/>
            <w:shd w:val="clear" w:color="auto" w:fill="CCEEFF"/>
            <w:tcMar>
              <w:top w:w="0" w:type="dxa"/>
              <w:left w:w="0" w:type="dxa"/>
              <w:bottom w:w="50" w:type="dxa"/>
              <w:right w:w="0" w:type="dxa"/>
            </w:tcMar>
            <w:vAlign w:val="bottom"/>
            <w:hideMark/>
          </w:tcPr>
          <w:p w14:paraId="6C17167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CC6E9D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606BA80" w14:textId="77777777" w:rsidR="00000000" w:rsidRDefault="001826C1">
            <w:pPr>
              <w:jc w:val="right"/>
              <w:rPr>
                <w:rFonts w:eastAsia="Times New Roman"/>
                <w:sz w:val="20"/>
                <w:szCs w:val="20"/>
              </w:rPr>
            </w:pPr>
            <w:r>
              <w:rPr>
                <w:rFonts w:eastAsia="Times New Roman"/>
                <w:sz w:val="20"/>
                <w:szCs w:val="20"/>
              </w:rPr>
              <w:t>5,521,651</w:t>
            </w:r>
          </w:p>
        </w:tc>
        <w:tc>
          <w:tcPr>
            <w:tcW w:w="0" w:type="auto"/>
            <w:shd w:val="clear" w:color="auto" w:fill="CCEEFF"/>
            <w:tcMar>
              <w:top w:w="0" w:type="dxa"/>
              <w:left w:w="0" w:type="dxa"/>
              <w:bottom w:w="50" w:type="dxa"/>
              <w:right w:w="0" w:type="dxa"/>
            </w:tcMar>
            <w:vAlign w:val="bottom"/>
            <w:hideMark/>
          </w:tcPr>
          <w:p w14:paraId="4B2D73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9B8B02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D4A1CB6"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F3C3E79" w14:textId="77777777" w:rsidR="00000000" w:rsidRDefault="001826C1">
            <w:pPr>
              <w:jc w:val="right"/>
              <w:rPr>
                <w:rFonts w:eastAsia="Times New Roman"/>
                <w:sz w:val="20"/>
                <w:szCs w:val="20"/>
              </w:rPr>
            </w:pPr>
            <w:r>
              <w:rPr>
                <w:rFonts w:eastAsia="Times New Roman"/>
                <w:sz w:val="20"/>
                <w:szCs w:val="20"/>
              </w:rPr>
              <w:t>10,110,251</w:t>
            </w:r>
          </w:p>
        </w:tc>
        <w:tc>
          <w:tcPr>
            <w:tcW w:w="0" w:type="auto"/>
            <w:shd w:val="clear" w:color="auto" w:fill="CCEEFF"/>
            <w:tcMar>
              <w:top w:w="0" w:type="dxa"/>
              <w:left w:w="0" w:type="dxa"/>
              <w:bottom w:w="50" w:type="dxa"/>
              <w:right w:w="0" w:type="dxa"/>
            </w:tcMar>
            <w:vAlign w:val="bottom"/>
            <w:hideMark/>
          </w:tcPr>
          <w:p w14:paraId="15355EF5" w14:textId="77777777" w:rsidR="00000000" w:rsidRDefault="001826C1">
            <w:pPr>
              <w:rPr>
                <w:rFonts w:eastAsia="Times New Roman"/>
                <w:sz w:val="20"/>
                <w:szCs w:val="20"/>
              </w:rPr>
            </w:pPr>
            <w:r>
              <w:rPr>
                <w:rFonts w:eastAsia="Times New Roman"/>
                <w:sz w:val="20"/>
                <w:szCs w:val="20"/>
              </w:rPr>
              <w:t> </w:t>
            </w:r>
          </w:p>
        </w:tc>
      </w:tr>
    </w:tbl>
    <w:p w14:paraId="02F8BAE4" w14:textId="77777777" w:rsidR="00000000" w:rsidRDefault="001826C1">
      <w:pPr>
        <w:pStyle w:val="a3"/>
        <w:spacing w:before="0" w:beforeAutospacing="0" w:after="0" w:afterAutospacing="0"/>
        <w:jc w:val="both"/>
        <w:rPr>
          <w:sz w:val="20"/>
          <w:szCs w:val="20"/>
        </w:rPr>
      </w:pPr>
      <w:r>
        <w:rPr>
          <w:sz w:val="20"/>
          <w:szCs w:val="20"/>
        </w:rPr>
        <w:t> </w:t>
      </w:r>
    </w:p>
    <w:p w14:paraId="1B26764D" w14:textId="77777777" w:rsidR="00000000" w:rsidRDefault="001826C1">
      <w:pPr>
        <w:pStyle w:val="a3"/>
        <w:spacing w:before="0" w:beforeAutospacing="0" w:after="0" w:afterAutospacing="0"/>
        <w:jc w:val="both"/>
        <w:rPr>
          <w:sz w:val="20"/>
          <w:szCs w:val="20"/>
        </w:rPr>
      </w:pPr>
      <w:r>
        <w:rPr>
          <w:sz w:val="20"/>
          <w:szCs w:val="20"/>
        </w:rPr>
        <w:t xml:space="preserve">The loss before income taxes was $679,000 for the year ended December 31, 2019, of which $3.0 million was non-cash depreciation and amortization. </w:t>
      </w:r>
      <w:r>
        <w:rPr>
          <w:sz w:val="20"/>
          <w:szCs w:val="20"/>
        </w:rPr>
        <w:t>The loss before income tax for the year ended December 31, 2018 was $2.3 million, of which $2.9 million was non-cash depreciation and amortization.</w:t>
      </w:r>
    </w:p>
    <w:p w14:paraId="2D9527A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E1F7E5F" w14:textId="77777777" w:rsidR="00000000" w:rsidRDefault="001826C1">
      <w:pPr>
        <w:pStyle w:val="a3"/>
        <w:shd w:val="clear" w:color="auto" w:fill="FFFFFF"/>
        <w:spacing w:before="0" w:beforeAutospacing="0" w:after="0" w:afterAutospacing="0"/>
        <w:jc w:val="both"/>
        <w:rPr>
          <w:sz w:val="20"/>
          <w:szCs w:val="20"/>
        </w:rPr>
      </w:pPr>
      <w:r>
        <w:rPr>
          <w:sz w:val="20"/>
          <w:szCs w:val="20"/>
        </w:rPr>
        <w:t>Management continues to focus on the Company’s overall profitability, including growing revenue and managi</w:t>
      </w:r>
      <w:r>
        <w:rPr>
          <w:sz w:val="20"/>
          <w:szCs w:val="20"/>
        </w:rPr>
        <w:t>ng expenses, and expects that these efforts will continue to enhance our liquidity and financial position. Based on management’s forecasts, the Company will have sufficient liquidity to meet its obligations as they become due for the next twelve months fro</w:t>
      </w:r>
      <w:r>
        <w:rPr>
          <w:sz w:val="20"/>
          <w:szCs w:val="20"/>
        </w:rPr>
        <w:t>m the date of financial statements issuance.</w:t>
      </w:r>
    </w:p>
    <w:p w14:paraId="293FE5A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359AA55" w14:textId="77777777" w:rsidR="00000000" w:rsidRDefault="001826C1">
      <w:pPr>
        <w:pStyle w:val="a3"/>
        <w:spacing w:before="0" w:beforeAutospacing="0" w:after="0" w:afterAutospacing="0"/>
        <w:jc w:val="both"/>
        <w:rPr>
          <w:sz w:val="20"/>
          <w:szCs w:val="20"/>
        </w:rPr>
      </w:pPr>
      <w:r>
        <w:rPr>
          <w:sz w:val="20"/>
          <w:szCs w:val="20"/>
        </w:rPr>
        <w:t>We have not been adversely affected by inflation as typically we receive a percentage of the fees our clients collect from our revenue cycle management services. Additionally, our practice management contracts</w:t>
      </w:r>
      <w:r>
        <w:rPr>
          <w:sz w:val="20"/>
          <w:szCs w:val="20"/>
        </w:rPr>
        <w:t xml:space="preserve"> are based on our costs plus a percentage of operating income. We continue to monitor the impact of inflation in order to minimize its effects through pricing strategies, productivity improvements and cost reductions. In the event of inflation, we believe </w:t>
      </w:r>
      <w:r>
        <w:rPr>
          <w:sz w:val="20"/>
          <w:szCs w:val="20"/>
        </w:rPr>
        <w:t>that we will be able to pass on any price increases for fixed rate contracts to our customers, as the prices that we charge are not governed by long-term contracts.</w:t>
      </w:r>
    </w:p>
    <w:p w14:paraId="71E84BFA" w14:textId="77777777" w:rsidR="00000000" w:rsidRDefault="001826C1">
      <w:pPr>
        <w:pStyle w:val="a3"/>
        <w:spacing w:before="0" w:beforeAutospacing="0" w:after="0" w:afterAutospacing="0"/>
        <w:jc w:val="both"/>
        <w:rPr>
          <w:sz w:val="20"/>
          <w:szCs w:val="20"/>
        </w:rPr>
      </w:pPr>
      <w:r>
        <w:rPr>
          <w:sz w:val="20"/>
          <w:szCs w:val="20"/>
        </w:rPr>
        <w:t> </w:t>
      </w:r>
    </w:p>
    <w:p w14:paraId="77B7B27F" w14:textId="77777777" w:rsidR="00000000" w:rsidRDefault="001826C1">
      <w:pPr>
        <w:pStyle w:val="a3"/>
        <w:shd w:val="clear" w:color="auto" w:fill="FFFFFF"/>
        <w:spacing w:before="0" w:beforeAutospacing="0" w:after="0" w:afterAutospacing="0"/>
        <w:jc w:val="both"/>
        <w:rPr>
          <w:sz w:val="20"/>
          <w:szCs w:val="20"/>
        </w:rPr>
      </w:pPr>
      <w:r>
        <w:rPr>
          <w:b/>
          <w:bCs/>
          <w:i/>
          <w:iCs/>
          <w:sz w:val="20"/>
          <w:szCs w:val="20"/>
        </w:rPr>
        <w:t>Operating Activities</w:t>
      </w:r>
    </w:p>
    <w:p w14:paraId="5D47BBEE"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40174CD" w14:textId="77777777" w:rsidR="00000000" w:rsidRDefault="001826C1">
      <w:pPr>
        <w:pStyle w:val="a3"/>
        <w:spacing w:before="0" w:beforeAutospacing="0" w:after="0" w:afterAutospacing="0"/>
        <w:jc w:val="both"/>
        <w:rPr>
          <w:sz w:val="20"/>
          <w:szCs w:val="20"/>
        </w:rPr>
      </w:pPr>
      <w:r>
        <w:rPr>
          <w:sz w:val="20"/>
          <w:szCs w:val="20"/>
        </w:rPr>
        <w:t>Cash provided by operating activities was $7.6 million and $6.8 mi</w:t>
      </w:r>
      <w:r>
        <w:rPr>
          <w:sz w:val="20"/>
          <w:szCs w:val="20"/>
        </w:rPr>
        <w:t>llion during the years ended December 31, 2019 and 2018, respectively. The decrease in the net loss of $1.3 million included the following changes in non-cash items:</w:t>
      </w:r>
    </w:p>
    <w:p w14:paraId="66EAA00E" w14:textId="77777777" w:rsidR="00000000" w:rsidRDefault="001826C1">
      <w:pPr>
        <w:pStyle w:val="a3"/>
        <w:spacing w:before="0" w:beforeAutospacing="0" w:after="0" w:afterAutospacing="0"/>
        <w:jc w:val="both"/>
        <w:rPr>
          <w:sz w:val="20"/>
          <w:szCs w:val="20"/>
        </w:rPr>
      </w:pPr>
      <w:r>
        <w:rPr>
          <w:sz w:val="20"/>
          <w:szCs w:val="20"/>
        </w:rPr>
        <w:t> </w:t>
      </w:r>
    </w:p>
    <w:p w14:paraId="520B3325" w14:textId="77777777" w:rsidR="00000000" w:rsidRDefault="001826C1">
      <w:pPr>
        <w:pStyle w:val="a3"/>
        <w:spacing w:before="0" w:beforeAutospacing="0" w:after="0" w:afterAutospacing="0"/>
        <w:jc w:val="both"/>
        <w:rPr>
          <w:sz w:val="20"/>
          <w:szCs w:val="20"/>
        </w:rPr>
      </w:pPr>
      <w:r>
        <w:rPr>
          <w:sz w:val="20"/>
          <w:szCs w:val="20"/>
        </w:rPr>
        <w:t>Increase in depreciation and amortization of $157,000, increase in stock-based compensat</w:t>
      </w:r>
      <w:r>
        <w:rPr>
          <w:sz w:val="20"/>
          <w:szCs w:val="20"/>
        </w:rPr>
        <w:t xml:space="preserve">ion of $752,000, and an increase in interest accretion of $307,000. Revenue increased by $13.9 million for the year ended December 31, 2019 compared to the year ended December 31, 2018, and expenses increased by $11.3 million for the same period primarily </w:t>
      </w:r>
      <w:r>
        <w:rPr>
          <w:sz w:val="20"/>
          <w:szCs w:val="20"/>
        </w:rPr>
        <w:t>due to the acquisition of ETM in second quarter of 2019 and Orion in the third quarter of 2018.</w:t>
      </w:r>
    </w:p>
    <w:p w14:paraId="12B5E82A" w14:textId="77777777" w:rsidR="00000000" w:rsidRDefault="001826C1">
      <w:pPr>
        <w:pStyle w:val="a3"/>
        <w:spacing w:before="0" w:beforeAutospacing="0" w:after="0" w:afterAutospacing="0"/>
        <w:jc w:val="both"/>
        <w:rPr>
          <w:sz w:val="20"/>
          <w:szCs w:val="20"/>
        </w:rPr>
      </w:pPr>
      <w:r>
        <w:rPr>
          <w:sz w:val="20"/>
          <w:szCs w:val="20"/>
        </w:rPr>
        <w:t> </w:t>
      </w:r>
    </w:p>
    <w:p w14:paraId="67983EF0" w14:textId="77777777" w:rsidR="00000000" w:rsidRDefault="001826C1">
      <w:pPr>
        <w:pStyle w:val="a3"/>
        <w:spacing w:before="0" w:beforeAutospacing="0" w:after="0" w:afterAutospacing="0"/>
        <w:jc w:val="both"/>
        <w:rPr>
          <w:sz w:val="20"/>
          <w:szCs w:val="20"/>
        </w:rPr>
      </w:pPr>
      <w:r>
        <w:rPr>
          <w:sz w:val="20"/>
          <w:szCs w:val="20"/>
        </w:rPr>
        <w:t>Cash generated by the reduction of accounts receivable was $765,000 for the year ended December 31, 2019, compared with a reduction of $1.5 million for the ye</w:t>
      </w:r>
      <w:r>
        <w:rPr>
          <w:sz w:val="20"/>
          <w:szCs w:val="20"/>
        </w:rPr>
        <w:t>ar ended December 31, 2018. This excludes the acquired accounts receivable as part of the ETM and Orion acquisitions. Accounts payable, accrued compensation and accrued expenses increased by $1.4 million during the year ended December 31, 2019, compared wi</w:t>
      </w:r>
      <w:r>
        <w:rPr>
          <w:sz w:val="20"/>
          <w:szCs w:val="20"/>
        </w:rPr>
        <w:t>th a decrease of $2.1 million for the year ended December 31, 2018.</w:t>
      </w:r>
    </w:p>
    <w:p w14:paraId="56B3796B"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95CE830" w14:textId="77777777">
        <w:trPr>
          <w:divId w:val="249966333"/>
        </w:trPr>
        <w:tc>
          <w:tcPr>
            <w:tcW w:w="5000" w:type="pct"/>
            <w:hideMark/>
          </w:tcPr>
          <w:p w14:paraId="3E45DDDB"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7F8452C7" w14:textId="77777777">
        <w:tc>
          <w:tcPr>
            <w:tcW w:w="5000" w:type="pct"/>
            <w:hideMark/>
          </w:tcPr>
          <w:p w14:paraId="1C4433CF" w14:textId="77777777" w:rsidR="00000000" w:rsidRDefault="001826C1">
            <w:pPr>
              <w:jc w:val="center"/>
              <w:rPr>
                <w:rFonts w:eastAsia="Times New Roman"/>
                <w:sz w:val="20"/>
                <w:szCs w:val="20"/>
              </w:rPr>
            </w:pPr>
            <w:r>
              <w:rPr>
                <w:rFonts w:eastAsia="Times New Roman"/>
                <w:sz w:val="20"/>
                <w:szCs w:val="20"/>
              </w:rPr>
              <w:t> </w:t>
            </w:r>
          </w:p>
        </w:tc>
      </w:tr>
    </w:tbl>
    <w:p w14:paraId="1268A08B" w14:textId="77777777" w:rsidR="00000000" w:rsidRDefault="001826C1">
      <w:pPr>
        <w:pStyle w:val="a3"/>
        <w:spacing w:before="0" w:beforeAutospacing="0" w:after="0" w:afterAutospacing="0"/>
        <w:rPr>
          <w:sz w:val="20"/>
          <w:szCs w:val="20"/>
        </w:rPr>
      </w:pPr>
      <w:r>
        <w:rPr>
          <w:sz w:val="20"/>
          <w:szCs w:val="20"/>
        </w:rPr>
        <w:t> </w:t>
      </w:r>
    </w:p>
    <w:p w14:paraId="52E3BEE6" w14:textId="77777777" w:rsidR="00000000" w:rsidRDefault="001826C1">
      <w:pPr>
        <w:pStyle w:val="a3"/>
        <w:spacing w:before="0" w:beforeAutospacing="0" w:after="0" w:afterAutospacing="0"/>
        <w:jc w:val="both"/>
        <w:rPr>
          <w:sz w:val="20"/>
          <w:szCs w:val="20"/>
        </w:rPr>
      </w:pPr>
      <w:r>
        <w:rPr>
          <w:b/>
          <w:bCs/>
          <w:i/>
          <w:iCs/>
          <w:sz w:val="20"/>
          <w:szCs w:val="20"/>
        </w:rPr>
        <w:t>Investing Activities</w:t>
      </w:r>
    </w:p>
    <w:p w14:paraId="061F658F" w14:textId="77777777" w:rsidR="00000000" w:rsidRDefault="001826C1">
      <w:pPr>
        <w:pStyle w:val="a3"/>
        <w:spacing w:before="0" w:beforeAutospacing="0" w:after="0" w:afterAutospacing="0"/>
        <w:jc w:val="both"/>
        <w:rPr>
          <w:sz w:val="20"/>
          <w:szCs w:val="20"/>
        </w:rPr>
      </w:pPr>
      <w:r>
        <w:rPr>
          <w:sz w:val="20"/>
          <w:szCs w:val="20"/>
        </w:rPr>
        <w:t> </w:t>
      </w:r>
    </w:p>
    <w:p w14:paraId="7D87D6EB" w14:textId="77777777" w:rsidR="00000000" w:rsidRDefault="001826C1">
      <w:pPr>
        <w:pStyle w:val="a3"/>
        <w:spacing w:before="0" w:beforeAutospacing="0" w:after="0" w:afterAutospacing="0"/>
        <w:jc w:val="both"/>
        <w:rPr>
          <w:sz w:val="20"/>
          <w:szCs w:val="20"/>
        </w:rPr>
      </w:pPr>
      <w:r>
        <w:rPr>
          <w:sz w:val="20"/>
          <w:szCs w:val="20"/>
        </w:rPr>
        <w:t xml:space="preserve">Cash used in investing activities during the year ended December 31, 2019 was $4.2 million, a decrease of </w:t>
      </w:r>
      <w:r>
        <w:rPr>
          <w:sz w:val="20"/>
          <w:szCs w:val="20"/>
        </w:rPr>
        <w:t>$9.5 million compared to $13.6 million during the year ended December 31, 2018. The change is due to the Company acquiring Orion for a cash consideration of $12.6 million during 2018, while in 2019 the Company paid $1.6 million for the acquisition of ETM.</w:t>
      </w:r>
    </w:p>
    <w:p w14:paraId="5F4CE982"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4A70F0C" w14:textId="77777777" w:rsidR="00000000" w:rsidRDefault="001826C1">
      <w:pPr>
        <w:pStyle w:val="a3"/>
        <w:shd w:val="clear" w:color="auto" w:fill="FFFFFF"/>
        <w:spacing w:before="0" w:beforeAutospacing="0" w:after="0" w:afterAutospacing="0"/>
        <w:rPr>
          <w:sz w:val="20"/>
          <w:szCs w:val="20"/>
        </w:rPr>
      </w:pPr>
      <w:r>
        <w:rPr>
          <w:b/>
          <w:bCs/>
          <w:i/>
          <w:iCs/>
          <w:sz w:val="20"/>
          <w:szCs w:val="20"/>
        </w:rPr>
        <w:t>Financing Activities</w:t>
      </w:r>
    </w:p>
    <w:p w14:paraId="37F90BA3" w14:textId="77777777" w:rsidR="00000000" w:rsidRDefault="001826C1">
      <w:pPr>
        <w:pStyle w:val="a3"/>
        <w:shd w:val="clear" w:color="auto" w:fill="FFFFFF"/>
        <w:spacing w:before="0" w:beforeAutospacing="0" w:after="0" w:afterAutospacing="0"/>
        <w:rPr>
          <w:sz w:val="20"/>
          <w:szCs w:val="20"/>
        </w:rPr>
      </w:pPr>
      <w:r>
        <w:rPr>
          <w:sz w:val="20"/>
          <w:szCs w:val="20"/>
        </w:rPr>
        <w:t> </w:t>
      </w:r>
    </w:p>
    <w:p w14:paraId="6840429B" w14:textId="77777777" w:rsidR="00000000" w:rsidRDefault="001826C1">
      <w:pPr>
        <w:pStyle w:val="a3"/>
        <w:shd w:val="clear" w:color="auto" w:fill="FFFFFF"/>
        <w:spacing w:before="0" w:beforeAutospacing="0" w:after="0" w:afterAutospacing="0"/>
        <w:jc w:val="both"/>
        <w:rPr>
          <w:sz w:val="20"/>
          <w:szCs w:val="20"/>
        </w:rPr>
      </w:pPr>
      <w:r>
        <w:rPr>
          <w:sz w:val="20"/>
          <w:szCs w:val="20"/>
        </w:rPr>
        <w:t>Cash provided by financing activities during the year ended December 31, 2019 was $1.4 million, compared to $17.7 million in the year ended December 31, 2018. There was also $1.4 million of payments to settle the tax withholding ob</w:t>
      </w:r>
      <w:r>
        <w:rPr>
          <w:sz w:val="20"/>
          <w:szCs w:val="20"/>
        </w:rPr>
        <w:t xml:space="preserve">ligations. Cash provided by financing activities during 2019 includes $9.6 million of net proceeds after fees and expenses from issuing 373,030 shares of Preferred Stock, offset by $430,000 of repayments for debt obligations, and $6.1 million of Preferred </w:t>
      </w:r>
      <w:r>
        <w:rPr>
          <w:sz w:val="20"/>
          <w:szCs w:val="20"/>
        </w:rPr>
        <w:t>Stock dividends. Cash provided by financing activities during 2018 includes $22.8 million of net proceeds from issuing 1,020,000 shares of Preferred Stock, offset by $464,000 of repayments for debt obligations, and $4.1 million of Preferred Stock dividends</w:t>
      </w:r>
      <w:r>
        <w:rPr>
          <w:sz w:val="20"/>
          <w:szCs w:val="20"/>
        </w:rPr>
        <w:t>. In 2018, there were $333,000 of payments to settle tax withholding obligations. There were no borrowings under the revolving line of credit for the year ended December 31, 2019 and no net borrowings for the year ended December 31, 2018.</w:t>
      </w:r>
    </w:p>
    <w:p w14:paraId="04481EB6" w14:textId="77777777" w:rsidR="00000000" w:rsidRDefault="001826C1">
      <w:pPr>
        <w:pStyle w:val="a3"/>
        <w:spacing w:before="0" w:beforeAutospacing="0" w:after="0" w:afterAutospacing="0"/>
        <w:rPr>
          <w:sz w:val="20"/>
          <w:szCs w:val="20"/>
        </w:rPr>
      </w:pPr>
      <w:r>
        <w:rPr>
          <w:sz w:val="20"/>
          <w:szCs w:val="20"/>
        </w:rPr>
        <w:t> </w:t>
      </w:r>
    </w:p>
    <w:p w14:paraId="5DCEDCE5" w14:textId="77777777" w:rsidR="00000000" w:rsidRDefault="001826C1">
      <w:pPr>
        <w:pStyle w:val="a3"/>
        <w:shd w:val="clear" w:color="auto" w:fill="FFFFFF"/>
        <w:spacing w:before="0" w:beforeAutospacing="0" w:after="0" w:afterAutospacing="0"/>
        <w:rPr>
          <w:sz w:val="20"/>
          <w:szCs w:val="20"/>
        </w:rPr>
      </w:pPr>
      <w:r>
        <w:rPr>
          <w:b/>
          <w:bCs/>
          <w:sz w:val="20"/>
          <w:szCs w:val="20"/>
        </w:rPr>
        <w:t>Contractual Obl</w:t>
      </w:r>
      <w:r>
        <w:rPr>
          <w:b/>
          <w:bCs/>
          <w:sz w:val="20"/>
          <w:szCs w:val="20"/>
        </w:rPr>
        <w:t>igations and Commitments</w:t>
      </w:r>
    </w:p>
    <w:p w14:paraId="63FD208B" w14:textId="77777777" w:rsidR="00000000" w:rsidRDefault="001826C1">
      <w:pPr>
        <w:pStyle w:val="a3"/>
        <w:shd w:val="clear" w:color="auto" w:fill="FFFFFF"/>
        <w:spacing w:before="0" w:beforeAutospacing="0" w:after="0" w:afterAutospacing="0"/>
        <w:rPr>
          <w:sz w:val="20"/>
          <w:szCs w:val="20"/>
        </w:rPr>
      </w:pPr>
      <w:r>
        <w:rPr>
          <w:sz w:val="20"/>
          <w:szCs w:val="20"/>
        </w:rPr>
        <w:t> </w:t>
      </w:r>
    </w:p>
    <w:p w14:paraId="00D66F28" w14:textId="77777777" w:rsidR="00000000" w:rsidRDefault="001826C1">
      <w:pPr>
        <w:pStyle w:val="a3"/>
        <w:spacing w:before="0" w:beforeAutospacing="0" w:after="0" w:afterAutospacing="0"/>
        <w:jc w:val="both"/>
        <w:rPr>
          <w:sz w:val="20"/>
          <w:szCs w:val="20"/>
        </w:rPr>
      </w:pPr>
      <w:r>
        <w:rPr>
          <w:sz w:val="20"/>
          <w:szCs w:val="20"/>
        </w:rPr>
        <w:t xml:space="preserve">We </w:t>
      </w:r>
      <w:r>
        <w:rPr>
          <w:sz w:val="20"/>
          <w:szCs w:val="20"/>
        </w:rPr>
        <w:t>have contractual obligations under our line of credit. We also maintain operating leases for property and certain office equipment. We were in compliance with all SVB covenants in 2019, except for one instance where a waiver was obtained in conjunction wit</w:t>
      </w:r>
      <w:r>
        <w:rPr>
          <w:sz w:val="20"/>
          <w:szCs w:val="20"/>
        </w:rPr>
        <w:t>h the acquisition of ETM.</w:t>
      </w:r>
    </w:p>
    <w:p w14:paraId="3D73124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290B883" w14:textId="77777777" w:rsidR="00000000" w:rsidRDefault="001826C1">
      <w:pPr>
        <w:pStyle w:val="a3"/>
        <w:shd w:val="clear" w:color="auto" w:fill="FFFFFF"/>
        <w:spacing w:before="0" w:beforeAutospacing="0" w:after="0" w:afterAutospacing="0"/>
        <w:jc w:val="both"/>
        <w:rPr>
          <w:sz w:val="20"/>
          <w:szCs w:val="20"/>
        </w:rPr>
      </w:pPr>
      <w:r>
        <w:rPr>
          <w:sz w:val="20"/>
          <w:szCs w:val="20"/>
        </w:rPr>
        <w:t>The following table presents certain payments due by the Company under our long-term contractual obligations with minimum firm commitments as of December 31, 2019. In addition, based on the interest-bearing obligations as of Dec</w:t>
      </w:r>
      <w:r>
        <w:rPr>
          <w:sz w:val="20"/>
          <w:szCs w:val="20"/>
        </w:rPr>
        <w:t>ember 31, 2019, we expect interest expense to be approximately $11,000 during the years below. This excludes the amortization of bank financing costs which is recorded as interest expense.</w:t>
      </w:r>
    </w:p>
    <w:p w14:paraId="0503378F" w14:textId="77777777" w:rsidR="00000000" w:rsidRDefault="001826C1">
      <w:pPr>
        <w:pStyle w:val="a3"/>
        <w:shd w:val="clear" w:color="auto" w:fill="FFFFFF"/>
        <w:spacing w:before="0" w:beforeAutospacing="0" w:after="0" w:afterAutospacing="0"/>
        <w:jc w:val="both"/>
        <w:rPr>
          <w:sz w:val="20"/>
          <w:szCs w:val="20"/>
        </w:rPr>
      </w:pPr>
      <w:r>
        <w:rPr>
          <w:b/>
          <w:bCs/>
          <w:sz w:val="20"/>
          <w:szCs w:val="20"/>
        </w:rPr>
        <w:t> </w:t>
      </w:r>
    </w:p>
    <w:tbl>
      <w:tblPr>
        <w:tblW w:w="4500" w:type="pct"/>
        <w:tblCellMar>
          <w:left w:w="0" w:type="dxa"/>
          <w:right w:w="0" w:type="dxa"/>
        </w:tblCellMar>
        <w:tblLook w:val="04A0" w:firstRow="1" w:lastRow="0" w:firstColumn="1" w:lastColumn="0" w:noHBand="0" w:noVBand="1"/>
      </w:tblPr>
      <w:tblGrid>
        <w:gridCol w:w="2025"/>
        <w:gridCol w:w="82"/>
        <w:gridCol w:w="100"/>
        <w:gridCol w:w="800"/>
        <w:gridCol w:w="50"/>
        <w:gridCol w:w="50"/>
        <w:gridCol w:w="100"/>
        <w:gridCol w:w="800"/>
        <w:gridCol w:w="50"/>
        <w:gridCol w:w="50"/>
        <w:gridCol w:w="100"/>
        <w:gridCol w:w="650"/>
        <w:gridCol w:w="50"/>
        <w:gridCol w:w="50"/>
        <w:gridCol w:w="100"/>
        <w:gridCol w:w="650"/>
        <w:gridCol w:w="50"/>
        <w:gridCol w:w="50"/>
        <w:gridCol w:w="100"/>
        <w:gridCol w:w="518"/>
        <w:gridCol w:w="50"/>
        <w:gridCol w:w="50"/>
        <w:gridCol w:w="100"/>
        <w:gridCol w:w="800"/>
        <w:gridCol w:w="50"/>
      </w:tblGrid>
      <w:tr w:rsidR="00000000" w14:paraId="5B9FFD29" w14:textId="77777777">
        <w:tc>
          <w:tcPr>
            <w:tcW w:w="0" w:type="auto"/>
            <w:vAlign w:val="bottom"/>
            <w:hideMark/>
          </w:tcPr>
          <w:p w14:paraId="677724BE"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0C97BE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2"/>
            <w:tcBorders>
              <w:bottom w:val="single" w:sz="12" w:space="0" w:color="000000"/>
            </w:tcBorders>
            <w:vAlign w:val="bottom"/>
            <w:hideMark/>
          </w:tcPr>
          <w:p w14:paraId="2CA35D9B" w14:textId="77777777" w:rsidR="00000000" w:rsidRDefault="001826C1">
            <w:pPr>
              <w:jc w:val="center"/>
              <w:rPr>
                <w:rFonts w:eastAsia="Times New Roman"/>
                <w:b/>
                <w:bCs/>
                <w:sz w:val="20"/>
                <w:szCs w:val="20"/>
              </w:rPr>
            </w:pPr>
            <w:r>
              <w:rPr>
                <w:rFonts w:eastAsia="Times New Roman"/>
                <w:b/>
                <w:bCs/>
                <w:sz w:val="20"/>
                <w:szCs w:val="20"/>
              </w:rPr>
              <w:t>Year Ending December 31,</w:t>
            </w:r>
          </w:p>
        </w:tc>
        <w:tc>
          <w:tcPr>
            <w:tcW w:w="0" w:type="auto"/>
            <w:tcMar>
              <w:top w:w="0" w:type="dxa"/>
              <w:left w:w="0" w:type="dxa"/>
              <w:bottom w:w="30" w:type="dxa"/>
              <w:right w:w="0" w:type="dxa"/>
            </w:tcMar>
            <w:vAlign w:val="bottom"/>
            <w:hideMark/>
          </w:tcPr>
          <w:p w14:paraId="124AD37C" w14:textId="77777777" w:rsidR="00000000" w:rsidRDefault="001826C1">
            <w:pPr>
              <w:rPr>
                <w:rFonts w:eastAsia="Times New Roman"/>
                <w:b/>
                <w:bCs/>
                <w:sz w:val="20"/>
                <w:szCs w:val="20"/>
              </w:rPr>
            </w:pPr>
            <w:r>
              <w:rPr>
                <w:rFonts w:eastAsia="Times New Roman"/>
                <w:b/>
                <w:bCs/>
                <w:sz w:val="20"/>
                <w:szCs w:val="20"/>
              </w:rPr>
              <w:t> </w:t>
            </w:r>
          </w:p>
        </w:tc>
      </w:tr>
      <w:tr w:rsidR="00000000" w14:paraId="6EBDC64E" w14:textId="77777777">
        <w:tc>
          <w:tcPr>
            <w:tcW w:w="0" w:type="auto"/>
            <w:vAlign w:val="bottom"/>
            <w:hideMark/>
          </w:tcPr>
          <w:p w14:paraId="23BFE1D1"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46D330"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F209E20" w14:textId="77777777" w:rsidR="00000000" w:rsidRDefault="001826C1">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14:paraId="415EE241"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01AAD07"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6CE871" w14:textId="77777777" w:rsidR="00000000" w:rsidRDefault="001826C1">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14:paraId="4F1E1D7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15DB6C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339A186" w14:textId="77777777" w:rsidR="00000000" w:rsidRDefault="001826C1">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14:paraId="24F6521F"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8B92AD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ACF05E" w14:textId="77777777" w:rsidR="00000000" w:rsidRDefault="001826C1">
            <w:pPr>
              <w:jc w:val="center"/>
              <w:rPr>
                <w:rFonts w:eastAsia="Times New Roman"/>
                <w:b/>
                <w:bCs/>
                <w:sz w:val="20"/>
                <w:szCs w:val="20"/>
              </w:rPr>
            </w:pPr>
            <w:r>
              <w:rPr>
                <w:rFonts w:eastAsia="Times New Roman"/>
                <w:b/>
                <w:bCs/>
                <w:sz w:val="20"/>
                <w:szCs w:val="20"/>
              </w:rPr>
              <w:t>2023</w:t>
            </w:r>
          </w:p>
        </w:tc>
        <w:tc>
          <w:tcPr>
            <w:tcW w:w="0" w:type="auto"/>
            <w:tcMar>
              <w:top w:w="0" w:type="dxa"/>
              <w:left w:w="0" w:type="dxa"/>
              <w:bottom w:w="30" w:type="dxa"/>
              <w:right w:w="0" w:type="dxa"/>
            </w:tcMar>
            <w:vAlign w:val="bottom"/>
            <w:hideMark/>
          </w:tcPr>
          <w:p w14:paraId="0F8E0877"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6E76730"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66E91DB" w14:textId="77777777" w:rsidR="00000000" w:rsidRDefault="001826C1">
            <w:pPr>
              <w:jc w:val="center"/>
              <w:rPr>
                <w:rFonts w:eastAsia="Times New Roman"/>
                <w:b/>
                <w:bCs/>
                <w:sz w:val="20"/>
                <w:szCs w:val="20"/>
              </w:rPr>
            </w:pPr>
            <w:r>
              <w:rPr>
                <w:rFonts w:eastAsia="Times New Roman"/>
                <w:b/>
                <w:bCs/>
                <w:sz w:val="20"/>
                <w:szCs w:val="20"/>
              </w:rPr>
              <w:t>2024</w:t>
            </w:r>
          </w:p>
        </w:tc>
        <w:tc>
          <w:tcPr>
            <w:tcW w:w="0" w:type="auto"/>
            <w:tcMar>
              <w:top w:w="0" w:type="dxa"/>
              <w:left w:w="0" w:type="dxa"/>
              <w:bottom w:w="30" w:type="dxa"/>
              <w:right w:w="0" w:type="dxa"/>
            </w:tcMar>
            <w:vAlign w:val="bottom"/>
            <w:hideMark/>
          </w:tcPr>
          <w:p w14:paraId="5ADE23DF"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7130D6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0F54D9B" w14:textId="77777777" w:rsidR="00000000" w:rsidRDefault="001826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6DAF0773" w14:textId="77777777" w:rsidR="00000000" w:rsidRDefault="001826C1">
            <w:pPr>
              <w:rPr>
                <w:rFonts w:eastAsia="Times New Roman"/>
                <w:b/>
                <w:bCs/>
                <w:sz w:val="20"/>
                <w:szCs w:val="20"/>
              </w:rPr>
            </w:pPr>
            <w:r>
              <w:rPr>
                <w:rFonts w:eastAsia="Times New Roman"/>
                <w:b/>
                <w:bCs/>
                <w:sz w:val="20"/>
                <w:szCs w:val="20"/>
              </w:rPr>
              <w:t> </w:t>
            </w:r>
          </w:p>
        </w:tc>
      </w:tr>
      <w:tr w:rsidR="00000000" w14:paraId="051D7994" w14:textId="77777777">
        <w:tc>
          <w:tcPr>
            <w:tcW w:w="1400" w:type="pct"/>
            <w:shd w:val="clear" w:color="auto" w:fill="CCEEFF"/>
            <w:vAlign w:val="bottom"/>
            <w:hideMark/>
          </w:tcPr>
          <w:p w14:paraId="016D7E2C" w14:textId="77777777" w:rsidR="00000000" w:rsidRDefault="001826C1">
            <w:pPr>
              <w:rPr>
                <w:rFonts w:eastAsia="Times New Roman"/>
                <w:sz w:val="20"/>
                <w:szCs w:val="20"/>
              </w:rPr>
            </w:pPr>
            <w:r>
              <w:rPr>
                <w:rFonts w:eastAsia="Times New Roman"/>
                <w:sz w:val="20"/>
                <w:szCs w:val="20"/>
              </w:rPr>
              <w:t>Notes payable</w:t>
            </w:r>
          </w:p>
        </w:tc>
        <w:tc>
          <w:tcPr>
            <w:tcW w:w="100" w:type="pct"/>
            <w:shd w:val="clear" w:color="auto" w:fill="CCEEFF"/>
            <w:vAlign w:val="bottom"/>
            <w:hideMark/>
          </w:tcPr>
          <w:p w14:paraId="608E1DB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181855" w14:textId="77777777" w:rsidR="00000000" w:rsidRDefault="001826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026A420F" w14:textId="77777777" w:rsidR="00000000" w:rsidRDefault="001826C1">
            <w:pPr>
              <w:jc w:val="right"/>
              <w:rPr>
                <w:rFonts w:eastAsia="Times New Roman"/>
                <w:sz w:val="20"/>
                <w:szCs w:val="20"/>
              </w:rPr>
            </w:pPr>
            <w:r>
              <w:rPr>
                <w:rFonts w:eastAsia="Times New Roman"/>
                <w:sz w:val="20"/>
                <w:szCs w:val="20"/>
              </w:rPr>
              <w:t>283,675</w:t>
            </w:r>
          </w:p>
        </w:tc>
        <w:tc>
          <w:tcPr>
            <w:tcW w:w="50" w:type="pct"/>
            <w:shd w:val="clear" w:color="auto" w:fill="CCEEFF"/>
            <w:vAlign w:val="bottom"/>
            <w:hideMark/>
          </w:tcPr>
          <w:p w14:paraId="4174F05F"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E364BD3"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407A9EE" w14:textId="77777777" w:rsidR="00000000" w:rsidRDefault="001826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750EE5DA" w14:textId="77777777" w:rsidR="00000000" w:rsidRDefault="001826C1">
            <w:pPr>
              <w:jc w:val="right"/>
              <w:rPr>
                <w:rFonts w:eastAsia="Times New Roman"/>
                <w:sz w:val="20"/>
                <w:szCs w:val="20"/>
              </w:rPr>
            </w:pPr>
            <w:r>
              <w:rPr>
                <w:rFonts w:eastAsia="Times New Roman"/>
                <w:sz w:val="20"/>
                <w:szCs w:val="20"/>
              </w:rPr>
              <w:t>63,410</w:t>
            </w:r>
          </w:p>
        </w:tc>
        <w:tc>
          <w:tcPr>
            <w:tcW w:w="50" w:type="pct"/>
            <w:shd w:val="clear" w:color="auto" w:fill="CCEEFF"/>
            <w:vAlign w:val="bottom"/>
            <w:hideMark/>
          </w:tcPr>
          <w:p w14:paraId="5794C698"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1938C5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47C88C8" w14:textId="77777777" w:rsidR="00000000" w:rsidRDefault="001826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08980E98" w14:textId="77777777" w:rsidR="00000000" w:rsidRDefault="001826C1">
            <w:pPr>
              <w:jc w:val="right"/>
              <w:rPr>
                <w:rFonts w:eastAsia="Times New Roman"/>
                <w:sz w:val="20"/>
                <w:szCs w:val="20"/>
              </w:rPr>
            </w:pPr>
            <w:r>
              <w:rPr>
                <w:rFonts w:eastAsia="Times New Roman"/>
                <w:sz w:val="20"/>
                <w:szCs w:val="20"/>
              </w:rPr>
              <w:t>15,171</w:t>
            </w:r>
          </w:p>
        </w:tc>
        <w:tc>
          <w:tcPr>
            <w:tcW w:w="50" w:type="pct"/>
            <w:shd w:val="clear" w:color="auto" w:fill="CCEEFF"/>
            <w:vAlign w:val="bottom"/>
            <w:hideMark/>
          </w:tcPr>
          <w:p w14:paraId="4C748318"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CD615C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0F7F84" w14:textId="77777777" w:rsidR="00000000" w:rsidRDefault="001826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699BB235" w14:textId="77777777" w:rsidR="00000000" w:rsidRDefault="001826C1">
            <w:pPr>
              <w:jc w:val="right"/>
              <w:rPr>
                <w:rFonts w:eastAsia="Times New Roman"/>
                <w:sz w:val="20"/>
                <w:szCs w:val="20"/>
              </w:rPr>
            </w:pPr>
            <w:r>
              <w:rPr>
                <w:rFonts w:eastAsia="Times New Roman"/>
                <w:sz w:val="20"/>
                <w:szCs w:val="20"/>
              </w:rPr>
              <w:t>4,694</w:t>
            </w:r>
          </w:p>
        </w:tc>
        <w:tc>
          <w:tcPr>
            <w:tcW w:w="50" w:type="pct"/>
            <w:shd w:val="clear" w:color="auto" w:fill="CCEEFF"/>
            <w:vAlign w:val="bottom"/>
            <w:hideMark/>
          </w:tcPr>
          <w:p w14:paraId="1510917E"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7AA5A60"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D59F948" w14:textId="77777777" w:rsidR="00000000" w:rsidRDefault="001826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1FBD01EB" w14:textId="77777777" w:rsidR="00000000" w:rsidRDefault="001826C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30FF6824"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14B09C4"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6C27221" w14:textId="77777777" w:rsidR="00000000" w:rsidRDefault="001826C1">
            <w:pPr>
              <w:rPr>
                <w:rFonts w:eastAsia="Times New Roman"/>
                <w:sz w:val="20"/>
                <w:szCs w:val="20"/>
              </w:rPr>
            </w:pPr>
            <w:r>
              <w:rPr>
                <w:rFonts w:eastAsia="Times New Roman"/>
                <w:sz w:val="20"/>
                <w:szCs w:val="20"/>
              </w:rPr>
              <w:t>$</w:t>
            </w:r>
          </w:p>
        </w:tc>
        <w:tc>
          <w:tcPr>
            <w:tcW w:w="400" w:type="pct"/>
            <w:shd w:val="clear" w:color="auto" w:fill="CCEEFF"/>
            <w:vAlign w:val="bottom"/>
            <w:hideMark/>
          </w:tcPr>
          <w:p w14:paraId="2CA1323B" w14:textId="77777777" w:rsidR="00000000" w:rsidRDefault="001826C1">
            <w:pPr>
              <w:jc w:val="right"/>
              <w:rPr>
                <w:rFonts w:eastAsia="Times New Roman"/>
                <w:sz w:val="20"/>
                <w:szCs w:val="20"/>
              </w:rPr>
            </w:pPr>
            <w:r>
              <w:rPr>
                <w:rFonts w:eastAsia="Times New Roman"/>
                <w:sz w:val="20"/>
                <w:szCs w:val="20"/>
              </w:rPr>
              <w:t>366,950</w:t>
            </w:r>
          </w:p>
        </w:tc>
        <w:tc>
          <w:tcPr>
            <w:tcW w:w="50" w:type="pct"/>
            <w:shd w:val="clear" w:color="auto" w:fill="CCEEFF"/>
            <w:vAlign w:val="bottom"/>
            <w:hideMark/>
          </w:tcPr>
          <w:p w14:paraId="3F10DDE5" w14:textId="77777777" w:rsidR="00000000" w:rsidRDefault="001826C1">
            <w:pPr>
              <w:rPr>
                <w:rFonts w:eastAsia="Times New Roman"/>
                <w:sz w:val="20"/>
                <w:szCs w:val="20"/>
              </w:rPr>
            </w:pPr>
            <w:r>
              <w:rPr>
                <w:rFonts w:eastAsia="Times New Roman"/>
                <w:sz w:val="20"/>
                <w:szCs w:val="20"/>
              </w:rPr>
              <w:t> </w:t>
            </w:r>
          </w:p>
        </w:tc>
      </w:tr>
      <w:tr w:rsidR="00000000" w14:paraId="2108A23C" w14:textId="77777777">
        <w:tc>
          <w:tcPr>
            <w:tcW w:w="0" w:type="auto"/>
            <w:shd w:val="clear" w:color="auto" w:fill="FFFFFF"/>
            <w:tcMar>
              <w:top w:w="0" w:type="dxa"/>
              <w:left w:w="0" w:type="dxa"/>
              <w:bottom w:w="30" w:type="dxa"/>
              <w:right w:w="0" w:type="dxa"/>
            </w:tcMar>
            <w:vAlign w:val="bottom"/>
            <w:hideMark/>
          </w:tcPr>
          <w:p w14:paraId="56CDDF02" w14:textId="77777777" w:rsidR="00000000" w:rsidRDefault="001826C1">
            <w:pPr>
              <w:rPr>
                <w:rFonts w:eastAsia="Times New Roman"/>
                <w:sz w:val="20"/>
                <w:szCs w:val="20"/>
              </w:rPr>
            </w:pPr>
            <w:r>
              <w:rPr>
                <w:rFonts w:eastAsia="Times New Roman"/>
                <w:sz w:val="20"/>
                <w:szCs w:val="20"/>
              </w:rPr>
              <w:t>Leases</w:t>
            </w:r>
          </w:p>
        </w:tc>
        <w:tc>
          <w:tcPr>
            <w:tcW w:w="0" w:type="auto"/>
            <w:shd w:val="clear" w:color="auto" w:fill="FFFFFF"/>
            <w:tcMar>
              <w:top w:w="0" w:type="dxa"/>
              <w:left w:w="0" w:type="dxa"/>
              <w:bottom w:w="30" w:type="dxa"/>
              <w:right w:w="0" w:type="dxa"/>
            </w:tcMar>
            <w:vAlign w:val="bottom"/>
            <w:hideMark/>
          </w:tcPr>
          <w:p w14:paraId="32F12B1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0DEEC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68D8289" w14:textId="77777777" w:rsidR="00000000" w:rsidRDefault="001826C1">
            <w:pPr>
              <w:jc w:val="right"/>
              <w:rPr>
                <w:rFonts w:eastAsia="Times New Roman"/>
                <w:sz w:val="20"/>
                <w:szCs w:val="20"/>
              </w:rPr>
            </w:pPr>
            <w:r>
              <w:rPr>
                <w:rFonts w:eastAsia="Times New Roman"/>
                <w:sz w:val="20"/>
                <w:szCs w:val="20"/>
              </w:rPr>
              <w:t>1,688,772</w:t>
            </w:r>
          </w:p>
        </w:tc>
        <w:tc>
          <w:tcPr>
            <w:tcW w:w="0" w:type="auto"/>
            <w:shd w:val="clear" w:color="auto" w:fill="FFFFFF"/>
            <w:tcMar>
              <w:top w:w="0" w:type="dxa"/>
              <w:left w:w="0" w:type="dxa"/>
              <w:bottom w:w="30" w:type="dxa"/>
              <w:right w:w="0" w:type="dxa"/>
            </w:tcMar>
            <w:vAlign w:val="bottom"/>
            <w:hideMark/>
          </w:tcPr>
          <w:p w14:paraId="0DD5977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621687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B1265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919EA7E" w14:textId="77777777" w:rsidR="00000000" w:rsidRDefault="001826C1">
            <w:pPr>
              <w:jc w:val="right"/>
              <w:rPr>
                <w:rFonts w:eastAsia="Times New Roman"/>
                <w:sz w:val="20"/>
                <w:szCs w:val="20"/>
              </w:rPr>
            </w:pPr>
            <w:r>
              <w:rPr>
                <w:rFonts w:eastAsia="Times New Roman"/>
                <w:sz w:val="20"/>
                <w:szCs w:val="20"/>
              </w:rPr>
              <w:t>1,289,327</w:t>
            </w:r>
          </w:p>
        </w:tc>
        <w:tc>
          <w:tcPr>
            <w:tcW w:w="0" w:type="auto"/>
            <w:shd w:val="clear" w:color="auto" w:fill="FFFFFF"/>
            <w:tcMar>
              <w:top w:w="0" w:type="dxa"/>
              <w:left w:w="0" w:type="dxa"/>
              <w:bottom w:w="30" w:type="dxa"/>
              <w:right w:w="0" w:type="dxa"/>
            </w:tcMar>
            <w:vAlign w:val="bottom"/>
            <w:hideMark/>
          </w:tcPr>
          <w:p w14:paraId="5245D7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C73349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AB4B1F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11CEE6F" w14:textId="77777777" w:rsidR="00000000" w:rsidRDefault="001826C1">
            <w:pPr>
              <w:jc w:val="right"/>
              <w:rPr>
                <w:rFonts w:eastAsia="Times New Roman"/>
                <w:sz w:val="20"/>
                <w:szCs w:val="20"/>
              </w:rPr>
            </w:pPr>
            <w:r>
              <w:rPr>
                <w:rFonts w:eastAsia="Times New Roman"/>
                <w:sz w:val="20"/>
                <w:szCs w:val="20"/>
              </w:rPr>
              <w:t>596,020</w:t>
            </w:r>
          </w:p>
        </w:tc>
        <w:tc>
          <w:tcPr>
            <w:tcW w:w="0" w:type="auto"/>
            <w:shd w:val="clear" w:color="auto" w:fill="FFFFFF"/>
            <w:tcMar>
              <w:top w:w="0" w:type="dxa"/>
              <w:left w:w="0" w:type="dxa"/>
              <w:bottom w:w="30" w:type="dxa"/>
              <w:right w:w="0" w:type="dxa"/>
            </w:tcMar>
            <w:vAlign w:val="bottom"/>
            <w:hideMark/>
          </w:tcPr>
          <w:p w14:paraId="1DF3E2A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04B01B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8D127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70AEC72" w14:textId="77777777" w:rsidR="00000000" w:rsidRDefault="001826C1">
            <w:pPr>
              <w:jc w:val="right"/>
              <w:rPr>
                <w:rFonts w:eastAsia="Times New Roman"/>
                <w:sz w:val="20"/>
                <w:szCs w:val="20"/>
              </w:rPr>
            </w:pPr>
            <w:r>
              <w:rPr>
                <w:rFonts w:eastAsia="Times New Roman"/>
                <w:sz w:val="20"/>
                <w:szCs w:val="20"/>
              </w:rPr>
              <w:t>150,827</w:t>
            </w:r>
          </w:p>
        </w:tc>
        <w:tc>
          <w:tcPr>
            <w:tcW w:w="0" w:type="auto"/>
            <w:shd w:val="clear" w:color="auto" w:fill="FFFFFF"/>
            <w:tcMar>
              <w:top w:w="0" w:type="dxa"/>
              <w:left w:w="0" w:type="dxa"/>
              <w:bottom w:w="30" w:type="dxa"/>
              <w:right w:w="0" w:type="dxa"/>
            </w:tcMar>
            <w:vAlign w:val="bottom"/>
            <w:hideMark/>
          </w:tcPr>
          <w:p w14:paraId="291DC3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5E5E44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F726E6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4012DEB" w14:textId="77777777" w:rsidR="00000000" w:rsidRDefault="001826C1">
            <w:pPr>
              <w:jc w:val="right"/>
              <w:rPr>
                <w:rFonts w:eastAsia="Times New Roman"/>
                <w:sz w:val="20"/>
                <w:szCs w:val="20"/>
              </w:rPr>
            </w:pPr>
            <w:r>
              <w:rPr>
                <w:rFonts w:eastAsia="Times New Roman"/>
                <w:sz w:val="20"/>
                <w:szCs w:val="20"/>
              </w:rPr>
              <w:t>4,598</w:t>
            </w:r>
          </w:p>
        </w:tc>
        <w:tc>
          <w:tcPr>
            <w:tcW w:w="0" w:type="auto"/>
            <w:shd w:val="clear" w:color="auto" w:fill="FFFFFF"/>
            <w:tcMar>
              <w:top w:w="0" w:type="dxa"/>
              <w:left w:w="0" w:type="dxa"/>
              <w:bottom w:w="30" w:type="dxa"/>
              <w:right w:w="0" w:type="dxa"/>
            </w:tcMar>
            <w:vAlign w:val="bottom"/>
            <w:hideMark/>
          </w:tcPr>
          <w:p w14:paraId="2C4B706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525008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93243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E07F7C" w14:textId="77777777" w:rsidR="00000000" w:rsidRDefault="001826C1">
            <w:pPr>
              <w:jc w:val="right"/>
              <w:rPr>
                <w:rFonts w:eastAsia="Times New Roman"/>
                <w:sz w:val="20"/>
                <w:szCs w:val="20"/>
              </w:rPr>
            </w:pPr>
            <w:r>
              <w:rPr>
                <w:rFonts w:eastAsia="Times New Roman"/>
                <w:sz w:val="20"/>
                <w:szCs w:val="20"/>
              </w:rPr>
              <w:t>3,729,544</w:t>
            </w:r>
          </w:p>
        </w:tc>
        <w:tc>
          <w:tcPr>
            <w:tcW w:w="0" w:type="auto"/>
            <w:shd w:val="clear" w:color="auto" w:fill="FFFFFF"/>
            <w:tcMar>
              <w:top w:w="0" w:type="dxa"/>
              <w:left w:w="0" w:type="dxa"/>
              <w:bottom w:w="30" w:type="dxa"/>
              <w:right w:w="0" w:type="dxa"/>
            </w:tcMar>
            <w:vAlign w:val="bottom"/>
            <w:hideMark/>
          </w:tcPr>
          <w:p w14:paraId="39879269" w14:textId="77777777" w:rsidR="00000000" w:rsidRDefault="001826C1">
            <w:pPr>
              <w:rPr>
                <w:rFonts w:eastAsia="Times New Roman"/>
                <w:sz w:val="20"/>
                <w:szCs w:val="20"/>
              </w:rPr>
            </w:pPr>
            <w:r>
              <w:rPr>
                <w:rFonts w:eastAsia="Times New Roman"/>
                <w:sz w:val="20"/>
                <w:szCs w:val="20"/>
              </w:rPr>
              <w:t> </w:t>
            </w:r>
          </w:p>
        </w:tc>
      </w:tr>
      <w:tr w:rsidR="00000000" w14:paraId="2414FA65" w14:textId="77777777">
        <w:tc>
          <w:tcPr>
            <w:tcW w:w="0" w:type="auto"/>
            <w:shd w:val="clear" w:color="auto" w:fill="CCEEFF"/>
            <w:tcMar>
              <w:top w:w="0" w:type="dxa"/>
              <w:left w:w="0" w:type="dxa"/>
              <w:bottom w:w="50" w:type="dxa"/>
              <w:right w:w="0" w:type="dxa"/>
            </w:tcMar>
            <w:vAlign w:val="bottom"/>
            <w:hideMark/>
          </w:tcPr>
          <w:p w14:paraId="63449456"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58FB9E7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7FAA19B"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5168C80" w14:textId="77777777" w:rsidR="00000000" w:rsidRDefault="001826C1">
            <w:pPr>
              <w:jc w:val="right"/>
              <w:rPr>
                <w:rFonts w:eastAsia="Times New Roman"/>
                <w:sz w:val="20"/>
                <w:szCs w:val="20"/>
              </w:rPr>
            </w:pPr>
            <w:r>
              <w:rPr>
                <w:rFonts w:eastAsia="Times New Roman"/>
                <w:sz w:val="20"/>
                <w:szCs w:val="20"/>
              </w:rPr>
              <w:t>1,972,447</w:t>
            </w:r>
          </w:p>
        </w:tc>
        <w:tc>
          <w:tcPr>
            <w:tcW w:w="0" w:type="auto"/>
            <w:shd w:val="clear" w:color="auto" w:fill="CCEEFF"/>
            <w:tcMar>
              <w:top w:w="0" w:type="dxa"/>
              <w:left w:w="0" w:type="dxa"/>
              <w:bottom w:w="50" w:type="dxa"/>
              <w:right w:w="0" w:type="dxa"/>
            </w:tcMar>
            <w:vAlign w:val="bottom"/>
            <w:hideMark/>
          </w:tcPr>
          <w:p w14:paraId="7D18F87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201EC7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EDA54D8"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8F5CFB6" w14:textId="77777777" w:rsidR="00000000" w:rsidRDefault="001826C1">
            <w:pPr>
              <w:jc w:val="right"/>
              <w:rPr>
                <w:rFonts w:eastAsia="Times New Roman"/>
                <w:sz w:val="20"/>
                <w:szCs w:val="20"/>
              </w:rPr>
            </w:pPr>
            <w:r>
              <w:rPr>
                <w:rFonts w:eastAsia="Times New Roman"/>
                <w:sz w:val="20"/>
                <w:szCs w:val="20"/>
              </w:rPr>
              <w:t>1,352,737</w:t>
            </w:r>
          </w:p>
        </w:tc>
        <w:tc>
          <w:tcPr>
            <w:tcW w:w="0" w:type="auto"/>
            <w:shd w:val="clear" w:color="auto" w:fill="CCEEFF"/>
            <w:tcMar>
              <w:top w:w="0" w:type="dxa"/>
              <w:left w:w="0" w:type="dxa"/>
              <w:bottom w:w="50" w:type="dxa"/>
              <w:right w:w="0" w:type="dxa"/>
            </w:tcMar>
            <w:vAlign w:val="bottom"/>
            <w:hideMark/>
          </w:tcPr>
          <w:p w14:paraId="092E72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55F9DBA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D6CA587"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C1722A7" w14:textId="77777777" w:rsidR="00000000" w:rsidRDefault="001826C1">
            <w:pPr>
              <w:jc w:val="right"/>
              <w:rPr>
                <w:rFonts w:eastAsia="Times New Roman"/>
                <w:sz w:val="20"/>
                <w:szCs w:val="20"/>
              </w:rPr>
            </w:pPr>
            <w:r>
              <w:rPr>
                <w:rFonts w:eastAsia="Times New Roman"/>
                <w:sz w:val="20"/>
                <w:szCs w:val="20"/>
              </w:rPr>
              <w:t>611,191</w:t>
            </w:r>
          </w:p>
        </w:tc>
        <w:tc>
          <w:tcPr>
            <w:tcW w:w="0" w:type="auto"/>
            <w:shd w:val="clear" w:color="auto" w:fill="CCEEFF"/>
            <w:tcMar>
              <w:top w:w="0" w:type="dxa"/>
              <w:left w:w="0" w:type="dxa"/>
              <w:bottom w:w="50" w:type="dxa"/>
              <w:right w:w="0" w:type="dxa"/>
            </w:tcMar>
            <w:vAlign w:val="bottom"/>
            <w:hideMark/>
          </w:tcPr>
          <w:p w14:paraId="1E994F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A7FBB47"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14080A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293D224" w14:textId="77777777" w:rsidR="00000000" w:rsidRDefault="001826C1">
            <w:pPr>
              <w:jc w:val="right"/>
              <w:rPr>
                <w:rFonts w:eastAsia="Times New Roman"/>
                <w:sz w:val="20"/>
                <w:szCs w:val="20"/>
              </w:rPr>
            </w:pPr>
            <w:r>
              <w:rPr>
                <w:rFonts w:eastAsia="Times New Roman"/>
                <w:sz w:val="20"/>
                <w:szCs w:val="20"/>
              </w:rPr>
              <w:t>155,521</w:t>
            </w:r>
          </w:p>
        </w:tc>
        <w:tc>
          <w:tcPr>
            <w:tcW w:w="0" w:type="auto"/>
            <w:shd w:val="clear" w:color="auto" w:fill="CCEEFF"/>
            <w:tcMar>
              <w:top w:w="0" w:type="dxa"/>
              <w:left w:w="0" w:type="dxa"/>
              <w:bottom w:w="50" w:type="dxa"/>
              <w:right w:w="0" w:type="dxa"/>
            </w:tcMar>
            <w:vAlign w:val="bottom"/>
            <w:hideMark/>
          </w:tcPr>
          <w:p w14:paraId="2BF1A2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FF864D5"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7412CA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A59C9AC" w14:textId="77777777" w:rsidR="00000000" w:rsidRDefault="001826C1">
            <w:pPr>
              <w:jc w:val="right"/>
              <w:rPr>
                <w:rFonts w:eastAsia="Times New Roman"/>
                <w:sz w:val="20"/>
                <w:szCs w:val="20"/>
              </w:rPr>
            </w:pPr>
            <w:r>
              <w:rPr>
                <w:rFonts w:eastAsia="Times New Roman"/>
                <w:sz w:val="20"/>
                <w:szCs w:val="20"/>
              </w:rPr>
              <w:t>4,598</w:t>
            </w:r>
          </w:p>
        </w:tc>
        <w:tc>
          <w:tcPr>
            <w:tcW w:w="0" w:type="auto"/>
            <w:shd w:val="clear" w:color="auto" w:fill="CCEEFF"/>
            <w:tcMar>
              <w:top w:w="0" w:type="dxa"/>
              <w:left w:w="0" w:type="dxa"/>
              <w:bottom w:w="50" w:type="dxa"/>
              <w:right w:w="0" w:type="dxa"/>
            </w:tcMar>
            <w:vAlign w:val="bottom"/>
            <w:hideMark/>
          </w:tcPr>
          <w:p w14:paraId="319A93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21071F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BF1F265"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BECCD5B" w14:textId="77777777" w:rsidR="00000000" w:rsidRDefault="001826C1">
            <w:pPr>
              <w:jc w:val="right"/>
              <w:rPr>
                <w:rFonts w:eastAsia="Times New Roman"/>
                <w:sz w:val="20"/>
                <w:szCs w:val="20"/>
              </w:rPr>
            </w:pPr>
            <w:r>
              <w:rPr>
                <w:rFonts w:eastAsia="Times New Roman"/>
                <w:sz w:val="20"/>
                <w:szCs w:val="20"/>
              </w:rPr>
              <w:t>4,096,494</w:t>
            </w:r>
          </w:p>
        </w:tc>
        <w:tc>
          <w:tcPr>
            <w:tcW w:w="0" w:type="auto"/>
            <w:shd w:val="clear" w:color="auto" w:fill="CCEEFF"/>
            <w:tcMar>
              <w:top w:w="0" w:type="dxa"/>
              <w:left w:w="0" w:type="dxa"/>
              <w:bottom w:w="50" w:type="dxa"/>
              <w:right w:w="0" w:type="dxa"/>
            </w:tcMar>
            <w:vAlign w:val="bottom"/>
            <w:hideMark/>
          </w:tcPr>
          <w:p w14:paraId="368EEC88" w14:textId="77777777" w:rsidR="00000000" w:rsidRDefault="001826C1">
            <w:pPr>
              <w:rPr>
                <w:rFonts w:eastAsia="Times New Roman"/>
                <w:sz w:val="20"/>
                <w:szCs w:val="20"/>
              </w:rPr>
            </w:pPr>
            <w:r>
              <w:rPr>
                <w:rFonts w:eastAsia="Times New Roman"/>
                <w:sz w:val="20"/>
                <w:szCs w:val="20"/>
              </w:rPr>
              <w:t> </w:t>
            </w:r>
          </w:p>
        </w:tc>
      </w:tr>
    </w:tbl>
    <w:p w14:paraId="53D6B82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F628FBE" w14:textId="77777777" w:rsidR="00000000" w:rsidRDefault="001826C1">
      <w:pPr>
        <w:pStyle w:val="a3"/>
        <w:shd w:val="clear" w:color="auto" w:fill="FFFFFF"/>
        <w:spacing w:before="0" w:beforeAutospacing="0" w:after="0" w:afterAutospacing="0"/>
        <w:jc w:val="both"/>
        <w:rPr>
          <w:sz w:val="20"/>
          <w:szCs w:val="20"/>
        </w:rPr>
      </w:pPr>
      <w:r>
        <w:rPr>
          <w:b/>
          <w:bCs/>
          <w:sz w:val="20"/>
          <w:szCs w:val="20"/>
        </w:rPr>
        <w:t>Off-Balance Sheet Arrangements</w:t>
      </w:r>
    </w:p>
    <w:p w14:paraId="33317059" w14:textId="77777777" w:rsidR="00000000" w:rsidRDefault="001826C1">
      <w:pPr>
        <w:pStyle w:val="a3"/>
        <w:shd w:val="clear" w:color="auto" w:fill="FFFFFF"/>
        <w:spacing w:before="0" w:beforeAutospacing="0" w:after="0" w:afterAutospacing="0"/>
        <w:ind w:firstLine="540"/>
        <w:jc w:val="both"/>
        <w:rPr>
          <w:sz w:val="20"/>
          <w:szCs w:val="20"/>
        </w:rPr>
      </w:pPr>
      <w:r>
        <w:rPr>
          <w:sz w:val="20"/>
          <w:szCs w:val="20"/>
        </w:rPr>
        <w:t> </w:t>
      </w:r>
    </w:p>
    <w:p w14:paraId="0AAFD7C8"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As </w:t>
      </w:r>
      <w:r>
        <w:rPr>
          <w:sz w:val="20"/>
          <w:szCs w:val="20"/>
        </w:rPr>
        <w:t>of December 31, 2019, and 2018, we did not have any relationships with unconsolidated entities or financial partnerships, such as entities often referred to as structured finance or special-purpose entities, which would have been established for the purpos</w:t>
      </w:r>
      <w:r>
        <w:rPr>
          <w:sz w:val="20"/>
          <w:szCs w:val="20"/>
        </w:rPr>
        <w:t>e of facilitating off-balance sheet arrangements or other contractually narrow or limited purposes. Other than our operating leases for office space, computer equipment and other property, we do not engage in off-balance sheet financing arrangements.</w:t>
      </w:r>
    </w:p>
    <w:p w14:paraId="16F5D82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071B7AA" w14:textId="77777777" w:rsidR="00000000" w:rsidRDefault="001826C1">
      <w:pPr>
        <w:pStyle w:val="a3"/>
        <w:spacing w:before="0" w:beforeAutospacing="0" w:after="0" w:afterAutospacing="0"/>
        <w:rPr>
          <w:b/>
          <w:bCs/>
          <w:sz w:val="20"/>
          <w:szCs w:val="20"/>
        </w:rPr>
      </w:pPr>
      <w:bookmarkStart w:id="12" w:name="a_013"/>
      <w:bookmarkEnd w:id="12"/>
      <w:r>
        <w:rPr>
          <w:b/>
          <w:bCs/>
          <w:sz w:val="20"/>
          <w:szCs w:val="20"/>
        </w:rPr>
        <w:t>Ite</w:t>
      </w:r>
      <w:r>
        <w:rPr>
          <w:b/>
          <w:bCs/>
          <w:sz w:val="20"/>
          <w:szCs w:val="20"/>
        </w:rPr>
        <w:t>m 7A. Quantitative and Qualitative Disclosures about Market Risk</w:t>
      </w:r>
    </w:p>
    <w:p w14:paraId="559FE5C0" w14:textId="77777777" w:rsidR="00000000" w:rsidRDefault="001826C1">
      <w:pPr>
        <w:pStyle w:val="a3"/>
        <w:spacing w:before="0" w:beforeAutospacing="0" w:after="0" w:afterAutospacing="0"/>
        <w:rPr>
          <w:sz w:val="20"/>
          <w:szCs w:val="20"/>
        </w:rPr>
      </w:pPr>
      <w:r>
        <w:rPr>
          <w:sz w:val="20"/>
          <w:szCs w:val="20"/>
        </w:rPr>
        <w:t> </w:t>
      </w:r>
    </w:p>
    <w:p w14:paraId="723DCD4A" w14:textId="77777777" w:rsidR="00000000" w:rsidRDefault="001826C1">
      <w:pPr>
        <w:pStyle w:val="a3"/>
        <w:spacing w:before="0" w:beforeAutospacing="0" w:after="0" w:afterAutospacing="0"/>
        <w:jc w:val="both"/>
        <w:rPr>
          <w:sz w:val="20"/>
          <w:szCs w:val="20"/>
        </w:rPr>
      </w:pPr>
      <w:r>
        <w:rPr>
          <w:sz w:val="20"/>
          <w:szCs w:val="20"/>
        </w:rPr>
        <w:t>We are a smaller reporting company as defined by 17 C.F.R. 229.10(f)(1) and are not required to provide information under this item, pursuant to Item 305(e) of Regulation S-K.</w:t>
      </w:r>
    </w:p>
    <w:p w14:paraId="47F98838" w14:textId="77777777" w:rsidR="00000000" w:rsidRDefault="001826C1">
      <w:pPr>
        <w:pStyle w:val="a3"/>
        <w:spacing w:before="0" w:beforeAutospacing="0" w:after="0" w:afterAutospacing="0"/>
        <w:jc w:val="both"/>
        <w:rPr>
          <w:sz w:val="20"/>
          <w:szCs w:val="20"/>
        </w:rPr>
      </w:pPr>
      <w:r>
        <w:rPr>
          <w:sz w:val="20"/>
          <w:szCs w:val="20"/>
        </w:rPr>
        <w:t> </w:t>
      </w:r>
    </w:p>
    <w:p w14:paraId="4AEB9B65" w14:textId="77777777" w:rsidR="00000000" w:rsidRDefault="001826C1">
      <w:pPr>
        <w:pStyle w:val="a3"/>
        <w:spacing w:before="0" w:beforeAutospacing="0" w:after="0" w:afterAutospacing="0"/>
        <w:rPr>
          <w:b/>
          <w:bCs/>
          <w:sz w:val="20"/>
          <w:szCs w:val="20"/>
        </w:rPr>
      </w:pPr>
      <w:bookmarkStart w:id="13" w:name="a_014"/>
      <w:bookmarkEnd w:id="13"/>
      <w:r>
        <w:rPr>
          <w:b/>
          <w:bCs/>
          <w:sz w:val="20"/>
          <w:szCs w:val="20"/>
        </w:rPr>
        <w:t>Item 8. Fin</w:t>
      </w:r>
      <w:r>
        <w:rPr>
          <w:b/>
          <w:bCs/>
          <w:sz w:val="20"/>
          <w:szCs w:val="20"/>
        </w:rPr>
        <w:t>ancial Statements and Supplementary Data</w:t>
      </w:r>
    </w:p>
    <w:p w14:paraId="4BB53D5E" w14:textId="77777777" w:rsidR="00000000" w:rsidRDefault="001826C1">
      <w:pPr>
        <w:pStyle w:val="a3"/>
        <w:spacing w:before="0" w:beforeAutospacing="0" w:after="0" w:afterAutospacing="0"/>
        <w:rPr>
          <w:sz w:val="20"/>
          <w:szCs w:val="20"/>
        </w:rPr>
      </w:pPr>
      <w:r>
        <w:rPr>
          <w:sz w:val="20"/>
          <w:szCs w:val="20"/>
        </w:rPr>
        <w:t> </w:t>
      </w:r>
    </w:p>
    <w:p w14:paraId="03002A86" w14:textId="77777777" w:rsidR="00000000" w:rsidRDefault="001826C1">
      <w:pPr>
        <w:pStyle w:val="a3"/>
        <w:spacing w:before="0" w:beforeAutospacing="0" w:after="0" w:afterAutospacing="0"/>
        <w:rPr>
          <w:sz w:val="20"/>
          <w:szCs w:val="20"/>
        </w:rPr>
      </w:pPr>
      <w:r>
        <w:rPr>
          <w:sz w:val="20"/>
          <w:szCs w:val="20"/>
        </w:rPr>
        <w:t>See “Index to Consolidated Financial Statements” which appears on page F-1 of this Annual Report on Form 10-K.</w:t>
      </w:r>
    </w:p>
    <w:p w14:paraId="386C1552"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FBC6FD" w14:textId="77777777">
        <w:trPr>
          <w:divId w:val="896084462"/>
        </w:trPr>
        <w:tc>
          <w:tcPr>
            <w:tcW w:w="5000" w:type="pct"/>
            <w:hideMark/>
          </w:tcPr>
          <w:p w14:paraId="257ABEF0" w14:textId="77777777" w:rsidR="00000000" w:rsidRDefault="001826C1">
            <w:pPr>
              <w:jc w:val="center"/>
              <w:rPr>
                <w:rFonts w:eastAsia="Times New Roman"/>
                <w:sz w:val="20"/>
                <w:szCs w:val="20"/>
              </w:rPr>
            </w:pPr>
            <w:r>
              <w:rPr>
                <w:rFonts w:eastAsia="Times New Roman"/>
                <w:sz w:val="20"/>
                <w:szCs w:val="20"/>
              </w:rPr>
              <w:t>4</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5BAD07C4" w14:textId="77777777">
        <w:tc>
          <w:tcPr>
            <w:tcW w:w="5000" w:type="pct"/>
            <w:hideMark/>
          </w:tcPr>
          <w:p w14:paraId="060DD4E5" w14:textId="77777777" w:rsidR="00000000" w:rsidRDefault="001826C1">
            <w:pPr>
              <w:jc w:val="center"/>
              <w:rPr>
                <w:rFonts w:eastAsia="Times New Roman"/>
                <w:sz w:val="20"/>
                <w:szCs w:val="20"/>
              </w:rPr>
            </w:pPr>
            <w:r>
              <w:rPr>
                <w:rFonts w:eastAsia="Times New Roman"/>
                <w:sz w:val="20"/>
                <w:szCs w:val="20"/>
              </w:rPr>
              <w:t> </w:t>
            </w:r>
          </w:p>
        </w:tc>
      </w:tr>
    </w:tbl>
    <w:p w14:paraId="180FDB59" w14:textId="77777777" w:rsidR="00000000" w:rsidRDefault="001826C1">
      <w:pPr>
        <w:pStyle w:val="a3"/>
        <w:spacing w:before="0" w:beforeAutospacing="0" w:after="0" w:afterAutospacing="0"/>
        <w:rPr>
          <w:sz w:val="20"/>
          <w:szCs w:val="20"/>
        </w:rPr>
      </w:pPr>
      <w:r>
        <w:rPr>
          <w:sz w:val="20"/>
          <w:szCs w:val="20"/>
        </w:rPr>
        <w:t> </w:t>
      </w:r>
    </w:p>
    <w:p w14:paraId="335EA373" w14:textId="77777777" w:rsidR="00000000" w:rsidRDefault="001826C1">
      <w:pPr>
        <w:pStyle w:val="a3"/>
        <w:spacing w:before="0" w:beforeAutospacing="0" w:after="0" w:afterAutospacing="0"/>
        <w:jc w:val="both"/>
        <w:rPr>
          <w:b/>
          <w:bCs/>
          <w:sz w:val="20"/>
          <w:szCs w:val="20"/>
        </w:rPr>
      </w:pPr>
      <w:bookmarkStart w:id="14" w:name="a_015"/>
      <w:bookmarkEnd w:id="14"/>
      <w:r>
        <w:rPr>
          <w:b/>
          <w:bCs/>
          <w:sz w:val="20"/>
          <w:szCs w:val="20"/>
        </w:rPr>
        <w:t xml:space="preserve">Item </w:t>
      </w:r>
      <w:r>
        <w:rPr>
          <w:b/>
          <w:bCs/>
          <w:sz w:val="20"/>
          <w:szCs w:val="20"/>
        </w:rPr>
        <w:t>9. Changes in and Disagreements with Accountants on Accounting and Financial Disclosure</w:t>
      </w:r>
    </w:p>
    <w:p w14:paraId="50B13C82" w14:textId="77777777" w:rsidR="00000000" w:rsidRDefault="001826C1">
      <w:pPr>
        <w:pStyle w:val="a3"/>
        <w:spacing w:before="0" w:beforeAutospacing="0" w:after="0" w:afterAutospacing="0"/>
        <w:rPr>
          <w:sz w:val="20"/>
          <w:szCs w:val="20"/>
        </w:rPr>
      </w:pPr>
      <w:r>
        <w:rPr>
          <w:sz w:val="20"/>
          <w:szCs w:val="20"/>
        </w:rPr>
        <w:t> </w:t>
      </w:r>
    </w:p>
    <w:p w14:paraId="3A6B16E0" w14:textId="77777777" w:rsidR="00000000" w:rsidRDefault="001826C1">
      <w:pPr>
        <w:pStyle w:val="a3"/>
        <w:spacing w:before="0" w:beforeAutospacing="0" w:after="0" w:afterAutospacing="0"/>
        <w:rPr>
          <w:sz w:val="20"/>
          <w:szCs w:val="20"/>
        </w:rPr>
      </w:pPr>
      <w:r>
        <w:rPr>
          <w:sz w:val="20"/>
          <w:szCs w:val="20"/>
        </w:rPr>
        <w:t>None.</w:t>
      </w:r>
    </w:p>
    <w:p w14:paraId="39596C70" w14:textId="77777777" w:rsidR="00000000" w:rsidRDefault="001826C1">
      <w:pPr>
        <w:pStyle w:val="a3"/>
        <w:spacing w:before="0" w:beforeAutospacing="0" w:after="0" w:afterAutospacing="0"/>
        <w:rPr>
          <w:sz w:val="20"/>
          <w:szCs w:val="20"/>
        </w:rPr>
      </w:pPr>
      <w:r>
        <w:rPr>
          <w:sz w:val="20"/>
          <w:szCs w:val="20"/>
        </w:rPr>
        <w:t> </w:t>
      </w:r>
    </w:p>
    <w:p w14:paraId="36A1CF18" w14:textId="77777777" w:rsidR="00000000" w:rsidRDefault="001826C1">
      <w:pPr>
        <w:pStyle w:val="a3"/>
        <w:spacing w:before="0" w:beforeAutospacing="0" w:after="0" w:afterAutospacing="0"/>
        <w:rPr>
          <w:b/>
          <w:bCs/>
          <w:sz w:val="20"/>
          <w:szCs w:val="20"/>
        </w:rPr>
      </w:pPr>
      <w:bookmarkStart w:id="15" w:name="a_016"/>
      <w:bookmarkEnd w:id="15"/>
      <w:r>
        <w:rPr>
          <w:b/>
          <w:bCs/>
          <w:sz w:val="20"/>
          <w:szCs w:val="20"/>
        </w:rPr>
        <w:t>Item 9A. Controls and Procedures</w:t>
      </w:r>
    </w:p>
    <w:p w14:paraId="78928D5A" w14:textId="77777777" w:rsidR="00000000" w:rsidRDefault="001826C1">
      <w:pPr>
        <w:pStyle w:val="a3"/>
        <w:spacing w:before="0" w:beforeAutospacing="0" w:after="0" w:afterAutospacing="0"/>
        <w:rPr>
          <w:sz w:val="20"/>
          <w:szCs w:val="20"/>
        </w:rPr>
      </w:pPr>
      <w:r>
        <w:rPr>
          <w:b/>
          <w:bCs/>
          <w:i/>
          <w:iCs/>
          <w:sz w:val="20"/>
          <w:szCs w:val="20"/>
        </w:rPr>
        <w:t> </w:t>
      </w:r>
    </w:p>
    <w:p w14:paraId="2945BA65" w14:textId="77777777" w:rsidR="00000000" w:rsidRDefault="001826C1">
      <w:pPr>
        <w:pStyle w:val="a3"/>
        <w:spacing w:before="0" w:beforeAutospacing="0" w:after="0" w:afterAutospacing="0"/>
        <w:rPr>
          <w:sz w:val="20"/>
          <w:szCs w:val="20"/>
        </w:rPr>
      </w:pPr>
      <w:r>
        <w:rPr>
          <w:b/>
          <w:bCs/>
          <w:i/>
          <w:iCs/>
          <w:sz w:val="20"/>
          <w:szCs w:val="20"/>
        </w:rPr>
        <w:t>Evaluation of Disclosure Controls and Procedures</w:t>
      </w:r>
    </w:p>
    <w:p w14:paraId="730C828A" w14:textId="77777777" w:rsidR="00000000" w:rsidRDefault="001826C1">
      <w:pPr>
        <w:pStyle w:val="a3"/>
        <w:spacing w:before="0" w:beforeAutospacing="0" w:after="0" w:afterAutospacing="0"/>
        <w:rPr>
          <w:sz w:val="20"/>
          <w:szCs w:val="20"/>
        </w:rPr>
      </w:pPr>
      <w:r>
        <w:rPr>
          <w:sz w:val="20"/>
          <w:szCs w:val="20"/>
        </w:rPr>
        <w:t> </w:t>
      </w:r>
    </w:p>
    <w:p w14:paraId="41F8DDC5" w14:textId="77777777" w:rsidR="00000000" w:rsidRDefault="001826C1">
      <w:pPr>
        <w:pStyle w:val="a3"/>
        <w:spacing w:before="0" w:beforeAutospacing="0" w:after="0" w:afterAutospacing="0"/>
        <w:jc w:val="both"/>
        <w:rPr>
          <w:sz w:val="20"/>
          <w:szCs w:val="20"/>
        </w:rPr>
      </w:pPr>
      <w:r>
        <w:rPr>
          <w:sz w:val="20"/>
          <w:szCs w:val="20"/>
        </w:rPr>
        <w:t>Our management, with the participation of our Chief Executive Officer an</w:t>
      </w:r>
      <w:r>
        <w:rPr>
          <w:sz w:val="20"/>
          <w:szCs w:val="20"/>
        </w:rPr>
        <w:t>d Chief Financial Officer, based on the 2013 Integrated Framework issued by the Committee of Sponsoring Organizations of the Treadway Commission (“COSO”), evaluated the effectiveness of our disclosure controls and procedures as of December 31, 2019 as requ</w:t>
      </w:r>
      <w:r>
        <w:rPr>
          <w:sz w:val="20"/>
          <w:szCs w:val="20"/>
        </w:rPr>
        <w:t xml:space="preserve">ired by Rules 13a-15(b) and 15d-15(b) of the Exchange Act. The term “disclosure controls and procedures,” as defined in Rules 13a-15(e) and 15d-15(e) under the Exchange Act, means controls and other procedures of a company that are designed to ensure that </w:t>
      </w:r>
      <w:r>
        <w:rPr>
          <w:sz w:val="20"/>
          <w:szCs w:val="20"/>
        </w:rPr>
        <w:t>information required to be disclosed by a company in the reports that it files or submits under the Exchange Act is recorded, processed, summarized and reported, within the time periods specified in the SEC’s rules and forms.</w:t>
      </w:r>
    </w:p>
    <w:p w14:paraId="0360AF4E" w14:textId="77777777" w:rsidR="00000000" w:rsidRDefault="001826C1">
      <w:pPr>
        <w:pStyle w:val="a3"/>
        <w:spacing w:before="0" w:beforeAutospacing="0" w:after="0" w:afterAutospacing="0"/>
        <w:jc w:val="both"/>
        <w:rPr>
          <w:sz w:val="20"/>
          <w:szCs w:val="20"/>
        </w:rPr>
      </w:pPr>
      <w:r>
        <w:rPr>
          <w:sz w:val="20"/>
          <w:szCs w:val="20"/>
        </w:rPr>
        <w:t> </w:t>
      </w:r>
    </w:p>
    <w:p w14:paraId="2F31E38E" w14:textId="77777777" w:rsidR="00000000" w:rsidRDefault="001826C1">
      <w:pPr>
        <w:pStyle w:val="a3"/>
        <w:spacing w:before="0" w:beforeAutospacing="0" w:after="0" w:afterAutospacing="0"/>
        <w:jc w:val="both"/>
        <w:rPr>
          <w:sz w:val="20"/>
          <w:szCs w:val="20"/>
        </w:rPr>
      </w:pPr>
      <w:r>
        <w:rPr>
          <w:sz w:val="20"/>
          <w:szCs w:val="20"/>
        </w:rPr>
        <w:t>Disclosure controls and proc</w:t>
      </w:r>
      <w:r>
        <w:rPr>
          <w:sz w:val="20"/>
          <w:szCs w:val="20"/>
        </w:rPr>
        <w:t>edures include, without limitation, controls and procedures designed to ensure that information required to be disclosed by a company in the reports that it files or submits under the Exchange Act is accumulated and communicated to the Company’s management</w:t>
      </w:r>
      <w:r>
        <w:rPr>
          <w:sz w:val="20"/>
          <w:szCs w:val="20"/>
        </w:rPr>
        <w:t>, including its principal executive and principal financial officer, to allow timely decisions regarding required disclosure. Management recognizes that any controls and procedures, no matter how well designed and operated, can provide only reasonable assu</w:t>
      </w:r>
      <w:r>
        <w:rPr>
          <w:sz w:val="20"/>
          <w:szCs w:val="20"/>
        </w:rPr>
        <w:t>rance of achieving their objectives and management necessarily applies its judgment in evaluating the cost-benefit relationship of possible controls and procedures.</w:t>
      </w:r>
    </w:p>
    <w:p w14:paraId="27F39C79" w14:textId="77777777" w:rsidR="00000000" w:rsidRDefault="001826C1">
      <w:pPr>
        <w:pStyle w:val="a3"/>
        <w:spacing w:before="0" w:beforeAutospacing="0" w:after="0" w:afterAutospacing="0"/>
        <w:jc w:val="both"/>
        <w:rPr>
          <w:sz w:val="20"/>
          <w:szCs w:val="20"/>
        </w:rPr>
      </w:pPr>
      <w:r>
        <w:rPr>
          <w:sz w:val="20"/>
          <w:szCs w:val="20"/>
        </w:rPr>
        <w:t> </w:t>
      </w:r>
    </w:p>
    <w:p w14:paraId="47C69849" w14:textId="77777777" w:rsidR="00000000" w:rsidRDefault="001826C1">
      <w:pPr>
        <w:pStyle w:val="a3"/>
        <w:spacing w:before="0" w:beforeAutospacing="0" w:after="0" w:afterAutospacing="0"/>
        <w:jc w:val="both"/>
        <w:rPr>
          <w:sz w:val="20"/>
          <w:szCs w:val="20"/>
        </w:rPr>
      </w:pPr>
      <w:r>
        <w:rPr>
          <w:sz w:val="20"/>
          <w:szCs w:val="20"/>
        </w:rPr>
        <w:t>Based on the evaluation of our disclosure controls and procedures, as of December 31, 201</w:t>
      </w:r>
      <w:r>
        <w:rPr>
          <w:sz w:val="20"/>
          <w:szCs w:val="20"/>
        </w:rPr>
        <w:t>9, our Chief Executive Officer and Chief Financial Officer concluded that, as of such date, our disclosure controls and procedures were effective to provide reasonable assurance regarding the reliability of financial reporting and the preparation of consol</w:t>
      </w:r>
      <w:r>
        <w:rPr>
          <w:sz w:val="20"/>
          <w:szCs w:val="20"/>
        </w:rPr>
        <w:t>idated financial statements in accordance with U.S. generally accepted accounting principles.</w:t>
      </w:r>
    </w:p>
    <w:p w14:paraId="28CD098E" w14:textId="77777777" w:rsidR="00000000" w:rsidRDefault="001826C1">
      <w:pPr>
        <w:pStyle w:val="a3"/>
        <w:spacing w:before="0" w:beforeAutospacing="0" w:after="0" w:afterAutospacing="0"/>
        <w:jc w:val="both"/>
        <w:rPr>
          <w:sz w:val="20"/>
          <w:szCs w:val="20"/>
        </w:rPr>
      </w:pPr>
      <w:r>
        <w:rPr>
          <w:sz w:val="20"/>
          <w:szCs w:val="20"/>
        </w:rPr>
        <w:t> </w:t>
      </w:r>
    </w:p>
    <w:p w14:paraId="5CF448AD" w14:textId="77777777" w:rsidR="00000000" w:rsidRDefault="001826C1">
      <w:pPr>
        <w:pStyle w:val="a3"/>
        <w:spacing w:before="0" w:beforeAutospacing="0" w:after="0" w:afterAutospacing="0"/>
        <w:jc w:val="both"/>
        <w:rPr>
          <w:sz w:val="20"/>
          <w:szCs w:val="20"/>
        </w:rPr>
      </w:pPr>
      <w:r>
        <w:rPr>
          <w:b/>
          <w:bCs/>
          <w:i/>
          <w:iCs/>
          <w:sz w:val="20"/>
          <w:szCs w:val="20"/>
        </w:rPr>
        <w:t>Management’s Report on Internal Control over Financial Reporting</w:t>
      </w:r>
    </w:p>
    <w:p w14:paraId="2295089D" w14:textId="77777777" w:rsidR="00000000" w:rsidRDefault="001826C1">
      <w:pPr>
        <w:pStyle w:val="a3"/>
        <w:spacing w:before="0" w:beforeAutospacing="0" w:after="0" w:afterAutospacing="0"/>
        <w:jc w:val="both"/>
        <w:rPr>
          <w:sz w:val="20"/>
          <w:szCs w:val="20"/>
        </w:rPr>
      </w:pPr>
      <w:r>
        <w:rPr>
          <w:sz w:val="20"/>
          <w:szCs w:val="20"/>
        </w:rPr>
        <w:t> </w:t>
      </w:r>
    </w:p>
    <w:p w14:paraId="4A783ADD" w14:textId="77777777" w:rsidR="00000000" w:rsidRDefault="001826C1">
      <w:pPr>
        <w:pStyle w:val="a3"/>
        <w:spacing w:before="0" w:beforeAutospacing="0" w:after="0" w:afterAutospacing="0"/>
        <w:jc w:val="both"/>
        <w:rPr>
          <w:sz w:val="20"/>
          <w:szCs w:val="20"/>
        </w:rPr>
      </w:pPr>
      <w:r>
        <w:rPr>
          <w:sz w:val="20"/>
          <w:szCs w:val="20"/>
        </w:rPr>
        <w:t>Our management is responsible for establishing and maintaining adequate internal control over</w:t>
      </w:r>
      <w:r>
        <w:rPr>
          <w:sz w:val="20"/>
          <w:szCs w:val="20"/>
        </w:rPr>
        <w:t xml:space="preserve"> financial reporting, as such term is defined in Rule 13a-15(f) and 15d-15(f) of the Exchange Act. Internal control over financial reporting is a process designed to provide reasonable assurance regarding the reliability of financial reporting and the prep</w:t>
      </w:r>
      <w:r>
        <w:rPr>
          <w:sz w:val="20"/>
          <w:szCs w:val="20"/>
        </w:rPr>
        <w:t>aration of financial statements for external reporting purposes in accordance with generally accepted accounting principles. Internal control over financial reporting includes those policies and procedures that (1) pertain to the maintenance of records tha</w:t>
      </w:r>
      <w:r>
        <w:rPr>
          <w:sz w:val="20"/>
          <w:szCs w:val="20"/>
        </w:rPr>
        <w:t xml:space="preserve">t, in reasonable detail, accurately and fairly reflect the transactions and dispositions of our assets; (2) provide reasonable assurance that transactions are recorded as necessary to permit preparation of financial statements in accordance with generally </w:t>
      </w:r>
      <w:r>
        <w:rPr>
          <w:sz w:val="20"/>
          <w:szCs w:val="20"/>
        </w:rPr>
        <w:t xml:space="preserve">accepted accounting principles, and that our receipts and expenditures are being made only in accordance with authorizations of our management; and (3) provide reasonable assurance regarding prevention or timely detection of unauthorized acquisition, use, </w:t>
      </w:r>
      <w:r>
        <w:rPr>
          <w:sz w:val="20"/>
          <w:szCs w:val="20"/>
        </w:rPr>
        <w:t>or disposition of our assets that could have a material effect on the financial statements.</w:t>
      </w:r>
    </w:p>
    <w:p w14:paraId="0177033C" w14:textId="77777777" w:rsidR="00000000" w:rsidRDefault="001826C1">
      <w:pPr>
        <w:pStyle w:val="a3"/>
        <w:spacing w:before="0" w:beforeAutospacing="0" w:after="0" w:afterAutospacing="0"/>
        <w:jc w:val="both"/>
        <w:rPr>
          <w:sz w:val="20"/>
          <w:szCs w:val="20"/>
        </w:rPr>
      </w:pPr>
      <w:r>
        <w:rPr>
          <w:sz w:val="20"/>
          <w:szCs w:val="20"/>
        </w:rPr>
        <w:t> </w:t>
      </w:r>
    </w:p>
    <w:p w14:paraId="4DC3CB32" w14:textId="77777777" w:rsidR="00000000" w:rsidRDefault="001826C1">
      <w:pPr>
        <w:pStyle w:val="a3"/>
        <w:spacing w:before="0" w:beforeAutospacing="0" w:after="0" w:afterAutospacing="0"/>
        <w:jc w:val="both"/>
        <w:rPr>
          <w:sz w:val="20"/>
          <w:szCs w:val="20"/>
        </w:rPr>
      </w:pPr>
      <w:r>
        <w:rPr>
          <w:sz w:val="20"/>
          <w:szCs w:val="20"/>
        </w:rPr>
        <w:t>Management is required to base its assessment on the effectiveness of our internal control over financial reporting on a suitable, recognized control framework. M</w:t>
      </w:r>
      <w:r>
        <w:rPr>
          <w:sz w:val="20"/>
          <w:szCs w:val="20"/>
        </w:rPr>
        <w:t>anagement has utilized the criteria established in COSO to evaluate the effectiveness of internal control over financial reporting.</w:t>
      </w:r>
    </w:p>
    <w:p w14:paraId="6B57120F" w14:textId="77777777" w:rsidR="00000000" w:rsidRDefault="001826C1">
      <w:pPr>
        <w:pStyle w:val="a3"/>
        <w:spacing w:before="0" w:beforeAutospacing="0" w:after="0" w:afterAutospacing="0"/>
        <w:jc w:val="both"/>
        <w:rPr>
          <w:sz w:val="20"/>
          <w:szCs w:val="20"/>
        </w:rPr>
      </w:pPr>
      <w:r>
        <w:rPr>
          <w:sz w:val="20"/>
          <w:szCs w:val="20"/>
        </w:rPr>
        <w:t> </w:t>
      </w:r>
    </w:p>
    <w:p w14:paraId="065CA70A" w14:textId="77777777" w:rsidR="00000000" w:rsidRDefault="001826C1">
      <w:pPr>
        <w:pStyle w:val="a3"/>
        <w:spacing w:before="0" w:beforeAutospacing="0" w:after="0" w:afterAutospacing="0"/>
        <w:jc w:val="both"/>
        <w:rPr>
          <w:sz w:val="20"/>
          <w:szCs w:val="20"/>
        </w:rPr>
      </w:pPr>
      <w:r>
        <w:rPr>
          <w:sz w:val="20"/>
          <w:szCs w:val="20"/>
        </w:rPr>
        <w:t>Our management has performed its assessment according to the guidelines established by COSO. Based on the assessment, mana</w:t>
      </w:r>
      <w:r>
        <w:rPr>
          <w:sz w:val="20"/>
          <w:szCs w:val="20"/>
        </w:rPr>
        <w:t>gement has concluded that our system of internal control over financial reporting, as of December 31, 2019, is effective.</w:t>
      </w:r>
    </w:p>
    <w:p w14:paraId="2B80D92A" w14:textId="77777777" w:rsidR="00000000" w:rsidRDefault="001826C1">
      <w:pPr>
        <w:pStyle w:val="a3"/>
        <w:spacing w:before="0" w:beforeAutospacing="0" w:after="0" w:afterAutospacing="0"/>
        <w:jc w:val="both"/>
        <w:rPr>
          <w:sz w:val="20"/>
          <w:szCs w:val="20"/>
        </w:rPr>
      </w:pPr>
      <w:r>
        <w:rPr>
          <w:sz w:val="20"/>
          <w:szCs w:val="20"/>
        </w:rPr>
        <w:t> </w:t>
      </w:r>
    </w:p>
    <w:p w14:paraId="0917F262" w14:textId="77777777" w:rsidR="00000000" w:rsidRDefault="001826C1">
      <w:pPr>
        <w:pStyle w:val="a3"/>
        <w:spacing w:before="0" w:beforeAutospacing="0" w:after="0" w:afterAutospacing="0"/>
        <w:jc w:val="both"/>
        <w:rPr>
          <w:sz w:val="20"/>
          <w:szCs w:val="20"/>
        </w:rPr>
      </w:pPr>
      <w:r>
        <w:rPr>
          <w:sz w:val="20"/>
          <w:szCs w:val="20"/>
        </w:rPr>
        <w:t>Because of its inherent limitations, our internal controls over financial reporting provide reasonable, not absolute, assurance that</w:t>
      </w:r>
      <w:r>
        <w:rPr>
          <w:sz w:val="20"/>
          <w:szCs w:val="20"/>
        </w:rPr>
        <w:t xml:space="preserve"> the financial statements and footnotes thereto are free of material error. In addition, no internal control structure can provide absolute assurance that all instances of fraud have been detected. Also, projections of any evaluation of effectiveness to fu</w:t>
      </w:r>
      <w:r>
        <w:rPr>
          <w:sz w:val="20"/>
          <w:szCs w:val="20"/>
        </w:rPr>
        <w:t>ture periods are subject to the risk that controls may become inadequate because of changes in conditions, or that the degree of compliance with the policies and procedures may deteriorate.</w:t>
      </w:r>
    </w:p>
    <w:p w14:paraId="76BA5012" w14:textId="77777777" w:rsidR="00000000" w:rsidRDefault="001826C1">
      <w:pPr>
        <w:pStyle w:val="a3"/>
        <w:spacing w:before="0" w:beforeAutospacing="0" w:after="0" w:afterAutospacing="0"/>
        <w:jc w:val="both"/>
        <w:rPr>
          <w:sz w:val="20"/>
          <w:szCs w:val="20"/>
        </w:rPr>
      </w:pPr>
      <w:r>
        <w:rPr>
          <w:sz w:val="20"/>
          <w:szCs w:val="20"/>
        </w:rPr>
        <w:t> </w:t>
      </w:r>
    </w:p>
    <w:p w14:paraId="649EC4C3" w14:textId="77777777" w:rsidR="00000000" w:rsidRDefault="001826C1">
      <w:pPr>
        <w:pStyle w:val="a3"/>
        <w:spacing w:before="0" w:beforeAutospacing="0" w:after="0" w:afterAutospacing="0"/>
        <w:jc w:val="both"/>
        <w:rPr>
          <w:sz w:val="20"/>
          <w:szCs w:val="20"/>
        </w:rPr>
      </w:pPr>
      <w:r>
        <w:rPr>
          <w:sz w:val="20"/>
          <w:szCs w:val="20"/>
        </w:rPr>
        <w:t>This annual report does not include an attestation report of the</w:t>
      </w:r>
      <w:r>
        <w:rPr>
          <w:sz w:val="20"/>
          <w:szCs w:val="20"/>
        </w:rPr>
        <w:t xml:space="preserve"> Company’s registered public accounting firm regarding internal control over financial reporting. Management’s report was not subject to attestation by the Company’s registered public accounting firm pursuant to the rules of the SEC that permit the Company</w:t>
      </w:r>
      <w:r>
        <w:rPr>
          <w:sz w:val="20"/>
          <w:szCs w:val="20"/>
        </w:rPr>
        <w:t xml:space="preserve"> to provide only management’s report in this Annual Report on Form 10-K.</w:t>
      </w:r>
    </w:p>
    <w:p w14:paraId="39EF615B" w14:textId="77777777" w:rsidR="00000000" w:rsidRDefault="001826C1">
      <w:pPr>
        <w:pStyle w:val="a3"/>
        <w:spacing w:before="0" w:beforeAutospacing="0" w:after="0" w:afterAutospacing="0"/>
        <w:rPr>
          <w:sz w:val="20"/>
          <w:szCs w:val="20"/>
        </w:rPr>
      </w:pPr>
      <w:r>
        <w:rPr>
          <w:sz w:val="20"/>
          <w:szCs w:val="20"/>
        </w:rPr>
        <w:t> </w:t>
      </w:r>
    </w:p>
    <w:p w14:paraId="2F76A4D8" w14:textId="77777777" w:rsidR="00000000" w:rsidRDefault="001826C1">
      <w:pPr>
        <w:pStyle w:val="a3"/>
        <w:spacing w:before="0" w:beforeAutospacing="0" w:after="0" w:afterAutospacing="0"/>
        <w:jc w:val="both"/>
        <w:rPr>
          <w:sz w:val="20"/>
          <w:szCs w:val="20"/>
        </w:rPr>
      </w:pPr>
      <w:r>
        <w:rPr>
          <w:b/>
          <w:bCs/>
          <w:i/>
          <w:iCs/>
          <w:sz w:val="20"/>
          <w:szCs w:val="20"/>
        </w:rPr>
        <w:t>Changes in Internal Control over Financial Reporting</w:t>
      </w:r>
    </w:p>
    <w:p w14:paraId="759EC290" w14:textId="77777777" w:rsidR="00000000" w:rsidRDefault="001826C1">
      <w:pPr>
        <w:pStyle w:val="a3"/>
        <w:spacing w:before="0" w:beforeAutospacing="0" w:after="0" w:afterAutospacing="0"/>
        <w:jc w:val="both"/>
        <w:rPr>
          <w:sz w:val="20"/>
          <w:szCs w:val="20"/>
        </w:rPr>
      </w:pPr>
      <w:r>
        <w:rPr>
          <w:sz w:val="20"/>
          <w:szCs w:val="20"/>
        </w:rPr>
        <w:t> </w:t>
      </w:r>
    </w:p>
    <w:p w14:paraId="669B152E" w14:textId="77777777" w:rsidR="00000000" w:rsidRDefault="001826C1">
      <w:pPr>
        <w:pStyle w:val="a3"/>
        <w:spacing w:before="0" w:beforeAutospacing="0" w:after="0" w:afterAutospacing="0"/>
        <w:jc w:val="both"/>
        <w:rPr>
          <w:sz w:val="20"/>
          <w:szCs w:val="20"/>
        </w:rPr>
      </w:pPr>
      <w:r>
        <w:rPr>
          <w:sz w:val="20"/>
          <w:szCs w:val="20"/>
        </w:rPr>
        <w:t xml:space="preserve">There </w:t>
      </w:r>
      <w:r>
        <w:rPr>
          <w:sz w:val="20"/>
          <w:szCs w:val="20"/>
        </w:rPr>
        <w:t>were no changes in our internal control over financial reporting (as defined in Rule 13a-15(f) of the Exchange Act) during the quarter ended December 31, 2019 that have materially affected, or are reasonably likely to materially affect, our internal contro</w:t>
      </w:r>
      <w:r>
        <w:rPr>
          <w:sz w:val="20"/>
          <w:szCs w:val="20"/>
        </w:rPr>
        <w:t>l over financial reporting.</w:t>
      </w:r>
    </w:p>
    <w:p w14:paraId="6688841D" w14:textId="77777777" w:rsidR="00000000" w:rsidRDefault="001826C1">
      <w:pPr>
        <w:pStyle w:val="a3"/>
        <w:spacing w:before="0" w:beforeAutospacing="0" w:after="0" w:afterAutospacing="0"/>
        <w:jc w:val="both"/>
        <w:rPr>
          <w:sz w:val="20"/>
          <w:szCs w:val="20"/>
        </w:rPr>
      </w:pPr>
      <w:r>
        <w:rPr>
          <w:sz w:val="20"/>
          <w:szCs w:val="20"/>
        </w:rPr>
        <w:t> </w:t>
      </w:r>
    </w:p>
    <w:p w14:paraId="1E4136C9" w14:textId="77777777" w:rsidR="00000000" w:rsidRDefault="001826C1">
      <w:pPr>
        <w:pStyle w:val="a3"/>
        <w:spacing w:before="0" w:beforeAutospacing="0" w:after="0" w:afterAutospacing="0"/>
        <w:jc w:val="both"/>
        <w:rPr>
          <w:sz w:val="20"/>
          <w:szCs w:val="20"/>
        </w:rPr>
      </w:pPr>
      <w:bookmarkStart w:id="16" w:name="Z_001"/>
      <w:bookmarkEnd w:id="16"/>
      <w:r>
        <w:rPr>
          <w:b/>
          <w:bCs/>
          <w:sz w:val="20"/>
          <w:szCs w:val="20"/>
        </w:rPr>
        <w:t>Item 9B. Other Information</w:t>
      </w:r>
    </w:p>
    <w:p w14:paraId="46DF8639" w14:textId="77777777" w:rsidR="00000000" w:rsidRDefault="001826C1">
      <w:pPr>
        <w:pStyle w:val="a3"/>
        <w:spacing w:before="0" w:beforeAutospacing="0" w:after="0" w:afterAutospacing="0"/>
        <w:jc w:val="both"/>
        <w:rPr>
          <w:sz w:val="20"/>
          <w:szCs w:val="20"/>
        </w:rPr>
      </w:pPr>
      <w:r>
        <w:rPr>
          <w:sz w:val="20"/>
          <w:szCs w:val="20"/>
        </w:rPr>
        <w:t> </w:t>
      </w:r>
    </w:p>
    <w:p w14:paraId="082D244F" w14:textId="77777777" w:rsidR="00000000" w:rsidRDefault="001826C1">
      <w:pPr>
        <w:pStyle w:val="a3"/>
        <w:spacing w:before="0" w:beforeAutospacing="0" w:after="0" w:afterAutospacing="0"/>
        <w:jc w:val="both"/>
        <w:rPr>
          <w:sz w:val="20"/>
          <w:szCs w:val="20"/>
        </w:rPr>
      </w:pPr>
      <w:r>
        <w:rPr>
          <w:sz w:val="20"/>
          <w:szCs w:val="20"/>
        </w:rPr>
        <w:t>On February 28, 2020, the Company and its wholly owned subsidiaries MTBC Acquisition Corp., MTBC Health, Inc., MTBC Practice Management Corp., MTBC-Med, Inc., and CareCloud Corporation entered into</w:t>
      </w:r>
      <w:r>
        <w:rPr>
          <w:sz w:val="20"/>
          <w:szCs w:val="20"/>
        </w:rPr>
        <w:t xml:space="preserve"> a Joinder and Third Loan Modification Agreement (the “Joinder Agreement”) with SVB, whereby CareCloud and MTBC-Med became parties to the Company’s credit agreement with SVB.</w:t>
      </w:r>
    </w:p>
    <w:p w14:paraId="46D697E2" w14:textId="77777777" w:rsidR="00000000" w:rsidRDefault="001826C1">
      <w:pPr>
        <w:pStyle w:val="a3"/>
        <w:spacing w:before="0" w:beforeAutospacing="0" w:after="0" w:afterAutospacing="0"/>
        <w:jc w:val="both"/>
        <w:rPr>
          <w:sz w:val="20"/>
          <w:szCs w:val="20"/>
        </w:rPr>
      </w:pPr>
      <w:r>
        <w:rPr>
          <w:sz w:val="20"/>
          <w:szCs w:val="20"/>
        </w:rPr>
        <w:t> </w:t>
      </w:r>
    </w:p>
    <w:p w14:paraId="318D80E2" w14:textId="77777777" w:rsidR="00000000" w:rsidRDefault="001826C1">
      <w:pPr>
        <w:pStyle w:val="a3"/>
        <w:spacing w:before="0" w:beforeAutospacing="0" w:after="0" w:afterAutospacing="0"/>
        <w:jc w:val="both"/>
        <w:rPr>
          <w:sz w:val="20"/>
          <w:szCs w:val="20"/>
        </w:rPr>
      </w:pPr>
      <w:r>
        <w:rPr>
          <w:sz w:val="20"/>
          <w:szCs w:val="20"/>
        </w:rPr>
        <w:t>The foregoing description of the Joinder Agreement does not purport to be compl</w:t>
      </w:r>
      <w:r>
        <w:rPr>
          <w:sz w:val="20"/>
          <w:szCs w:val="20"/>
        </w:rPr>
        <w:t>ete and is qualified entirely by reference to the complete text of such document, a copy of which is attached as an exhibit to this Form 10-K and is incorporated herein by reference.</w:t>
      </w:r>
    </w:p>
    <w:p w14:paraId="1C963865" w14:textId="77777777" w:rsidR="00000000" w:rsidRDefault="001826C1">
      <w:pPr>
        <w:pStyle w:val="a3"/>
        <w:spacing w:before="0" w:beforeAutospacing="0" w:after="0" w:afterAutospacing="0"/>
        <w:jc w:val="both"/>
        <w:rPr>
          <w:sz w:val="20"/>
          <w:szCs w:val="20"/>
        </w:rPr>
      </w:pPr>
      <w:r>
        <w:rPr>
          <w:sz w:val="20"/>
          <w:szCs w:val="20"/>
        </w:rPr>
        <w:t> </w:t>
      </w:r>
    </w:p>
    <w:p w14:paraId="49FE2972" w14:textId="77777777" w:rsidR="00000000" w:rsidRDefault="001826C1">
      <w:pPr>
        <w:pStyle w:val="a3"/>
        <w:spacing w:before="0" w:beforeAutospacing="0" w:after="0" w:afterAutospacing="0"/>
        <w:jc w:val="both"/>
        <w:rPr>
          <w:sz w:val="20"/>
          <w:szCs w:val="20"/>
        </w:rPr>
      </w:pPr>
      <w:r>
        <w:rPr>
          <w:sz w:val="20"/>
          <w:szCs w:val="20"/>
        </w:rPr>
        <w:t>The above description has been included to provide investors and securi</w:t>
      </w:r>
      <w:r>
        <w:rPr>
          <w:sz w:val="20"/>
          <w:szCs w:val="20"/>
        </w:rPr>
        <w:t>ty holders with information regarding the terms thereof. Investors and security holders are not third-party beneficiaries under the credit agreement and should not rely on the representations, warranties and covenants or any descriptions thereof as charact</w:t>
      </w:r>
      <w:r>
        <w:rPr>
          <w:sz w:val="20"/>
          <w:szCs w:val="20"/>
        </w:rPr>
        <w:t>erizations of the actual state of facts or condition thereto or any of their respective subsidiaries or affiliates. Moreover, information concerning the subject matter of representations and warranties may change after the date of the loan agreement, which</w:t>
      </w:r>
      <w:r>
        <w:rPr>
          <w:sz w:val="20"/>
          <w:szCs w:val="20"/>
        </w:rPr>
        <w:t xml:space="preserve"> subsequent information may or may not be fully reflected in the Company’s disclosures.”</w:t>
      </w:r>
    </w:p>
    <w:p w14:paraId="3688E171"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DDEFDAB" w14:textId="77777777">
        <w:trPr>
          <w:divId w:val="1042054090"/>
        </w:trPr>
        <w:tc>
          <w:tcPr>
            <w:tcW w:w="5000" w:type="pct"/>
            <w:hideMark/>
          </w:tcPr>
          <w:p w14:paraId="3C3D7C86" w14:textId="77777777" w:rsidR="00000000" w:rsidRDefault="001826C1">
            <w:pPr>
              <w:jc w:val="center"/>
              <w:rPr>
                <w:rFonts w:eastAsia="Times New Roman"/>
                <w:sz w:val="20"/>
                <w:szCs w:val="20"/>
              </w:rPr>
            </w:pPr>
            <w:r>
              <w:rPr>
                <w:rFonts w:eastAsia="Times New Roman"/>
                <w:sz w:val="20"/>
                <w:szCs w:val="20"/>
              </w:rPr>
              <w:t>5</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02A3CFB6" w14:textId="77777777">
        <w:tc>
          <w:tcPr>
            <w:tcW w:w="5000" w:type="pct"/>
            <w:hideMark/>
          </w:tcPr>
          <w:p w14:paraId="0EB64C8F" w14:textId="77777777" w:rsidR="00000000" w:rsidRDefault="001826C1">
            <w:pPr>
              <w:jc w:val="center"/>
              <w:rPr>
                <w:rFonts w:eastAsia="Times New Roman"/>
                <w:sz w:val="20"/>
                <w:szCs w:val="20"/>
              </w:rPr>
            </w:pPr>
            <w:r>
              <w:rPr>
                <w:rFonts w:eastAsia="Times New Roman"/>
                <w:sz w:val="20"/>
                <w:szCs w:val="20"/>
              </w:rPr>
              <w:t> </w:t>
            </w:r>
          </w:p>
        </w:tc>
      </w:tr>
    </w:tbl>
    <w:p w14:paraId="616430B6" w14:textId="77777777" w:rsidR="00000000" w:rsidRDefault="001826C1">
      <w:pPr>
        <w:pStyle w:val="a3"/>
        <w:spacing w:before="0" w:beforeAutospacing="0" w:after="0" w:afterAutospacing="0"/>
        <w:rPr>
          <w:sz w:val="20"/>
          <w:szCs w:val="20"/>
        </w:rPr>
      </w:pPr>
      <w:r>
        <w:rPr>
          <w:sz w:val="20"/>
          <w:szCs w:val="20"/>
        </w:rPr>
        <w:t> </w:t>
      </w:r>
    </w:p>
    <w:p w14:paraId="5BADADC7" w14:textId="77777777" w:rsidR="00000000" w:rsidRDefault="001826C1">
      <w:pPr>
        <w:pStyle w:val="a3"/>
        <w:spacing w:before="0" w:beforeAutospacing="0" w:after="0" w:afterAutospacing="0"/>
        <w:rPr>
          <w:b/>
          <w:bCs/>
          <w:sz w:val="20"/>
          <w:szCs w:val="20"/>
        </w:rPr>
      </w:pPr>
      <w:bookmarkStart w:id="17" w:name="a_017"/>
      <w:bookmarkEnd w:id="17"/>
      <w:r>
        <w:rPr>
          <w:b/>
          <w:bCs/>
          <w:sz w:val="20"/>
          <w:szCs w:val="20"/>
        </w:rPr>
        <w:t>PART III</w:t>
      </w:r>
    </w:p>
    <w:p w14:paraId="30F09F35" w14:textId="77777777" w:rsidR="00000000" w:rsidRDefault="001826C1">
      <w:pPr>
        <w:pStyle w:val="a3"/>
        <w:spacing w:before="0" w:beforeAutospacing="0" w:after="0" w:afterAutospacing="0"/>
        <w:rPr>
          <w:sz w:val="20"/>
          <w:szCs w:val="20"/>
        </w:rPr>
      </w:pPr>
      <w:r>
        <w:rPr>
          <w:sz w:val="20"/>
          <w:szCs w:val="20"/>
        </w:rPr>
        <w:t> </w:t>
      </w:r>
    </w:p>
    <w:p w14:paraId="1A188E05" w14:textId="77777777" w:rsidR="00000000" w:rsidRDefault="001826C1">
      <w:pPr>
        <w:pStyle w:val="a3"/>
        <w:spacing w:before="0" w:beforeAutospacing="0" w:after="0" w:afterAutospacing="0"/>
        <w:rPr>
          <w:b/>
          <w:bCs/>
          <w:sz w:val="20"/>
          <w:szCs w:val="20"/>
        </w:rPr>
      </w:pPr>
      <w:bookmarkStart w:id="18" w:name="cole_001"/>
      <w:bookmarkEnd w:id="18"/>
      <w:r>
        <w:rPr>
          <w:b/>
          <w:bCs/>
          <w:sz w:val="20"/>
          <w:szCs w:val="20"/>
        </w:rPr>
        <w:t>Item 10. Directors, Executive Officers and Corporate Governance</w:t>
      </w:r>
    </w:p>
    <w:p w14:paraId="3B0D2085" w14:textId="77777777" w:rsidR="00000000" w:rsidRDefault="001826C1">
      <w:pPr>
        <w:pStyle w:val="a3"/>
        <w:spacing w:before="0" w:beforeAutospacing="0" w:after="0" w:afterAutospacing="0"/>
        <w:rPr>
          <w:sz w:val="20"/>
          <w:szCs w:val="20"/>
        </w:rPr>
      </w:pPr>
      <w:r>
        <w:rPr>
          <w:sz w:val="20"/>
          <w:szCs w:val="20"/>
        </w:rPr>
        <w:t> </w:t>
      </w:r>
    </w:p>
    <w:p w14:paraId="01A56BD5" w14:textId="77777777" w:rsidR="00000000" w:rsidRDefault="001826C1">
      <w:pPr>
        <w:pStyle w:val="a3"/>
        <w:spacing w:before="0" w:beforeAutospacing="0" w:after="0" w:afterAutospacing="0"/>
        <w:jc w:val="both"/>
        <w:rPr>
          <w:sz w:val="20"/>
          <w:szCs w:val="20"/>
        </w:rPr>
      </w:pPr>
      <w:r>
        <w:rPr>
          <w:sz w:val="20"/>
          <w:szCs w:val="20"/>
        </w:rPr>
        <w:t xml:space="preserve">Information </w:t>
      </w:r>
      <w:r>
        <w:rPr>
          <w:sz w:val="20"/>
          <w:szCs w:val="20"/>
        </w:rPr>
        <w:t>required by this item will be included in our definitive Proxy Statement for the 2020 Meeting of Shareholders which will be filed within 120 days of the end of our fiscal year ended December 31, 2019 (“2020 Proxy Statement”) and is incorporated herein by r</w:t>
      </w:r>
      <w:r>
        <w:rPr>
          <w:sz w:val="20"/>
          <w:szCs w:val="20"/>
        </w:rPr>
        <w:t>eference.</w:t>
      </w:r>
    </w:p>
    <w:p w14:paraId="422671DE" w14:textId="77777777" w:rsidR="00000000" w:rsidRDefault="001826C1">
      <w:pPr>
        <w:pStyle w:val="a3"/>
        <w:spacing w:before="0" w:beforeAutospacing="0" w:after="0" w:afterAutospacing="0"/>
        <w:jc w:val="both"/>
        <w:rPr>
          <w:sz w:val="20"/>
          <w:szCs w:val="20"/>
        </w:rPr>
      </w:pPr>
      <w:r>
        <w:rPr>
          <w:sz w:val="20"/>
          <w:szCs w:val="20"/>
        </w:rPr>
        <w:t> </w:t>
      </w:r>
    </w:p>
    <w:p w14:paraId="57EB20EC" w14:textId="77777777" w:rsidR="00000000" w:rsidRDefault="001826C1">
      <w:pPr>
        <w:pStyle w:val="a3"/>
        <w:spacing w:before="0" w:beforeAutospacing="0" w:after="0" w:afterAutospacing="0"/>
        <w:rPr>
          <w:b/>
          <w:bCs/>
          <w:sz w:val="20"/>
          <w:szCs w:val="20"/>
        </w:rPr>
      </w:pPr>
      <w:bookmarkStart w:id="19" w:name="a_018"/>
      <w:bookmarkEnd w:id="19"/>
      <w:r>
        <w:rPr>
          <w:b/>
          <w:bCs/>
          <w:sz w:val="20"/>
          <w:szCs w:val="20"/>
        </w:rPr>
        <w:t>Item 11. Executive Compensation</w:t>
      </w:r>
    </w:p>
    <w:p w14:paraId="725AE9C7" w14:textId="77777777" w:rsidR="00000000" w:rsidRDefault="001826C1">
      <w:pPr>
        <w:pStyle w:val="a3"/>
        <w:spacing w:before="0" w:beforeAutospacing="0" w:after="0" w:afterAutospacing="0"/>
        <w:rPr>
          <w:sz w:val="20"/>
          <w:szCs w:val="20"/>
        </w:rPr>
      </w:pPr>
      <w:r>
        <w:rPr>
          <w:sz w:val="20"/>
          <w:szCs w:val="20"/>
        </w:rPr>
        <w:t> </w:t>
      </w:r>
    </w:p>
    <w:p w14:paraId="24C774A6" w14:textId="77777777" w:rsidR="00000000" w:rsidRDefault="001826C1">
      <w:pPr>
        <w:pStyle w:val="a3"/>
        <w:spacing w:before="0" w:beforeAutospacing="0" w:after="0" w:afterAutospacing="0"/>
        <w:jc w:val="both"/>
        <w:rPr>
          <w:sz w:val="20"/>
          <w:szCs w:val="20"/>
        </w:rPr>
      </w:pPr>
      <w:r>
        <w:rPr>
          <w:sz w:val="20"/>
          <w:szCs w:val="20"/>
        </w:rPr>
        <w:t>Information required by this item will be included in the 2020 Proxy Statement and is incorporated herein by reference.</w:t>
      </w:r>
    </w:p>
    <w:p w14:paraId="12D2D9CD" w14:textId="77777777" w:rsidR="00000000" w:rsidRDefault="001826C1">
      <w:pPr>
        <w:pStyle w:val="a3"/>
        <w:spacing w:before="0" w:beforeAutospacing="0" w:after="0" w:afterAutospacing="0"/>
        <w:jc w:val="both"/>
        <w:rPr>
          <w:sz w:val="20"/>
          <w:szCs w:val="20"/>
        </w:rPr>
      </w:pPr>
      <w:r>
        <w:rPr>
          <w:sz w:val="20"/>
          <w:szCs w:val="20"/>
        </w:rPr>
        <w:t> </w:t>
      </w:r>
    </w:p>
    <w:p w14:paraId="3DFA4A9D" w14:textId="77777777" w:rsidR="00000000" w:rsidRDefault="001826C1">
      <w:pPr>
        <w:pStyle w:val="a3"/>
        <w:spacing w:before="0" w:beforeAutospacing="0" w:after="0" w:afterAutospacing="0"/>
        <w:rPr>
          <w:b/>
          <w:bCs/>
          <w:sz w:val="20"/>
          <w:szCs w:val="20"/>
        </w:rPr>
      </w:pPr>
      <w:bookmarkStart w:id="20" w:name="a_019"/>
      <w:bookmarkEnd w:id="20"/>
      <w:r>
        <w:rPr>
          <w:b/>
          <w:bCs/>
          <w:sz w:val="20"/>
          <w:szCs w:val="20"/>
        </w:rPr>
        <w:t>Item 12. Security Ownership of Certain Beneficial Owners and Management and Related Stoc</w:t>
      </w:r>
      <w:r>
        <w:rPr>
          <w:b/>
          <w:bCs/>
          <w:sz w:val="20"/>
          <w:szCs w:val="20"/>
        </w:rPr>
        <w:t>kholder Matters</w:t>
      </w:r>
    </w:p>
    <w:p w14:paraId="460D4B44" w14:textId="77777777" w:rsidR="00000000" w:rsidRDefault="001826C1">
      <w:pPr>
        <w:pStyle w:val="a3"/>
        <w:spacing w:before="0" w:beforeAutospacing="0" w:after="0" w:afterAutospacing="0"/>
        <w:rPr>
          <w:sz w:val="20"/>
          <w:szCs w:val="20"/>
        </w:rPr>
      </w:pPr>
      <w:r>
        <w:rPr>
          <w:sz w:val="20"/>
          <w:szCs w:val="20"/>
        </w:rPr>
        <w:t> </w:t>
      </w:r>
    </w:p>
    <w:p w14:paraId="070D4E91" w14:textId="77777777" w:rsidR="00000000" w:rsidRDefault="001826C1">
      <w:pPr>
        <w:pStyle w:val="a3"/>
        <w:spacing w:before="0" w:beforeAutospacing="0" w:after="0" w:afterAutospacing="0"/>
        <w:jc w:val="both"/>
        <w:rPr>
          <w:sz w:val="20"/>
          <w:szCs w:val="20"/>
        </w:rPr>
      </w:pPr>
      <w:r>
        <w:rPr>
          <w:sz w:val="20"/>
          <w:szCs w:val="20"/>
        </w:rPr>
        <w:t>Information required by this item will be included in the 2020 Proxy Statement and is incorporated herein by reference.</w:t>
      </w:r>
    </w:p>
    <w:p w14:paraId="248BC281" w14:textId="77777777" w:rsidR="00000000" w:rsidRDefault="001826C1">
      <w:pPr>
        <w:pStyle w:val="a3"/>
        <w:spacing w:before="0" w:beforeAutospacing="0" w:after="0" w:afterAutospacing="0"/>
        <w:jc w:val="both"/>
        <w:rPr>
          <w:sz w:val="20"/>
          <w:szCs w:val="20"/>
        </w:rPr>
      </w:pPr>
      <w:r>
        <w:rPr>
          <w:sz w:val="20"/>
          <w:szCs w:val="20"/>
        </w:rPr>
        <w:t> </w:t>
      </w:r>
    </w:p>
    <w:p w14:paraId="20B1A0B0" w14:textId="77777777" w:rsidR="00000000" w:rsidRDefault="001826C1">
      <w:pPr>
        <w:pStyle w:val="a3"/>
        <w:spacing w:before="0" w:beforeAutospacing="0" w:after="0" w:afterAutospacing="0"/>
        <w:rPr>
          <w:b/>
          <w:bCs/>
          <w:sz w:val="20"/>
          <w:szCs w:val="20"/>
        </w:rPr>
      </w:pPr>
      <w:bookmarkStart w:id="21" w:name="a_020"/>
      <w:bookmarkEnd w:id="21"/>
      <w:r>
        <w:rPr>
          <w:b/>
          <w:bCs/>
          <w:sz w:val="20"/>
          <w:szCs w:val="20"/>
        </w:rPr>
        <w:t>Item 13. Certain Relationships and Related Transactions, and Director Independence</w:t>
      </w:r>
    </w:p>
    <w:p w14:paraId="596E40E6" w14:textId="77777777" w:rsidR="00000000" w:rsidRDefault="001826C1">
      <w:pPr>
        <w:pStyle w:val="a3"/>
        <w:spacing w:before="0" w:beforeAutospacing="0" w:after="0" w:afterAutospacing="0"/>
        <w:rPr>
          <w:sz w:val="20"/>
          <w:szCs w:val="20"/>
        </w:rPr>
      </w:pPr>
      <w:r>
        <w:rPr>
          <w:sz w:val="20"/>
          <w:szCs w:val="20"/>
        </w:rPr>
        <w:t> </w:t>
      </w:r>
    </w:p>
    <w:p w14:paraId="75BCA3E6" w14:textId="77777777" w:rsidR="00000000" w:rsidRDefault="001826C1">
      <w:pPr>
        <w:pStyle w:val="a3"/>
        <w:spacing w:before="0" w:beforeAutospacing="0" w:after="0" w:afterAutospacing="0"/>
        <w:jc w:val="both"/>
        <w:rPr>
          <w:sz w:val="20"/>
          <w:szCs w:val="20"/>
        </w:rPr>
      </w:pPr>
      <w:r>
        <w:rPr>
          <w:sz w:val="20"/>
          <w:szCs w:val="20"/>
        </w:rPr>
        <w:t>Information required by this it</w:t>
      </w:r>
      <w:r>
        <w:rPr>
          <w:sz w:val="20"/>
          <w:szCs w:val="20"/>
        </w:rPr>
        <w:t>em will be included in the 2020 Proxy Statement and is incorporated herein by reference.</w:t>
      </w:r>
    </w:p>
    <w:p w14:paraId="60E8A16B" w14:textId="77777777" w:rsidR="00000000" w:rsidRDefault="001826C1">
      <w:pPr>
        <w:pStyle w:val="a3"/>
        <w:spacing w:before="0" w:beforeAutospacing="0" w:after="0" w:afterAutospacing="0"/>
        <w:jc w:val="both"/>
        <w:rPr>
          <w:sz w:val="20"/>
          <w:szCs w:val="20"/>
        </w:rPr>
      </w:pPr>
      <w:r>
        <w:rPr>
          <w:sz w:val="20"/>
          <w:szCs w:val="20"/>
        </w:rPr>
        <w:t> </w:t>
      </w:r>
    </w:p>
    <w:p w14:paraId="5785713E" w14:textId="77777777" w:rsidR="00000000" w:rsidRDefault="001826C1">
      <w:pPr>
        <w:pStyle w:val="a3"/>
        <w:spacing w:before="0" w:beforeAutospacing="0" w:after="0" w:afterAutospacing="0"/>
        <w:rPr>
          <w:b/>
          <w:bCs/>
          <w:sz w:val="20"/>
          <w:szCs w:val="20"/>
        </w:rPr>
      </w:pPr>
      <w:bookmarkStart w:id="22" w:name="a_021"/>
      <w:bookmarkEnd w:id="22"/>
      <w:r>
        <w:rPr>
          <w:b/>
          <w:bCs/>
          <w:sz w:val="20"/>
          <w:szCs w:val="20"/>
        </w:rPr>
        <w:t>Item 14. Principal Accounting Fees and Services</w:t>
      </w:r>
    </w:p>
    <w:p w14:paraId="35563C87" w14:textId="77777777" w:rsidR="00000000" w:rsidRDefault="001826C1">
      <w:pPr>
        <w:pStyle w:val="a3"/>
        <w:spacing w:before="0" w:beforeAutospacing="0" w:after="0" w:afterAutospacing="0"/>
        <w:rPr>
          <w:sz w:val="20"/>
          <w:szCs w:val="20"/>
        </w:rPr>
      </w:pPr>
      <w:r>
        <w:rPr>
          <w:sz w:val="20"/>
          <w:szCs w:val="20"/>
        </w:rPr>
        <w:t> </w:t>
      </w:r>
    </w:p>
    <w:p w14:paraId="485CDB30" w14:textId="77777777" w:rsidR="00000000" w:rsidRDefault="001826C1">
      <w:pPr>
        <w:pStyle w:val="a3"/>
        <w:spacing w:before="0" w:beforeAutospacing="0" w:after="0" w:afterAutospacing="0"/>
        <w:jc w:val="both"/>
        <w:rPr>
          <w:sz w:val="20"/>
          <w:szCs w:val="20"/>
        </w:rPr>
      </w:pPr>
      <w:r>
        <w:rPr>
          <w:sz w:val="20"/>
          <w:szCs w:val="20"/>
        </w:rPr>
        <w:t>Information required by this item will be included in our 2020 Proxy Statement and is incorporated herein by refere</w:t>
      </w:r>
      <w:r>
        <w:rPr>
          <w:sz w:val="20"/>
          <w:szCs w:val="20"/>
        </w:rPr>
        <w:t>nce.</w:t>
      </w:r>
    </w:p>
    <w:p w14:paraId="2D51999B" w14:textId="77777777" w:rsidR="00000000" w:rsidRDefault="001826C1">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74C609B" w14:textId="77777777">
        <w:trPr>
          <w:divId w:val="797720873"/>
        </w:trPr>
        <w:tc>
          <w:tcPr>
            <w:tcW w:w="5000" w:type="pct"/>
            <w:hideMark/>
          </w:tcPr>
          <w:p w14:paraId="2E7E88A1" w14:textId="77777777" w:rsidR="00000000" w:rsidRDefault="001826C1">
            <w:pPr>
              <w:jc w:val="center"/>
              <w:rPr>
                <w:rFonts w:eastAsia="Times New Roman"/>
                <w:sz w:val="20"/>
                <w:szCs w:val="20"/>
              </w:rPr>
            </w:pPr>
            <w:r>
              <w:rPr>
                <w:rFonts w:eastAsia="Times New Roman"/>
                <w:sz w:val="20"/>
                <w:szCs w:val="20"/>
              </w:rPr>
              <w:t>5</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4DBE4157" w14:textId="77777777">
        <w:tc>
          <w:tcPr>
            <w:tcW w:w="5000" w:type="pct"/>
            <w:hideMark/>
          </w:tcPr>
          <w:p w14:paraId="5822E529" w14:textId="77777777" w:rsidR="00000000" w:rsidRDefault="001826C1">
            <w:pPr>
              <w:jc w:val="center"/>
              <w:rPr>
                <w:rFonts w:eastAsia="Times New Roman"/>
                <w:sz w:val="20"/>
                <w:szCs w:val="20"/>
              </w:rPr>
            </w:pPr>
            <w:r>
              <w:rPr>
                <w:rFonts w:eastAsia="Times New Roman"/>
                <w:sz w:val="20"/>
                <w:szCs w:val="20"/>
              </w:rPr>
              <w:t> </w:t>
            </w:r>
          </w:p>
        </w:tc>
      </w:tr>
    </w:tbl>
    <w:p w14:paraId="16DD9294" w14:textId="77777777" w:rsidR="00000000" w:rsidRDefault="001826C1">
      <w:pPr>
        <w:pStyle w:val="a3"/>
        <w:spacing w:before="0" w:beforeAutospacing="0" w:after="0" w:afterAutospacing="0"/>
        <w:rPr>
          <w:b/>
          <w:bCs/>
          <w:sz w:val="20"/>
          <w:szCs w:val="20"/>
        </w:rPr>
      </w:pPr>
      <w:r>
        <w:rPr>
          <w:b/>
          <w:bCs/>
          <w:sz w:val="20"/>
          <w:szCs w:val="20"/>
        </w:rPr>
        <w:t> </w:t>
      </w:r>
    </w:p>
    <w:p w14:paraId="4D4D07CA" w14:textId="77777777" w:rsidR="00000000" w:rsidRDefault="001826C1">
      <w:pPr>
        <w:pStyle w:val="a3"/>
        <w:spacing w:before="0" w:beforeAutospacing="0" w:after="0" w:afterAutospacing="0"/>
        <w:rPr>
          <w:b/>
          <w:bCs/>
          <w:sz w:val="20"/>
          <w:szCs w:val="20"/>
        </w:rPr>
      </w:pPr>
      <w:bookmarkStart w:id="23" w:name="a_022"/>
      <w:bookmarkEnd w:id="23"/>
      <w:r>
        <w:rPr>
          <w:b/>
          <w:bCs/>
          <w:sz w:val="20"/>
          <w:szCs w:val="20"/>
        </w:rPr>
        <w:t>PART IV</w:t>
      </w:r>
    </w:p>
    <w:p w14:paraId="1F30A9ED" w14:textId="77777777" w:rsidR="00000000" w:rsidRDefault="001826C1">
      <w:pPr>
        <w:pStyle w:val="a3"/>
        <w:spacing w:before="0" w:beforeAutospacing="0" w:after="0" w:afterAutospacing="0"/>
        <w:rPr>
          <w:sz w:val="20"/>
          <w:szCs w:val="20"/>
        </w:rPr>
      </w:pPr>
      <w:r>
        <w:rPr>
          <w:sz w:val="20"/>
          <w:szCs w:val="20"/>
        </w:rPr>
        <w:t> </w:t>
      </w:r>
    </w:p>
    <w:p w14:paraId="28F39EE6" w14:textId="77777777" w:rsidR="00000000" w:rsidRDefault="001826C1">
      <w:pPr>
        <w:pStyle w:val="a3"/>
        <w:spacing w:before="0" w:beforeAutospacing="0" w:after="0" w:afterAutospacing="0"/>
        <w:rPr>
          <w:b/>
          <w:bCs/>
          <w:sz w:val="20"/>
          <w:szCs w:val="20"/>
        </w:rPr>
      </w:pPr>
      <w:r>
        <w:rPr>
          <w:b/>
          <w:bCs/>
          <w:sz w:val="20"/>
          <w:szCs w:val="20"/>
        </w:rPr>
        <w:t>Item 15. Exhibits, Financial Statement Schedules</w:t>
      </w:r>
    </w:p>
    <w:p w14:paraId="2523A111"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576"/>
        <w:gridCol w:w="1108"/>
        <w:gridCol w:w="5902"/>
      </w:tblGrid>
      <w:tr w:rsidR="00000000" w14:paraId="312BF732" w14:textId="77777777">
        <w:tc>
          <w:tcPr>
            <w:tcW w:w="0" w:type="auto"/>
            <w:hideMark/>
          </w:tcPr>
          <w:p w14:paraId="62E6D5E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CA8D8C2" w14:textId="77777777" w:rsidR="00000000" w:rsidRDefault="001826C1">
            <w:pPr>
              <w:jc w:val="both"/>
              <w:rPr>
                <w:rFonts w:eastAsia="Times New Roman"/>
                <w:sz w:val="20"/>
                <w:szCs w:val="20"/>
              </w:rPr>
            </w:pPr>
            <w:r>
              <w:rPr>
                <w:rFonts w:eastAsia="Times New Roman"/>
                <w:b/>
                <w:bCs/>
                <w:sz w:val="20"/>
                <w:szCs w:val="20"/>
              </w:rPr>
              <w:t>(a)</w:t>
            </w:r>
          </w:p>
        </w:tc>
        <w:tc>
          <w:tcPr>
            <w:tcW w:w="0" w:type="auto"/>
            <w:gridSpan w:val="3"/>
            <w:hideMark/>
          </w:tcPr>
          <w:p w14:paraId="04905C27" w14:textId="77777777" w:rsidR="00000000" w:rsidRDefault="001826C1">
            <w:pPr>
              <w:jc w:val="both"/>
              <w:rPr>
                <w:rFonts w:eastAsia="Times New Roman"/>
                <w:sz w:val="20"/>
                <w:szCs w:val="20"/>
              </w:rPr>
            </w:pPr>
            <w:r>
              <w:rPr>
                <w:rFonts w:eastAsia="Times New Roman"/>
                <w:b/>
                <w:bCs/>
                <w:sz w:val="20"/>
                <w:szCs w:val="20"/>
              </w:rPr>
              <w:t>The following documents are filed as part of this Annual Report on Form 10-K:</w:t>
            </w:r>
          </w:p>
        </w:tc>
      </w:tr>
      <w:tr w:rsidR="00000000" w14:paraId="77DD16A2" w14:textId="77777777">
        <w:tc>
          <w:tcPr>
            <w:tcW w:w="360" w:type="dxa"/>
            <w:hideMark/>
          </w:tcPr>
          <w:p w14:paraId="7EB70763" w14:textId="77777777" w:rsidR="00000000" w:rsidRDefault="001826C1">
            <w:pPr>
              <w:jc w:val="both"/>
              <w:rPr>
                <w:rFonts w:eastAsia="Times New Roman"/>
                <w:sz w:val="20"/>
                <w:szCs w:val="20"/>
              </w:rPr>
            </w:pPr>
            <w:r>
              <w:rPr>
                <w:rFonts w:eastAsia="Times New Roman"/>
                <w:sz w:val="20"/>
                <w:szCs w:val="20"/>
              </w:rPr>
              <w:t> </w:t>
            </w:r>
          </w:p>
        </w:tc>
        <w:tc>
          <w:tcPr>
            <w:tcW w:w="360" w:type="dxa"/>
            <w:hideMark/>
          </w:tcPr>
          <w:p w14:paraId="4EA35314" w14:textId="77777777" w:rsidR="00000000" w:rsidRDefault="001826C1">
            <w:pPr>
              <w:jc w:val="both"/>
              <w:rPr>
                <w:rFonts w:eastAsia="Times New Roman"/>
                <w:sz w:val="20"/>
                <w:szCs w:val="20"/>
              </w:rPr>
            </w:pPr>
            <w:r>
              <w:rPr>
                <w:rFonts w:eastAsia="Times New Roman"/>
                <w:sz w:val="20"/>
                <w:szCs w:val="20"/>
              </w:rPr>
              <w:t> </w:t>
            </w:r>
          </w:p>
        </w:tc>
        <w:tc>
          <w:tcPr>
            <w:tcW w:w="576" w:type="dxa"/>
            <w:hideMark/>
          </w:tcPr>
          <w:p w14:paraId="6AB718AE" w14:textId="77777777" w:rsidR="00000000" w:rsidRDefault="001826C1">
            <w:pPr>
              <w:jc w:val="both"/>
              <w:rPr>
                <w:rFonts w:eastAsia="Times New Roman"/>
                <w:sz w:val="20"/>
                <w:szCs w:val="20"/>
              </w:rPr>
            </w:pPr>
            <w:r>
              <w:rPr>
                <w:rFonts w:eastAsia="Times New Roman"/>
                <w:sz w:val="20"/>
                <w:szCs w:val="20"/>
              </w:rPr>
              <w:t> </w:t>
            </w:r>
          </w:p>
        </w:tc>
        <w:tc>
          <w:tcPr>
            <w:tcW w:w="576" w:type="dxa"/>
            <w:hideMark/>
          </w:tcPr>
          <w:p w14:paraId="0D3AB31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FF43D36" w14:textId="77777777" w:rsidR="00000000" w:rsidRDefault="001826C1">
            <w:pPr>
              <w:jc w:val="both"/>
              <w:rPr>
                <w:rFonts w:eastAsia="Times New Roman"/>
                <w:sz w:val="20"/>
                <w:szCs w:val="20"/>
              </w:rPr>
            </w:pPr>
            <w:r>
              <w:rPr>
                <w:rFonts w:eastAsia="Times New Roman"/>
                <w:sz w:val="20"/>
                <w:szCs w:val="20"/>
              </w:rPr>
              <w:t> </w:t>
            </w:r>
          </w:p>
        </w:tc>
      </w:tr>
      <w:tr w:rsidR="00000000" w14:paraId="6A34C52F" w14:textId="77777777">
        <w:tc>
          <w:tcPr>
            <w:tcW w:w="0" w:type="auto"/>
            <w:hideMark/>
          </w:tcPr>
          <w:p w14:paraId="77BA32C5"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D3A9B6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C680D7E" w14:textId="77777777" w:rsidR="00000000" w:rsidRDefault="001826C1">
            <w:pPr>
              <w:jc w:val="both"/>
              <w:rPr>
                <w:rFonts w:eastAsia="Times New Roman"/>
                <w:sz w:val="20"/>
                <w:szCs w:val="20"/>
              </w:rPr>
            </w:pPr>
            <w:r>
              <w:rPr>
                <w:rFonts w:eastAsia="Times New Roman"/>
                <w:sz w:val="20"/>
                <w:szCs w:val="20"/>
              </w:rPr>
              <w:t>(1)</w:t>
            </w:r>
          </w:p>
        </w:tc>
        <w:tc>
          <w:tcPr>
            <w:tcW w:w="0" w:type="auto"/>
            <w:gridSpan w:val="2"/>
            <w:hideMark/>
          </w:tcPr>
          <w:p w14:paraId="0EDA5D2A" w14:textId="77777777" w:rsidR="00000000" w:rsidRDefault="001826C1">
            <w:pPr>
              <w:jc w:val="both"/>
              <w:rPr>
                <w:rFonts w:eastAsia="Times New Roman"/>
                <w:sz w:val="20"/>
                <w:szCs w:val="20"/>
              </w:rPr>
            </w:pPr>
            <w:r>
              <w:rPr>
                <w:rFonts w:eastAsia="Times New Roman"/>
                <w:sz w:val="20"/>
                <w:szCs w:val="20"/>
              </w:rPr>
              <w:t>Financial Statements</w:t>
            </w:r>
          </w:p>
        </w:tc>
      </w:tr>
      <w:tr w:rsidR="00000000" w14:paraId="292DC45B" w14:textId="77777777">
        <w:tc>
          <w:tcPr>
            <w:tcW w:w="0" w:type="auto"/>
            <w:hideMark/>
          </w:tcPr>
          <w:p w14:paraId="057D8D5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CA51B3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5115B6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5EB68A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31A0B3B" w14:textId="77777777" w:rsidR="00000000" w:rsidRDefault="001826C1">
            <w:pPr>
              <w:jc w:val="both"/>
              <w:rPr>
                <w:rFonts w:eastAsia="Times New Roman"/>
                <w:sz w:val="20"/>
                <w:szCs w:val="20"/>
              </w:rPr>
            </w:pPr>
            <w:r>
              <w:rPr>
                <w:rFonts w:eastAsia="Times New Roman"/>
                <w:sz w:val="20"/>
                <w:szCs w:val="20"/>
              </w:rPr>
              <w:t> </w:t>
            </w:r>
          </w:p>
        </w:tc>
      </w:tr>
      <w:tr w:rsidR="00000000" w14:paraId="0699487B" w14:textId="77777777">
        <w:tc>
          <w:tcPr>
            <w:tcW w:w="0" w:type="auto"/>
            <w:hideMark/>
          </w:tcPr>
          <w:p w14:paraId="5BD29C7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9C87C8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B5E534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CAED8BD" w14:textId="77777777" w:rsidR="00000000" w:rsidRDefault="001826C1">
            <w:pPr>
              <w:jc w:val="both"/>
              <w:rPr>
                <w:rFonts w:eastAsia="Times New Roman"/>
                <w:sz w:val="20"/>
                <w:szCs w:val="20"/>
              </w:rPr>
            </w:pPr>
            <w:r>
              <w:rPr>
                <w:rFonts w:eastAsia="Times New Roman"/>
                <w:sz w:val="20"/>
                <w:szCs w:val="20"/>
              </w:rPr>
              <w:t>(i)</w:t>
            </w:r>
          </w:p>
        </w:tc>
        <w:tc>
          <w:tcPr>
            <w:tcW w:w="0" w:type="auto"/>
            <w:hideMark/>
          </w:tcPr>
          <w:p w14:paraId="6ABD98BC" w14:textId="77777777" w:rsidR="00000000" w:rsidRDefault="001826C1">
            <w:pPr>
              <w:jc w:val="both"/>
              <w:rPr>
                <w:rFonts w:eastAsia="Times New Roman"/>
                <w:sz w:val="20"/>
                <w:szCs w:val="20"/>
              </w:rPr>
            </w:pPr>
            <w:r>
              <w:rPr>
                <w:rFonts w:eastAsia="Times New Roman"/>
                <w:sz w:val="20"/>
                <w:szCs w:val="20"/>
              </w:rPr>
              <w:t xml:space="preserve">Consolidated </w:t>
            </w:r>
            <w:r>
              <w:rPr>
                <w:rFonts w:eastAsia="Times New Roman"/>
                <w:sz w:val="20"/>
                <w:szCs w:val="20"/>
              </w:rPr>
              <w:t>Balance Sheets as of December 31, 2019 and 2018</w:t>
            </w:r>
          </w:p>
        </w:tc>
      </w:tr>
      <w:tr w:rsidR="00000000" w14:paraId="58A51EFA" w14:textId="77777777">
        <w:tc>
          <w:tcPr>
            <w:tcW w:w="0" w:type="auto"/>
            <w:hideMark/>
          </w:tcPr>
          <w:p w14:paraId="417E448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4184245"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1B3064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C043731" w14:textId="77777777" w:rsidR="00000000" w:rsidRDefault="001826C1">
            <w:pPr>
              <w:jc w:val="both"/>
              <w:rPr>
                <w:rFonts w:eastAsia="Times New Roman"/>
                <w:sz w:val="20"/>
                <w:szCs w:val="20"/>
              </w:rPr>
            </w:pPr>
            <w:r>
              <w:rPr>
                <w:rFonts w:eastAsia="Times New Roman"/>
                <w:sz w:val="20"/>
                <w:szCs w:val="20"/>
              </w:rPr>
              <w:t>(ii)</w:t>
            </w:r>
          </w:p>
        </w:tc>
        <w:tc>
          <w:tcPr>
            <w:tcW w:w="0" w:type="auto"/>
            <w:hideMark/>
          </w:tcPr>
          <w:p w14:paraId="28C6407F" w14:textId="77777777" w:rsidR="00000000" w:rsidRDefault="001826C1">
            <w:pPr>
              <w:jc w:val="both"/>
              <w:rPr>
                <w:rFonts w:eastAsia="Times New Roman"/>
                <w:sz w:val="20"/>
                <w:szCs w:val="20"/>
              </w:rPr>
            </w:pPr>
            <w:r>
              <w:rPr>
                <w:rFonts w:eastAsia="Times New Roman"/>
                <w:sz w:val="20"/>
                <w:szCs w:val="20"/>
              </w:rPr>
              <w:t>Consolidated Statements of Operations for the years ended December 31, 2019 and 2018</w:t>
            </w:r>
          </w:p>
        </w:tc>
      </w:tr>
      <w:tr w:rsidR="00000000" w14:paraId="2332737C" w14:textId="77777777">
        <w:tc>
          <w:tcPr>
            <w:tcW w:w="0" w:type="auto"/>
            <w:hideMark/>
          </w:tcPr>
          <w:p w14:paraId="51A24AA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A17408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913AD5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2EEFB0B" w14:textId="77777777" w:rsidR="00000000" w:rsidRDefault="001826C1">
            <w:pPr>
              <w:jc w:val="both"/>
              <w:rPr>
                <w:rFonts w:eastAsia="Times New Roman"/>
                <w:sz w:val="20"/>
                <w:szCs w:val="20"/>
              </w:rPr>
            </w:pPr>
            <w:r>
              <w:rPr>
                <w:rFonts w:eastAsia="Times New Roman"/>
                <w:sz w:val="20"/>
                <w:szCs w:val="20"/>
              </w:rPr>
              <w:t>(iii)</w:t>
            </w:r>
          </w:p>
        </w:tc>
        <w:tc>
          <w:tcPr>
            <w:tcW w:w="0" w:type="auto"/>
            <w:hideMark/>
          </w:tcPr>
          <w:p w14:paraId="75218D30" w14:textId="77777777" w:rsidR="00000000" w:rsidRDefault="001826C1">
            <w:pPr>
              <w:jc w:val="both"/>
              <w:rPr>
                <w:rFonts w:eastAsia="Times New Roman"/>
                <w:sz w:val="20"/>
                <w:szCs w:val="20"/>
              </w:rPr>
            </w:pPr>
            <w:r>
              <w:rPr>
                <w:rFonts w:eastAsia="Times New Roman"/>
                <w:sz w:val="20"/>
                <w:szCs w:val="20"/>
              </w:rPr>
              <w:t xml:space="preserve">Consolidated </w:t>
            </w:r>
            <w:r>
              <w:rPr>
                <w:rFonts w:eastAsia="Times New Roman"/>
                <w:sz w:val="20"/>
                <w:szCs w:val="20"/>
              </w:rPr>
              <w:t>Statements of Comprehensive Loss for the years ended December 31, 2019 and 2018</w:t>
            </w:r>
          </w:p>
        </w:tc>
      </w:tr>
      <w:tr w:rsidR="00000000" w14:paraId="2D954723" w14:textId="77777777">
        <w:tc>
          <w:tcPr>
            <w:tcW w:w="0" w:type="auto"/>
            <w:hideMark/>
          </w:tcPr>
          <w:p w14:paraId="6185181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9F90A9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218D29E"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D54F055" w14:textId="77777777" w:rsidR="00000000" w:rsidRDefault="001826C1">
            <w:pPr>
              <w:jc w:val="both"/>
              <w:rPr>
                <w:rFonts w:eastAsia="Times New Roman"/>
                <w:sz w:val="20"/>
                <w:szCs w:val="20"/>
              </w:rPr>
            </w:pPr>
            <w:r>
              <w:rPr>
                <w:rFonts w:eastAsia="Times New Roman"/>
                <w:sz w:val="20"/>
                <w:szCs w:val="20"/>
              </w:rPr>
              <w:t>(iv)</w:t>
            </w:r>
          </w:p>
        </w:tc>
        <w:tc>
          <w:tcPr>
            <w:tcW w:w="0" w:type="auto"/>
            <w:hideMark/>
          </w:tcPr>
          <w:p w14:paraId="7E94CD4F" w14:textId="77777777" w:rsidR="00000000" w:rsidRDefault="001826C1">
            <w:pPr>
              <w:jc w:val="both"/>
              <w:rPr>
                <w:rFonts w:eastAsia="Times New Roman"/>
                <w:sz w:val="20"/>
                <w:szCs w:val="20"/>
              </w:rPr>
            </w:pPr>
            <w:r>
              <w:rPr>
                <w:rFonts w:eastAsia="Times New Roman"/>
                <w:sz w:val="20"/>
                <w:szCs w:val="20"/>
              </w:rPr>
              <w:t>Consolidated Statements of Shareholders’ Equity for the years ended December 31, 2019 and 2018</w:t>
            </w:r>
          </w:p>
        </w:tc>
      </w:tr>
      <w:tr w:rsidR="00000000" w14:paraId="57A7398C" w14:textId="77777777">
        <w:tc>
          <w:tcPr>
            <w:tcW w:w="0" w:type="auto"/>
            <w:hideMark/>
          </w:tcPr>
          <w:p w14:paraId="52D6D1D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63E2EC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A956F2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1D6AD86" w14:textId="77777777" w:rsidR="00000000" w:rsidRDefault="001826C1">
            <w:pPr>
              <w:jc w:val="both"/>
              <w:rPr>
                <w:rFonts w:eastAsia="Times New Roman"/>
                <w:sz w:val="20"/>
                <w:szCs w:val="20"/>
              </w:rPr>
            </w:pPr>
            <w:r>
              <w:rPr>
                <w:rFonts w:eastAsia="Times New Roman"/>
                <w:sz w:val="20"/>
                <w:szCs w:val="20"/>
              </w:rPr>
              <w:t>(v)</w:t>
            </w:r>
          </w:p>
        </w:tc>
        <w:tc>
          <w:tcPr>
            <w:tcW w:w="0" w:type="auto"/>
            <w:hideMark/>
          </w:tcPr>
          <w:p w14:paraId="23CBAC8C" w14:textId="77777777" w:rsidR="00000000" w:rsidRDefault="001826C1">
            <w:pPr>
              <w:jc w:val="both"/>
              <w:rPr>
                <w:rFonts w:eastAsia="Times New Roman"/>
                <w:sz w:val="20"/>
                <w:szCs w:val="20"/>
              </w:rPr>
            </w:pPr>
            <w:r>
              <w:rPr>
                <w:rFonts w:eastAsia="Times New Roman"/>
                <w:sz w:val="20"/>
                <w:szCs w:val="20"/>
              </w:rPr>
              <w:t xml:space="preserve">Consolidated Statements of Cash Flows for the years ended </w:t>
            </w:r>
            <w:r>
              <w:rPr>
                <w:rFonts w:eastAsia="Times New Roman"/>
                <w:sz w:val="20"/>
                <w:szCs w:val="20"/>
              </w:rPr>
              <w:t>December 31, 2019 and 2018</w:t>
            </w:r>
          </w:p>
        </w:tc>
      </w:tr>
      <w:tr w:rsidR="00000000" w14:paraId="00538627" w14:textId="77777777">
        <w:tc>
          <w:tcPr>
            <w:tcW w:w="0" w:type="auto"/>
            <w:hideMark/>
          </w:tcPr>
          <w:p w14:paraId="455793A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BC8B88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E5AD4D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DA56F11" w14:textId="77777777" w:rsidR="00000000" w:rsidRDefault="001826C1">
            <w:pPr>
              <w:jc w:val="both"/>
              <w:rPr>
                <w:rFonts w:eastAsia="Times New Roman"/>
                <w:sz w:val="20"/>
                <w:szCs w:val="20"/>
              </w:rPr>
            </w:pPr>
            <w:r>
              <w:rPr>
                <w:rFonts w:eastAsia="Times New Roman"/>
                <w:sz w:val="20"/>
                <w:szCs w:val="20"/>
              </w:rPr>
              <w:t>(vi)</w:t>
            </w:r>
          </w:p>
        </w:tc>
        <w:tc>
          <w:tcPr>
            <w:tcW w:w="0" w:type="auto"/>
            <w:hideMark/>
          </w:tcPr>
          <w:p w14:paraId="3EA2A2FC" w14:textId="77777777" w:rsidR="00000000" w:rsidRDefault="001826C1">
            <w:pPr>
              <w:jc w:val="both"/>
              <w:rPr>
                <w:rFonts w:eastAsia="Times New Roman"/>
                <w:sz w:val="20"/>
                <w:szCs w:val="20"/>
              </w:rPr>
            </w:pPr>
            <w:r>
              <w:rPr>
                <w:rFonts w:eastAsia="Times New Roman"/>
                <w:sz w:val="20"/>
                <w:szCs w:val="20"/>
              </w:rPr>
              <w:t>Notes to Consolidated Financial Statements</w:t>
            </w:r>
          </w:p>
        </w:tc>
      </w:tr>
      <w:tr w:rsidR="00000000" w14:paraId="1F9D265A" w14:textId="77777777">
        <w:tc>
          <w:tcPr>
            <w:tcW w:w="0" w:type="auto"/>
            <w:hideMark/>
          </w:tcPr>
          <w:p w14:paraId="1F4E292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48DDD1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166AEDE"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B4F3E6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A19173C" w14:textId="77777777" w:rsidR="00000000" w:rsidRDefault="001826C1">
            <w:pPr>
              <w:jc w:val="both"/>
              <w:rPr>
                <w:rFonts w:eastAsia="Times New Roman"/>
                <w:sz w:val="20"/>
                <w:szCs w:val="20"/>
              </w:rPr>
            </w:pPr>
            <w:r>
              <w:rPr>
                <w:rFonts w:eastAsia="Times New Roman"/>
                <w:sz w:val="20"/>
                <w:szCs w:val="20"/>
              </w:rPr>
              <w:t> </w:t>
            </w:r>
          </w:p>
        </w:tc>
      </w:tr>
      <w:tr w:rsidR="00000000" w14:paraId="6DA11724" w14:textId="77777777">
        <w:tc>
          <w:tcPr>
            <w:tcW w:w="0" w:type="auto"/>
            <w:hideMark/>
          </w:tcPr>
          <w:p w14:paraId="6AD4FE1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824CFC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7442F9C" w14:textId="77777777" w:rsidR="00000000" w:rsidRDefault="001826C1">
            <w:pPr>
              <w:jc w:val="both"/>
              <w:rPr>
                <w:rFonts w:eastAsia="Times New Roman"/>
                <w:sz w:val="20"/>
                <w:szCs w:val="20"/>
              </w:rPr>
            </w:pPr>
            <w:r>
              <w:rPr>
                <w:rFonts w:eastAsia="Times New Roman"/>
                <w:sz w:val="20"/>
                <w:szCs w:val="20"/>
              </w:rPr>
              <w:t>(2)</w:t>
            </w:r>
          </w:p>
        </w:tc>
        <w:tc>
          <w:tcPr>
            <w:tcW w:w="0" w:type="auto"/>
            <w:gridSpan w:val="2"/>
            <w:hideMark/>
          </w:tcPr>
          <w:p w14:paraId="5DE32220" w14:textId="77777777" w:rsidR="00000000" w:rsidRDefault="001826C1">
            <w:pPr>
              <w:jc w:val="both"/>
              <w:rPr>
                <w:rFonts w:eastAsia="Times New Roman"/>
                <w:sz w:val="20"/>
                <w:szCs w:val="20"/>
              </w:rPr>
            </w:pPr>
            <w:r>
              <w:rPr>
                <w:rFonts w:eastAsia="Times New Roman"/>
                <w:sz w:val="20"/>
                <w:szCs w:val="20"/>
              </w:rPr>
              <w:t>Financial Statement Schedules</w:t>
            </w:r>
          </w:p>
        </w:tc>
      </w:tr>
      <w:tr w:rsidR="00000000" w14:paraId="37D16A49" w14:textId="77777777">
        <w:tc>
          <w:tcPr>
            <w:tcW w:w="0" w:type="auto"/>
            <w:hideMark/>
          </w:tcPr>
          <w:p w14:paraId="5801A10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18BB1E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734F0B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5046C3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5B91116" w14:textId="77777777" w:rsidR="00000000" w:rsidRDefault="001826C1">
            <w:pPr>
              <w:jc w:val="both"/>
              <w:rPr>
                <w:rFonts w:eastAsia="Times New Roman"/>
                <w:sz w:val="20"/>
                <w:szCs w:val="20"/>
              </w:rPr>
            </w:pPr>
            <w:r>
              <w:rPr>
                <w:rFonts w:eastAsia="Times New Roman"/>
                <w:sz w:val="20"/>
                <w:szCs w:val="20"/>
              </w:rPr>
              <w:t> </w:t>
            </w:r>
          </w:p>
        </w:tc>
      </w:tr>
      <w:tr w:rsidR="00000000" w14:paraId="06579191" w14:textId="77777777">
        <w:tc>
          <w:tcPr>
            <w:tcW w:w="0" w:type="auto"/>
            <w:hideMark/>
          </w:tcPr>
          <w:p w14:paraId="77E73E9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D584EE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FD75160" w14:textId="77777777" w:rsidR="00000000" w:rsidRDefault="001826C1">
            <w:pPr>
              <w:jc w:val="both"/>
              <w:rPr>
                <w:rFonts w:eastAsia="Times New Roman"/>
                <w:sz w:val="20"/>
                <w:szCs w:val="20"/>
              </w:rPr>
            </w:pPr>
            <w:r>
              <w:rPr>
                <w:rFonts w:eastAsia="Times New Roman"/>
                <w:sz w:val="20"/>
                <w:szCs w:val="20"/>
              </w:rPr>
              <w:t> </w:t>
            </w:r>
          </w:p>
        </w:tc>
        <w:tc>
          <w:tcPr>
            <w:tcW w:w="0" w:type="auto"/>
            <w:gridSpan w:val="2"/>
            <w:hideMark/>
          </w:tcPr>
          <w:p w14:paraId="4259B3E8" w14:textId="77777777" w:rsidR="00000000" w:rsidRDefault="001826C1">
            <w:pPr>
              <w:jc w:val="both"/>
              <w:rPr>
                <w:rFonts w:eastAsia="Times New Roman"/>
                <w:sz w:val="20"/>
                <w:szCs w:val="20"/>
              </w:rPr>
            </w:pPr>
            <w:r>
              <w:rPr>
                <w:rFonts w:eastAsia="Times New Roman"/>
                <w:sz w:val="20"/>
                <w:szCs w:val="20"/>
              </w:rPr>
              <w:t xml:space="preserve">There </w:t>
            </w:r>
            <w:r>
              <w:rPr>
                <w:rFonts w:eastAsia="Times New Roman"/>
                <w:sz w:val="20"/>
                <w:szCs w:val="20"/>
              </w:rPr>
              <w:t>are no Financial Statement Schedules filed as part of this Annual Report on Form 10-K, as the required information is not applicable or is included in the Notes to Consolidated Financial Statements.</w:t>
            </w:r>
          </w:p>
        </w:tc>
      </w:tr>
      <w:tr w:rsidR="00000000" w14:paraId="017E6FF7" w14:textId="77777777">
        <w:tc>
          <w:tcPr>
            <w:tcW w:w="0" w:type="auto"/>
            <w:hideMark/>
          </w:tcPr>
          <w:p w14:paraId="687829A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4E41FC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EA2E84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AB602B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392601F" w14:textId="77777777" w:rsidR="00000000" w:rsidRDefault="001826C1">
            <w:pPr>
              <w:jc w:val="both"/>
              <w:rPr>
                <w:rFonts w:eastAsia="Times New Roman"/>
                <w:sz w:val="20"/>
                <w:szCs w:val="20"/>
              </w:rPr>
            </w:pPr>
            <w:r>
              <w:rPr>
                <w:rFonts w:eastAsia="Times New Roman"/>
                <w:sz w:val="20"/>
                <w:szCs w:val="20"/>
              </w:rPr>
              <w:t> </w:t>
            </w:r>
          </w:p>
        </w:tc>
      </w:tr>
      <w:tr w:rsidR="00000000" w14:paraId="66187F29" w14:textId="77777777">
        <w:tc>
          <w:tcPr>
            <w:tcW w:w="0" w:type="auto"/>
            <w:hideMark/>
          </w:tcPr>
          <w:p w14:paraId="6A99FD0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08C7BB1" w14:textId="77777777" w:rsidR="00000000" w:rsidRDefault="001826C1">
            <w:pPr>
              <w:jc w:val="both"/>
              <w:rPr>
                <w:rFonts w:eastAsia="Times New Roman"/>
                <w:sz w:val="20"/>
                <w:szCs w:val="20"/>
              </w:rPr>
            </w:pPr>
            <w:r>
              <w:rPr>
                <w:rFonts w:eastAsia="Times New Roman"/>
                <w:b/>
                <w:bCs/>
                <w:sz w:val="20"/>
                <w:szCs w:val="20"/>
              </w:rPr>
              <w:t>(b)</w:t>
            </w:r>
          </w:p>
        </w:tc>
        <w:tc>
          <w:tcPr>
            <w:tcW w:w="0" w:type="auto"/>
            <w:gridSpan w:val="3"/>
            <w:hideMark/>
          </w:tcPr>
          <w:p w14:paraId="1871F032" w14:textId="77777777" w:rsidR="00000000" w:rsidRDefault="001826C1">
            <w:pPr>
              <w:jc w:val="both"/>
              <w:rPr>
                <w:rFonts w:eastAsia="Times New Roman"/>
                <w:sz w:val="20"/>
                <w:szCs w:val="20"/>
              </w:rPr>
            </w:pPr>
            <w:r>
              <w:rPr>
                <w:rFonts w:eastAsia="Times New Roman"/>
                <w:b/>
                <w:bCs/>
                <w:sz w:val="20"/>
                <w:szCs w:val="20"/>
              </w:rPr>
              <w:t>Exhibit Index:</w:t>
            </w:r>
          </w:p>
        </w:tc>
      </w:tr>
    </w:tbl>
    <w:p w14:paraId="54D32F4B"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216"/>
        <w:gridCol w:w="7010"/>
      </w:tblGrid>
      <w:tr w:rsidR="00000000" w14:paraId="4BAD8E1E" w14:textId="77777777">
        <w:tc>
          <w:tcPr>
            <w:tcW w:w="1080" w:type="dxa"/>
            <w:tcBorders>
              <w:bottom w:val="single" w:sz="12" w:space="0" w:color="000000"/>
            </w:tcBorders>
            <w:hideMark/>
          </w:tcPr>
          <w:p w14:paraId="44CA4390" w14:textId="77777777" w:rsidR="00000000" w:rsidRDefault="001826C1">
            <w:pPr>
              <w:pStyle w:val="a3"/>
              <w:spacing w:before="0" w:beforeAutospacing="0" w:after="0" w:afterAutospacing="0"/>
              <w:jc w:val="center"/>
              <w:rPr>
                <w:sz w:val="20"/>
                <w:szCs w:val="20"/>
              </w:rPr>
            </w:pPr>
            <w:r>
              <w:rPr>
                <w:b/>
                <w:bCs/>
                <w:sz w:val="20"/>
                <w:szCs w:val="20"/>
              </w:rPr>
              <w:t>Exhibit</w:t>
            </w:r>
          </w:p>
          <w:p w14:paraId="1E8EB3B2" w14:textId="77777777" w:rsidR="00000000" w:rsidRDefault="001826C1">
            <w:pPr>
              <w:pStyle w:val="a3"/>
              <w:spacing w:before="0" w:beforeAutospacing="0" w:after="0" w:afterAutospacing="0"/>
              <w:jc w:val="center"/>
              <w:rPr>
                <w:sz w:val="20"/>
                <w:szCs w:val="20"/>
              </w:rPr>
            </w:pPr>
            <w:r>
              <w:rPr>
                <w:b/>
                <w:bCs/>
                <w:sz w:val="20"/>
                <w:szCs w:val="20"/>
              </w:rPr>
              <w:t>Number</w:t>
            </w:r>
          </w:p>
        </w:tc>
        <w:tc>
          <w:tcPr>
            <w:tcW w:w="216" w:type="dxa"/>
            <w:hideMark/>
          </w:tcPr>
          <w:p w14:paraId="639078F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14:paraId="387DC2F9" w14:textId="77777777" w:rsidR="00000000" w:rsidRDefault="001826C1">
            <w:pPr>
              <w:jc w:val="center"/>
              <w:rPr>
                <w:rFonts w:eastAsia="Times New Roman"/>
                <w:sz w:val="20"/>
                <w:szCs w:val="20"/>
              </w:rPr>
            </w:pPr>
            <w:r>
              <w:rPr>
                <w:rFonts w:eastAsia="Times New Roman"/>
                <w:b/>
                <w:bCs/>
                <w:sz w:val="20"/>
                <w:szCs w:val="20"/>
              </w:rPr>
              <w:t>Description</w:t>
            </w:r>
          </w:p>
        </w:tc>
      </w:tr>
      <w:tr w:rsidR="00000000" w14:paraId="6BB8FF86" w14:textId="77777777">
        <w:tc>
          <w:tcPr>
            <w:tcW w:w="0" w:type="auto"/>
            <w:hideMark/>
          </w:tcPr>
          <w:p w14:paraId="5C31EF8F" w14:textId="77777777" w:rsidR="00000000" w:rsidRDefault="001826C1">
            <w:pPr>
              <w:rPr>
                <w:rFonts w:eastAsia="Times New Roman"/>
                <w:sz w:val="20"/>
                <w:szCs w:val="20"/>
              </w:rPr>
            </w:pPr>
            <w:r>
              <w:rPr>
                <w:rFonts w:eastAsia="Times New Roman"/>
                <w:sz w:val="20"/>
                <w:szCs w:val="20"/>
              </w:rPr>
              <w:t> </w:t>
            </w:r>
          </w:p>
        </w:tc>
        <w:tc>
          <w:tcPr>
            <w:tcW w:w="0" w:type="auto"/>
            <w:hideMark/>
          </w:tcPr>
          <w:p w14:paraId="02C038EA"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23541511" w14:textId="77777777" w:rsidR="00000000" w:rsidRDefault="001826C1">
            <w:pPr>
              <w:jc w:val="center"/>
              <w:rPr>
                <w:rFonts w:eastAsia="Times New Roman"/>
                <w:sz w:val="20"/>
                <w:szCs w:val="20"/>
              </w:rPr>
            </w:pPr>
            <w:r>
              <w:rPr>
                <w:rFonts w:eastAsia="Times New Roman"/>
                <w:sz w:val="20"/>
                <w:szCs w:val="20"/>
              </w:rPr>
              <w:t> </w:t>
            </w:r>
          </w:p>
        </w:tc>
      </w:tr>
      <w:tr w:rsidR="00000000" w14:paraId="12AC1C35" w14:textId="77777777">
        <w:tc>
          <w:tcPr>
            <w:tcW w:w="0" w:type="auto"/>
            <w:hideMark/>
          </w:tcPr>
          <w:p w14:paraId="332F9A10" w14:textId="77777777" w:rsidR="00000000" w:rsidRDefault="001826C1">
            <w:pPr>
              <w:jc w:val="both"/>
              <w:rPr>
                <w:rFonts w:eastAsia="Times New Roman"/>
                <w:sz w:val="20"/>
                <w:szCs w:val="20"/>
              </w:rPr>
            </w:pPr>
            <w:r>
              <w:rPr>
                <w:rFonts w:eastAsia="Times New Roman"/>
                <w:sz w:val="20"/>
                <w:szCs w:val="20"/>
              </w:rPr>
              <w:t>2.1</w:t>
            </w:r>
          </w:p>
        </w:tc>
        <w:tc>
          <w:tcPr>
            <w:tcW w:w="0" w:type="auto"/>
            <w:hideMark/>
          </w:tcPr>
          <w:p w14:paraId="44361E5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B3606B4" w14:textId="77777777" w:rsidR="00000000" w:rsidRDefault="001826C1">
            <w:pPr>
              <w:jc w:val="both"/>
              <w:rPr>
                <w:rFonts w:eastAsia="Times New Roman"/>
                <w:sz w:val="20"/>
                <w:szCs w:val="20"/>
              </w:rPr>
            </w:pPr>
            <w:hyperlink r:id="rId5" w:history="1">
              <w:r>
                <w:rPr>
                  <w:rStyle w:val="a4"/>
                  <w:rFonts w:eastAsia="Times New Roman"/>
                  <w:sz w:val="20"/>
                  <w:szCs w:val="20"/>
                </w:rPr>
                <w:t>Assignment Agreement dated October 3, 2016, by and between the Company, The Prudential Insurance Company of America, and Prudential Retirement Insurance and Annuity Company (filed as Exhibit 10.1 to the Company’s Form 8-K filed on October 5, 2016, and inco</w:t>
              </w:r>
              <w:r>
                <w:rPr>
                  <w:rStyle w:val="a4"/>
                  <w:rFonts w:eastAsia="Times New Roman"/>
                  <w:sz w:val="20"/>
                  <w:szCs w:val="20"/>
                </w:rPr>
                <w:t>rporated herein by reference).</w:t>
              </w:r>
            </w:hyperlink>
          </w:p>
        </w:tc>
      </w:tr>
      <w:tr w:rsidR="00000000" w14:paraId="35A0F9A6" w14:textId="77777777">
        <w:tc>
          <w:tcPr>
            <w:tcW w:w="0" w:type="auto"/>
            <w:hideMark/>
          </w:tcPr>
          <w:p w14:paraId="6FC2D79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0D6DBB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DB78CC9" w14:textId="77777777" w:rsidR="00000000" w:rsidRDefault="001826C1">
            <w:pPr>
              <w:jc w:val="both"/>
              <w:rPr>
                <w:rFonts w:eastAsia="Times New Roman"/>
                <w:sz w:val="20"/>
                <w:szCs w:val="20"/>
              </w:rPr>
            </w:pPr>
            <w:r>
              <w:rPr>
                <w:rFonts w:eastAsia="Times New Roman"/>
                <w:sz w:val="20"/>
                <w:szCs w:val="20"/>
              </w:rPr>
              <w:t> </w:t>
            </w:r>
          </w:p>
        </w:tc>
      </w:tr>
      <w:tr w:rsidR="00000000" w14:paraId="04E20CA3" w14:textId="77777777">
        <w:tc>
          <w:tcPr>
            <w:tcW w:w="0" w:type="auto"/>
            <w:hideMark/>
          </w:tcPr>
          <w:p w14:paraId="7B962E3E" w14:textId="77777777" w:rsidR="00000000" w:rsidRDefault="001826C1">
            <w:pPr>
              <w:jc w:val="both"/>
              <w:rPr>
                <w:rFonts w:eastAsia="Times New Roman"/>
                <w:sz w:val="20"/>
                <w:szCs w:val="20"/>
              </w:rPr>
            </w:pPr>
            <w:r>
              <w:rPr>
                <w:rFonts w:eastAsia="Times New Roman"/>
                <w:sz w:val="20"/>
                <w:szCs w:val="20"/>
              </w:rPr>
              <w:t>2.2</w:t>
            </w:r>
          </w:p>
        </w:tc>
        <w:tc>
          <w:tcPr>
            <w:tcW w:w="0" w:type="auto"/>
            <w:hideMark/>
          </w:tcPr>
          <w:p w14:paraId="4B78F1A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9DBEB62" w14:textId="77777777" w:rsidR="00000000" w:rsidRDefault="001826C1">
            <w:pPr>
              <w:jc w:val="both"/>
              <w:rPr>
                <w:rFonts w:eastAsia="Times New Roman"/>
                <w:sz w:val="20"/>
                <w:szCs w:val="20"/>
              </w:rPr>
            </w:pPr>
            <w:hyperlink r:id="rId6" w:history="1">
              <w:r>
                <w:rPr>
                  <w:rStyle w:val="a4"/>
                  <w:rFonts w:eastAsia="Times New Roman"/>
                  <w:sz w:val="20"/>
                  <w:szCs w:val="20"/>
                </w:rPr>
                <w:t xml:space="preserve">Strict Foreclosure Agreement dated October 3, 2016, by and between MTBC Acquisition, Corp., MediGain, LLC and Millennium Practice Management Associates, LLC (filed as Exhibit 10.2 to the Company’s Form 8-K filed on October 5, 2016, and incorporated herein </w:t>
              </w:r>
              <w:r>
                <w:rPr>
                  <w:rStyle w:val="a4"/>
                  <w:rFonts w:eastAsia="Times New Roman"/>
                  <w:sz w:val="20"/>
                  <w:szCs w:val="20"/>
                </w:rPr>
                <w:t>by reference).</w:t>
              </w:r>
            </w:hyperlink>
          </w:p>
        </w:tc>
      </w:tr>
      <w:tr w:rsidR="00000000" w14:paraId="67FD4152" w14:textId="77777777">
        <w:tc>
          <w:tcPr>
            <w:tcW w:w="0" w:type="auto"/>
            <w:hideMark/>
          </w:tcPr>
          <w:p w14:paraId="6F0B6A6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3FE038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2DA33AC" w14:textId="77777777" w:rsidR="00000000" w:rsidRDefault="001826C1">
            <w:pPr>
              <w:jc w:val="both"/>
              <w:rPr>
                <w:rFonts w:eastAsia="Times New Roman"/>
                <w:sz w:val="20"/>
                <w:szCs w:val="20"/>
              </w:rPr>
            </w:pPr>
            <w:r>
              <w:rPr>
                <w:rFonts w:eastAsia="Times New Roman"/>
                <w:sz w:val="20"/>
                <w:szCs w:val="20"/>
              </w:rPr>
              <w:t> </w:t>
            </w:r>
          </w:p>
        </w:tc>
      </w:tr>
      <w:tr w:rsidR="00000000" w14:paraId="38B7BB80" w14:textId="77777777">
        <w:tc>
          <w:tcPr>
            <w:tcW w:w="0" w:type="auto"/>
            <w:hideMark/>
          </w:tcPr>
          <w:p w14:paraId="79BFDFF2" w14:textId="77777777" w:rsidR="00000000" w:rsidRDefault="001826C1">
            <w:pPr>
              <w:jc w:val="both"/>
              <w:rPr>
                <w:rFonts w:eastAsia="Times New Roman"/>
                <w:sz w:val="20"/>
                <w:szCs w:val="20"/>
              </w:rPr>
            </w:pPr>
            <w:r>
              <w:rPr>
                <w:rFonts w:eastAsia="Times New Roman"/>
                <w:sz w:val="20"/>
                <w:szCs w:val="20"/>
              </w:rPr>
              <w:t>2.3</w:t>
            </w:r>
          </w:p>
        </w:tc>
        <w:tc>
          <w:tcPr>
            <w:tcW w:w="0" w:type="auto"/>
            <w:hideMark/>
          </w:tcPr>
          <w:p w14:paraId="50FF3C1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AB18E94" w14:textId="77777777" w:rsidR="00000000" w:rsidRDefault="001826C1">
            <w:pPr>
              <w:jc w:val="both"/>
              <w:rPr>
                <w:rFonts w:eastAsia="Times New Roman"/>
                <w:sz w:val="20"/>
                <w:szCs w:val="20"/>
              </w:rPr>
            </w:pPr>
            <w:hyperlink r:id="rId7" w:history="1">
              <w:r>
                <w:rPr>
                  <w:rStyle w:val="a4"/>
                  <w:rFonts w:eastAsia="Times New Roman"/>
                  <w:sz w:val="20"/>
                  <w:szCs w:val="20"/>
                </w:rPr>
                <w:t>Transition Services Agreement dated October 3, 2016, by and between MTBC Acquisition, Corp., MediGain, LLC and Millennium Practice Man</w:t>
              </w:r>
              <w:r>
                <w:rPr>
                  <w:rStyle w:val="a4"/>
                  <w:rFonts w:eastAsia="Times New Roman"/>
                  <w:sz w:val="20"/>
                  <w:szCs w:val="20"/>
                </w:rPr>
                <w:t>agement Associates, LLC (filed as Exhibit 10.3 to the Company’s Form 8-K filed on October 5, 2016, and incorporated herein by reference).</w:t>
              </w:r>
            </w:hyperlink>
          </w:p>
        </w:tc>
      </w:tr>
      <w:tr w:rsidR="00000000" w14:paraId="2C350379" w14:textId="77777777">
        <w:tc>
          <w:tcPr>
            <w:tcW w:w="0" w:type="auto"/>
            <w:hideMark/>
          </w:tcPr>
          <w:p w14:paraId="7BA1016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ABEC4F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3966888" w14:textId="77777777" w:rsidR="00000000" w:rsidRDefault="001826C1">
            <w:pPr>
              <w:jc w:val="both"/>
              <w:rPr>
                <w:rFonts w:eastAsia="Times New Roman"/>
                <w:sz w:val="20"/>
                <w:szCs w:val="20"/>
              </w:rPr>
            </w:pPr>
            <w:r>
              <w:rPr>
                <w:rFonts w:eastAsia="Times New Roman"/>
                <w:sz w:val="20"/>
                <w:szCs w:val="20"/>
              </w:rPr>
              <w:t> </w:t>
            </w:r>
          </w:p>
        </w:tc>
      </w:tr>
      <w:tr w:rsidR="00000000" w14:paraId="0F2CD43E" w14:textId="77777777">
        <w:tc>
          <w:tcPr>
            <w:tcW w:w="0" w:type="auto"/>
            <w:hideMark/>
          </w:tcPr>
          <w:p w14:paraId="08D2F92D" w14:textId="77777777" w:rsidR="00000000" w:rsidRDefault="001826C1">
            <w:pPr>
              <w:jc w:val="both"/>
              <w:rPr>
                <w:rFonts w:eastAsia="Times New Roman"/>
                <w:sz w:val="20"/>
                <w:szCs w:val="20"/>
              </w:rPr>
            </w:pPr>
            <w:r>
              <w:rPr>
                <w:rFonts w:eastAsia="Times New Roman"/>
                <w:sz w:val="20"/>
                <w:szCs w:val="20"/>
              </w:rPr>
              <w:t>2.4</w:t>
            </w:r>
          </w:p>
        </w:tc>
        <w:tc>
          <w:tcPr>
            <w:tcW w:w="0" w:type="auto"/>
            <w:hideMark/>
          </w:tcPr>
          <w:p w14:paraId="20ADDA0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8917470" w14:textId="77777777" w:rsidR="00000000" w:rsidRDefault="001826C1">
            <w:pPr>
              <w:jc w:val="both"/>
              <w:rPr>
                <w:rFonts w:eastAsia="Times New Roman"/>
                <w:sz w:val="20"/>
                <w:szCs w:val="20"/>
              </w:rPr>
            </w:pPr>
            <w:hyperlink r:id="rId8" w:history="1">
              <w:r>
                <w:rPr>
                  <w:rStyle w:val="a4"/>
                  <w:rFonts w:eastAsia="Times New Roman"/>
                  <w:sz w:val="20"/>
                  <w:szCs w:val="20"/>
                </w:rPr>
                <w:t>First Amendm</w:t>
              </w:r>
              <w:r>
                <w:rPr>
                  <w:rStyle w:val="a4"/>
                  <w:rFonts w:eastAsia="Times New Roman"/>
                  <w:sz w:val="20"/>
                  <w:szCs w:val="20"/>
                </w:rPr>
                <w:t>ent to Assignment Agreement dated January 3, 2017, by and between the Company, The Prudential Insurance Company of America, and Prudential Retirement Insurance and Annuity Company (filed as Exhibit 2.1 to the Company’s Form 8-K filed on January 6, 2017, an</w:t>
              </w:r>
              <w:r>
                <w:rPr>
                  <w:rStyle w:val="a4"/>
                  <w:rFonts w:eastAsia="Times New Roman"/>
                  <w:sz w:val="20"/>
                  <w:szCs w:val="20"/>
                </w:rPr>
                <w:t>d incorporated herein by reference).</w:t>
              </w:r>
            </w:hyperlink>
          </w:p>
        </w:tc>
      </w:tr>
      <w:tr w:rsidR="00000000" w14:paraId="011CA871" w14:textId="77777777">
        <w:tc>
          <w:tcPr>
            <w:tcW w:w="0" w:type="auto"/>
            <w:hideMark/>
          </w:tcPr>
          <w:p w14:paraId="45D7030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49CC9D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DF8E957" w14:textId="77777777" w:rsidR="00000000" w:rsidRDefault="001826C1">
            <w:pPr>
              <w:jc w:val="both"/>
              <w:rPr>
                <w:rFonts w:eastAsia="Times New Roman"/>
                <w:sz w:val="20"/>
                <w:szCs w:val="20"/>
              </w:rPr>
            </w:pPr>
            <w:r>
              <w:rPr>
                <w:rFonts w:eastAsia="Times New Roman"/>
                <w:sz w:val="20"/>
                <w:szCs w:val="20"/>
              </w:rPr>
              <w:t> </w:t>
            </w:r>
          </w:p>
        </w:tc>
      </w:tr>
      <w:tr w:rsidR="00000000" w14:paraId="115D38F3" w14:textId="77777777">
        <w:tc>
          <w:tcPr>
            <w:tcW w:w="0" w:type="auto"/>
            <w:hideMark/>
          </w:tcPr>
          <w:p w14:paraId="4376B804" w14:textId="77777777" w:rsidR="00000000" w:rsidRDefault="001826C1">
            <w:pPr>
              <w:jc w:val="both"/>
              <w:rPr>
                <w:rFonts w:eastAsia="Times New Roman"/>
                <w:sz w:val="20"/>
                <w:szCs w:val="20"/>
              </w:rPr>
            </w:pPr>
            <w:r>
              <w:rPr>
                <w:rFonts w:eastAsia="Times New Roman"/>
                <w:sz w:val="20"/>
                <w:szCs w:val="20"/>
              </w:rPr>
              <w:t>2.5</w:t>
            </w:r>
          </w:p>
        </w:tc>
        <w:tc>
          <w:tcPr>
            <w:tcW w:w="0" w:type="auto"/>
            <w:hideMark/>
          </w:tcPr>
          <w:p w14:paraId="3C7E377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1219BA7" w14:textId="77777777" w:rsidR="00000000" w:rsidRDefault="001826C1">
            <w:pPr>
              <w:jc w:val="both"/>
              <w:rPr>
                <w:rFonts w:eastAsia="Times New Roman"/>
                <w:sz w:val="20"/>
                <w:szCs w:val="20"/>
              </w:rPr>
            </w:pPr>
            <w:hyperlink r:id="rId9" w:history="1">
              <w:r>
                <w:rPr>
                  <w:rStyle w:val="a4"/>
                  <w:rFonts w:eastAsia="Times New Roman"/>
                  <w:sz w:val="20"/>
                  <w:szCs w:val="20"/>
                </w:rPr>
                <w:t>Second Amendment to Assignment Agreement dated January 23, 2017, by and between the Company, The Prudential Insurance Company of America, and Prudential Retirement Insurance and Annuity Company (filed as Exhibit 2.1 to the Company’s Form 8-K filed on Janua</w:t>
              </w:r>
              <w:r>
                <w:rPr>
                  <w:rStyle w:val="a4"/>
                  <w:rFonts w:eastAsia="Times New Roman"/>
                  <w:sz w:val="20"/>
                  <w:szCs w:val="20"/>
                </w:rPr>
                <w:t>ry 24, 2017, and incorporated herein by reference).</w:t>
              </w:r>
            </w:hyperlink>
          </w:p>
        </w:tc>
      </w:tr>
      <w:tr w:rsidR="00000000" w14:paraId="6FEF6652" w14:textId="77777777">
        <w:tc>
          <w:tcPr>
            <w:tcW w:w="0" w:type="auto"/>
            <w:hideMark/>
          </w:tcPr>
          <w:p w14:paraId="405E8F9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6B7F22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9D232B0" w14:textId="77777777" w:rsidR="00000000" w:rsidRDefault="001826C1">
            <w:pPr>
              <w:jc w:val="both"/>
              <w:rPr>
                <w:rFonts w:eastAsia="Times New Roman"/>
                <w:sz w:val="20"/>
                <w:szCs w:val="20"/>
              </w:rPr>
            </w:pPr>
            <w:r>
              <w:rPr>
                <w:rFonts w:eastAsia="Times New Roman"/>
                <w:sz w:val="20"/>
                <w:szCs w:val="20"/>
              </w:rPr>
              <w:t> </w:t>
            </w:r>
          </w:p>
        </w:tc>
      </w:tr>
      <w:tr w:rsidR="00000000" w14:paraId="39A66FDC" w14:textId="77777777">
        <w:tc>
          <w:tcPr>
            <w:tcW w:w="0" w:type="auto"/>
            <w:hideMark/>
          </w:tcPr>
          <w:p w14:paraId="4E355691" w14:textId="77777777" w:rsidR="00000000" w:rsidRDefault="001826C1">
            <w:pPr>
              <w:jc w:val="both"/>
              <w:rPr>
                <w:rFonts w:eastAsia="Times New Roman"/>
                <w:sz w:val="20"/>
                <w:szCs w:val="20"/>
              </w:rPr>
            </w:pPr>
            <w:r>
              <w:rPr>
                <w:rFonts w:eastAsia="Times New Roman"/>
                <w:sz w:val="20"/>
                <w:szCs w:val="20"/>
              </w:rPr>
              <w:t>2.6</w:t>
            </w:r>
          </w:p>
        </w:tc>
        <w:tc>
          <w:tcPr>
            <w:tcW w:w="0" w:type="auto"/>
            <w:hideMark/>
          </w:tcPr>
          <w:p w14:paraId="6F46DF6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CF54D62" w14:textId="77777777" w:rsidR="00000000" w:rsidRDefault="001826C1">
            <w:pPr>
              <w:jc w:val="both"/>
              <w:rPr>
                <w:rFonts w:eastAsia="Times New Roman"/>
                <w:sz w:val="20"/>
                <w:szCs w:val="20"/>
              </w:rPr>
            </w:pPr>
            <w:hyperlink r:id="rId10" w:history="1">
              <w:r>
                <w:rPr>
                  <w:rStyle w:val="a4"/>
                  <w:rFonts w:eastAsia="Times New Roman"/>
                  <w:sz w:val="20"/>
                  <w:szCs w:val="20"/>
                </w:rPr>
                <w:t>Asset Purchase Agreement dated June 25, 2018, by and between MTBC, and Orion Healthcorp, Inc. (fi</w:t>
              </w:r>
              <w:r>
                <w:rPr>
                  <w:rStyle w:val="a4"/>
                  <w:rFonts w:eastAsia="Times New Roman"/>
                  <w:sz w:val="20"/>
                  <w:szCs w:val="20"/>
                </w:rPr>
                <w:t>led as Exhibit 10.1 to the Company’s Form 8-K filed on July 2, 2018, and incorporated herein by reference).</w:t>
              </w:r>
            </w:hyperlink>
          </w:p>
        </w:tc>
      </w:tr>
      <w:tr w:rsidR="00000000" w14:paraId="628FA070" w14:textId="77777777">
        <w:tc>
          <w:tcPr>
            <w:tcW w:w="0" w:type="auto"/>
            <w:hideMark/>
          </w:tcPr>
          <w:p w14:paraId="411E1AC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AF6CFB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98B5D86" w14:textId="77777777" w:rsidR="00000000" w:rsidRDefault="001826C1">
            <w:pPr>
              <w:jc w:val="both"/>
              <w:rPr>
                <w:rFonts w:eastAsia="Times New Roman"/>
                <w:sz w:val="20"/>
                <w:szCs w:val="20"/>
              </w:rPr>
            </w:pPr>
            <w:r>
              <w:rPr>
                <w:rFonts w:eastAsia="Times New Roman"/>
                <w:sz w:val="20"/>
                <w:szCs w:val="20"/>
              </w:rPr>
              <w:t> </w:t>
            </w:r>
          </w:p>
        </w:tc>
      </w:tr>
      <w:tr w:rsidR="00000000" w14:paraId="1C1C87A2" w14:textId="77777777">
        <w:tc>
          <w:tcPr>
            <w:tcW w:w="0" w:type="auto"/>
            <w:hideMark/>
          </w:tcPr>
          <w:p w14:paraId="3B0AE2D2" w14:textId="77777777" w:rsidR="00000000" w:rsidRDefault="001826C1">
            <w:pPr>
              <w:jc w:val="both"/>
              <w:rPr>
                <w:rFonts w:eastAsia="Times New Roman"/>
                <w:sz w:val="20"/>
                <w:szCs w:val="20"/>
              </w:rPr>
            </w:pPr>
            <w:r>
              <w:rPr>
                <w:rFonts w:eastAsia="Times New Roman"/>
                <w:sz w:val="20"/>
                <w:szCs w:val="20"/>
              </w:rPr>
              <w:t>2.7</w:t>
            </w:r>
          </w:p>
        </w:tc>
        <w:tc>
          <w:tcPr>
            <w:tcW w:w="0" w:type="auto"/>
            <w:hideMark/>
          </w:tcPr>
          <w:p w14:paraId="2BAC6EF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12A3AC0" w14:textId="77777777" w:rsidR="00000000" w:rsidRDefault="001826C1">
            <w:pPr>
              <w:jc w:val="both"/>
              <w:rPr>
                <w:rFonts w:eastAsia="Times New Roman"/>
                <w:sz w:val="20"/>
                <w:szCs w:val="20"/>
              </w:rPr>
            </w:pPr>
            <w:hyperlink r:id="rId11" w:history="1">
              <w:r>
                <w:rPr>
                  <w:rStyle w:val="a4"/>
                  <w:rFonts w:eastAsia="Times New Roman"/>
                  <w:sz w:val="20"/>
                  <w:szCs w:val="20"/>
                </w:rPr>
                <w:t xml:space="preserve">Transition Services Agreement dated June </w:t>
              </w:r>
              <w:r>
                <w:rPr>
                  <w:rStyle w:val="a4"/>
                  <w:rFonts w:eastAsia="Times New Roman"/>
                  <w:sz w:val="20"/>
                  <w:szCs w:val="20"/>
                </w:rPr>
                <w:t>25, 2018, by and between MTBC, and Orion Healthcorp, Inc. (filed as Exhibit 2.29 to the Company’s Form S-1 filed on September 25, 2018, and incorporated herein by reference).</w:t>
              </w:r>
            </w:hyperlink>
          </w:p>
        </w:tc>
      </w:tr>
    </w:tbl>
    <w:p w14:paraId="0D8C07F4"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A003A01" w14:textId="77777777">
        <w:trPr>
          <w:divId w:val="948584115"/>
        </w:trPr>
        <w:tc>
          <w:tcPr>
            <w:tcW w:w="5000" w:type="pct"/>
            <w:hideMark/>
          </w:tcPr>
          <w:p w14:paraId="5019D4A9" w14:textId="77777777" w:rsidR="00000000" w:rsidRDefault="001826C1">
            <w:pPr>
              <w:jc w:val="center"/>
              <w:rPr>
                <w:rFonts w:eastAsia="Times New Roman"/>
                <w:sz w:val="20"/>
                <w:szCs w:val="20"/>
              </w:rPr>
            </w:pPr>
            <w:r>
              <w:rPr>
                <w:rFonts w:eastAsia="Times New Roman"/>
                <w:sz w:val="20"/>
                <w:szCs w:val="20"/>
              </w:rPr>
              <w:t>5</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2246E631" w14:textId="77777777">
        <w:tc>
          <w:tcPr>
            <w:tcW w:w="5000" w:type="pct"/>
            <w:hideMark/>
          </w:tcPr>
          <w:p w14:paraId="45BDED56" w14:textId="77777777" w:rsidR="00000000" w:rsidRDefault="001826C1">
            <w:pPr>
              <w:jc w:val="center"/>
              <w:rPr>
                <w:rFonts w:eastAsia="Times New Roman"/>
                <w:sz w:val="20"/>
                <w:szCs w:val="20"/>
              </w:rPr>
            </w:pPr>
            <w:r>
              <w:rPr>
                <w:rFonts w:eastAsia="Times New Roman"/>
                <w:sz w:val="20"/>
                <w:szCs w:val="20"/>
              </w:rPr>
              <w:t> </w:t>
            </w:r>
          </w:p>
        </w:tc>
      </w:tr>
    </w:tbl>
    <w:p w14:paraId="14F9B980"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216"/>
        <w:gridCol w:w="7010"/>
      </w:tblGrid>
      <w:tr w:rsidR="00000000" w14:paraId="434FC355" w14:textId="77777777">
        <w:tc>
          <w:tcPr>
            <w:tcW w:w="1080" w:type="dxa"/>
            <w:hideMark/>
          </w:tcPr>
          <w:p w14:paraId="4B4E12DB" w14:textId="77777777" w:rsidR="00000000" w:rsidRDefault="001826C1">
            <w:pPr>
              <w:jc w:val="both"/>
              <w:rPr>
                <w:rFonts w:eastAsia="Times New Roman"/>
                <w:sz w:val="20"/>
                <w:szCs w:val="20"/>
              </w:rPr>
            </w:pPr>
            <w:r>
              <w:rPr>
                <w:rFonts w:eastAsia="Times New Roman"/>
                <w:sz w:val="20"/>
                <w:szCs w:val="20"/>
              </w:rPr>
              <w:t>2.8</w:t>
            </w:r>
          </w:p>
        </w:tc>
        <w:tc>
          <w:tcPr>
            <w:tcW w:w="216" w:type="dxa"/>
            <w:hideMark/>
          </w:tcPr>
          <w:p w14:paraId="0D362D9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280692C" w14:textId="77777777" w:rsidR="00000000" w:rsidRDefault="001826C1">
            <w:pPr>
              <w:jc w:val="both"/>
              <w:rPr>
                <w:rFonts w:eastAsia="Times New Roman"/>
                <w:sz w:val="20"/>
                <w:szCs w:val="20"/>
              </w:rPr>
            </w:pPr>
            <w:hyperlink r:id="rId12" w:history="1">
              <w:r>
                <w:rPr>
                  <w:rStyle w:val="a4"/>
                  <w:rFonts w:eastAsia="Times New Roman"/>
                  <w:sz w:val="20"/>
                  <w:szCs w:val="20"/>
                </w:rPr>
                <w:t>Agreement and Plan of Merger by and among MTBC, Inc., MTBC Merger Sub, Inc., CareCloud Corporation and Runway Growth Credit Fund Inc., as the Sellers’ Representativ</w:t>
              </w:r>
              <w:r>
                <w:rPr>
                  <w:rStyle w:val="a4"/>
                  <w:rFonts w:eastAsia="Times New Roman"/>
                  <w:sz w:val="20"/>
                  <w:szCs w:val="20"/>
                </w:rPr>
                <w:t>e dated January 8, 2020 (filed as Exhibit 2.1 to the Company’s Form 8-K filed on January 8, 2020, and incorporated herein by reference).</w:t>
              </w:r>
            </w:hyperlink>
          </w:p>
        </w:tc>
      </w:tr>
      <w:tr w:rsidR="00000000" w14:paraId="0A5D5F6D" w14:textId="77777777">
        <w:tc>
          <w:tcPr>
            <w:tcW w:w="0" w:type="auto"/>
            <w:hideMark/>
          </w:tcPr>
          <w:p w14:paraId="6605619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77D527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DD1880F" w14:textId="77777777" w:rsidR="00000000" w:rsidRDefault="001826C1">
            <w:pPr>
              <w:jc w:val="both"/>
              <w:rPr>
                <w:rFonts w:eastAsia="Times New Roman"/>
                <w:sz w:val="20"/>
                <w:szCs w:val="20"/>
              </w:rPr>
            </w:pPr>
            <w:r>
              <w:rPr>
                <w:rFonts w:eastAsia="Times New Roman"/>
                <w:sz w:val="20"/>
                <w:szCs w:val="20"/>
              </w:rPr>
              <w:t> </w:t>
            </w:r>
          </w:p>
        </w:tc>
      </w:tr>
      <w:tr w:rsidR="00000000" w14:paraId="3FF35F53" w14:textId="77777777">
        <w:tc>
          <w:tcPr>
            <w:tcW w:w="0" w:type="auto"/>
            <w:hideMark/>
          </w:tcPr>
          <w:p w14:paraId="3B228003" w14:textId="77777777" w:rsidR="00000000" w:rsidRDefault="001826C1">
            <w:pPr>
              <w:jc w:val="both"/>
              <w:rPr>
                <w:rFonts w:eastAsia="Times New Roman"/>
                <w:sz w:val="20"/>
                <w:szCs w:val="20"/>
              </w:rPr>
            </w:pPr>
            <w:r>
              <w:rPr>
                <w:rFonts w:eastAsia="Times New Roman"/>
                <w:sz w:val="20"/>
                <w:szCs w:val="20"/>
              </w:rPr>
              <w:t>3.1</w:t>
            </w:r>
          </w:p>
        </w:tc>
        <w:tc>
          <w:tcPr>
            <w:tcW w:w="0" w:type="auto"/>
            <w:hideMark/>
          </w:tcPr>
          <w:p w14:paraId="3595BB6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C42F665" w14:textId="77777777" w:rsidR="00000000" w:rsidRDefault="001826C1">
            <w:pPr>
              <w:jc w:val="both"/>
              <w:rPr>
                <w:rFonts w:eastAsia="Times New Roman"/>
                <w:sz w:val="20"/>
                <w:szCs w:val="20"/>
              </w:rPr>
            </w:pPr>
            <w:hyperlink r:id="rId13" w:history="1">
              <w:r>
                <w:rPr>
                  <w:rStyle w:val="a4"/>
                  <w:rFonts w:eastAsia="Times New Roman"/>
                  <w:sz w:val="20"/>
                  <w:szCs w:val="20"/>
                </w:rPr>
                <w:t>Amended and R</w:t>
              </w:r>
              <w:r>
                <w:rPr>
                  <w:rStyle w:val="a4"/>
                  <w:rFonts w:eastAsia="Times New Roman"/>
                  <w:sz w:val="20"/>
                  <w:szCs w:val="20"/>
                </w:rPr>
                <w:t>estated Certificate of Incorporation of the Company dated April 4, 2014 (filed as Exhibit 3.1 to the Company’s Form S-1 filed on September 25, 2018, and incorporated herein by reference).</w:t>
              </w:r>
            </w:hyperlink>
          </w:p>
        </w:tc>
      </w:tr>
      <w:tr w:rsidR="00000000" w14:paraId="3CA6A74A" w14:textId="77777777">
        <w:tc>
          <w:tcPr>
            <w:tcW w:w="0" w:type="auto"/>
            <w:hideMark/>
          </w:tcPr>
          <w:p w14:paraId="769CDCC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ACF82A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5D44D50" w14:textId="77777777" w:rsidR="00000000" w:rsidRDefault="001826C1">
            <w:pPr>
              <w:jc w:val="both"/>
              <w:rPr>
                <w:rFonts w:eastAsia="Times New Roman"/>
                <w:sz w:val="20"/>
                <w:szCs w:val="20"/>
              </w:rPr>
            </w:pPr>
            <w:r>
              <w:rPr>
                <w:rFonts w:eastAsia="Times New Roman"/>
                <w:sz w:val="20"/>
                <w:szCs w:val="20"/>
              </w:rPr>
              <w:t> </w:t>
            </w:r>
          </w:p>
        </w:tc>
      </w:tr>
      <w:tr w:rsidR="00000000" w14:paraId="5202014B" w14:textId="77777777">
        <w:tc>
          <w:tcPr>
            <w:tcW w:w="0" w:type="auto"/>
            <w:hideMark/>
          </w:tcPr>
          <w:p w14:paraId="606CA8AF" w14:textId="77777777" w:rsidR="00000000" w:rsidRDefault="001826C1">
            <w:pPr>
              <w:jc w:val="both"/>
              <w:rPr>
                <w:rFonts w:eastAsia="Times New Roman"/>
                <w:sz w:val="20"/>
                <w:szCs w:val="20"/>
              </w:rPr>
            </w:pPr>
            <w:r>
              <w:rPr>
                <w:rFonts w:eastAsia="Times New Roman"/>
                <w:sz w:val="20"/>
                <w:szCs w:val="20"/>
              </w:rPr>
              <w:t>3.2</w:t>
            </w:r>
          </w:p>
        </w:tc>
        <w:tc>
          <w:tcPr>
            <w:tcW w:w="0" w:type="auto"/>
            <w:hideMark/>
          </w:tcPr>
          <w:p w14:paraId="4390238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BAEF537" w14:textId="77777777" w:rsidR="00000000" w:rsidRDefault="001826C1">
            <w:pPr>
              <w:pStyle w:val="a3"/>
              <w:spacing w:before="0" w:beforeAutospacing="0" w:after="0" w:afterAutospacing="0"/>
              <w:jc w:val="both"/>
              <w:rPr>
                <w:sz w:val="20"/>
                <w:szCs w:val="20"/>
              </w:rPr>
            </w:pPr>
            <w:hyperlink r:id="rId14" w:history="1">
              <w:r>
                <w:rPr>
                  <w:rStyle w:val="a4"/>
                  <w:sz w:val="20"/>
                  <w:szCs w:val="20"/>
                </w:rPr>
                <w:t>Certificate of Amendment of Certificate of Incorporation of the Company dated June 28, 2016 (filed as Exhibit 3.2 to the Company’s Form S-1 filed on September 25, 2</w:t>
              </w:r>
              <w:r>
                <w:rPr>
                  <w:rStyle w:val="a4"/>
                  <w:sz w:val="20"/>
                  <w:szCs w:val="20"/>
                </w:rPr>
                <w:t>018, and incorporated herein by reference).</w:t>
              </w:r>
            </w:hyperlink>
          </w:p>
        </w:tc>
      </w:tr>
      <w:tr w:rsidR="00000000" w14:paraId="7DFEE646" w14:textId="77777777">
        <w:tc>
          <w:tcPr>
            <w:tcW w:w="0" w:type="auto"/>
            <w:hideMark/>
          </w:tcPr>
          <w:p w14:paraId="31F86A9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21D321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5176808" w14:textId="77777777" w:rsidR="00000000" w:rsidRDefault="001826C1">
            <w:pPr>
              <w:rPr>
                <w:rFonts w:eastAsia="Times New Roman"/>
                <w:sz w:val="20"/>
                <w:szCs w:val="20"/>
              </w:rPr>
            </w:pPr>
            <w:r>
              <w:rPr>
                <w:rFonts w:eastAsia="Times New Roman"/>
                <w:sz w:val="20"/>
                <w:szCs w:val="20"/>
              </w:rPr>
              <w:t> </w:t>
            </w:r>
          </w:p>
        </w:tc>
      </w:tr>
      <w:tr w:rsidR="00000000" w14:paraId="735DB3F9" w14:textId="77777777">
        <w:tc>
          <w:tcPr>
            <w:tcW w:w="0" w:type="auto"/>
            <w:hideMark/>
          </w:tcPr>
          <w:p w14:paraId="36D516CC" w14:textId="77777777" w:rsidR="00000000" w:rsidRDefault="001826C1">
            <w:pPr>
              <w:jc w:val="both"/>
              <w:rPr>
                <w:rFonts w:eastAsia="Times New Roman"/>
                <w:sz w:val="20"/>
                <w:szCs w:val="20"/>
              </w:rPr>
            </w:pPr>
            <w:r>
              <w:rPr>
                <w:rFonts w:eastAsia="Times New Roman"/>
                <w:sz w:val="20"/>
                <w:szCs w:val="20"/>
              </w:rPr>
              <w:t>3.3</w:t>
            </w:r>
          </w:p>
        </w:tc>
        <w:tc>
          <w:tcPr>
            <w:tcW w:w="0" w:type="auto"/>
            <w:hideMark/>
          </w:tcPr>
          <w:p w14:paraId="27D8644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38AEAC7" w14:textId="77777777" w:rsidR="00000000" w:rsidRDefault="001826C1">
            <w:pPr>
              <w:jc w:val="both"/>
              <w:rPr>
                <w:rFonts w:eastAsia="Times New Roman"/>
                <w:sz w:val="20"/>
                <w:szCs w:val="20"/>
              </w:rPr>
            </w:pPr>
            <w:hyperlink r:id="rId15" w:history="1">
              <w:r>
                <w:rPr>
                  <w:rStyle w:val="a4"/>
                  <w:rFonts w:eastAsia="Times New Roman"/>
                  <w:sz w:val="20"/>
                  <w:szCs w:val="20"/>
                </w:rPr>
                <w:t>Certificate of Amendment of Amended and Restated Certificate of Incorporation of the Company dated June 18</w:t>
              </w:r>
              <w:r>
                <w:rPr>
                  <w:rStyle w:val="a4"/>
                  <w:rFonts w:eastAsia="Times New Roman"/>
                  <w:sz w:val="20"/>
                  <w:szCs w:val="20"/>
                </w:rPr>
                <w:t>, 2018 (filed as Exhibit 3.6 to the Company’s Form S-1 filed on September 25, 2018, and incorporated herein by reference).</w:t>
              </w:r>
            </w:hyperlink>
          </w:p>
        </w:tc>
      </w:tr>
      <w:tr w:rsidR="00000000" w14:paraId="0B23A51D" w14:textId="77777777">
        <w:tc>
          <w:tcPr>
            <w:tcW w:w="0" w:type="auto"/>
            <w:hideMark/>
          </w:tcPr>
          <w:p w14:paraId="6CCE55E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2C3A30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652A227" w14:textId="77777777" w:rsidR="00000000" w:rsidRDefault="001826C1">
            <w:pPr>
              <w:jc w:val="both"/>
              <w:rPr>
                <w:rFonts w:eastAsia="Times New Roman"/>
                <w:sz w:val="20"/>
                <w:szCs w:val="20"/>
              </w:rPr>
            </w:pPr>
            <w:r>
              <w:rPr>
                <w:rFonts w:eastAsia="Times New Roman"/>
                <w:sz w:val="20"/>
                <w:szCs w:val="20"/>
              </w:rPr>
              <w:t> </w:t>
            </w:r>
          </w:p>
        </w:tc>
      </w:tr>
      <w:tr w:rsidR="00000000" w14:paraId="63683EF1" w14:textId="77777777">
        <w:tc>
          <w:tcPr>
            <w:tcW w:w="0" w:type="auto"/>
            <w:hideMark/>
          </w:tcPr>
          <w:p w14:paraId="7181EF12" w14:textId="77777777" w:rsidR="00000000" w:rsidRDefault="001826C1">
            <w:pPr>
              <w:jc w:val="both"/>
              <w:rPr>
                <w:rFonts w:eastAsia="Times New Roman"/>
                <w:sz w:val="20"/>
                <w:szCs w:val="20"/>
              </w:rPr>
            </w:pPr>
            <w:r>
              <w:rPr>
                <w:rFonts w:eastAsia="Times New Roman"/>
                <w:sz w:val="20"/>
                <w:szCs w:val="20"/>
              </w:rPr>
              <w:t>3.4</w:t>
            </w:r>
          </w:p>
        </w:tc>
        <w:tc>
          <w:tcPr>
            <w:tcW w:w="0" w:type="auto"/>
            <w:hideMark/>
          </w:tcPr>
          <w:p w14:paraId="20BD85D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1C37B91" w14:textId="77777777" w:rsidR="00000000" w:rsidRDefault="001826C1">
            <w:pPr>
              <w:jc w:val="both"/>
              <w:rPr>
                <w:rFonts w:eastAsia="Times New Roman"/>
                <w:sz w:val="20"/>
                <w:szCs w:val="20"/>
              </w:rPr>
            </w:pPr>
            <w:hyperlink r:id="rId16" w:history="1">
              <w:r>
                <w:rPr>
                  <w:rStyle w:val="a4"/>
                  <w:rFonts w:eastAsia="Times New Roman"/>
                  <w:sz w:val="20"/>
                  <w:szCs w:val="20"/>
                </w:rPr>
                <w:t>Certificate of Amendment of</w:t>
              </w:r>
              <w:r>
                <w:rPr>
                  <w:rStyle w:val="a4"/>
                  <w:rFonts w:eastAsia="Times New Roman"/>
                  <w:sz w:val="20"/>
                  <w:szCs w:val="20"/>
                </w:rPr>
                <w:t xml:space="preserve"> Amended and Restated Certificate of Incorporation of the Company dated February 6, 2019 (filed as Exhibit 3.1 to the Company’s Form 8-K filed on February 7, 2019 and incorporated herein by reference).</w:t>
              </w:r>
            </w:hyperlink>
          </w:p>
        </w:tc>
      </w:tr>
      <w:tr w:rsidR="00000000" w14:paraId="39CA37F5" w14:textId="77777777">
        <w:tc>
          <w:tcPr>
            <w:tcW w:w="0" w:type="auto"/>
            <w:hideMark/>
          </w:tcPr>
          <w:p w14:paraId="3143988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93EC83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89290CF" w14:textId="77777777" w:rsidR="00000000" w:rsidRDefault="001826C1">
            <w:pPr>
              <w:jc w:val="both"/>
              <w:rPr>
                <w:rFonts w:eastAsia="Times New Roman"/>
                <w:sz w:val="20"/>
                <w:szCs w:val="20"/>
              </w:rPr>
            </w:pPr>
            <w:r>
              <w:rPr>
                <w:rFonts w:eastAsia="Times New Roman"/>
                <w:sz w:val="20"/>
                <w:szCs w:val="20"/>
              </w:rPr>
              <w:t> </w:t>
            </w:r>
          </w:p>
        </w:tc>
      </w:tr>
      <w:tr w:rsidR="00000000" w14:paraId="1255D8C7" w14:textId="77777777">
        <w:tc>
          <w:tcPr>
            <w:tcW w:w="0" w:type="auto"/>
            <w:hideMark/>
          </w:tcPr>
          <w:p w14:paraId="1DD174EB" w14:textId="77777777" w:rsidR="00000000" w:rsidRDefault="001826C1">
            <w:pPr>
              <w:jc w:val="both"/>
              <w:rPr>
                <w:rFonts w:eastAsia="Times New Roman"/>
                <w:sz w:val="20"/>
                <w:szCs w:val="20"/>
              </w:rPr>
            </w:pPr>
            <w:r>
              <w:rPr>
                <w:rFonts w:eastAsia="Times New Roman"/>
                <w:sz w:val="20"/>
                <w:szCs w:val="20"/>
              </w:rPr>
              <w:t>3.5</w:t>
            </w:r>
          </w:p>
        </w:tc>
        <w:tc>
          <w:tcPr>
            <w:tcW w:w="0" w:type="auto"/>
            <w:hideMark/>
          </w:tcPr>
          <w:p w14:paraId="077F16B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1973EED" w14:textId="77777777" w:rsidR="00000000" w:rsidRDefault="001826C1">
            <w:pPr>
              <w:jc w:val="both"/>
              <w:rPr>
                <w:rFonts w:eastAsia="Times New Roman"/>
                <w:sz w:val="20"/>
                <w:szCs w:val="20"/>
              </w:rPr>
            </w:pPr>
            <w:hyperlink r:id="rId17" w:history="1">
              <w:r>
                <w:rPr>
                  <w:rStyle w:val="a4"/>
                  <w:rFonts w:eastAsia="Times New Roman"/>
                  <w:sz w:val="20"/>
                  <w:szCs w:val="20"/>
                </w:rPr>
                <w:t>Certificate of Amendment of Amended and Restated Certificate of Incorporation of MTBC, Inc. dated June 25, 2019 (filed as Exhibit 3.1 to the Company’s Form 8-K file</w:t>
              </w:r>
              <w:r>
                <w:rPr>
                  <w:rStyle w:val="a4"/>
                  <w:rFonts w:eastAsia="Times New Roman"/>
                  <w:sz w:val="20"/>
                  <w:szCs w:val="20"/>
                </w:rPr>
                <w:t>d on June 25, 2019 and incorporated herein by reference).</w:t>
              </w:r>
            </w:hyperlink>
          </w:p>
        </w:tc>
      </w:tr>
      <w:tr w:rsidR="00000000" w14:paraId="418BB2A8" w14:textId="77777777">
        <w:tc>
          <w:tcPr>
            <w:tcW w:w="0" w:type="auto"/>
            <w:hideMark/>
          </w:tcPr>
          <w:p w14:paraId="0269F32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5A1129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F538113" w14:textId="77777777" w:rsidR="00000000" w:rsidRDefault="001826C1">
            <w:pPr>
              <w:jc w:val="both"/>
              <w:rPr>
                <w:rFonts w:eastAsia="Times New Roman"/>
                <w:sz w:val="20"/>
                <w:szCs w:val="20"/>
              </w:rPr>
            </w:pPr>
            <w:r>
              <w:rPr>
                <w:rFonts w:eastAsia="Times New Roman"/>
                <w:sz w:val="20"/>
                <w:szCs w:val="20"/>
              </w:rPr>
              <w:t> </w:t>
            </w:r>
          </w:p>
        </w:tc>
      </w:tr>
      <w:tr w:rsidR="00000000" w14:paraId="04EE74F9" w14:textId="77777777">
        <w:tc>
          <w:tcPr>
            <w:tcW w:w="0" w:type="auto"/>
            <w:hideMark/>
          </w:tcPr>
          <w:p w14:paraId="2751C182" w14:textId="77777777" w:rsidR="00000000" w:rsidRDefault="001826C1">
            <w:pPr>
              <w:jc w:val="both"/>
              <w:rPr>
                <w:rFonts w:eastAsia="Times New Roman"/>
                <w:sz w:val="20"/>
                <w:szCs w:val="20"/>
              </w:rPr>
            </w:pPr>
            <w:r>
              <w:rPr>
                <w:rFonts w:eastAsia="Times New Roman"/>
                <w:sz w:val="20"/>
                <w:szCs w:val="20"/>
              </w:rPr>
              <w:t>3.6</w:t>
            </w:r>
          </w:p>
        </w:tc>
        <w:tc>
          <w:tcPr>
            <w:tcW w:w="0" w:type="auto"/>
            <w:hideMark/>
          </w:tcPr>
          <w:p w14:paraId="06794FF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6FDE2B0" w14:textId="77777777" w:rsidR="00000000" w:rsidRDefault="001826C1">
            <w:pPr>
              <w:jc w:val="both"/>
              <w:rPr>
                <w:rFonts w:eastAsia="Times New Roman"/>
                <w:sz w:val="20"/>
                <w:szCs w:val="20"/>
              </w:rPr>
            </w:pPr>
            <w:hyperlink r:id="rId18" w:history="1">
              <w:r>
                <w:rPr>
                  <w:rStyle w:val="a4"/>
                  <w:rFonts w:eastAsia="Times New Roman"/>
                  <w:sz w:val="20"/>
                  <w:szCs w:val="20"/>
                </w:rPr>
                <w:t>Amended and Restated Certificate of Designations, Preferences and Rights of 11% Series A Cum</w:t>
              </w:r>
              <w:r>
                <w:rPr>
                  <w:rStyle w:val="a4"/>
                  <w:rFonts w:eastAsia="Times New Roman"/>
                  <w:sz w:val="20"/>
                  <w:szCs w:val="20"/>
                </w:rPr>
                <w:t>ulative Redeemable Perpetual Preferred Stock dated July 6, 2016 (filed as Exhibit 3.3 to the Company’s Form S-1 filed on September 25, 2018, and incorporated herein by reference).</w:t>
              </w:r>
            </w:hyperlink>
          </w:p>
        </w:tc>
      </w:tr>
      <w:tr w:rsidR="00000000" w14:paraId="0DE91609" w14:textId="77777777">
        <w:tc>
          <w:tcPr>
            <w:tcW w:w="0" w:type="auto"/>
            <w:hideMark/>
          </w:tcPr>
          <w:p w14:paraId="4B0A31D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1263C6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2E8F419" w14:textId="77777777" w:rsidR="00000000" w:rsidRDefault="001826C1">
            <w:pPr>
              <w:jc w:val="both"/>
              <w:rPr>
                <w:rFonts w:eastAsia="Times New Roman"/>
                <w:sz w:val="20"/>
                <w:szCs w:val="20"/>
              </w:rPr>
            </w:pPr>
            <w:r>
              <w:rPr>
                <w:rFonts w:eastAsia="Times New Roman"/>
                <w:sz w:val="20"/>
                <w:szCs w:val="20"/>
              </w:rPr>
              <w:t> </w:t>
            </w:r>
          </w:p>
        </w:tc>
      </w:tr>
      <w:tr w:rsidR="00000000" w14:paraId="16AD5EF0" w14:textId="77777777">
        <w:tc>
          <w:tcPr>
            <w:tcW w:w="0" w:type="auto"/>
            <w:hideMark/>
          </w:tcPr>
          <w:p w14:paraId="41FF1E87" w14:textId="77777777" w:rsidR="00000000" w:rsidRDefault="001826C1">
            <w:pPr>
              <w:jc w:val="both"/>
              <w:rPr>
                <w:rFonts w:eastAsia="Times New Roman"/>
                <w:sz w:val="20"/>
                <w:szCs w:val="20"/>
              </w:rPr>
            </w:pPr>
            <w:r>
              <w:rPr>
                <w:rFonts w:eastAsia="Times New Roman"/>
                <w:sz w:val="20"/>
                <w:szCs w:val="20"/>
              </w:rPr>
              <w:t>3.7</w:t>
            </w:r>
          </w:p>
        </w:tc>
        <w:tc>
          <w:tcPr>
            <w:tcW w:w="0" w:type="auto"/>
            <w:hideMark/>
          </w:tcPr>
          <w:p w14:paraId="7342F0E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A2132F9" w14:textId="77777777" w:rsidR="00000000" w:rsidRDefault="001826C1">
            <w:pPr>
              <w:jc w:val="both"/>
              <w:rPr>
                <w:rFonts w:eastAsia="Times New Roman"/>
                <w:sz w:val="20"/>
                <w:szCs w:val="20"/>
              </w:rPr>
            </w:pPr>
            <w:hyperlink r:id="rId19" w:history="1">
              <w:r>
                <w:rPr>
                  <w:rStyle w:val="a4"/>
                  <w:rFonts w:eastAsia="Times New Roman"/>
                  <w:sz w:val="20"/>
                  <w:szCs w:val="20"/>
                </w:rPr>
                <w:t>First Amendment to Amended and Restated Certificate of Designations, Preferences and Rights of 11% Series A Cumulative Redeemable Perpetual Preferred Stock dated September 15, 2017 (filed as Exhibit 3.4 to the Company’s Form S-1 filed on September 25, 2018</w:t>
              </w:r>
              <w:r>
                <w:rPr>
                  <w:rStyle w:val="a4"/>
                  <w:rFonts w:eastAsia="Times New Roman"/>
                  <w:sz w:val="20"/>
                  <w:szCs w:val="20"/>
                </w:rPr>
                <w:t>, and incorporated herein by reference).</w:t>
              </w:r>
            </w:hyperlink>
          </w:p>
        </w:tc>
      </w:tr>
      <w:tr w:rsidR="00000000" w14:paraId="5D782B24" w14:textId="77777777">
        <w:tc>
          <w:tcPr>
            <w:tcW w:w="0" w:type="auto"/>
            <w:hideMark/>
          </w:tcPr>
          <w:p w14:paraId="141FE6E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6EA950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063BDE1" w14:textId="77777777" w:rsidR="00000000" w:rsidRDefault="001826C1">
            <w:pPr>
              <w:jc w:val="both"/>
              <w:rPr>
                <w:rFonts w:eastAsia="Times New Roman"/>
                <w:sz w:val="20"/>
                <w:szCs w:val="20"/>
              </w:rPr>
            </w:pPr>
            <w:r>
              <w:rPr>
                <w:rFonts w:eastAsia="Times New Roman"/>
                <w:sz w:val="20"/>
                <w:szCs w:val="20"/>
              </w:rPr>
              <w:t> </w:t>
            </w:r>
          </w:p>
        </w:tc>
      </w:tr>
      <w:tr w:rsidR="00000000" w14:paraId="76205F83" w14:textId="77777777">
        <w:tc>
          <w:tcPr>
            <w:tcW w:w="0" w:type="auto"/>
            <w:hideMark/>
          </w:tcPr>
          <w:p w14:paraId="661BEC14" w14:textId="77777777" w:rsidR="00000000" w:rsidRDefault="001826C1">
            <w:pPr>
              <w:jc w:val="both"/>
              <w:rPr>
                <w:rFonts w:eastAsia="Times New Roman"/>
                <w:sz w:val="20"/>
                <w:szCs w:val="20"/>
              </w:rPr>
            </w:pPr>
            <w:r>
              <w:rPr>
                <w:rFonts w:eastAsia="Times New Roman"/>
                <w:sz w:val="20"/>
                <w:szCs w:val="20"/>
              </w:rPr>
              <w:t>3.8</w:t>
            </w:r>
          </w:p>
        </w:tc>
        <w:tc>
          <w:tcPr>
            <w:tcW w:w="0" w:type="auto"/>
            <w:hideMark/>
          </w:tcPr>
          <w:p w14:paraId="583C999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7DD76B9" w14:textId="77777777" w:rsidR="00000000" w:rsidRDefault="001826C1">
            <w:pPr>
              <w:jc w:val="both"/>
              <w:rPr>
                <w:rFonts w:eastAsia="Times New Roman"/>
                <w:sz w:val="20"/>
                <w:szCs w:val="20"/>
              </w:rPr>
            </w:pPr>
            <w:hyperlink r:id="rId20" w:history="1">
              <w:r>
                <w:rPr>
                  <w:rStyle w:val="a4"/>
                  <w:rFonts w:eastAsia="Times New Roman"/>
                  <w:sz w:val="20"/>
                  <w:szCs w:val="20"/>
                </w:rPr>
                <w:t>Second Amendment to Amended and Restated Certificate of Designations, Preferences and Rights of 11% Series A Cumulative Redeemable Perpetual Preferred Stock dated March 23, 2018 (filed as Exhibit 3.5 to the Company’s Form S-1 filed on September 25, 2018, a</w:t>
              </w:r>
              <w:r>
                <w:rPr>
                  <w:rStyle w:val="a4"/>
                  <w:rFonts w:eastAsia="Times New Roman"/>
                  <w:sz w:val="20"/>
                  <w:szCs w:val="20"/>
                </w:rPr>
                <w:t>nd incorporated herein by reference).</w:t>
              </w:r>
            </w:hyperlink>
          </w:p>
        </w:tc>
      </w:tr>
      <w:tr w:rsidR="00000000" w14:paraId="56C79126" w14:textId="77777777">
        <w:tc>
          <w:tcPr>
            <w:tcW w:w="0" w:type="auto"/>
            <w:hideMark/>
          </w:tcPr>
          <w:p w14:paraId="52FD094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05A60E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6438163" w14:textId="77777777" w:rsidR="00000000" w:rsidRDefault="001826C1">
            <w:pPr>
              <w:jc w:val="both"/>
              <w:rPr>
                <w:rFonts w:eastAsia="Times New Roman"/>
                <w:sz w:val="20"/>
                <w:szCs w:val="20"/>
              </w:rPr>
            </w:pPr>
            <w:r>
              <w:rPr>
                <w:rFonts w:eastAsia="Times New Roman"/>
                <w:sz w:val="20"/>
                <w:szCs w:val="20"/>
              </w:rPr>
              <w:t> </w:t>
            </w:r>
          </w:p>
        </w:tc>
      </w:tr>
      <w:tr w:rsidR="00000000" w14:paraId="1415F048" w14:textId="77777777">
        <w:tc>
          <w:tcPr>
            <w:tcW w:w="0" w:type="auto"/>
            <w:hideMark/>
          </w:tcPr>
          <w:p w14:paraId="41184502" w14:textId="77777777" w:rsidR="00000000" w:rsidRDefault="001826C1">
            <w:pPr>
              <w:jc w:val="both"/>
              <w:rPr>
                <w:rFonts w:eastAsia="Times New Roman"/>
                <w:sz w:val="20"/>
                <w:szCs w:val="20"/>
              </w:rPr>
            </w:pPr>
            <w:r>
              <w:rPr>
                <w:rFonts w:eastAsia="Times New Roman"/>
                <w:sz w:val="20"/>
                <w:szCs w:val="20"/>
              </w:rPr>
              <w:t>3.9</w:t>
            </w:r>
          </w:p>
        </w:tc>
        <w:tc>
          <w:tcPr>
            <w:tcW w:w="0" w:type="auto"/>
            <w:hideMark/>
          </w:tcPr>
          <w:p w14:paraId="5B1C2E4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3281762" w14:textId="77777777" w:rsidR="00000000" w:rsidRDefault="001826C1">
            <w:pPr>
              <w:pStyle w:val="a3"/>
              <w:spacing w:before="0" w:beforeAutospacing="0" w:after="0" w:afterAutospacing="0"/>
              <w:jc w:val="both"/>
              <w:rPr>
                <w:sz w:val="20"/>
                <w:szCs w:val="20"/>
              </w:rPr>
            </w:pPr>
            <w:hyperlink r:id="rId21" w:history="1">
              <w:r>
                <w:rPr>
                  <w:rStyle w:val="a4"/>
                  <w:sz w:val="20"/>
                  <w:szCs w:val="20"/>
                </w:rPr>
                <w:t>Third Amendment to Amended and Restated Certificate of Designations, Preferences and Rights of 11% Series A Cumu</w:t>
              </w:r>
              <w:r>
                <w:rPr>
                  <w:rStyle w:val="a4"/>
                  <w:sz w:val="20"/>
                  <w:szCs w:val="20"/>
                </w:rPr>
                <w:t>lative Redeemable Perpetual Preferred Stock dated September 25, 2018 (filed as Exhibit 3.7 to the Company’s Form S-1 filed on September 25, 2018, and incorporated herein by reference).</w:t>
              </w:r>
            </w:hyperlink>
          </w:p>
        </w:tc>
      </w:tr>
      <w:tr w:rsidR="00000000" w14:paraId="4B023267" w14:textId="77777777">
        <w:tc>
          <w:tcPr>
            <w:tcW w:w="0" w:type="auto"/>
            <w:hideMark/>
          </w:tcPr>
          <w:p w14:paraId="28AFC04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970B15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34F79D7" w14:textId="77777777" w:rsidR="00000000" w:rsidRDefault="001826C1">
            <w:pPr>
              <w:rPr>
                <w:rFonts w:eastAsia="Times New Roman"/>
                <w:sz w:val="20"/>
                <w:szCs w:val="20"/>
              </w:rPr>
            </w:pPr>
            <w:r>
              <w:rPr>
                <w:rFonts w:eastAsia="Times New Roman"/>
                <w:sz w:val="20"/>
                <w:szCs w:val="20"/>
              </w:rPr>
              <w:t> </w:t>
            </w:r>
          </w:p>
        </w:tc>
      </w:tr>
      <w:tr w:rsidR="00000000" w14:paraId="3CBB9A90" w14:textId="77777777">
        <w:tc>
          <w:tcPr>
            <w:tcW w:w="0" w:type="auto"/>
            <w:hideMark/>
          </w:tcPr>
          <w:p w14:paraId="2E5478A7" w14:textId="77777777" w:rsidR="00000000" w:rsidRDefault="001826C1">
            <w:pPr>
              <w:jc w:val="both"/>
              <w:rPr>
                <w:rFonts w:eastAsia="Times New Roman"/>
                <w:sz w:val="20"/>
                <w:szCs w:val="20"/>
              </w:rPr>
            </w:pPr>
            <w:r>
              <w:rPr>
                <w:rFonts w:eastAsia="Times New Roman"/>
                <w:sz w:val="20"/>
                <w:szCs w:val="20"/>
              </w:rPr>
              <w:t>3.10</w:t>
            </w:r>
          </w:p>
        </w:tc>
        <w:tc>
          <w:tcPr>
            <w:tcW w:w="0" w:type="auto"/>
            <w:hideMark/>
          </w:tcPr>
          <w:p w14:paraId="79A57355"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B468DD2" w14:textId="77777777" w:rsidR="00000000" w:rsidRDefault="001826C1">
            <w:pPr>
              <w:jc w:val="both"/>
              <w:rPr>
                <w:rFonts w:eastAsia="Times New Roman"/>
                <w:sz w:val="20"/>
                <w:szCs w:val="20"/>
              </w:rPr>
            </w:pPr>
            <w:hyperlink r:id="rId22" w:history="1">
              <w:r>
                <w:rPr>
                  <w:rStyle w:val="a4"/>
                  <w:rFonts w:eastAsia="Times New Roman"/>
                  <w:sz w:val="20"/>
                  <w:szCs w:val="20"/>
                </w:rPr>
                <w:t>Fourth Amendment to Amended and Restated Certificate of Designations, Preferences and Rights of 11% Series A Cumulative Redeemable Perpetual Preferred Stock (filed as Exhibit 3.1 to the Company’s Form 8-K filed on Januar</w:t>
              </w:r>
              <w:r>
                <w:rPr>
                  <w:rStyle w:val="a4"/>
                  <w:rFonts w:eastAsia="Times New Roman"/>
                  <w:sz w:val="20"/>
                  <w:szCs w:val="20"/>
                </w:rPr>
                <w:t>y 25, 2020 and incorporated herein by reference).</w:t>
              </w:r>
            </w:hyperlink>
          </w:p>
        </w:tc>
      </w:tr>
      <w:tr w:rsidR="00000000" w14:paraId="0C7879A8" w14:textId="77777777">
        <w:tc>
          <w:tcPr>
            <w:tcW w:w="0" w:type="auto"/>
            <w:hideMark/>
          </w:tcPr>
          <w:p w14:paraId="0425680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A145C4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A244503" w14:textId="77777777" w:rsidR="00000000" w:rsidRDefault="001826C1">
            <w:pPr>
              <w:jc w:val="both"/>
              <w:rPr>
                <w:rFonts w:eastAsia="Times New Roman"/>
                <w:sz w:val="20"/>
                <w:szCs w:val="20"/>
              </w:rPr>
            </w:pPr>
            <w:r>
              <w:rPr>
                <w:rFonts w:eastAsia="Times New Roman"/>
                <w:sz w:val="20"/>
                <w:szCs w:val="20"/>
              </w:rPr>
              <w:t> </w:t>
            </w:r>
          </w:p>
        </w:tc>
      </w:tr>
      <w:tr w:rsidR="00000000" w14:paraId="559B0688" w14:textId="77777777">
        <w:tc>
          <w:tcPr>
            <w:tcW w:w="0" w:type="auto"/>
            <w:hideMark/>
          </w:tcPr>
          <w:p w14:paraId="04DFD549" w14:textId="77777777" w:rsidR="00000000" w:rsidRDefault="001826C1">
            <w:pPr>
              <w:jc w:val="both"/>
              <w:rPr>
                <w:rFonts w:eastAsia="Times New Roman"/>
                <w:sz w:val="20"/>
                <w:szCs w:val="20"/>
              </w:rPr>
            </w:pPr>
            <w:r>
              <w:rPr>
                <w:rFonts w:eastAsia="Times New Roman"/>
                <w:sz w:val="20"/>
                <w:szCs w:val="20"/>
              </w:rPr>
              <w:t>3.11</w:t>
            </w:r>
          </w:p>
        </w:tc>
        <w:tc>
          <w:tcPr>
            <w:tcW w:w="0" w:type="auto"/>
            <w:hideMark/>
          </w:tcPr>
          <w:p w14:paraId="1A060E4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55EEC45" w14:textId="77777777" w:rsidR="00000000" w:rsidRDefault="001826C1">
            <w:pPr>
              <w:jc w:val="both"/>
              <w:rPr>
                <w:rFonts w:eastAsia="Times New Roman"/>
                <w:sz w:val="20"/>
                <w:szCs w:val="20"/>
              </w:rPr>
            </w:pPr>
            <w:hyperlink r:id="rId23" w:history="1">
              <w:r>
                <w:rPr>
                  <w:rStyle w:val="a4"/>
                  <w:rFonts w:eastAsia="Times New Roman"/>
                  <w:sz w:val="20"/>
                  <w:szCs w:val="20"/>
                </w:rPr>
                <w:t>Amended and Restated By-laws of the Company (filed as Exhibit 3.2 to the Company’s Amendment No. 1 to Form S-1 filed on April 7, 2014, and incorporated herein by reference).</w:t>
              </w:r>
            </w:hyperlink>
          </w:p>
        </w:tc>
      </w:tr>
      <w:tr w:rsidR="00000000" w14:paraId="084D1882" w14:textId="77777777">
        <w:tc>
          <w:tcPr>
            <w:tcW w:w="0" w:type="auto"/>
            <w:hideMark/>
          </w:tcPr>
          <w:p w14:paraId="375665C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88C2D8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4BAAB5F" w14:textId="77777777" w:rsidR="00000000" w:rsidRDefault="001826C1">
            <w:pPr>
              <w:jc w:val="both"/>
              <w:rPr>
                <w:rFonts w:eastAsia="Times New Roman"/>
                <w:sz w:val="20"/>
                <w:szCs w:val="20"/>
              </w:rPr>
            </w:pPr>
            <w:r>
              <w:rPr>
                <w:rFonts w:eastAsia="Times New Roman"/>
                <w:sz w:val="20"/>
                <w:szCs w:val="20"/>
              </w:rPr>
              <w:t> </w:t>
            </w:r>
          </w:p>
        </w:tc>
      </w:tr>
      <w:tr w:rsidR="00000000" w14:paraId="48302E1C" w14:textId="77777777">
        <w:tc>
          <w:tcPr>
            <w:tcW w:w="0" w:type="auto"/>
            <w:hideMark/>
          </w:tcPr>
          <w:p w14:paraId="10B1E129" w14:textId="77777777" w:rsidR="00000000" w:rsidRDefault="001826C1">
            <w:pPr>
              <w:jc w:val="both"/>
              <w:rPr>
                <w:rFonts w:eastAsia="Times New Roman"/>
                <w:sz w:val="20"/>
                <w:szCs w:val="20"/>
              </w:rPr>
            </w:pPr>
            <w:r>
              <w:rPr>
                <w:rFonts w:eastAsia="Times New Roman"/>
                <w:sz w:val="20"/>
                <w:szCs w:val="20"/>
              </w:rPr>
              <w:t>4.1</w:t>
            </w:r>
          </w:p>
        </w:tc>
        <w:tc>
          <w:tcPr>
            <w:tcW w:w="0" w:type="auto"/>
            <w:hideMark/>
          </w:tcPr>
          <w:p w14:paraId="1317A2A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CC6F84C" w14:textId="77777777" w:rsidR="00000000" w:rsidRDefault="001826C1">
            <w:pPr>
              <w:jc w:val="both"/>
              <w:rPr>
                <w:rFonts w:eastAsia="Times New Roman"/>
                <w:sz w:val="20"/>
                <w:szCs w:val="20"/>
              </w:rPr>
            </w:pPr>
            <w:hyperlink r:id="rId24" w:history="1">
              <w:r>
                <w:rPr>
                  <w:rStyle w:val="a4"/>
                  <w:rFonts w:eastAsia="Times New Roman"/>
                  <w:sz w:val="20"/>
                  <w:szCs w:val="20"/>
                </w:rPr>
                <w:t>Form of common stock certificate of the Company (filed as Exhibit 4.1 to Amendment No. 2 to the Company’s Form S-1 filed on May 7, 2014, and incorporated herein by reference).</w:t>
              </w:r>
            </w:hyperlink>
          </w:p>
        </w:tc>
      </w:tr>
      <w:tr w:rsidR="00000000" w14:paraId="1A31A9DD" w14:textId="77777777">
        <w:tc>
          <w:tcPr>
            <w:tcW w:w="0" w:type="auto"/>
            <w:hideMark/>
          </w:tcPr>
          <w:p w14:paraId="7B65D25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C43629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0294466" w14:textId="77777777" w:rsidR="00000000" w:rsidRDefault="001826C1">
            <w:pPr>
              <w:jc w:val="both"/>
              <w:rPr>
                <w:rFonts w:eastAsia="Times New Roman"/>
                <w:sz w:val="20"/>
                <w:szCs w:val="20"/>
              </w:rPr>
            </w:pPr>
            <w:r>
              <w:rPr>
                <w:rFonts w:eastAsia="Times New Roman"/>
                <w:sz w:val="20"/>
                <w:szCs w:val="20"/>
              </w:rPr>
              <w:t> </w:t>
            </w:r>
          </w:p>
        </w:tc>
      </w:tr>
      <w:tr w:rsidR="00000000" w14:paraId="480145E3" w14:textId="77777777">
        <w:tc>
          <w:tcPr>
            <w:tcW w:w="0" w:type="auto"/>
            <w:hideMark/>
          </w:tcPr>
          <w:p w14:paraId="7E4E4E96" w14:textId="77777777" w:rsidR="00000000" w:rsidRDefault="001826C1">
            <w:pPr>
              <w:jc w:val="both"/>
              <w:rPr>
                <w:rFonts w:eastAsia="Times New Roman"/>
                <w:sz w:val="20"/>
                <w:szCs w:val="20"/>
              </w:rPr>
            </w:pPr>
            <w:r>
              <w:rPr>
                <w:rFonts w:eastAsia="Times New Roman"/>
                <w:sz w:val="20"/>
                <w:szCs w:val="20"/>
              </w:rPr>
              <w:t>4.2</w:t>
            </w:r>
          </w:p>
        </w:tc>
        <w:tc>
          <w:tcPr>
            <w:tcW w:w="0" w:type="auto"/>
            <w:hideMark/>
          </w:tcPr>
          <w:p w14:paraId="1D29BF6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5A00C35" w14:textId="77777777" w:rsidR="00000000" w:rsidRDefault="001826C1">
            <w:pPr>
              <w:jc w:val="both"/>
              <w:rPr>
                <w:rFonts w:eastAsia="Times New Roman"/>
                <w:sz w:val="20"/>
                <w:szCs w:val="20"/>
              </w:rPr>
            </w:pPr>
            <w:hyperlink r:id="rId25" w:history="1">
              <w:r>
                <w:rPr>
                  <w:rStyle w:val="a4"/>
                  <w:rFonts w:eastAsia="Times New Roman"/>
                  <w:sz w:val="20"/>
                  <w:szCs w:val="20"/>
                </w:rPr>
                <w:t>Form of stock certificate of the 11% Series A Cumulative Redeemable Perpetual Preferred Stock (filed as Exhibit 4.2 to Amendment No. 2 to the Company’s Form S-1 on October 19, 2015 and incor</w:t>
              </w:r>
              <w:r>
                <w:rPr>
                  <w:rStyle w:val="a4"/>
                  <w:rFonts w:eastAsia="Times New Roman"/>
                  <w:sz w:val="20"/>
                  <w:szCs w:val="20"/>
                </w:rPr>
                <w:t>porated herein by reference).</w:t>
              </w:r>
            </w:hyperlink>
          </w:p>
        </w:tc>
      </w:tr>
    </w:tbl>
    <w:p w14:paraId="73E3003C"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90A8268" w14:textId="77777777">
        <w:trPr>
          <w:divId w:val="1273364668"/>
        </w:trPr>
        <w:tc>
          <w:tcPr>
            <w:tcW w:w="5000" w:type="pct"/>
            <w:hideMark/>
          </w:tcPr>
          <w:p w14:paraId="668CF7C7" w14:textId="77777777" w:rsidR="00000000" w:rsidRDefault="001826C1">
            <w:pPr>
              <w:jc w:val="center"/>
              <w:rPr>
                <w:rFonts w:eastAsia="Times New Roman"/>
                <w:sz w:val="20"/>
                <w:szCs w:val="20"/>
              </w:rPr>
            </w:pPr>
            <w:r>
              <w:rPr>
                <w:rFonts w:eastAsia="Times New Roman"/>
                <w:sz w:val="20"/>
                <w:szCs w:val="20"/>
              </w:rPr>
              <w:t>5</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45A030C5" w14:textId="77777777">
        <w:tc>
          <w:tcPr>
            <w:tcW w:w="5000" w:type="pct"/>
            <w:hideMark/>
          </w:tcPr>
          <w:p w14:paraId="3339A5F3" w14:textId="77777777" w:rsidR="00000000" w:rsidRDefault="001826C1">
            <w:pPr>
              <w:jc w:val="center"/>
              <w:rPr>
                <w:rFonts w:eastAsia="Times New Roman"/>
                <w:sz w:val="20"/>
                <w:szCs w:val="20"/>
              </w:rPr>
            </w:pPr>
            <w:r>
              <w:rPr>
                <w:rFonts w:eastAsia="Times New Roman"/>
                <w:sz w:val="20"/>
                <w:szCs w:val="20"/>
              </w:rPr>
              <w:t> </w:t>
            </w:r>
          </w:p>
        </w:tc>
      </w:tr>
    </w:tbl>
    <w:p w14:paraId="2D7BD913"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216"/>
        <w:gridCol w:w="7010"/>
      </w:tblGrid>
      <w:tr w:rsidR="00000000" w14:paraId="4AE81835" w14:textId="77777777">
        <w:tc>
          <w:tcPr>
            <w:tcW w:w="1080" w:type="dxa"/>
            <w:hideMark/>
          </w:tcPr>
          <w:p w14:paraId="034369C6" w14:textId="77777777" w:rsidR="00000000" w:rsidRDefault="001826C1">
            <w:pPr>
              <w:jc w:val="both"/>
              <w:rPr>
                <w:rFonts w:eastAsia="Times New Roman"/>
                <w:sz w:val="20"/>
                <w:szCs w:val="20"/>
              </w:rPr>
            </w:pPr>
            <w:r>
              <w:rPr>
                <w:rFonts w:eastAsia="Times New Roman"/>
                <w:sz w:val="20"/>
                <w:szCs w:val="20"/>
              </w:rPr>
              <w:t>4.3</w:t>
            </w:r>
          </w:p>
        </w:tc>
        <w:tc>
          <w:tcPr>
            <w:tcW w:w="216" w:type="dxa"/>
            <w:hideMark/>
          </w:tcPr>
          <w:p w14:paraId="4C3D896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FCDF2CA" w14:textId="77777777" w:rsidR="00000000" w:rsidRDefault="001826C1">
            <w:pPr>
              <w:jc w:val="both"/>
              <w:rPr>
                <w:rFonts w:eastAsia="Times New Roman"/>
                <w:sz w:val="20"/>
                <w:szCs w:val="20"/>
              </w:rPr>
            </w:pPr>
            <w:hyperlink r:id="rId26" w:history="1">
              <w:r>
                <w:rPr>
                  <w:rStyle w:val="a4"/>
                  <w:rFonts w:eastAsia="Times New Roman"/>
                  <w:sz w:val="20"/>
                  <w:szCs w:val="20"/>
                </w:rPr>
                <w:t>Warrant to Purchase Stock dated as of October 13, 2017 issued by the Company to Silicon Valley Bank (filed as Exhibit 10.2 to the Company’s Form 8-K filed on October 16, 2017, and incorporated herein by reference).</w:t>
              </w:r>
            </w:hyperlink>
          </w:p>
        </w:tc>
      </w:tr>
      <w:tr w:rsidR="00000000" w14:paraId="700E573B" w14:textId="77777777">
        <w:tc>
          <w:tcPr>
            <w:tcW w:w="0" w:type="auto"/>
            <w:hideMark/>
          </w:tcPr>
          <w:p w14:paraId="44F5879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A5F79A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BCA0428" w14:textId="77777777" w:rsidR="00000000" w:rsidRDefault="001826C1">
            <w:pPr>
              <w:jc w:val="both"/>
              <w:rPr>
                <w:rFonts w:eastAsia="Times New Roman"/>
                <w:sz w:val="20"/>
                <w:szCs w:val="20"/>
              </w:rPr>
            </w:pPr>
            <w:r>
              <w:rPr>
                <w:rFonts w:eastAsia="Times New Roman"/>
                <w:sz w:val="20"/>
                <w:szCs w:val="20"/>
              </w:rPr>
              <w:t> </w:t>
            </w:r>
          </w:p>
        </w:tc>
      </w:tr>
      <w:tr w:rsidR="00000000" w14:paraId="2F7E2786" w14:textId="77777777">
        <w:tc>
          <w:tcPr>
            <w:tcW w:w="0" w:type="auto"/>
            <w:hideMark/>
          </w:tcPr>
          <w:p w14:paraId="7135776E" w14:textId="77777777" w:rsidR="00000000" w:rsidRDefault="001826C1">
            <w:pPr>
              <w:jc w:val="both"/>
              <w:rPr>
                <w:rFonts w:eastAsia="Times New Roman"/>
                <w:sz w:val="20"/>
                <w:szCs w:val="20"/>
              </w:rPr>
            </w:pPr>
            <w:r>
              <w:rPr>
                <w:rFonts w:eastAsia="Times New Roman"/>
                <w:sz w:val="20"/>
                <w:szCs w:val="20"/>
              </w:rPr>
              <w:t>4.4</w:t>
            </w:r>
          </w:p>
        </w:tc>
        <w:tc>
          <w:tcPr>
            <w:tcW w:w="0" w:type="auto"/>
            <w:hideMark/>
          </w:tcPr>
          <w:p w14:paraId="2B33A0B0"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76A83ECD" w14:textId="77777777" w:rsidR="00000000" w:rsidRDefault="001826C1">
            <w:pPr>
              <w:jc w:val="both"/>
              <w:rPr>
                <w:rFonts w:eastAsia="Times New Roman"/>
                <w:sz w:val="20"/>
                <w:szCs w:val="20"/>
              </w:rPr>
            </w:pPr>
            <w:hyperlink r:id="rId27" w:history="1">
              <w:r>
                <w:rPr>
                  <w:rStyle w:val="a4"/>
                  <w:rFonts w:eastAsia="Times New Roman"/>
                  <w:sz w:val="20"/>
                  <w:szCs w:val="20"/>
                </w:rPr>
                <w:t>Warrant to Purchase Stock issued by the Company on September 20, 2018 to Silicon Valley Bank (filed as Exhibit 10.2 to the Company’s Form 8-K filed on September 20, 2018, and incorporated he</w:t>
              </w:r>
              <w:r>
                <w:rPr>
                  <w:rStyle w:val="a4"/>
                  <w:rFonts w:eastAsia="Times New Roman"/>
                  <w:sz w:val="20"/>
                  <w:szCs w:val="20"/>
                </w:rPr>
                <w:t>rein by reference).</w:t>
              </w:r>
            </w:hyperlink>
          </w:p>
        </w:tc>
      </w:tr>
      <w:tr w:rsidR="00000000" w14:paraId="1C31C053" w14:textId="77777777">
        <w:tc>
          <w:tcPr>
            <w:tcW w:w="0" w:type="auto"/>
            <w:hideMark/>
          </w:tcPr>
          <w:p w14:paraId="15BF0CA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D546B3B"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0AA2A21C" w14:textId="77777777" w:rsidR="00000000" w:rsidRDefault="001826C1">
            <w:pPr>
              <w:jc w:val="both"/>
              <w:rPr>
                <w:rFonts w:eastAsia="Times New Roman"/>
                <w:sz w:val="20"/>
                <w:szCs w:val="20"/>
              </w:rPr>
            </w:pPr>
            <w:r>
              <w:rPr>
                <w:rFonts w:eastAsia="Times New Roman"/>
                <w:sz w:val="20"/>
                <w:szCs w:val="20"/>
              </w:rPr>
              <w:t> </w:t>
            </w:r>
          </w:p>
        </w:tc>
      </w:tr>
      <w:tr w:rsidR="00000000" w14:paraId="3C75218B" w14:textId="77777777">
        <w:tc>
          <w:tcPr>
            <w:tcW w:w="0" w:type="auto"/>
            <w:hideMark/>
          </w:tcPr>
          <w:p w14:paraId="3BABF3D0" w14:textId="77777777" w:rsidR="00000000" w:rsidRDefault="001826C1">
            <w:pPr>
              <w:jc w:val="both"/>
              <w:rPr>
                <w:rFonts w:eastAsia="Times New Roman"/>
                <w:sz w:val="20"/>
                <w:szCs w:val="20"/>
              </w:rPr>
            </w:pPr>
            <w:r>
              <w:rPr>
                <w:rFonts w:eastAsia="Times New Roman"/>
                <w:sz w:val="20"/>
                <w:szCs w:val="20"/>
              </w:rPr>
              <w:t>4.5</w:t>
            </w:r>
          </w:p>
        </w:tc>
        <w:tc>
          <w:tcPr>
            <w:tcW w:w="0" w:type="auto"/>
            <w:hideMark/>
          </w:tcPr>
          <w:p w14:paraId="4EB54D3A"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1C607BAB" w14:textId="77777777" w:rsidR="00000000" w:rsidRDefault="001826C1">
            <w:pPr>
              <w:jc w:val="both"/>
              <w:rPr>
                <w:rFonts w:eastAsia="Times New Roman"/>
                <w:sz w:val="20"/>
                <w:szCs w:val="20"/>
              </w:rPr>
            </w:pPr>
            <w:hyperlink r:id="rId28" w:history="1">
              <w:r>
                <w:rPr>
                  <w:rStyle w:val="a4"/>
                  <w:rFonts w:eastAsia="Times New Roman"/>
                  <w:sz w:val="20"/>
                  <w:szCs w:val="20"/>
                </w:rPr>
                <w:t>Warrant to Purchase Stock issued by the Company on January 8, 2020 to Runway Growth Credit Fund Inc.</w:t>
              </w:r>
            </w:hyperlink>
          </w:p>
        </w:tc>
      </w:tr>
      <w:tr w:rsidR="00000000" w14:paraId="39082FBF" w14:textId="77777777">
        <w:tc>
          <w:tcPr>
            <w:tcW w:w="0" w:type="auto"/>
            <w:hideMark/>
          </w:tcPr>
          <w:p w14:paraId="7494A3D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55E60DA"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10B6347C" w14:textId="77777777" w:rsidR="00000000" w:rsidRDefault="001826C1">
            <w:pPr>
              <w:jc w:val="both"/>
              <w:rPr>
                <w:rFonts w:eastAsia="Times New Roman"/>
                <w:sz w:val="20"/>
                <w:szCs w:val="20"/>
              </w:rPr>
            </w:pPr>
            <w:r>
              <w:rPr>
                <w:rFonts w:eastAsia="Times New Roman"/>
                <w:sz w:val="20"/>
                <w:szCs w:val="20"/>
              </w:rPr>
              <w:t> </w:t>
            </w:r>
          </w:p>
        </w:tc>
      </w:tr>
      <w:tr w:rsidR="00000000" w14:paraId="7AAEBEF6" w14:textId="77777777">
        <w:tc>
          <w:tcPr>
            <w:tcW w:w="0" w:type="auto"/>
            <w:hideMark/>
          </w:tcPr>
          <w:p w14:paraId="0A1C7CCB" w14:textId="77777777" w:rsidR="00000000" w:rsidRDefault="001826C1">
            <w:pPr>
              <w:jc w:val="both"/>
              <w:rPr>
                <w:rFonts w:eastAsia="Times New Roman"/>
                <w:sz w:val="20"/>
                <w:szCs w:val="20"/>
              </w:rPr>
            </w:pPr>
            <w:r>
              <w:rPr>
                <w:rFonts w:eastAsia="Times New Roman"/>
                <w:sz w:val="20"/>
                <w:szCs w:val="20"/>
              </w:rPr>
              <w:t>4.6</w:t>
            </w:r>
          </w:p>
        </w:tc>
        <w:tc>
          <w:tcPr>
            <w:tcW w:w="0" w:type="auto"/>
            <w:hideMark/>
          </w:tcPr>
          <w:p w14:paraId="01EC3963"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5E6242EF" w14:textId="77777777" w:rsidR="00000000" w:rsidRDefault="001826C1">
            <w:pPr>
              <w:jc w:val="both"/>
              <w:rPr>
                <w:rFonts w:eastAsia="Times New Roman"/>
                <w:sz w:val="20"/>
                <w:szCs w:val="20"/>
              </w:rPr>
            </w:pPr>
            <w:hyperlink r:id="rId29" w:history="1">
              <w:r>
                <w:rPr>
                  <w:rStyle w:val="a4"/>
                  <w:rFonts w:eastAsia="Times New Roman"/>
                  <w:sz w:val="20"/>
                  <w:szCs w:val="20"/>
                </w:rPr>
                <w:t>Warrant to Purchase Stock issued by the Company on January 8, 2020 to Runway Growth Credit Fund Inc.</w:t>
              </w:r>
            </w:hyperlink>
          </w:p>
        </w:tc>
      </w:tr>
      <w:tr w:rsidR="00000000" w14:paraId="72749C67" w14:textId="77777777">
        <w:tc>
          <w:tcPr>
            <w:tcW w:w="0" w:type="auto"/>
            <w:hideMark/>
          </w:tcPr>
          <w:p w14:paraId="1CE0E90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B590044"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206C3687" w14:textId="77777777" w:rsidR="00000000" w:rsidRDefault="001826C1">
            <w:pPr>
              <w:jc w:val="both"/>
              <w:rPr>
                <w:rFonts w:eastAsia="Times New Roman"/>
                <w:sz w:val="20"/>
                <w:szCs w:val="20"/>
              </w:rPr>
            </w:pPr>
            <w:r>
              <w:rPr>
                <w:rFonts w:eastAsia="Times New Roman"/>
                <w:sz w:val="20"/>
                <w:szCs w:val="20"/>
              </w:rPr>
              <w:t> </w:t>
            </w:r>
          </w:p>
        </w:tc>
      </w:tr>
      <w:tr w:rsidR="00000000" w14:paraId="1AE6982A" w14:textId="77777777">
        <w:tc>
          <w:tcPr>
            <w:tcW w:w="0" w:type="auto"/>
            <w:hideMark/>
          </w:tcPr>
          <w:p w14:paraId="7EA10091" w14:textId="77777777" w:rsidR="00000000" w:rsidRDefault="001826C1">
            <w:pPr>
              <w:jc w:val="both"/>
              <w:rPr>
                <w:rFonts w:eastAsia="Times New Roman"/>
                <w:sz w:val="20"/>
                <w:szCs w:val="20"/>
              </w:rPr>
            </w:pPr>
            <w:r>
              <w:rPr>
                <w:rFonts w:eastAsia="Times New Roman"/>
                <w:sz w:val="20"/>
                <w:szCs w:val="20"/>
              </w:rPr>
              <w:t>10.1</w:t>
            </w:r>
          </w:p>
        </w:tc>
        <w:tc>
          <w:tcPr>
            <w:tcW w:w="0" w:type="auto"/>
            <w:hideMark/>
          </w:tcPr>
          <w:p w14:paraId="019FC34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9130D00" w14:textId="77777777" w:rsidR="00000000" w:rsidRDefault="001826C1">
            <w:pPr>
              <w:jc w:val="both"/>
              <w:rPr>
                <w:rFonts w:eastAsia="Times New Roman"/>
                <w:sz w:val="20"/>
                <w:szCs w:val="20"/>
              </w:rPr>
            </w:pPr>
            <w:hyperlink r:id="rId30" w:history="1">
              <w:r>
                <w:rPr>
                  <w:rStyle w:val="a4"/>
                  <w:rFonts w:eastAsia="Times New Roman"/>
                  <w:sz w:val="20"/>
                  <w:szCs w:val="20"/>
                </w:rPr>
                <w:t>Form of Indemnification Agreement between the Company and each of its directors and executive officers (filed as Exhibit 10.1 to Amendment No. 2 to the Co</w:t>
              </w:r>
              <w:r>
                <w:rPr>
                  <w:rStyle w:val="a4"/>
                  <w:rFonts w:eastAsia="Times New Roman"/>
                  <w:sz w:val="20"/>
                  <w:szCs w:val="20"/>
                </w:rPr>
                <w:t>mpany’s Form S-1 filed on May 7, 2014, and incorporated herein by reference).</w:t>
              </w:r>
            </w:hyperlink>
          </w:p>
        </w:tc>
      </w:tr>
      <w:tr w:rsidR="00000000" w14:paraId="193E5B73" w14:textId="77777777">
        <w:tc>
          <w:tcPr>
            <w:tcW w:w="0" w:type="auto"/>
            <w:hideMark/>
          </w:tcPr>
          <w:p w14:paraId="1B68361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7EEBD2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CDA9977" w14:textId="77777777" w:rsidR="00000000" w:rsidRDefault="001826C1">
            <w:pPr>
              <w:jc w:val="both"/>
              <w:rPr>
                <w:rFonts w:eastAsia="Times New Roman"/>
                <w:sz w:val="20"/>
                <w:szCs w:val="20"/>
              </w:rPr>
            </w:pPr>
            <w:r>
              <w:rPr>
                <w:rFonts w:eastAsia="Times New Roman"/>
                <w:sz w:val="20"/>
                <w:szCs w:val="20"/>
              </w:rPr>
              <w:t> </w:t>
            </w:r>
          </w:p>
        </w:tc>
      </w:tr>
      <w:tr w:rsidR="00000000" w14:paraId="1C1FEABA" w14:textId="77777777">
        <w:tc>
          <w:tcPr>
            <w:tcW w:w="0" w:type="auto"/>
            <w:hideMark/>
          </w:tcPr>
          <w:p w14:paraId="08470FF1" w14:textId="77777777" w:rsidR="00000000" w:rsidRDefault="001826C1">
            <w:pPr>
              <w:jc w:val="both"/>
              <w:rPr>
                <w:rFonts w:eastAsia="Times New Roman"/>
                <w:sz w:val="20"/>
                <w:szCs w:val="20"/>
              </w:rPr>
            </w:pPr>
            <w:r>
              <w:rPr>
                <w:rFonts w:eastAsia="Times New Roman"/>
                <w:sz w:val="20"/>
                <w:szCs w:val="20"/>
              </w:rPr>
              <w:t>10.2 *</w:t>
            </w:r>
          </w:p>
        </w:tc>
        <w:tc>
          <w:tcPr>
            <w:tcW w:w="0" w:type="auto"/>
            <w:hideMark/>
          </w:tcPr>
          <w:p w14:paraId="293B36C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FB0C91B" w14:textId="77777777" w:rsidR="00000000" w:rsidRDefault="001826C1">
            <w:pPr>
              <w:jc w:val="both"/>
              <w:rPr>
                <w:rFonts w:eastAsia="Times New Roman"/>
                <w:sz w:val="20"/>
                <w:szCs w:val="20"/>
              </w:rPr>
            </w:pPr>
            <w:hyperlink r:id="rId31" w:history="1">
              <w:r>
                <w:rPr>
                  <w:rStyle w:val="a4"/>
                  <w:rFonts w:eastAsia="Times New Roman"/>
                  <w:sz w:val="20"/>
                  <w:szCs w:val="20"/>
                </w:rPr>
                <w:t>Amended and Restated Equity Incentive Plan of the Company (filed as Appendix B to the Company’s Proxy Statement on Schedule 14A filed on February 10, 2017, and inc</w:t>
              </w:r>
              <w:r>
                <w:rPr>
                  <w:rStyle w:val="a4"/>
                  <w:rFonts w:eastAsia="Times New Roman"/>
                  <w:sz w:val="20"/>
                  <w:szCs w:val="20"/>
                </w:rPr>
                <w:t>orporated herein by reference).</w:t>
              </w:r>
            </w:hyperlink>
          </w:p>
        </w:tc>
      </w:tr>
      <w:tr w:rsidR="00000000" w14:paraId="2C2C8197" w14:textId="77777777">
        <w:tc>
          <w:tcPr>
            <w:tcW w:w="0" w:type="auto"/>
            <w:hideMark/>
          </w:tcPr>
          <w:p w14:paraId="0F7C93D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940C11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43CD10D" w14:textId="77777777" w:rsidR="00000000" w:rsidRDefault="001826C1">
            <w:pPr>
              <w:jc w:val="both"/>
              <w:rPr>
                <w:rFonts w:eastAsia="Times New Roman"/>
                <w:sz w:val="20"/>
                <w:szCs w:val="20"/>
              </w:rPr>
            </w:pPr>
            <w:r>
              <w:rPr>
                <w:rFonts w:eastAsia="Times New Roman"/>
                <w:sz w:val="20"/>
                <w:szCs w:val="20"/>
              </w:rPr>
              <w:t> </w:t>
            </w:r>
          </w:p>
        </w:tc>
      </w:tr>
      <w:tr w:rsidR="00000000" w14:paraId="522C4C9F" w14:textId="77777777">
        <w:tc>
          <w:tcPr>
            <w:tcW w:w="0" w:type="auto"/>
            <w:hideMark/>
          </w:tcPr>
          <w:p w14:paraId="42745B97" w14:textId="77777777" w:rsidR="00000000" w:rsidRDefault="001826C1">
            <w:pPr>
              <w:jc w:val="both"/>
              <w:rPr>
                <w:rFonts w:eastAsia="Times New Roman"/>
                <w:sz w:val="20"/>
                <w:szCs w:val="20"/>
              </w:rPr>
            </w:pPr>
            <w:r>
              <w:rPr>
                <w:rFonts w:eastAsia="Times New Roman"/>
                <w:sz w:val="20"/>
                <w:szCs w:val="20"/>
              </w:rPr>
              <w:t>10.3 *</w:t>
            </w:r>
          </w:p>
        </w:tc>
        <w:tc>
          <w:tcPr>
            <w:tcW w:w="0" w:type="auto"/>
            <w:hideMark/>
          </w:tcPr>
          <w:p w14:paraId="04EA929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60753F2" w14:textId="77777777" w:rsidR="00000000" w:rsidRDefault="001826C1">
            <w:pPr>
              <w:jc w:val="both"/>
              <w:rPr>
                <w:rFonts w:eastAsia="Times New Roman"/>
                <w:sz w:val="20"/>
                <w:szCs w:val="20"/>
              </w:rPr>
            </w:pPr>
            <w:hyperlink r:id="rId32" w:history="1">
              <w:r>
                <w:rPr>
                  <w:rStyle w:val="a4"/>
                  <w:rFonts w:eastAsia="Times New Roman"/>
                  <w:sz w:val="20"/>
                  <w:szCs w:val="20"/>
                </w:rPr>
                <w:t>First Amendment to the Amended and Restated Equity Incentive Plan of the Company (filed as Exhibit 10.16 to the C</w:t>
              </w:r>
              <w:r>
                <w:rPr>
                  <w:rStyle w:val="a4"/>
                  <w:rFonts w:eastAsia="Times New Roman"/>
                  <w:sz w:val="20"/>
                  <w:szCs w:val="20"/>
                </w:rPr>
                <w:t>ompany’s Form 10-Q filed on August 8, 2018, and incorporated herein by reference).</w:t>
              </w:r>
            </w:hyperlink>
          </w:p>
        </w:tc>
      </w:tr>
      <w:tr w:rsidR="00000000" w14:paraId="4EBA6D02" w14:textId="77777777">
        <w:tc>
          <w:tcPr>
            <w:tcW w:w="0" w:type="auto"/>
            <w:hideMark/>
          </w:tcPr>
          <w:p w14:paraId="0884443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53973E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82140AA" w14:textId="77777777" w:rsidR="00000000" w:rsidRDefault="001826C1">
            <w:pPr>
              <w:jc w:val="both"/>
              <w:rPr>
                <w:rFonts w:eastAsia="Times New Roman"/>
                <w:sz w:val="20"/>
                <w:szCs w:val="20"/>
              </w:rPr>
            </w:pPr>
            <w:r>
              <w:rPr>
                <w:rFonts w:eastAsia="Times New Roman"/>
                <w:sz w:val="20"/>
                <w:szCs w:val="20"/>
              </w:rPr>
              <w:t> </w:t>
            </w:r>
          </w:p>
        </w:tc>
      </w:tr>
      <w:tr w:rsidR="00000000" w14:paraId="3A181A93" w14:textId="77777777">
        <w:tc>
          <w:tcPr>
            <w:tcW w:w="0" w:type="auto"/>
            <w:hideMark/>
          </w:tcPr>
          <w:p w14:paraId="60F4C8DB" w14:textId="77777777" w:rsidR="00000000" w:rsidRDefault="001826C1">
            <w:pPr>
              <w:jc w:val="both"/>
              <w:rPr>
                <w:rFonts w:eastAsia="Times New Roman"/>
                <w:sz w:val="20"/>
                <w:szCs w:val="20"/>
              </w:rPr>
            </w:pPr>
            <w:r>
              <w:rPr>
                <w:rFonts w:eastAsia="Times New Roman"/>
                <w:sz w:val="20"/>
                <w:szCs w:val="20"/>
              </w:rPr>
              <w:t>10.4 *</w:t>
            </w:r>
          </w:p>
        </w:tc>
        <w:tc>
          <w:tcPr>
            <w:tcW w:w="0" w:type="auto"/>
            <w:hideMark/>
          </w:tcPr>
          <w:p w14:paraId="29CA5F5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3B74D2A" w14:textId="77777777" w:rsidR="00000000" w:rsidRDefault="001826C1">
            <w:pPr>
              <w:jc w:val="both"/>
              <w:rPr>
                <w:rFonts w:eastAsia="Times New Roman"/>
                <w:sz w:val="20"/>
                <w:szCs w:val="20"/>
              </w:rPr>
            </w:pPr>
            <w:hyperlink r:id="rId33" w:history="1">
              <w:r>
                <w:rPr>
                  <w:rStyle w:val="a4"/>
                  <w:rFonts w:eastAsia="Times New Roman"/>
                  <w:sz w:val="20"/>
                  <w:szCs w:val="20"/>
                </w:rPr>
                <w:t>Form of Restricted Stock Unit Agreement under Amended and Restated Equity Incentive Plan (filed as Exhibit 10.3 to Amendment No. 1 to the Company’s Form S-1 filed on April 7, 2014, and incorporated herein by reference).</w:t>
              </w:r>
            </w:hyperlink>
          </w:p>
        </w:tc>
      </w:tr>
      <w:tr w:rsidR="00000000" w14:paraId="323965D7" w14:textId="77777777">
        <w:tc>
          <w:tcPr>
            <w:tcW w:w="0" w:type="auto"/>
            <w:hideMark/>
          </w:tcPr>
          <w:p w14:paraId="49C05CD5"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3B632A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FC1A08F" w14:textId="77777777" w:rsidR="00000000" w:rsidRDefault="001826C1">
            <w:pPr>
              <w:jc w:val="both"/>
              <w:rPr>
                <w:rFonts w:eastAsia="Times New Roman"/>
                <w:sz w:val="20"/>
                <w:szCs w:val="20"/>
              </w:rPr>
            </w:pPr>
            <w:r>
              <w:rPr>
                <w:rFonts w:eastAsia="Times New Roman"/>
                <w:sz w:val="20"/>
                <w:szCs w:val="20"/>
              </w:rPr>
              <w:t> </w:t>
            </w:r>
          </w:p>
        </w:tc>
      </w:tr>
      <w:tr w:rsidR="00000000" w14:paraId="5BDE7104" w14:textId="77777777">
        <w:tc>
          <w:tcPr>
            <w:tcW w:w="0" w:type="auto"/>
            <w:hideMark/>
          </w:tcPr>
          <w:p w14:paraId="5F04C56A" w14:textId="77777777" w:rsidR="00000000" w:rsidRDefault="001826C1">
            <w:pPr>
              <w:jc w:val="both"/>
              <w:rPr>
                <w:rFonts w:eastAsia="Times New Roman"/>
                <w:sz w:val="20"/>
                <w:szCs w:val="20"/>
              </w:rPr>
            </w:pPr>
            <w:r>
              <w:rPr>
                <w:rFonts w:eastAsia="Times New Roman"/>
                <w:sz w:val="20"/>
                <w:szCs w:val="20"/>
              </w:rPr>
              <w:t>10.5 *</w:t>
            </w:r>
          </w:p>
        </w:tc>
        <w:tc>
          <w:tcPr>
            <w:tcW w:w="0" w:type="auto"/>
            <w:hideMark/>
          </w:tcPr>
          <w:p w14:paraId="55166B5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81FED46" w14:textId="77777777" w:rsidR="00000000" w:rsidRDefault="001826C1">
            <w:pPr>
              <w:jc w:val="both"/>
              <w:rPr>
                <w:rFonts w:eastAsia="Times New Roman"/>
                <w:sz w:val="20"/>
                <w:szCs w:val="20"/>
              </w:rPr>
            </w:pPr>
            <w:hyperlink r:id="rId34" w:history="1">
              <w:r>
                <w:rPr>
                  <w:rStyle w:val="a4"/>
                  <w:rFonts w:eastAsia="Times New Roman"/>
                  <w:sz w:val="20"/>
                  <w:szCs w:val="20"/>
                </w:rPr>
                <w:t xml:space="preserve">Form of Restricted Stock Award Agreement under the Amended and Restated Equity Incentive Plan (filed as Exhibit 10.12 to the Company’s Form 10-K filed on </w:t>
              </w:r>
              <w:r>
                <w:rPr>
                  <w:rStyle w:val="a4"/>
                  <w:rFonts w:eastAsia="Times New Roman"/>
                  <w:sz w:val="20"/>
                  <w:szCs w:val="20"/>
                </w:rPr>
                <w:t>March 24, 2016, and incorporated herein by reference).</w:t>
              </w:r>
            </w:hyperlink>
          </w:p>
        </w:tc>
      </w:tr>
      <w:tr w:rsidR="00000000" w14:paraId="05850398" w14:textId="77777777">
        <w:tc>
          <w:tcPr>
            <w:tcW w:w="0" w:type="auto"/>
            <w:hideMark/>
          </w:tcPr>
          <w:p w14:paraId="7FA2977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B98C6F5"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F15770D" w14:textId="77777777" w:rsidR="00000000" w:rsidRDefault="001826C1">
            <w:pPr>
              <w:jc w:val="both"/>
              <w:rPr>
                <w:rFonts w:eastAsia="Times New Roman"/>
                <w:sz w:val="20"/>
                <w:szCs w:val="20"/>
              </w:rPr>
            </w:pPr>
            <w:r>
              <w:rPr>
                <w:rFonts w:eastAsia="Times New Roman"/>
                <w:sz w:val="20"/>
                <w:szCs w:val="20"/>
              </w:rPr>
              <w:t> </w:t>
            </w:r>
          </w:p>
        </w:tc>
      </w:tr>
      <w:tr w:rsidR="00000000" w14:paraId="02ADD4B6" w14:textId="77777777">
        <w:tc>
          <w:tcPr>
            <w:tcW w:w="0" w:type="auto"/>
            <w:hideMark/>
          </w:tcPr>
          <w:p w14:paraId="5AE797D6" w14:textId="77777777" w:rsidR="00000000" w:rsidRDefault="001826C1">
            <w:pPr>
              <w:jc w:val="both"/>
              <w:rPr>
                <w:rFonts w:eastAsia="Times New Roman"/>
                <w:sz w:val="20"/>
                <w:szCs w:val="20"/>
              </w:rPr>
            </w:pPr>
            <w:r>
              <w:rPr>
                <w:rFonts w:eastAsia="Times New Roman"/>
                <w:sz w:val="20"/>
                <w:szCs w:val="20"/>
              </w:rPr>
              <w:t>10.6</w:t>
            </w:r>
          </w:p>
        </w:tc>
        <w:tc>
          <w:tcPr>
            <w:tcW w:w="0" w:type="auto"/>
            <w:hideMark/>
          </w:tcPr>
          <w:p w14:paraId="01B8E0B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C9246AB" w14:textId="77777777" w:rsidR="00000000" w:rsidRDefault="001826C1">
            <w:pPr>
              <w:jc w:val="both"/>
              <w:rPr>
                <w:rFonts w:eastAsia="Times New Roman"/>
                <w:sz w:val="20"/>
                <w:szCs w:val="20"/>
              </w:rPr>
            </w:pPr>
            <w:hyperlink r:id="rId35" w:history="1">
              <w:r>
                <w:rPr>
                  <w:rStyle w:val="a4"/>
                  <w:rFonts w:eastAsia="Times New Roman"/>
                  <w:sz w:val="20"/>
                  <w:szCs w:val="20"/>
                </w:rPr>
                <w:t>Lease between Company and Mahmud Haq with respect to offices located at 7 Clyde Road,</w:t>
              </w:r>
              <w:r>
                <w:rPr>
                  <w:rStyle w:val="a4"/>
                  <w:rFonts w:eastAsia="Times New Roman"/>
                  <w:sz w:val="20"/>
                  <w:szCs w:val="20"/>
                </w:rPr>
                <w:t xml:space="preserve"> Somerset, NJ 08873 (filed as Exhibit 10.4 to the Company’s Form S-1 filed on December 20, 2013, and incorporated herein by reference).</w:t>
              </w:r>
            </w:hyperlink>
          </w:p>
        </w:tc>
      </w:tr>
      <w:tr w:rsidR="00000000" w14:paraId="22E11941" w14:textId="77777777">
        <w:tc>
          <w:tcPr>
            <w:tcW w:w="0" w:type="auto"/>
            <w:hideMark/>
          </w:tcPr>
          <w:p w14:paraId="61C5F24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1EC756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76182BA" w14:textId="77777777" w:rsidR="00000000" w:rsidRDefault="001826C1">
            <w:pPr>
              <w:jc w:val="both"/>
              <w:rPr>
                <w:rFonts w:eastAsia="Times New Roman"/>
                <w:sz w:val="20"/>
                <w:szCs w:val="20"/>
              </w:rPr>
            </w:pPr>
            <w:r>
              <w:rPr>
                <w:rFonts w:eastAsia="Times New Roman"/>
                <w:sz w:val="20"/>
                <w:szCs w:val="20"/>
              </w:rPr>
              <w:t> </w:t>
            </w:r>
          </w:p>
        </w:tc>
      </w:tr>
      <w:tr w:rsidR="00000000" w14:paraId="1D574E04" w14:textId="77777777">
        <w:tc>
          <w:tcPr>
            <w:tcW w:w="0" w:type="auto"/>
            <w:hideMark/>
          </w:tcPr>
          <w:p w14:paraId="30928A83" w14:textId="77777777" w:rsidR="00000000" w:rsidRDefault="001826C1">
            <w:pPr>
              <w:jc w:val="both"/>
              <w:rPr>
                <w:rFonts w:eastAsia="Times New Roman"/>
                <w:sz w:val="20"/>
                <w:szCs w:val="20"/>
              </w:rPr>
            </w:pPr>
            <w:r>
              <w:rPr>
                <w:rFonts w:eastAsia="Times New Roman"/>
                <w:sz w:val="20"/>
                <w:szCs w:val="20"/>
              </w:rPr>
              <w:t>10.7 *</w:t>
            </w:r>
          </w:p>
        </w:tc>
        <w:tc>
          <w:tcPr>
            <w:tcW w:w="0" w:type="auto"/>
            <w:hideMark/>
          </w:tcPr>
          <w:p w14:paraId="00D88A6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E42377C" w14:textId="77777777" w:rsidR="00000000" w:rsidRDefault="001826C1">
            <w:pPr>
              <w:jc w:val="both"/>
              <w:rPr>
                <w:rFonts w:eastAsia="Times New Roman"/>
                <w:sz w:val="20"/>
                <w:szCs w:val="20"/>
              </w:rPr>
            </w:pPr>
            <w:hyperlink r:id="rId36" w:history="1">
              <w:r>
                <w:rPr>
                  <w:rStyle w:val="a4"/>
                  <w:rFonts w:eastAsia="Times New Roman"/>
                  <w:sz w:val="20"/>
                  <w:szCs w:val="20"/>
                </w:rPr>
                <w:t>Employment</w:t>
              </w:r>
              <w:r>
                <w:rPr>
                  <w:rStyle w:val="a4"/>
                  <w:rFonts w:eastAsia="Times New Roman"/>
                  <w:sz w:val="20"/>
                  <w:szCs w:val="20"/>
                </w:rPr>
                <w:t xml:space="preserve"> Agreement between the Company and Mahmud Haq dated as of May 1, 2018 (filed as Exhibit 10.1 to the Company’s Form 8-K filed on May 7, 2018, and incorporated herein by reference).</w:t>
              </w:r>
            </w:hyperlink>
          </w:p>
        </w:tc>
      </w:tr>
      <w:tr w:rsidR="00000000" w14:paraId="4EB6A7D1" w14:textId="77777777">
        <w:tc>
          <w:tcPr>
            <w:tcW w:w="0" w:type="auto"/>
            <w:hideMark/>
          </w:tcPr>
          <w:p w14:paraId="3958B6C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B67A3EE"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20897DB" w14:textId="77777777" w:rsidR="00000000" w:rsidRDefault="001826C1">
            <w:pPr>
              <w:jc w:val="both"/>
              <w:rPr>
                <w:rFonts w:eastAsia="Times New Roman"/>
                <w:sz w:val="20"/>
                <w:szCs w:val="20"/>
              </w:rPr>
            </w:pPr>
            <w:r>
              <w:rPr>
                <w:rFonts w:eastAsia="Times New Roman"/>
                <w:sz w:val="20"/>
                <w:szCs w:val="20"/>
              </w:rPr>
              <w:t> </w:t>
            </w:r>
          </w:p>
        </w:tc>
      </w:tr>
      <w:tr w:rsidR="00000000" w14:paraId="72AE98BE" w14:textId="77777777">
        <w:tc>
          <w:tcPr>
            <w:tcW w:w="0" w:type="auto"/>
            <w:hideMark/>
          </w:tcPr>
          <w:p w14:paraId="5050CF1F" w14:textId="77777777" w:rsidR="00000000" w:rsidRDefault="001826C1">
            <w:pPr>
              <w:jc w:val="both"/>
              <w:rPr>
                <w:rFonts w:eastAsia="Times New Roman"/>
                <w:sz w:val="20"/>
                <w:szCs w:val="20"/>
              </w:rPr>
            </w:pPr>
            <w:r>
              <w:rPr>
                <w:rFonts w:eastAsia="Times New Roman"/>
                <w:sz w:val="20"/>
                <w:szCs w:val="20"/>
              </w:rPr>
              <w:t>10.8 *</w:t>
            </w:r>
          </w:p>
        </w:tc>
        <w:tc>
          <w:tcPr>
            <w:tcW w:w="0" w:type="auto"/>
            <w:hideMark/>
          </w:tcPr>
          <w:p w14:paraId="4726BC1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409AFEB" w14:textId="77777777" w:rsidR="00000000" w:rsidRDefault="001826C1">
            <w:pPr>
              <w:jc w:val="both"/>
              <w:rPr>
                <w:rFonts w:eastAsia="Times New Roman"/>
                <w:sz w:val="20"/>
                <w:szCs w:val="20"/>
              </w:rPr>
            </w:pPr>
            <w:hyperlink r:id="rId37" w:history="1">
              <w:r>
                <w:rPr>
                  <w:rStyle w:val="a4"/>
                  <w:rFonts w:eastAsia="Times New Roman"/>
                  <w:sz w:val="20"/>
                  <w:szCs w:val="20"/>
                </w:rPr>
                <w:t>Employment Agreement between the Company and Stephen Snyder dated as of May 1, 2018 (filed as Exhibit 10.2 to the Company’s Form 8-K filed on May 7, 2018, and inco</w:t>
              </w:r>
              <w:r>
                <w:rPr>
                  <w:rStyle w:val="a4"/>
                  <w:rFonts w:eastAsia="Times New Roman"/>
                  <w:sz w:val="20"/>
                  <w:szCs w:val="20"/>
                </w:rPr>
                <w:t>rporated herein by reference).</w:t>
              </w:r>
            </w:hyperlink>
          </w:p>
        </w:tc>
      </w:tr>
      <w:tr w:rsidR="00000000" w14:paraId="2EDFCB38" w14:textId="77777777">
        <w:tc>
          <w:tcPr>
            <w:tcW w:w="0" w:type="auto"/>
            <w:hideMark/>
          </w:tcPr>
          <w:p w14:paraId="2F26B114"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A64101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BC99180" w14:textId="77777777" w:rsidR="00000000" w:rsidRDefault="001826C1">
            <w:pPr>
              <w:jc w:val="both"/>
              <w:rPr>
                <w:rFonts w:eastAsia="Times New Roman"/>
                <w:sz w:val="20"/>
                <w:szCs w:val="20"/>
              </w:rPr>
            </w:pPr>
            <w:r>
              <w:rPr>
                <w:rFonts w:eastAsia="Times New Roman"/>
                <w:sz w:val="20"/>
                <w:szCs w:val="20"/>
              </w:rPr>
              <w:t> </w:t>
            </w:r>
          </w:p>
        </w:tc>
      </w:tr>
      <w:tr w:rsidR="00000000" w14:paraId="780F53AC" w14:textId="77777777">
        <w:tc>
          <w:tcPr>
            <w:tcW w:w="0" w:type="auto"/>
            <w:hideMark/>
          </w:tcPr>
          <w:p w14:paraId="5A83F696" w14:textId="77777777" w:rsidR="00000000" w:rsidRDefault="001826C1">
            <w:pPr>
              <w:jc w:val="both"/>
              <w:rPr>
                <w:rFonts w:eastAsia="Times New Roman"/>
                <w:sz w:val="20"/>
                <w:szCs w:val="20"/>
              </w:rPr>
            </w:pPr>
            <w:r>
              <w:rPr>
                <w:rFonts w:eastAsia="Times New Roman"/>
                <w:sz w:val="20"/>
                <w:szCs w:val="20"/>
              </w:rPr>
              <w:t>10.9 *</w:t>
            </w:r>
          </w:p>
        </w:tc>
        <w:tc>
          <w:tcPr>
            <w:tcW w:w="0" w:type="auto"/>
            <w:hideMark/>
          </w:tcPr>
          <w:p w14:paraId="1397D12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23EA366" w14:textId="77777777" w:rsidR="00000000" w:rsidRDefault="001826C1">
            <w:pPr>
              <w:jc w:val="both"/>
              <w:rPr>
                <w:rFonts w:eastAsia="Times New Roman"/>
                <w:sz w:val="20"/>
                <w:szCs w:val="20"/>
              </w:rPr>
            </w:pPr>
            <w:hyperlink r:id="rId38" w:history="1">
              <w:r>
                <w:rPr>
                  <w:rStyle w:val="a4"/>
                  <w:rFonts w:eastAsia="Times New Roman"/>
                  <w:sz w:val="20"/>
                  <w:szCs w:val="20"/>
                </w:rPr>
                <w:t>Employment Agreement between the Company and A. Hadi Chaudhry dated as of May 1, 2018 (filed as Exhibit 10.3 to the</w:t>
              </w:r>
              <w:r>
                <w:rPr>
                  <w:rStyle w:val="a4"/>
                  <w:rFonts w:eastAsia="Times New Roman"/>
                  <w:sz w:val="20"/>
                  <w:szCs w:val="20"/>
                </w:rPr>
                <w:t xml:space="preserve"> Company’s Form 8-K filed on May 7, 2018, and incorporated herein by reference).</w:t>
              </w:r>
            </w:hyperlink>
          </w:p>
        </w:tc>
      </w:tr>
      <w:tr w:rsidR="00000000" w14:paraId="414B4BCA" w14:textId="77777777">
        <w:tc>
          <w:tcPr>
            <w:tcW w:w="0" w:type="auto"/>
            <w:hideMark/>
          </w:tcPr>
          <w:p w14:paraId="7F09E29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946DDD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EB8C430" w14:textId="77777777" w:rsidR="00000000" w:rsidRDefault="001826C1">
            <w:pPr>
              <w:jc w:val="both"/>
              <w:rPr>
                <w:rFonts w:eastAsia="Times New Roman"/>
                <w:sz w:val="20"/>
                <w:szCs w:val="20"/>
              </w:rPr>
            </w:pPr>
            <w:r>
              <w:rPr>
                <w:rFonts w:eastAsia="Times New Roman"/>
                <w:sz w:val="20"/>
                <w:szCs w:val="20"/>
              </w:rPr>
              <w:t> </w:t>
            </w:r>
          </w:p>
        </w:tc>
      </w:tr>
      <w:tr w:rsidR="00000000" w14:paraId="431DB331" w14:textId="77777777">
        <w:tc>
          <w:tcPr>
            <w:tcW w:w="0" w:type="auto"/>
            <w:hideMark/>
          </w:tcPr>
          <w:p w14:paraId="00A76305" w14:textId="77777777" w:rsidR="00000000" w:rsidRDefault="001826C1">
            <w:pPr>
              <w:jc w:val="both"/>
              <w:rPr>
                <w:rFonts w:eastAsia="Times New Roman"/>
                <w:sz w:val="20"/>
                <w:szCs w:val="20"/>
              </w:rPr>
            </w:pPr>
            <w:r>
              <w:rPr>
                <w:rFonts w:eastAsia="Times New Roman"/>
                <w:sz w:val="20"/>
                <w:szCs w:val="20"/>
              </w:rPr>
              <w:t>10.10 *</w:t>
            </w:r>
          </w:p>
        </w:tc>
        <w:tc>
          <w:tcPr>
            <w:tcW w:w="0" w:type="auto"/>
            <w:hideMark/>
          </w:tcPr>
          <w:p w14:paraId="308E7A1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4EF15A1" w14:textId="77777777" w:rsidR="00000000" w:rsidRDefault="001826C1">
            <w:pPr>
              <w:jc w:val="both"/>
              <w:rPr>
                <w:rFonts w:eastAsia="Times New Roman"/>
                <w:sz w:val="20"/>
                <w:szCs w:val="20"/>
              </w:rPr>
            </w:pPr>
            <w:hyperlink r:id="rId39" w:history="1">
              <w:r>
                <w:rPr>
                  <w:rStyle w:val="a4"/>
                  <w:rFonts w:eastAsia="Times New Roman"/>
                  <w:sz w:val="20"/>
                  <w:szCs w:val="20"/>
                </w:rPr>
                <w:t xml:space="preserve">Employment Agreement between the Company and Bill Korn dated as </w:t>
              </w:r>
              <w:r>
                <w:rPr>
                  <w:rStyle w:val="a4"/>
                  <w:rFonts w:eastAsia="Times New Roman"/>
                  <w:sz w:val="20"/>
                  <w:szCs w:val="20"/>
                </w:rPr>
                <w:t>of May 1, 2018 (filed as Exhibit 10.4 to the Company’s Form 8-K filed on May 7, 2018, and incorporated herein by reference).</w:t>
              </w:r>
            </w:hyperlink>
          </w:p>
        </w:tc>
      </w:tr>
      <w:tr w:rsidR="00000000" w14:paraId="46F4B533" w14:textId="77777777">
        <w:tc>
          <w:tcPr>
            <w:tcW w:w="0" w:type="auto"/>
            <w:hideMark/>
          </w:tcPr>
          <w:p w14:paraId="65703DF5"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E05D41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0A577E0" w14:textId="77777777" w:rsidR="00000000" w:rsidRDefault="001826C1">
            <w:pPr>
              <w:jc w:val="both"/>
              <w:rPr>
                <w:rFonts w:eastAsia="Times New Roman"/>
                <w:sz w:val="20"/>
                <w:szCs w:val="20"/>
              </w:rPr>
            </w:pPr>
            <w:r>
              <w:rPr>
                <w:rFonts w:eastAsia="Times New Roman"/>
                <w:sz w:val="20"/>
                <w:szCs w:val="20"/>
              </w:rPr>
              <w:t> </w:t>
            </w:r>
          </w:p>
        </w:tc>
      </w:tr>
      <w:tr w:rsidR="00000000" w14:paraId="34F86466" w14:textId="77777777">
        <w:tc>
          <w:tcPr>
            <w:tcW w:w="0" w:type="auto"/>
            <w:hideMark/>
          </w:tcPr>
          <w:p w14:paraId="34D843CA" w14:textId="77777777" w:rsidR="00000000" w:rsidRDefault="001826C1">
            <w:pPr>
              <w:jc w:val="both"/>
              <w:rPr>
                <w:rFonts w:eastAsia="Times New Roman"/>
                <w:sz w:val="20"/>
                <w:szCs w:val="20"/>
              </w:rPr>
            </w:pPr>
            <w:r>
              <w:rPr>
                <w:rFonts w:eastAsia="Times New Roman"/>
                <w:sz w:val="20"/>
                <w:szCs w:val="20"/>
              </w:rPr>
              <w:t>10.11</w:t>
            </w:r>
          </w:p>
        </w:tc>
        <w:tc>
          <w:tcPr>
            <w:tcW w:w="0" w:type="auto"/>
            <w:hideMark/>
          </w:tcPr>
          <w:p w14:paraId="67AD633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1C31B3B" w14:textId="77777777" w:rsidR="00000000" w:rsidRDefault="001826C1">
            <w:pPr>
              <w:jc w:val="both"/>
              <w:rPr>
                <w:rFonts w:eastAsia="Times New Roman"/>
                <w:sz w:val="20"/>
                <w:szCs w:val="20"/>
              </w:rPr>
            </w:pPr>
            <w:hyperlink r:id="rId40" w:history="1">
              <w:r>
                <w:rPr>
                  <w:rStyle w:val="a4"/>
                  <w:rFonts w:eastAsia="Times New Roman"/>
                  <w:sz w:val="20"/>
                  <w:szCs w:val="20"/>
                </w:rPr>
                <w:t>Loan and Security Agreement dated as of October 13, 2017 between Medical Transcription Billing, Corp., MTBC Acquisition, Corp. and Silicon Valley Bank (filed as Ex</w:t>
              </w:r>
              <w:r>
                <w:rPr>
                  <w:rStyle w:val="a4"/>
                  <w:rFonts w:eastAsia="Times New Roman"/>
                  <w:sz w:val="20"/>
                  <w:szCs w:val="20"/>
                </w:rPr>
                <w:t>hibit 10.1 to the Company’s Form 8-K filed on October 16, 2017, and incorporated herein by reference).</w:t>
              </w:r>
            </w:hyperlink>
          </w:p>
        </w:tc>
      </w:tr>
      <w:tr w:rsidR="00000000" w14:paraId="33493904" w14:textId="77777777">
        <w:tc>
          <w:tcPr>
            <w:tcW w:w="0" w:type="auto"/>
            <w:hideMark/>
          </w:tcPr>
          <w:p w14:paraId="38307F3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78D298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D7E59D6" w14:textId="77777777" w:rsidR="00000000" w:rsidRDefault="001826C1">
            <w:pPr>
              <w:jc w:val="both"/>
              <w:rPr>
                <w:rFonts w:eastAsia="Times New Roman"/>
                <w:sz w:val="20"/>
                <w:szCs w:val="20"/>
              </w:rPr>
            </w:pPr>
            <w:r>
              <w:rPr>
                <w:rFonts w:eastAsia="Times New Roman"/>
                <w:sz w:val="20"/>
                <w:szCs w:val="20"/>
              </w:rPr>
              <w:t> </w:t>
            </w:r>
          </w:p>
        </w:tc>
      </w:tr>
      <w:tr w:rsidR="00000000" w14:paraId="2FC90313" w14:textId="77777777">
        <w:tc>
          <w:tcPr>
            <w:tcW w:w="0" w:type="auto"/>
            <w:hideMark/>
          </w:tcPr>
          <w:p w14:paraId="1B1D12DE" w14:textId="77777777" w:rsidR="00000000" w:rsidRDefault="001826C1">
            <w:pPr>
              <w:jc w:val="both"/>
              <w:rPr>
                <w:rFonts w:eastAsia="Times New Roman"/>
                <w:sz w:val="20"/>
                <w:szCs w:val="20"/>
              </w:rPr>
            </w:pPr>
            <w:r>
              <w:rPr>
                <w:rFonts w:eastAsia="Times New Roman"/>
                <w:sz w:val="20"/>
                <w:szCs w:val="20"/>
              </w:rPr>
              <w:t>10.12</w:t>
            </w:r>
          </w:p>
        </w:tc>
        <w:tc>
          <w:tcPr>
            <w:tcW w:w="0" w:type="auto"/>
            <w:hideMark/>
          </w:tcPr>
          <w:p w14:paraId="45697BE8"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7AC34207" w14:textId="77777777" w:rsidR="00000000" w:rsidRDefault="001826C1">
            <w:pPr>
              <w:jc w:val="both"/>
              <w:rPr>
                <w:rFonts w:eastAsia="Times New Roman"/>
                <w:sz w:val="20"/>
                <w:szCs w:val="20"/>
              </w:rPr>
            </w:pPr>
            <w:hyperlink r:id="rId41" w:history="1">
              <w:r>
                <w:rPr>
                  <w:rStyle w:val="a4"/>
                  <w:rFonts w:eastAsia="Times New Roman"/>
                  <w:sz w:val="20"/>
                  <w:szCs w:val="20"/>
                </w:rPr>
                <w:t>Joinder and First Loan Modification Agreemen</w:t>
              </w:r>
              <w:r>
                <w:rPr>
                  <w:rStyle w:val="a4"/>
                  <w:rFonts w:eastAsia="Times New Roman"/>
                  <w:sz w:val="20"/>
                  <w:szCs w:val="20"/>
                </w:rPr>
                <w:t>t dated as of September 20, 2018 between Medical Transcription Billing, Corp., MTBC Acquisition, Corp., MTBC Health, Inc. and MTBC Practice Management, Corp. and Silicon Valley Bank (filed as Exhibit 10.1 to the Company’s Form 8-K filed on September 20, 20</w:t>
              </w:r>
              <w:r>
                <w:rPr>
                  <w:rStyle w:val="a4"/>
                  <w:rFonts w:eastAsia="Times New Roman"/>
                  <w:sz w:val="20"/>
                  <w:szCs w:val="20"/>
                </w:rPr>
                <w:t>18, and incorporated herein by reference).</w:t>
              </w:r>
            </w:hyperlink>
          </w:p>
        </w:tc>
      </w:tr>
    </w:tbl>
    <w:p w14:paraId="4D87C58B"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0BE0F2E" w14:textId="77777777">
        <w:trPr>
          <w:divId w:val="357661104"/>
        </w:trPr>
        <w:tc>
          <w:tcPr>
            <w:tcW w:w="5000" w:type="pct"/>
            <w:hideMark/>
          </w:tcPr>
          <w:p w14:paraId="6CB256EF" w14:textId="77777777" w:rsidR="00000000" w:rsidRDefault="001826C1">
            <w:pPr>
              <w:jc w:val="center"/>
              <w:rPr>
                <w:rFonts w:eastAsia="Times New Roman"/>
                <w:sz w:val="20"/>
                <w:szCs w:val="20"/>
              </w:rPr>
            </w:pPr>
            <w:r>
              <w:rPr>
                <w:rFonts w:eastAsia="Times New Roman"/>
                <w:sz w:val="20"/>
                <w:szCs w:val="20"/>
              </w:rPr>
              <w:t>5</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01EF3807" w14:textId="77777777">
        <w:tc>
          <w:tcPr>
            <w:tcW w:w="5000" w:type="pct"/>
            <w:hideMark/>
          </w:tcPr>
          <w:p w14:paraId="66591107" w14:textId="77777777" w:rsidR="00000000" w:rsidRDefault="001826C1">
            <w:pPr>
              <w:jc w:val="center"/>
              <w:rPr>
                <w:rFonts w:eastAsia="Times New Roman"/>
                <w:sz w:val="20"/>
                <w:szCs w:val="20"/>
              </w:rPr>
            </w:pPr>
            <w:r>
              <w:rPr>
                <w:rFonts w:eastAsia="Times New Roman"/>
                <w:sz w:val="20"/>
                <w:szCs w:val="20"/>
              </w:rPr>
              <w:t> </w:t>
            </w:r>
          </w:p>
        </w:tc>
      </w:tr>
    </w:tbl>
    <w:p w14:paraId="51450908"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216"/>
        <w:gridCol w:w="7010"/>
      </w:tblGrid>
      <w:tr w:rsidR="00000000" w14:paraId="524FA86A" w14:textId="77777777">
        <w:tc>
          <w:tcPr>
            <w:tcW w:w="1080" w:type="dxa"/>
            <w:hideMark/>
          </w:tcPr>
          <w:p w14:paraId="6078635B" w14:textId="77777777" w:rsidR="00000000" w:rsidRDefault="001826C1">
            <w:pPr>
              <w:jc w:val="both"/>
              <w:rPr>
                <w:rFonts w:eastAsia="Times New Roman"/>
                <w:sz w:val="20"/>
                <w:szCs w:val="20"/>
              </w:rPr>
            </w:pPr>
            <w:r>
              <w:rPr>
                <w:rFonts w:eastAsia="Times New Roman"/>
                <w:sz w:val="20"/>
                <w:szCs w:val="20"/>
              </w:rPr>
              <w:t>10.13</w:t>
            </w:r>
          </w:p>
        </w:tc>
        <w:tc>
          <w:tcPr>
            <w:tcW w:w="216" w:type="dxa"/>
            <w:hideMark/>
          </w:tcPr>
          <w:p w14:paraId="058876AD"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5F3D6B71" w14:textId="77777777" w:rsidR="00000000" w:rsidRDefault="001826C1">
            <w:pPr>
              <w:jc w:val="both"/>
              <w:rPr>
                <w:rFonts w:eastAsia="Times New Roman"/>
                <w:sz w:val="20"/>
                <w:szCs w:val="20"/>
              </w:rPr>
            </w:pPr>
            <w:hyperlink r:id="rId42" w:history="1">
              <w:r>
                <w:rPr>
                  <w:rStyle w:val="a4"/>
                  <w:rFonts w:eastAsia="Times New Roman"/>
                  <w:sz w:val="20"/>
                  <w:szCs w:val="20"/>
                </w:rPr>
                <w:t>Asset Purchase Agreement dated March 27, 2019, by and between MTBC-Med, Inc., and Etransmedia Technology, Inc., et. al. (filed as Exhibit 10.1 to the Company’s Form 8-K filed on March 28, 2019, and incorporated herein by reference).</w:t>
              </w:r>
            </w:hyperlink>
          </w:p>
        </w:tc>
      </w:tr>
      <w:tr w:rsidR="00000000" w14:paraId="5CCEFF6C" w14:textId="77777777">
        <w:tc>
          <w:tcPr>
            <w:tcW w:w="0" w:type="auto"/>
            <w:hideMark/>
          </w:tcPr>
          <w:p w14:paraId="54FCC69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05B9821"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54E7D479" w14:textId="77777777" w:rsidR="00000000" w:rsidRDefault="001826C1">
            <w:pPr>
              <w:jc w:val="both"/>
              <w:rPr>
                <w:rFonts w:eastAsia="Times New Roman"/>
                <w:sz w:val="20"/>
                <w:szCs w:val="20"/>
              </w:rPr>
            </w:pPr>
            <w:r>
              <w:rPr>
                <w:rFonts w:eastAsia="Times New Roman"/>
                <w:sz w:val="20"/>
                <w:szCs w:val="20"/>
              </w:rPr>
              <w:t> </w:t>
            </w:r>
          </w:p>
        </w:tc>
      </w:tr>
      <w:tr w:rsidR="00000000" w14:paraId="05D62A56" w14:textId="77777777">
        <w:tc>
          <w:tcPr>
            <w:tcW w:w="0" w:type="auto"/>
            <w:hideMark/>
          </w:tcPr>
          <w:p w14:paraId="0C29B5D1" w14:textId="77777777" w:rsidR="00000000" w:rsidRDefault="001826C1">
            <w:pPr>
              <w:jc w:val="both"/>
              <w:rPr>
                <w:rFonts w:eastAsia="Times New Roman"/>
                <w:sz w:val="20"/>
                <w:szCs w:val="20"/>
              </w:rPr>
            </w:pPr>
            <w:r>
              <w:rPr>
                <w:rFonts w:eastAsia="Times New Roman"/>
                <w:sz w:val="20"/>
                <w:szCs w:val="20"/>
              </w:rPr>
              <w:t>10.14</w:t>
            </w:r>
          </w:p>
        </w:tc>
        <w:tc>
          <w:tcPr>
            <w:tcW w:w="0" w:type="auto"/>
            <w:hideMark/>
          </w:tcPr>
          <w:p w14:paraId="3730D5C3"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67857493" w14:textId="77777777" w:rsidR="00000000" w:rsidRDefault="001826C1">
            <w:pPr>
              <w:jc w:val="both"/>
              <w:rPr>
                <w:rFonts w:eastAsia="Times New Roman"/>
                <w:sz w:val="20"/>
                <w:szCs w:val="20"/>
              </w:rPr>
            </w:pPr>
            <w:hyperlink r:id="rId43" w:history="1">
              <w:r>
                <w:rPr>
                  <w:rStyle w:val="a4"/>
                  <w:rFonts w:eastAsia="Times New Roman"/>
                  <w:sz w:val="20"/>
                  <w:szCs w:val="20"/>
                </w:rPr>
                <w:t xml:space="preserve">Amended and Restated Asset Purchase Agreement dated April 3, 2019, by and between MTBC-Med, Inc., and Etransmedia Technology, Inc., et. al. (filed as Exhibit 10.1 to the </w:t>
              </w:r>
              <w:r>
                <w:rPr>
                  <w:rStyle w:val="a4"/>
                  <w:rFonts w:eastAsia="Times New Roman"/>
                  <w:sz w:val="20"/>
                  <w:szCs w:val="20"/>
                </w:rPr>
                <w:t>Company’s Form 8-K filed on April 4, 2019, and incorporated herein by reference).</w:t>
              </w:r>
            </w:hyperlink>
          </w:p>
        </w:tc>
      </w:tr>
      <w:tr w:rsidR="00000000" w14:paraId="67EAF7F7" w14:textId="77777777">
        <w:tc>
          <w:tcPr>
            <w:tcW w:w="0" w:type="auto"/>
            <w:hideMark/>
          </w:tcPr>
          <w:p w14:paraId="0422CD2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626306F"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421CDA2E" w14:textId="77777777" w:rsidR="00000000" w:rsidRDefault="001826C1">
            <w:pPr>
              <w:jc w:val="both"/>
              <w:rPr>
                <w:rFonts w:eastAsia="Times New Roman"/>
                <w:sz w:val="20"/>
                <w:szCs w:val="20"/>
              </w:rPr>
            </w:pPr>
            <w:r>
              <w:rPr>
                <w:rFonts w:eastAsia="Times New Roman"/>
                <w:sz w:val="20"/>
                <w:szCs w:val="20"/>
              </w:rPr>
              <w:t> </w:t>
            </w:r>
          </w:p>
        </w:tc>
      </w:tr>
      <w:tr w:rsidR="00000000" w14:paraId="1E3EB658" w14:textId="77777777">
        <w:tc>
          <w:tcPr>
            <w:tcW w:w="0" w:type="auto"/>
            <w:hideMark/>
          </w:tcPr>
          <w:p w14:paraId="3C37B617" w14:textId="77777777" w:rsidR="00000000" w:rsidRDefault="001826C1">
            <w:pPr>
              <w:jc w:val="both"/>
              <w:rPr>
                <w:rFonts w:eastAsia="Times New Roman"/>
                <w:sz w:val="20"/>
                <w:szCs w:val="20"/>
              </w:rPr>
            </w:pPr>
            <w:r>
              <w:rPr>
                <w:rFonts w:eastAsia="Times New Roman"/>
                <w:sz w:val="20"/>
                <w:szCs w:val="20"/>
              </w:rPr>
              <w:t>10.15</w:t>
            </w:r>
          </w:p>
        </w:tc>
        <w:tc>
          <w:tcPr>
            <w:tcW w:w="0" w:type="auto"/>
            <w:hideMark/>
          </w:tcPr>
          <w:p w14:paraId="405177C2"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106C1A6E" w14:textId="77777777" w:rsidR="00000000" w:rsidRDefault="001826C1">
            <w:pPr>
              <w:jc w:val="both"/>
              <w:rPr>
                <w:rFonts w:eastAsia="Times New Roman"/>
                <w:sz w:val="20"/>
                <w:szCs w:val="20"/>
              </w:rPr>
            </w:pPr>
            <w:hyperlink r:id="rId44" w:history="1">
              <w:r>
                <w:rPr>
                  <w:rStyle w:val="a4"/>
                  <w:rFonts w:eastAsia="Times New Roman"/>
                  <w:sz w:val="20"/>
                  <w:szCs w:val="20"/>
                </w:rPr>
                <w:t>Second Loan Modification Agreement dated November 15, 2019, by and</w:t>
              </w:r>
              <w:r>
                <w:rPr>
                  <w:rStyle w:val="a4"/>
                  <w:rFonts w:eastAsia="Times New Roman"/>
                  <w:sz w:val="20"/>
                  <w:szCs w:val="20"/>
                </w:rPr>
                <w:t xml:space="preserve"> between the Company and SVB (filed as Exhibit 1.1 to the Company’s Form 8-K filed on November 21, 2019, and incorporated herein by reference).</w:t>
              </w:r>
            </w:hyperlink>
          </w:p>
        </w:tc>
      </w:tr>
      <w:tr w:rsidR="00000000" w14:paraId="23B4E316" w14:textId="77777777">
        <w:tc>
          <w:tcPr>
            <w:tcW w:w="0" w:type="auto"/>
            <w:hideMark/>
          </w:tcPr>
          <w:p w14:paraId="66E6134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37E654F"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43014B5C" w14:textId="77777777" w:rsidR="00000000" w:rsidRDefault="001826C1">
            <w:pPr>
              <w:jc w:val="both"/>
              <w:rPr>
                <w:rFonts w:eastAsia="Times New Roman"/>
                <w:sz w:val="20"/>
                <w:szCs w:val="20"/>
              </w:rPr>
            </w:pPr>
            <w:r>
              <w:rPr>
                <w:rFonts w:eastAsia="Times New Roman"/>
                <w:sz w:val="20"/>
                <w:szCs w:val="20"/>
              </w:rPr>
              <w:t> </w:t>
            </w:r>
          </w:p>
        </w:tc>
      </w:tr>
      <w:tr w:rsidR="00000000" w14:paraId="08D33D76" w14:textId="77777777">
        <w:tc>
          <w:tcPr>
            <w:tcW w:w="0" w:type="auto"/>
            <w:hideMark/>
          </w:tcPr>
          <w:p w14:paraId="6D789496" w14:textId="77777777" w:rsidR="00000000" w:rsidRDefault="001826C1">
            <w:pPr>
              <w:jc w:val="both"/>
              <w:rPr>
                <w:rFonts w:eastAsia="Times New Roman"/>
                <w:sz w:val="20"/>
                <w:szCs w:val="20"/>
              </w:rPr>
            </w:pPr>
            <w:r>
              <w:rPr>
                <w:rFonts w:eastAsia="Times New Roman"/>
                <w:sz w:val="20"/>
                <w:szCs w:val="20"/>
              </w:rPr>
              <w:t>10.16</w:t>
            </w:r>
          </w:p>
        </w:tc>
        <w:tc>
          <w:tcPr>
            <w:tcW w:w="0" w:type="auto"/>
            <w:hideMark/>
          </w:tcPr>
          <w:p w14:paraId="45E93747"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1EFA7124" w14:textId="77777777" w:rsidR="00000000" w:rsidRDefault="001826C1">
            <w:pPr>
              <w:jc w:val="both"/>
              <w:rPr>
                <w:rFonts w:eastAsia="Times New Roman"/>
                <w:sz w:val="20"/>
                <w:szCs w:val="20"/>
              </w:rPr>
            </w:pPr>
            <w:hyperlink r:id="rId45" w:history="1">
              <w:r>
                <w:rPr>
                  <w:rStyle w:val="a4"/>
                  <w:rFonts w:eastAsia="Times New Roman"/>
                  <w:sz w:val="20"/>
                  <w:szCs w:val="20"/>
                </w:rPr>
                <w:t>Joinder and Third Loan Modification Agreement dated as of February 28, 2020 between MTBC, Inc., MTBC Acquisition Corp., MTBC Health, Inc. and MTBC Practice Management Corp., MTBC-Med, Inc., CareCloud Corporation and Silicon Valley Bank.</w:t>
              </w:r>
            </w:hyperlink>
          </w:p>
        </w:tc>
      </w:tr>
      <w:tr w:rsidR="00000000" w14:paraId="53FE7856" w14:textId="77777777">
        <w:tc>
          <w:tcPr>
            <w:tcW w:w="0" w:type="auto"/>
            <w:hideMark/>
          </w:tcPr>
          <w:p w14:paraId="2AE9810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B06D27C"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2FC5D80F" w14:textId="77777777" w:rsidR="00000000" w:rsidRDefault="001826C1">
            <w:pPr>
              <w:jc w:val="both"/>
              <w:rPr>
                <w:rFonts w:eastAsia="Times New Roman"/>
                <w:sz w:val="20"/>
                <w:szCs w:val="20"/>
              </w:rPr>
            </w:pPr>
            <w:r>
              <w:rPr>
                <w:rFonts w:eastAsia="Times New Roman"/>
                <w:sz w:val="20"/>
                <w:szCs w:val="20"/>
              </w:rPr>
              <w:t> </w:t>
            </w:r>
          </w:p>
        </w:tc>
      </w:tr>
      <w:tr w:rsidR="00000000" w14:paraId="3EA58C3D" w14:textId="77777777">
        <w:tc>
          <w:tcPr>
            <w:tcW w:w="0" w:type="auto"/>
            <w:hideMark/>
          </w:tcPr>
          <w:p w14:paraId="645B609E" w14:textId="77777777" w:rsidR="00000000" w:rsidRDefault="001826C1">
            <w:pPr>
              <w:jc w:val="both"/>
              <w:rPr>
                <w:rFonts w:eastAsia="Times New Roman"/>
                <w:sz w:val="20"/>
                <w:szCs w:val="20"/>
              </w:rPr>
            </w:pPr>
            <w:r>
              <w:rPr>
                <w:rFonts w:eastAsia="Times New Roman"/>
                <w:sz w:val="20"/>
                <w:szCs w:val="20"/>
              </w:rPr>
              <w:t>10.17</w:t>
            </w:r>
          </w:p>
        </w:tc>
        <w:tc>
          <w:tcPr>
            <w:tcW w:w="0" w:type="auto"/>
            <w:hideMark/>
          </w:tcPr>
          <w:p w14:paraId="20968463"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49618E86" w14:textId="77777777" w:rsidR="00000000" w:rsidRDefault="001826C1">
            <w:pPr>
              <w:jc w:val="both"/>
              <w:rPr>
                <w:rFonts w:eastAsia="Times New Roman"/>
                <w:sz w:val="20"/>
                <w:szCs w:val="20"/>
              </w:rPr>
            </w:pPr>
            <w:hyperlink r:id="rId46" w:history="1">
              <w:r>
                <w:rPr>
                  <w:rStyle w:val="a4"/>
                  <w:rFonts w:eastAsia="Times New Roman"/>
                  <w:sz w:val="20"/>
                  <w:szCs w:val="20"/>
                </w:rPr>
                <w:t>Escrow Agreement dated January 8, 2020 by and among MTBC, Inc., Runway Growth Credit Fund Inc., and TD Bank</w:t>
              </w:r>
            </w:hyperlink>
          </w:p>
        </w:tc>
      </w:tr>
      <w:tr w:rsidR="00000000" w14:paraId="539DA949" w14:textId="77777777">
        <w:tc>
          <w:tcPr>
            <w:tcW w:w="0" w:type="auto"/>
            <w:hideMark/>
          </w:tcPr>
          <w:p w14:paraId="7001C6AA"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F2F650B"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2843FF16" w14:textId="77777777" w:rsidR="00000000" w:rsidRDefault="001826C1">
            <w:pPr>
              <w:jc w:val="both"/>
              <w:rPr>
                <w:rFonts w:eastAsia="Times New Roman"/>
                <w:sz w:val="20"/>
                <w:szCs w:val="20"/>
              </w:rPr>
            </w:pPr>
            <w:r>
              <w:rPr>
                <w:rFonts w:eastAsia="Times New Roman"/>
                <w:sz w:val="20"/>
                <w:szCs w:val="20"/>
              </w:rPr>
              <w:t> </w:t>
            </w:r>
          </w:p>
        </w:tc>
      </w:tr>
      <w:tr w:rsidR="00000000" w14:paraId="7690C93E" w14:textId="77777777">
        <w:tc>
          <w:tcPr>
            <w:tcW w:w="0" w:type="auto"/>
            <w:hideMark/>
          </w:tcPr>
          <w:p w14:paraId="62743B7F" w14:textId="77777777" w:rsidR="00000000" w:rsidRDefault="001826C1">
            <w:pPr>
              <w:jc w:val="both"/>
              <w:rPr>
                <w:rFonts w:eastAsia="Times New Roman"/>
                <w:sz w:val="20"/>
                <w:szCs w:val="20"/>
              </w:rPr>
            </w:pPr>
            <w:r>
              <w:rPr>
                <w:rFonts w:eastAsia="Times New Roman"/>
                <w:sz w:val="20"/>
                <w:szCs w:val="20"/>
              </w:rPr>
              <w:t>21.1</w:t>
            </w:r>
          </w:p>
        </w:tc>
        <w:tc>
          <w:tcPr>
            <w:tcW w:w="0" w:type="auto"/>
            <w:hideMark/>
          </w:tcPr>
          <w:p w14:paraId="201B5925"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5437AA65" w14:textId="77777777" w:rsidR="00000000" w:rsidRDefault="001826C1">
            <w:pPr>
              <w:jc w:val="both"/>
              <w:rPr>
                <w:rFonts w:eastAsia="Times New Roman"/>
                <w:sz w:val="20"/>
                <w:szCs w:val="20"/>
              </w:rPr>
            </w:pPr>
            <w:hyperlink r:id="rId47" w:history="1">
              <w:r>
                <w:rPr>
                  <w:rStyle w:val="a4"/>
                  <w:rFonts w:eastAsia="Times New Roman"/>
                  <w:sz w:val="20"/>
                  <w:szCs w:val="20"/>
                </w:rPr>
                <w:t>List of subsidiaries.</w:t>
              </w:r>
            </w:hyperlink>
          </w:p>
        </w:tc>
      </w:tr>
      <w:tr w:rsidR="00000000" w14:paraId="20474B63" w14:textId="77777777">
        <w:tc>
          <w:tcPr>
            <w:tcW w:w="0" w:type="auto"/>
            <w:hideMark/>
          </w:tcPr>
          <w:p w14:paraId="2B854696"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2F1B419"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7D96E11F" w14:textId="77777777" w:rsidR="00000000" w:rsidRDefault="001826C1">
            <w:pPr>
              <w:jc w:val="both"/>
              <w:rPr>
                <w:rFonts w:eastAsia="Times New Roman"/>
                <w:sz w:val="20"/>
                <w:szCs w:val="20"/>
              </w:rPr>
            </w:pPr>
            <w:r>
              <w:rPr>
                <w:rFonts w:eastAsia="Times New Roman"/>
                <w:sz w:val="20"/>
                <w:szCs w:val="20"/>
              </w:rPr>
              <w:t> </w:t>
            </w:r>
          </w:p>
        </w:tc>
      </w:tr>
      <w:tr w:rsidR="00000000" w14:paraId="6F62C57A" w14:textId="77777777">
        <w:tc>
          <w:tcPr>
            <w:tcW w:w="0" w:type="auto"/>
            <w:hideMark/>
          </w:tcPr>
          <w:p w14:paraId="6A23E8CF" w14:textId="77777777" w:rsidR="00000000" w:rsidRDefault="001826C1">
            <w:pPr>
              <w:jc w:val="both"/>
              <w:rPr>
                <w:rFonts w:eastAsia="Times New Roman"/>
                <w:sz w:val="20"/>
                <w:szCs w:val="20"/>
              </w:rPr>
            </w:pPr>
            <w:r>
              <w:rPr>
                <w:rFonts w:eastAsia="Times New Roman"/>
                <w:sz w:val="20"/>
                <w:szCs w:val="20"/>
              </w:rPr>
              <w:t>23.1</w:t>
            </w:r>
          </w:p>
        </w:tc>
        <w:tc>
          <w:tcPr>
            <w:tcW w:w="0" w:type="auto"/>
            <w:hideMark/>
          </w:tcPr>
          <w:p w14:paraId="7EA730DA"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6F0A0B5C" w14:textId="77777777" w:rsidR="00000000" w:rsidRDefault="001826C1">
            <w:pPr>
              <w:jc w:val="both"/>
              <w:rPr>
                <w:rFonts w:eastAsia="Times New Roman"/>
                <w:sz w:val="20"/>
                <w:szCs w:val="20"/>
              </w:rPr>
            </w:pPr>
            <w:hyperlink r:id="rId48" w:history="1">
              <w:r>
                <w:rPr>
                  <w:rStyle w:val="a4"/>
                  <w:rFonts w:eastAsia="Times New Roman"/>
                  <w:sz w:val="20"/>
                  <w:szCs w:val="20"/>
                </w:rPr>
                <w:t>Consent of Grant Thornton LLP.</w:t>
              </w:r>
            </w:hyperlink>
          </w:p>
        </w:tc>
      </w:tr>
      <w:tr w:rsidR="00000000" w14:paraId="0DE1DDEC" w14:textId="77777777">
        <w:tc>
          <w:tcPr>
            <w:tcW w:w="0" w:type="auto"/>
            <w:hideMark/>
          </w:tcPr>
          <w:p w14:paraId="3B3EB94E"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057B309"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6F7C47F8" w14:textId="77777777" w:rsidR="00000000" w:rsidRDefault="001826C1">
            <w:pPr>
              <w:jc w:val="both"/>
              <w:rPr>
                <w:rFonts w:eastAsia="Times New Roman"/>
                <w:sz w:val="20"/>
                <w:szCs w:val="20"/>
              </w:rPr>
            </w:pPr>
            <w:r>
              <w:rPr>
                <w:rFonts w:eastAsia="Times New Roman"/>
                <w:sz w:val="20"/>
                <w:szCs w:val="20"/>
              </w:rPr>
              <w:t> </w:t>
            </w:r>
          </w:p>
        </w:tc>
      </w:tr>
      <w:tr w:rsidR="00000000" w14:paraId="3E44FAD2" w14:textId="77777777">
        <w:tc>
          <w:tcPr>
            <w:tcW w:w="0" w:type="auto"/>
            <w:hideMark/>
          </w:tcPr>
          <w:p w14:paraId="2D0B5EB5" w14:textId="77777777" w:rsidR="00000000" w:rsidRDefault="001826C1">
            <w:pPr>
              <w:jc w:val="both"/>
              <w:rPr>
                <w:rFonts w:eastAsia="Times New Roman"/>
                <w:sz w:val="20"/>
                <w:szCs w:val="20"/>
              </w:rPr>
            </w:pPr>
            <w:r>
              <w:rPr>
                <w:rFonts w:eastAsia="Times New Roman"/>
                <w:sz w:val="20"/>
                <w:szCs w:val="20"/>
              </w:rPr>
              <w:t>31.1</w:t>
            </w:r>
          </w:p>
        </w:tc>
        <w:tc>
          <w:tcPr>
            <w:tcW w:w="0" w:type="auto"/>
            <w:hideMark/>
          </w:tcPr>
          <w:p w14:paraId="283D1388"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4A2310B6" w14:textId="77777777" w:rsidR="00000000" w:rsidRDefault="001826C1">
            <w:pPr>
              <w:jc w:val="both"/>
              <w:rPr>
                <w:rFonts w:eastAsia="Times New Roman"/>
                <w:sz w:val="20"/>
                <w:szCs w:val="20"/>
              </w:rPr>
            </w:pPr>
            <w:hyperlink r:id="rId49" w:history="1">
              <w:r>
                <w:rPr>
                  <w:rStyle w:val="a4"/>
                  <w:rFonts w:eastAsia="Times New Roman"/>
                  <w:sz w:val="20"/>
                  <w:szCs w:val="20"/>
                </w:rPr>
                <w:t>Certification of the Company’</w:t>
              </w:r>
              <w:r>
                <w:rPr>
                  <w:rStyle w:val="a4"/>
                  <w:rFonts w:eastAsia="Times New Roman"/>
                  <w:sz w:val="20"/>
                  <w:szCs w:val="20"/>
                </w:rPr>
                <w:t>s Principal Executive Officer pursuant to Exchange Act Rules 13a-14(a)/15d-14(a), of the Securities Exchange Act of 1934, as amended.</w:t>
              </w:r>
            </w:hyperlink>
          </w:p>
        </w:tc>
      </w:tr>
      <w:tr w:rsidR="00000000" w14:paraId="656784F6" w14:textId="77777777">
        <w:tc>
          <w:tcPr>
            <w:tcW w:w="0" w:type="auto"/>
            <w:hideMark/>
          </w:tcPr>
          <w:p w14:paraId="775728EC"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5C9CF62"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0A25C0F1" w14:textId="77777777" w:rsidR="00000000" w:rsidRDefault="001826C1">
            <w:pPr>
              <w:jc w:val="both"/>
              <w:rPr>
                <w:rFonts w:eastAsia="Times New Roman"/>
                <w:sz w:val="20"/>
                <w:szCs w:val="20"/>
              </w:rPr>
            </w:pPr>
            <w:r>
              <w:rPr>
                <w:rFonts w:eastAsia="Times New Roman"/>
                <w:sz w:val="20"/>
                <w:szCs w:val="20"/>
              </w:rPr>
              <w:t> </w:t>
            </w:r>
          </w:p>
        </w:tc>
      </w:tr>
      <w:tr w:rsidR="00000000" w14:paraId="36741401" w14:textId="77777777">
        <w:tc>
          <w:tcPr>
            <w:tcW w:w="0" w:type="auto"/>
            <w:hideMark/>
          </w:tcPr>
          <w:p w14:paraId="4F64C009" w14:textId="77777777" w:rsidR="00000000" w:rsidRDefault="001826C1">
            <w:pPr>
              <w:jc w:val="both"/>
              <w:rPr>
                <w:rFonts w:eastAsia="Times New Roman"/>
                <w:sz w:val="20"/>
                <w:szCs w:val="20"/>
              </w:rPr>
            </w:pPr>
            <w:r>
              <w:rPr>
                <w:rFonts w:eastAsia="Times New Roman"/>
                <w:sz w:val="20"/>
                <w:szCs w:val="20"/>
              </w:rPr>
              <w:t>31.2</w:t>
            </w:r>
          </w:p>
        </w:tc>
        <w:tc>
          <w:tcPr>
            <w:tcW w:w="0" w:type="auto"/>
            <w:hideMark/>
          </w:tcPr>
          <w:p w14:paraId="6727FDF9"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04471818" w14:textId="77777777" w:rsidR="00000000" w:rsidRDefault="001826C1">
            <w:pPr>
              <w:jc w:val="both"/>
              <w:rPr>
                <w:rFonts w:eastAsia="Times New Roman"/>
                <w:sz w:val="20"/>
                <w:szCs w:val="20"/>
              </w:rPr>
            </w:pPr>
            <w:hyperlink r:id="rId50" w:history="1">
              <w:r>
                <w:rPr>
                  <w:rStyle w:val="a4"/>
                  <w:rFonts w:eastAsia="Times New Roman"/>
                  <w:sz w:val="20"/>
                  <w:szCs w:val="20"/>
                </w:rPr>
                <w:t xml:space="preserve">Certification of the Company’s Principal Financial Officer pursuant to Exchange </w:t>
              </w:r>
              <w:r>
                <w:rPr>
                  <w:rStyle w:val="a4"/>
                  <w:rFonts w:eastAsia="Times New Roman"/>
                  <w:sz w:val="20"/>
                  <w:szCs w:val="20"/>
                </w:rPr>
                <w:t>Act Rules 13a-14(a)/15d-14(a), of the Securities Exchange Act of 1934, as amended.</w:t>
              </w:r>
            </w:hyperlink>
          </w:p>
        </w:tc>
      </w:tr>
      <w:tr w:rsidR="00000000" w14:paraId="088D5C61" w14:textId="77777777">
        <w:tc>
          <w:tcPr>
            <w:tcW w:w="0" w:type="auto"/>
            <w:hideMark/>
          </w:tcPr>
          <w:p w14:paraId="1E30488D"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3D5C0910"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0ED47B5D" w14:textId="77777777" w:rsidR="00000000" w:rsidRDefault="001826C1">
            <w:pPr>
              <w:jc w:val="both"/>
              <w:rPr>
                <w:rFonts w:eastAsia="Times New Roman"/>
                <w:sz w:val="20"/>
                <w:szCs w:val="20"/>
              </w:rPr>
            </w:pPr>
            <w:r>
              <w:rPr>
                <w:rFonts w:eastAsia="Times New Roman"/>
                <w:sz w:val="20"/>
                <w:szCs w:val="20"/>
              </w:rPr>
              <w:t> </w:t>
            </w:r>
          </w:p>
        </w:tc>
      </w:tr>
      <w:tr w:rsidR="00000000" w14:paraId="287EFF37" w14:textId="77777777">
        <w:tc>
          <w:tcPr>
            <w:tcW w:w="0" w:type="auto"/>
            <w:hideMark/>
          </w:tcPr>
          <w:p w14:paraId="321DB48E" w14:textId="77777777" w:rsidR="00000000" w:rsidRDefault="001826C1">
            <w:pPr>
              <w:jc w:val="both"/>
              <w:rPr>
                <w:rFonts w:eastAsia="Times New Roman"/>
                <w:sz w:val="20"/>
                <w:szCs w:val="20"/>
              </w:rPr>
            </w:pPr>
            <w:r>
              <w:rPr>
                <w:rFonts w:eastAsia="Times New Roman"/>
                <w:sz w:val="20"/>
                <w:szCs w:val="20"/>
              </w:rPr>
              <w:t>32.1</w:t>
            </w:r>
          </w:p>
        </w:tc>
        <w:tc>
          <w:tcPr>
            <w:tcW w:w="0" w:type="auto"/>
            <w:hideMark/>
          </w:tcPr>
          <w:p w14:paraId="38A471B8"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17AB7A49" w14:textId="77777777" w:rsidR="00000000" w:rsidRDefault="001826C1">
            <w:pPr>
              <w:jc w:val="both"/>
              <w:rPr>
                <w:rFonts w:eastAsia="Times New Roman"/>
                <w:sz w:val="20"/>
                <w:szCs w:val="20"/>
              </w:rPr>
            </w:pPr>
            <w:hyperlink r:id="rId51" w:history="1">
              <w:r>
                <w:rPr>
                  <w:rStyle w:val="a4"/>
                  <w:rFonts w:eastAsia="Times New Roman"/>
                  <w:sz w:val="20"/>
                  <w:szCs w:val="20"/>
                </w:rPr>
                <w:t>Certification of the Company’</w:t>
              </w:r>
              <w:r>
                <w:rPr>
                  <w:rStyle w:val="a4"/>
                  <w:rFonts w:eastAsia="Times New Roman"/>
                  <w:sz w:val="20"/>
                  <w:szCs w:val="20"/>
                </w:rPr>
                <w:t>s Chief Executive Officer pursuant to 18 U.S.C. Section 1350, as adopted pursuant to Section 906 of the Sarbanes-Oxley Act of 2002.</w:t>
              </w:r>
            </w:hyperlink>
          </w:p>
        </w:tc>
      </w:tr>
      <w:tr w:rsidR="00000000" w14:paraId="1B9C3745" w14:textId="77777777">
        <w:tc>
          <w:tcPr>
            <w:tcW w:w="0" w:type="auto"/>
            <w:hideMark/>
          </w:tcPr>
          <w:p w14:paraId="2B11996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D36D5A4"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1BAECA86" w14:textId="77777777" w:rsidR="00000000" w:rsidRDefault="001826C1">
            <w:pPr>
              <w:jc w:val="both"/>
              <w:rPr>
                <w:rFonts w:eastAsia="Times New Roman"/>
                <w:sz w:val="20"/>
                <w:szCs w:val="20"/>
              </w:rPr>
            </w:pPr>
            <w:r>
              <w:rPr>
                <w:rFonts w:eastAsia="Times New Roman"/>
                <w:sz w:val="20"/>
                <w:szCs w:val="20"/>
              </w:rPr>
              <w:t> </w:t>
            </w:r>
          </w:p>
        </w:tc>
      </w:tr>
      <w:tr w:rsidR="00000000" w14:paraId="20BC0B01" w14:textId="77777777">
        <w:tc>
          <w:tcPr>
            <w:tcW w:w="0" w:type="auto"/>
            <w:hideMark/>
          </w:tcPr>
          <w:p w14:paraId="53011B92" w14:textId="77777777" w:rsidR="00000000" w:rsidRDefault="001826C1">
            <w:pPr>
              <w:jc w:val="both"/>
              <w:rPr>
                <w:rFonts w:eastAsia="Times New Roman"/>
                <w:sz w:val="20"/>
                <w:szCs w:val="20"/>
              </w:rPr>
            </w:pPr>
            <w:r>
              <w:rPr>
                <w:rFonts w:eastAsia="Times New Roman"/>
                <w:sz w:val="20"/>
                <w:szCs w:val="20"/>
              </w:rPr>
              <w:t>32.2</w:t>
            </w:r>
          </w:p>
        </w:tc>
        <w:tc>
          <w:tcPr>
            <w:tcW w:w="0" w:type="auto"/>
            <w:hideMark/>
          </w:tcPr>
          <w:p w14:paraId="6C8B9125"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414C21DE" w14:textId="77777777" w:rsidR="00000000" w:rsidRDefault="001826C1">
            <w:pPr>
              <w:jc w:val="both"/>
              <w:rPr>
                <w:rFonts w:eastAsia="Times New Roman"/>
                <w:sz w:val="20"/>
                <w:szCs w:val="20"/>
              </w:rPr>
            </w:pPr>
            <w:hyperlink r:id="rId52" w:history="1">
              <w:r>
                <w:rPr>
                  <w:rStyle w:val="a4"/>
                  <w:rFonts w:eastAsia="Times New Roman"/>
                  <w:sz w:val="20"/>
                  <w:szCs w:val="20"/>
                </w:rPr>
                <w:t>Certification of the Company’s Chief Financial Officer pursuant to 18 U.S.C. Secti</w:t>
              </w:r>
              <w:r>
                <w:rPr>
                  <w:rStyle w:val="a4"/>
                  <w:rFonts w:eastAsia="Times New Roman"/>
                  <w:sz w:val="20"/>
                  <w:szCs w:val="20"/>
                </w:rPr>
                <w:t>on 1350, as adopted pursuant to Section 906 of the Sarbanes-Oxley Act of 2002.</w:t>
              </w:r>
            </w:hyperlink>
          </w:p>
        </w:tc>
      </w:tr>
      <w:tr w:rsidR="00000000" w14:paraId="3CDCF592" w14:textId="77777777">
        <w:tc>
          <w:tcPr>
            <w:tcW w:w="0" w:type="auto"/>
            <w:hideMark/>
          </w:tcPr>
          <w:p w14:paraId="68FEF888"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8916B13"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1DC5806F" w14:textId="77777777" w:rsidR="00000000" w:rsidRDefault="001826C1">
            <w:pPr>
              <w:jc w:val="both"/>
              <w:rPr>
                <w:rFonts w:eastAsia="Times New Roman"/>
                <w:sz w:val="20"/>
                <w:szCs w:val="20"/>
              </w:rPr>
            </w:pPr>
            <w:r>
              <w:rPr>
                <w:rFonts w:eastAsia="Times New Roman"/>
                <w:sz w:val="20"/>
                <w:szCs w:val="20"/>
              </w:rPr>
              <w:t> </w:t>
            </w:r>
          </w:p>
        </w:tc>
      </w:tr>
      <w:tr w:rsidR="00000000" w14:paraId="7D290A83" w14:textId="77777777">
        <w:tc>
          <w:tcPr>
            <w:tcW w:w="0" w:type="auto"/>
            <w:hideMark/>
          </w:tcPr>
          <w:p w14:paraId="03C5B450" w14:textId="77777777" w:rsidR="00000000" w:rsidRDefault="001826C1">
            <w:pPr>
              <w:jc w:val="both"/>
              <w:rPr>
                <w:rFonts w:eastAsia="Times New Roman"/>
                <w:sz w:val="20"/>
                <w:szCs w:val="20"/>
              </w:rPr>
            </w:pPr>
            <w:r>
              <w:rPr>
                <w:rFonts w:eastAsia="Times New Roman"/>
                <w:sz w:val="20"/>
                <w:szCs w:val="20"/>
              </w:rPr>
              <w:t>101.INS</w:t>
            </w:r>
          </w:p>
        </w:tc>
        <w:tc>
          <w:tcPr>
            <w:tcW w:w="0" w:type="auto"/>
            <w:hideMark/>
          </w:tcPr>
          <w:p w14:paraId="52A32579"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57E16693" w14:textId="77777777" w:rsidR="00000000" w:rsidRDefault="001826C1">
            <w:pPr>
              <w:jc w:val="both"/>
              <w:rPr>
                <w:rFonts w:eastAsia="Times New Roman"/>
                <w:sz w:val="20"/>
                <w:szCs w:val="20"/>
              </w:rPr>
            </w:pPr>
            <w:r>
              <w:rPr>
                <w:rFonts w:eastAsia="Times New Roman"/>
                <w:sz w:val="20"/>
                <w:szCs w:val="20"/>
              </w:rPr>
              <w:t>XBRL Instance</w:t>
            </w:r>
          </w:p>
        </w:tc>
      </w:tr>
      <w:tr w:rsidR="00000000" w14:paraId="6700A069" w14:textId="77777777">
        <w:tc>
          <w:tcPr>
            <w:tcW w:w="0" w:type="auto"/>
            <w:hideMark/>
          </w:tcPr>
          <w:p w14:paraId="2A85401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4F9BAE7"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0B84215D" w14:textId="77777777" w:rsidR="00000000" w:rsidRDefault="001826C1">
            <w:pPr>
              <w:jc w:val="both"/>
              <w:rPr>
                <w:rFonts w:eastAsia="Times New Roman"/>
                <w:sz w:val="20"/>
                <w:szCs w:val="20"/>
              </w:rPr>
            </w:pPr>
            <w:r>
              <w:rPr>
                <w:rFonts w:eastAsia="Times New Roman"/>
                <w:sz w:val="20"/>
                <w:szCs w:val="20"/>
              </w:rPr>
              <w:t> </w:t>
            </w:r>
          </w:p>
        </w:tc>
      </w:tr>
      <w:tr w:rsidR="00000000" w14:paraId="7773C922" w14:textId="77777777">
        <w:tc>
          <w:tcPr>
            <w:tcW w:w="0" w:type="auto"/>
            <w:hideMark/>
          </w:tcPr>
          <w:p w14:paraId="1E16BBC1" w14:textId="77777777" w:rsidR="00000000" w:rsidRDefault="001826C1">
            <w:pPr>
              <w:jc w:val="both"/>
              <w:rPr>
                <w:rFonts w:eastAsia="Times New Roman"/>
                <w:sz w:val="20"/>
                <w:szCs w:val="20"/>
              </w:rPr>
            </w:pPr>
            <w:r>
              <w:rPr>
                <w:rFonts w:eastAsia="Times New Roman"/>
                <w:sz w:val="20"/>
                <w:szCs w:val="20"/>
              </w:rPr>
              <w:t>101.SCH</w:t>
            </w:r>
          </w:p>
        </w:tc>
        <w:tc>
          <w:tcPr>
            <w:tcW w:w="0" w:type="auto"/>
            <w:hideMark/>
          </w:tcPr>
          <w:p w14:paraId="692DAC4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8365551" w14:textId="77777777" w:rsidR="00000000" w:rsidRDefault="001826C1">
            <w:pPr>
              <w:jc w:val="both"/>
              <w:rPr>
                <w:rFonts w:eastAsia="Times New Roman"/>
                <w:sz w:val="20"/>
                <w:szCs w:val="20"/>
              </w:rPr>
            </w:pPr>
            <w:r>
              <w:rPr>
                <w:rFonts w:eastAsia="Times New Roman"/>
                <w:sz w:val="20"/>
                <w:szCs w:val="20"/>
              </w:rPr>
              <w:t>XBRL Taxonomy Extension Schema</w:t>
            </w:r>
          </w:p>
        </w:tc>
      </w:tr>
      <w:tr w:rsidR="00000000" w14:paraId="41ACE228" w14:textId="77777777">
        <w:tc>
          <w:tcPr>
            <w:tcW w:w="0" w:type="auto"/>
            <w:hideMark/>
          </w:tcPr>
          <w:p w14:paraId="2FF80CD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A119F1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11159BF" w14:textId="77777777" w:rsidR="00000000" w:rsidRDefault="001826C1">
            <w:pPr>
              <w:jc w:val="both"/>
              <w:rPr>
                <w:rFonts w:eastAsia="Times New Roman"/>
                <w:sz w:val="20"/>
                <w:szCs w:val="20"/>
              </w:rPr>
            </w:pPr>
            <w:r>
              <w:rPr>
                <w:rFonts w:eastAsia="Times New Roman"/>
                <w:sz w:val="20"/>
                <w:szCs w:val="20"/>
              </w:rPr>
              <w:t> </w:t>
            </w:r>
          </w:p>
        </w:tc>
      </w:tr>
      <w:tr w:rsidR="00000000" w14:paraId="000E1A69" w14:textId="77777777">
        <w:tc>
          <w:tcPr>
            <w:tcW w:w="0" w:type="auto"/>
            <w:hideMark/>
          </w:tcPr>
          <w:p w14:paraId="206CF66B" w14:textId="77777777" w:rsidR="00000000" w:rsidRDefault="001826C1">
            <w:pPr>
              <w:jc w:val="both"/>
              <w:rPr>
                <w:rFonts w:eastAsia="Times New Roman"/>
                <w:sz w:val="20"/>
                <w:szCs w:val="20"/>
              </w:rPr>
            </w:pPr>
            <w:r>
              <w:rPr>
                <w:rFonts w:eastAsia="Times New Roman"/>
                <w:sz w:val="20"/>
                <w:szCs w:val="20"/>
              </w:rPr>
              <w:t>101.CAL</w:t>
            </w:r>
          </w:p>
        </w:tc>
        <w:tc>
          <w:tcPr>
            <w:tcW w:w="0" w:type="auto"/>
            <w:hideMark/>
          </w:tcPr>
          <w:p w14:paraId="0F363134"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2D0A5290" w14:textId="77777777" w:rsidR="00000000" w:rsidRDefault="001826C1">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Calculation Linkbase</w:t>
            </w:r>
          </w:p>
        </w:tc>
      </w:tr>
      <w:tr w:rsidR="00000000" w14:paraId="5F850282" w14:textId="77777777">
        <w:tc>
          <w:tcPr>
            <w:tcW w:w="0" w:type="auto"/>
            <w:hideMark/>
          </w:tcPr>
          <w:p w14:paraId="3817D52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055A37E8" w14:textId="77777777" w:rsidR="00000000" w:rsidRDefault="001826C1">
            <w:pPr>
              <w:jc w:val="both"/>
              <w:rPr>
                <w:rFonts w:eastAsia="Times New Roman"/>
                <w:sz w:val="20"/>
                <w:szCs w:val="20"/>
              </w:rPr>
            </w:pPr>
            <w:r>
              <w:rPr>
                <w:rFonts w:eastAsia="Times New Roman"/>
                <w:sz w:val="20"/>
                <w:szCs w:val="20"/>
              </w:rPr>
              <w:t> </w:t>
            </w:r>
          </w:p>
        </w:tc>
        <w:tc>
          <w:tcPr>
            <w:tcW w:w="0" w:type="auto"/>
            <w:vAlign w:val="bottom"/>
            <w:hideMark/>
          </w:tcPr>
          <w:p w14:paraId="711F797F" w14:textId="77777777" w:rsidR="00000000" w:rsidRDefault="001826C1">
            <w:pPr>
              <w:jc w:val="both"/>
              <w:rPr>
                <w:rFonts w:eastAsia="Times New Roman"/>
                <w:sz w:val="20"/>
                <w:szCs w:val="20"/>
              </w:rPr>
            </w:pPr>
            <w:r>
              <w:rPr>
                <w:rFonts w:eastAsia="Times New Roman"/>
                <w:sz w:val="20"/>
                <w:szCs w:val="20"/>
              </w:rPr>
              <w:t> </w:t>
            </w:r>
          </w:p>
        </w:tc>
      </w:tr>
      <w:tr w:rsidR="00000000" w14:paraId="658F3042" w14:textId="77777777">
        <w:tc>
          <w:tcPr>
            <w:tcW w:w="0" w:type="auto"/>
            <w:hideMark/>
          </w:tcPr>
          <w:p w14:paraId="0CBE1B5B" w14:textId="77777777" w:rsidR="00000000" w:rsidRDefault="001826C1">
            <w:pPr>
              <w:jc w:val="both"/>
              <w:rPr>
                <w:rFonts w:eastAsia="Times New Roman"/>
                <w:sz w:val="20"/>
                <w:szCs w:val="20"/>
              </w:rPr>
            </w:pPr>
            <w:r>
              <w:rPr>
                <w:rFonts w:eastAsia="Times New Roman"/>
                <w:sz w:val="20"/>
                <w:szCs w:val="20"/>
              </w:rPr>
              <w:t>101.LAB</w:t>
            </w:r>
          </w:p>
        </w:tc>
        <w:tc>
          <w:tcPr>
            <w:tcW w:w="0" w:type="auto"/>
            <w:hideMark/>
          </w:tcPr>
          <w:p w14:paraId="742C3BA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FF8C44A" w14:textId="77777777" w:rsidR="00000000" w:rsidRDefault="001826C1">
            <w:pPr>
              <w:jc w:val="both"/>
              <w:rPr>
                <w:rFonts w:eastAsia="Times New Roman"/>
                <w:sz w:val="20"/>
                <w:szCs w:val="20"/>
              </w:rPr>
            </w:pPr>
            <w:r>
              <w:rPr>
                <w:rFonts w:eastAsia="Times New Roman"/>
                <w:sz w:val="20"/>
                <w:szCs w:val="20"/>
              </w:rPr>
              <w:t>XBRL Taxonomy Extension Label Linkbase</w:t>
            </w:r>
          </w:p>
        </w:tc>
      </w:tr>
      <w:tr w:rsidR="00000000" w14:paraId="6A59478E" w14:textId="77777777">
        <w:tc>
          <w:tcPr>
            <w:tcW w:w="0" w:type="auto"/>
            <w:hideMark/>
          </w:tcPr>
          <w:p w14:paraId="413B4AF7"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AB7AA4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130CBA71" w14:textId="77777777" w:rsidR="00000000" w:rsidRDefault="001826C1">
            <w:pPr>
              <w:jc w:val="both"/>
              <w:rPr>
                <w:rFonts w:eastAsia="Times New Roman"/>
                <w:sz w:val="20"/>
                <w:szCs w:val="20"/>
              </w:rPr>
            </w:pPr>
            <w:r>
              <w:rPr>
                <w:rFonts w:eastAsia="Times New Roman"/>
                <w:sz w:val="20"/>
                <w:szCs w:val="20"/>
              </w:rPr>
              <w:t> </w:t>
            </w:r>
          </w:p>
        </w:tc>
      </w:tr>
      <w:tr w:rsidR="00000000" w14:paraId="67431195" w14:textId="77777777">
        <w:tc>
          <w:tcPr>
            <w:tcW w:w="0" w:type="auto"/>
            <w:hideMark/>
          </w:tcPr>
          <w:p w14:paraId="7E1B0FDD" w14:textId="77777777" w:rsidR="00000000" w:rsidRDefault="001826C1">
            <w:pPr>
              <w:jc w:val="both"/>
              <w:rPr>
                <w:rFonts w:eastAsia="Times New Roman"/>
                <w:sz w:val="20"/>
                <w:szCs w:val="20"/>
              </w:rPr>
            </w:pPr>
            <w:r>
              <w:rPr>
                <w:rFonts w:eastAsia="Times New Roman"/>
                <w:sz w:val="20"/>
                <w:szCs w:val="20"/>
              </w:rPr>
              <w:t>101.PRE</w:t>
            </w:r>
          </w:p>
        </w:tc>
        <w:tc>
          <w:tcPr>
            <w:tcW w:w="0" w:type="auto"/>
            <w:hideMark/>
          </w:tcPr>
          <w:p w14:paraId="6F3C8619"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FF14DD0" w14:textId="77777777" w:rsidR="00000000" w:rsidRDefault="001826C1">
            <w:pPr>
              <w:jc w:val="both"/>
              <w:rPr>
                <w:rFonts w:eastAsia="Times New Roman"/>
                <w:sz w:val="20"/>
                <w:szCs w:val="20"/>
              </w:rPr>
            </w:pPr>
            <w:r>
              <w:rPr>
                <w:rFonts w:eastAsia="Times New Roman"/>
                <w:sz w:val="20"/>
                <w:szCs w:val="20"/>
              </w:rPr>
              <w:t>XBRL Taxonomy Extension Presentation Linkbase</w:t>
            </w:r>
          </w:p>
        </w:tc>
      </w:tr>
      <w:tr w:rsidR="00000000" w14:paraId="2EE52088" w14:textId="77777777">
        <w:tc>
          <w:tcPr>
            <w:tcW w:w="0" w:type="auto"/>
            <w:hideMark/>
          </w:tcPr>
          <w:p w14:paraId="1306660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7861A9F"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EB84969" w14:textId="77777777" w:rsidR="00000000" w:rsidRDefault="001826C1">
            <w:pPr>
              <w:jc w:val="both"/>
              <w:rPr>
                <w:rFonts w:eastAsia="Times New Roman"/>
                <w:sz w:val="20"/>
                <w:szCs w:val="20"/>
              </w:rPr>
            </w:pPr>
            <w:r>
              <w:rPr>
                <w:rFonts w:eastAsia="Times New Roman"/>
                <w:sz w:val="20"/>
                <w:szCs w:val="20"/>
              </w:rPr>
              <w:t> </w:t>
            </w:r>
          </w:p>
        </w:tc>
      </w:tr>
      <w:tr w:rsidR="00000000" w14:paraId="02854BF2" w14:textId="77777777">
        <w:tc>
          <w:tcPr>
            <w:tcW w:w="0" w:type="auto"/>
            <w:hideMark/>
          </w:tcPr>
          <w:p w14:paraId="271DBDBA" w14:textId="77777777" w:rsidR="00000000" w:rsidRDefault="001826C1">
            <w:pPr>
              <w:jc w:val="both"/>
              <w:rPr>
                <w:rFonts w:eastAsia="Times New Roman"/>
                <w:sz w:val="20"/>
                <w:szCs w:val="20"/>
              </w:rPr>
            </w:pPr>
            <w:r>
              <w:rPr>
                <w:rFonts w:eastAsia="Times New Roman"/>
                <w:sz w:val="20"/>
                <w:szCs w:val="20"/>
              </w:rPr>
              <w:t>101.DEF</w:t>
            </w:r>
          </w:p>
        </w:tc>
        <w:tc>
          <w:tcPr>
            <w:tcW w:w="0" w:type="auto"/>
            <w:hideMark/>
          </w:tcPr>
          <w:p w14:paraId="3B044483"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DC53B6B" w14:textId="77777777" w:rsidR="00000000" w:rsidRDefault="001826C1">
            <w:pPr>
              <w:jc w:val="both"/>
              <w:rPr>
                <w:rFonts w:eastAsia="Times New Roman"/>
                <w:sz w:val="20"/>
                <w:szCs w:val="20"/>
              </w:rPr>
            </w:pPr>
            <w:r>
              <w:rPr>
                <w:rFonts w:eastAsia="Times New Roman"/>
                <w:sz w:val="20"/>
                <w:szCs w:val="20"/>
              </w:rPr>
              <w:t xml:space="preserve">XBRL </w:t>
            </w:r>
            <w:r>
              <w:rPr>
                <w:rFonts w:eastAsia="Times New Roman"/>
                <w:sz w:val="20"/>
                <w:szCs w:val="20"/>
              </w:rPr>
              <w:t>Taxonomy Extension Definition Linkbase</w:t>
            </w:r>
          </w:p>
        </w:tc>
      </w:tr>
    </w:tbl>
    <w:p w14:paraId="4EBF2EBF" w14:textId="77777777" w:rsidR="00000000" w:rsidRDefault="001826C1">
      <w:pPr>
        <w:pStyle w:val="a3"/>
        <w:spacing w:before="0" w:beforeAutospacing="0" w:after="0" w:afterAutospacing="0"/>
        <w:jc w:val="both"/>
        <w:rPr>
          <w:sz w:val="20"/>
          <w:szCs w:val="20"/>
        </w:rPr>
      </w:pPr>
      <w:r>
        <w:rPr>
          <w:sz w:val="20"/>
          <w:szCs w:val="20"/>
        </w:rPr>
        <w:t> </w:t>
      </w:r>
    </w:p>
    <w:p w14:paraId="17713932" w14:textId="77777777" w:rsidR="00000000" w:rsidRDefault="001826C1">
      <w:pPr>
        <w:pStyle w:val="a3"/>
        <w:spacing w:before="0" w:beforeAutospacing="0" w:after="0" w:afterAutospacing="0"/>
        <w:jc w:val="both"/>
        <w:rPr>
          <w:sz w:val="20"/>
          <w:szCs w:val="20"/>
        </w:rPr>
      </w:pPr>
      <w:r>
        <w:rPr>
          <w:sz w:val="20"/>
          <w:szCs w:val="20"/>
        </w:rPr>
        <w:t>* Indicates management contract or compensatory plan or arrangement.</w:t>
      </w:r>
    </w:p>
    <w:p w14:paraId="6DABFB8B" w14:textId="77777777" w:rsidR="00000000" w:rsidRDefault="001826C1">
      <w:pPr>
        <w:pStyle w:val="a3"/>
        <w:spacing w:before="0" w:beforeAutospacing="0" w:after="0" w:afterAutospacing="0"/>
        <w:jc w:val="both"/>
        <w:rPr>
          <w:sz w:val="20"/>
          <w:szCs w:val="20"/>
        </w:rPr>
      </w:pPr>
      <w:r>
        <w:rPr>
          <w:sz w:val="20"/>
          <w:szCs w:val="20"/>
        </w:rPr>
        <w:t> </w:t>
      </w:r>
    </w:p>
    <w:p w14:paraId="79DDEF2A" w14:textId="77777777" w:rsidR="00000000" w:rsidRDefault="001826C1">
      <w:pPr>
        <w:pStyle w:val="a3"/>
        <w:spacing w:before="0" w:beforeAutospacing="0" w:after="0" w:afterAutospacing="0"/>
        <w:jc w:val="both"/>
        <w:rPr>
          <w:sz w:val="20"/>
          <w:szCs w:val="20"/>
        </w:rPr>
      </w:pPr>
      <w:r>
        <w:rPr>
          <w:sz w:val="20"/>
          <w:szCs w:val="20"/>
        </w:rPr>
        <w:t>The certifications on Exhibit 32 hereto are deemed not “filed” for purposes of Section 18 of the Securities and Exchange Act of 1934, as amende</w:t>
      </w:r>
      <w:r>
        <w:rPr>
          <w:sz w:val="20"/>
          <w:szCs w:val="20"/>
        </w:rPr>
        <w:t>d, or otherwise subject to the liability of that Section. Such certifications will not be deemed incorporated by reference into any filing under the Securities Act or the Exchange Act.</w:t>
      </w:r>
    </w:p>
    <w:p w14:paraId="522D1F35"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18B984E" w14:textId="77777777">
        <w:trPr>
          <w:divId w:val="2127195388"/>
        </w:trPr>
        <w:tc>
          <w:tcPr>
            <w:tcW w:w="5000" w:type="pct"/>
            <w:hideMark/>
          </w:tcPr>
          <w:p w14:paraId="28132553" w14:textId="77777777" w:rsidR="00000000" w:rsidRDefault="001826C1">
            <w:pPr>
              <w:jc w:val="center"/>
              <w:rPr>
                <w:rFonts w:eastAsia="Times New Roman"/>
                <w:sz w:val="20"/>
                <w:szCs w:val="20"/>
              </w:rPr>
            </w:pPr>
            <w:r>
              <w:rPr>
                <w:rFonts w:eastAsia="Times New Roman"/>
                <w:sz w:val="20"/>
                <w:szCs w:val="20"/>
              </w:rPr>
              <w:t>5</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3DC060EE" w14:textId="77777777">
        <w:tc>
          <w:tcPr>
            <w:tcW w:w="5000" w:type="pct"/>
            <w:hideMark/>
          </w:tcPr>
          <w:p w14:paraId="635E8FD2" w14:textId="77777777" w:rsidR="00000000" w:rsidRDefault="001826C1">
            <w:pPr>
              <w:jc w:val="center"/>
              <w:rPr>
                <w:rFonts w:eastAsia="Times New Roman"/>
                <w:sz w:val="20"/>
                <w:szCs w:val="20"/>
              </w:rPr>
            </w:pPr>
            <w:r>
              <w:rPr>
                <w:rFonts w:eastAsia="Times New Roman"/>
                <w:sz w:val="20"/>
                <w:szCs w:val="20"/>
              </w:rPr>
              <w:t> </w:t>
            </w:r>
          </w:p>
        </w:tc>
      </w:tr>
    </w:tbl>
    <w:p w14:paraId="18535026" w14:textId="77777777" w:rsidR="00000000" w:rsidRDefault="001826C1">
      <w:pPr>
        <w:pStyle w:val="a3"/>
        <w:spacing w:before="0" w:beforeAutospacing="0" w:after="0" w:afterAutospacing="0"/>
        <w:jc w:val="center"/>
        <w:rPr>
          <w:sz w:val="20"/>
          <w:szCs w:val="20"/>
        </w:rPr>
      </w:pPr>
      <w:r>
        <w:rPr>
          <w:b/>
          <w:bCs/>
          <w:sz w:val="20"/>
          <w:szCs w:val="20"/>
        </w:rPr>
        <w:t> </w:t>
      </w:r>
    </w:p>
    <w:p w14:paraId="4F36726F" w14:textId="77777777" w:rsidR="00000000" w:rsidRDefault="001826C1">
      <w:pPr>
        <w:pStyle w:val="a3"/>
        <w:spacing w:before="0" w:beforeAutospacing="0" w:after="0" w:afterAutospacing="0"/>
        <w:jc w:val="center"/>
        <w:rPr>
          <w:b/>
          <w:bCs/>
          <w:sz w:val="20"/>
          <w:szCs w:val="20"/>
        </w:rPr>
      </w:pPr>
      <w:bookmarkStart w:id="24" w:name="a_023"/>
      <w:bookmarkEnd w:id="24"/>
      <w:r>
        <w:rPr>
          <w:b/>
          <w:bCs/>
          <w:sz w:val="20"/>
          <w:szCs w:val="20"/>
        </w:rPr>
        <w:t>Signatures</w:t>
      </w:r>
    </w:p>
    <w:p w14:paraId="76D0E1BD" w14:textId="77777777" w:rsidR="00000000" w:rsidRDefault="001826C1">
      <w:pPr>
        <w:pStyle w:val="a3"/>
        <w:spacing w:before="0" w:beforeAutospacing="0" w:after="0" w:afterAutospacing="0"/>
        <w:jc w:val="center"/>
        <w:rPr>
          <w:sz w:val="20"/>
          <w:szCs w:val="20"/>
        </w:rPr>
      </w:pPr>
      <w:r>
        <w:rPr>
          <w:sz w:val="20"/>
          <w:szCs w:val="20"/>
        </w:rPr>
        <w:t> </w:t>
      </w:r>
    </w:p>
    <w:p w14:paraId="4671128F" w14:textId="77777777" w:rsidR="00000000" w:rsidRDefault="001826C1">
      <w:pPr>
        <w:pStyle w:val="a3"/>
        <w:spacing w:before="0" w:beforeAutospacing="0" w:after="0" w:afterAutospacing="0"/>
        <w:jc w:val="both"/>
        <w:rPr>
          <w:sz w:val="20"/>
          <w:szCs w:val="20"/>
        </w:rPr>
      </w:pPr>
      <w:r>
        <w:rPr>
          <w:sz w:val="20"/>
          <w:szCs w:val="20"/>
        </w:rPr>
        <w:t xml:space="preserve">Pursuant </w:t>
      </w:r>
      <w:r>
        <w:rPr>
          <w:sz w:val="20"/>
          <w:szCs w:val="20"/>
        </w:rPr>
        <w:t>to the requirements of Section 13 or 15(d) of the Securities Exchange Act of 1934, the Registrant has duly caused this report to be signed on its behalf by the undersigned, thereunto duly authorized.</w:t>
      </w:r>
    </w:p>
    <w:p w14:paraId="7AE1DE5F"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3"/>
        <w:gridCol w:w="289"/>
        <w:gridCol w:w="3884"/>
      </w:tblGrid>
      <w:tr w:rsidR="00000000" w14:paraId="3414865A" w14:textId="77777777">
        <w:tc>
          <w:tcPr>
            <w:tcW w:w="0" w:type="auto"/>
            <w:hideMark/>
          </w:tcPr>
          <w:p w14:paraId="461CEE54" w14:textId="77777777" w:rsidR="00000000" w:rsidRDefault="001826C1">
            <w:pPr>
              <w:rPr>
                <w:rFonts w:eastAsia="Times New Roman"/>
                <w:sz w:val="20"/>
                <w:szCs w:val="20"/>
              </w:rPr>
            </w:pPr>
            <w:r>
              <w:rPr>
                <w:rFonts w:eastAsia="Times New Roman"/>
                <w:sz w:val="20"/>
                <w:szCs w:val="20"/>
              </w:rPr>
              <w:t> </w:t>
            </w:r>
          </w:p>
        </w:tc>
        <w:tc>
          <w:tcPr>
            <w:tcW w:w="0" w:type="auto"/>
            <w:gridSpan w:val="2"/>
            <w:hideMark/>
          </w:tcPr>
          <w:p w14:paraId="5EEFE441" w14:textId="77777777" w:rsidR="00000000" w:rsidRDefault="001826C1">
            <w:pPr>
              <w:rPr>
                <w:rFonts w:eastAsia="Times New Roman"/>
                <w:sz w:val="20"/>
                <w:szCs w:val="20"/>
              </w:rPr>
            </w:pPr>
            <w:r>
              <w:rPr>
                <w:rFonts w:eastAsia="Times New Roman"/>
                <w:sz w:val="20"/>
                <w:szCs w:val="20"/>
              </w:rPr>
              <w:t>MTBC, Inc.</w:t>
            </w:r>
          </w:p>
        </w:tc>
      </w:tr>
      <w:tr w:rsidR="00000000" w14:paraId="3049B9DF" w14:textId="77777777">
        <w:tc>
          <w:tcPr>
            <w:tcW w:w="2500" w:type="pct"/>
            <w:hideMark/>
          </w:tcPr>
          <w:p w14:paraId="12730463" w14:textId="77777777" w:rsidR="00000000" w:rsidRDefault="001826C1">
            <w:pPr>
              <w:rPr>
                <w:rFonts w:eastAsia="Times New Roman"/>
                <w:sz w:val="20"/>
                <w:szCs w:val="20"/>
              </w:rPr>
            </w:pPr>
            <w:r>
              <w:rPr>
                <w:rFonts w:eastAsia="Times New Roman"/>
                <w:sz w:val="20"/>
                <w:szCs w:val="20"/>
              </w:rPr>
              <w:t> </w:t>
            </w:r>
          </w:p>
        </w:tc>
        <w:tc>
          <w:tcPr>
            <w:tcW w:w="150" w:type="pct"/>
            <w:hideMark/>
          </w:tcPr>
          <w:p w14:paraId="617C0DB3" w14:textId="77777777" w:rsidR="00000000" w:rsidRDefault="001826C1">
            <w:pPr>
              <w:rPr>
                <w:rFonts w:eastAsia="Times New Roman"/>
                <w:sz w:val="20"/>
                <w:szCs w:val="20"/>
              </w:rPr>
            </w:pPr>
            <w:r>
              <w:rPr>
                <w:rFonts w:eastAsia="Times New Roman"/>
                <w:sz w:val="20"/>
                <w:szCs w:val="20"/>
              </w:rPr>
              <w:t> </w:t>
            </w:r>
          </w:p>
        </w:tc>
        <w:tc>
          <w:tcPr>
            <w:tcW w:w="2350" w:type="pct"/>
            <w:hideMark/>
          </w:tcPr>
          <w:p w14:paraId="6F266DA8" w14:textId="77777777" w:rsidR="00000000" w:rsidRDefault="001826C1">
            <w:pPr>
              <w:rPr>
                <w:rFonts w:eastAsia="Times New Roman"/>
                <w:sz w:val="20"/>
                <w:szCs w:val="20"/>
              </w:rPr>
            </w:pPr>
            <w:r>
              <w:rPr>
                <w:rFonts w:eastAsia="Times New Roman"/>
                <w:sz w:val="20"/>
                <w:szCs w:val="20"/>
              </w:rPr>
              <w:t> </w:t>
            </w:r>
          </w:p>
        </w:tc>
      </w:tr>
      <w:tr w:rsidR="00000000" w14:paraId="01BF1A35" w14:textId="77777777">
        <w:tc>
          <w:tcPr>
            <w:tcW w:w="0" w:type="auto"/>
            <w:tcMar>
              <w:top w:w="0" w:type="dxa"/>
              <w:left w:w="0" w:type="dxa"/>
              <w:bottom w:w="30" w:type="dxa"/>
              <w:right w:w="0" w:type="dxa"/>
            </w:tcMar>
            <w:hideMark/>
          </w:tcPr>
          <w:p w14:paraId="176C72F6"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682FDC4" w14:textId="77777777" w:rsidR="00000000" w:rsidRDefault="001826C1">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5A4E1D18" w14:textId="77777777" w:rsidR="00000000" w:rsidRDefault="001826C1">
            <w:pPr>
              <w:rPr>
                <w:rFonts w:eastAsia="Times New Roman"/>
                <w:sz w:val="20"/>
                <w:szCs w:val="20"/>
              </w:rPr>
            </w:pPr>
            <w:r>
              <w:rPr>
                <w:rFonts w:eastAsia="Times New Roman"/>
                <w:i/>
                <w:iCs/>
                <w:sz w:val="20"/>
                <w:szCs w:val="20"/>
              </w:rPr>
              <w:t xml:space="preserve">/s/ </w:t>
            </w:r>
            <w:r>
              <w:rPr>
                <w:rFonts w:eastAsia="Times New Roman"/>
                <w:i/>
                <w:iCs/>
                <w:sz w:val="20"/>
                <w:szCs w:val="20"/>
              </w:rPr>
              <w:t>Stephen Snyder</w:t>
            </w:r>
          </w:p>
        </w:tc>
      </w:tr>
      <w:tr w:rsidR="00000000" w14:paraId="2040C5AA" w14:textId="77777777">
        <w:tc>
          <w:tcPr>
            <w:tcW w:w="0" w:type="auto"/>
            <w:hideMark/>
          </w:tcPr>
          <w:p w14:paraId="1B5D19BB" w14:textId="77777777" w:rsidR="00000000" w:rsidRDefault="001826C1">
            <w:pPr>
              <w:rPr>
                <w:rFonts w:eastAsia="Times New Roman"/>
                <w:sz w:val="20"/>
                <w:szCs w:val="20"/>
              </w:rPr>
            </w:pPr>
            <w:r>
              <w:rPr>
                <w:rFonts w:eastAsia="Times New Roman"/>
                <w:sz w:val="20"/>
                <w:szCs w:val="20"/>
              </w:rPr>
              <w:t> </w:t>
            </w:r>
          </w:p>
        </w:tc>
        <w:tc>
          <w:tcPr>
            <w:tcW w:w="0" w:type="auto"/>
            <w:hideMark/>
          </w:tcPr>
          <w:p w14:paraId="5DB0D06F" w14:textId="77777777" w:rsidR="00000000" w:rsidRDefault="001826C1">
            <w:pPr>
              <w:rPr>
                <w:rFonts w:eastAsia="Times New Roman"/>
                <w:sz w:val="20"/>
                <w:szCs w:val="20"/>
              </w:rPr>
            </w:pPr>
            <w:r>
              <w:rPr>
                <w:rFonts w:eastAsia="Times New Roman"/>
                <w:sz w:val="20"/>
                <w:szCs w:val="20"/>
              </w:rPr>
              <w:t> </w:t>
            </w:r>
          </w:p>
        </w:tc>
        <w:tc>
          <w:tcPr>
            <w:tcW w:w="0" w:type="auto"/>
            <w:hideMark/>
          </w:tcPr>
          <w:p w14:paraId="63391753" w14:textId="77777777" w:rsidR="00000000" w:rsidRDefault="001826C1">
            <w:pPr>
              <w:rPr>
                <w:rFonts w:eastAsia="Times New Roman"/>
                <w:sz w:val="20"/>
                <w:szCs w:val="20"/>
              </w:rPr>
            </w:pPr>
            <w:r>
              <w:rPr>
                <w:rFonts w:eastAsia="Times New Roman"/>
                <w:sz w:val="20"/>
                <w:szCs w:val="20"/>
              </w:rPr>
              <w:t>Stephen Snyder</w:t>
            </w:r>
          </w:p>
        </w:tc>
      </w:tr>
      <w:tr w:rsidR="00000000" w14:paraId="302EE0D2" w14:textId="77777777">
        <w:tc>
          <w:tcPr>
            <w:tcW w:w="0" w:type="auto"/>
            <w:hideMark/>
          </w:tcPr>
          <w:p w14:paraId="6FEBBD8E" w14:textId="77777777" w:rsidR="00000000" w:rsidRDefault="001826C1">
            <w:pPr>
              <w:rPr>
                <w:rFonts w:eastAsia="Times New Roman"/>
                <w:sz w:val="20"/>
                <w:szCs w:val="20"/>
              </w:rPr>
            </w:pPr>
            <w:r>
              <w:rPr>
                <w:rFonts w:eastAsia="Times New Roman"/>
                <w:sz w:val="20"/>
                <w:szCs w:val="20"/>
              </w:rPr>
              <w:t> </w:t>
            </w:r>
          </w:p>
        </w:tc>
        <w:tc>
          <w:tcPr>
            <w:tcW w:w="0" w:type="auto"/>
            <w:hideMark/>
          </w:tcPr>
          <w:p w14:paraId="41D3F6A2" w14:textId="77777777" w:rsidR="00000000" w:rsidRDefault="001826C1">
            <w:pPr>
              <w:rPr>
                <w:rFonts w:eastAsia="Times New Roman"/>
                <w:sz w:val="20"/>
                <w:szCs w:val="20"/>
              </w:rPr>
            </w:pPr>
            <w:r>
              <w:rPr>
                <w:rFonts w:eastAsia="Times New Roman"/>
                <w:sz w:val="20"/>
                <w:szCs w:val="20"/>
              </w:rPr>
              <w:t> </w:t>
            </w:r>
          </w:p>
        </w:tc>
        <w:tc>
          <w:tcPr>
            <w:tcW w:w="0" w:type="auto"/>
            <w:hideMark/>
          </w:tcPr>
          <w:p w14:paraId="7BA97D0A" w14:textId="77777777" w:rsidR="00000000" w:rsidRDefault="001826C1">
            <w:pPr>
              <w:rPr>
                <w:rFonts w:eastAsia="Times New Roman"/>
                <w:sz w:val="20"/>
                <w:szCs w:val="20"/>
              </w:rPr>
            </w:pPr>
            <w:r>
              <w:rPr>
                <w:rFonts w:eastAsia="Times New Roman"/>
                <w:sz w:val="20"/>
                <w:szCs w:val="20"/>
              </w:rPr>
              <w:t>Chief Executive Officer</w:t>
            </w:r>
          </w:p>
        </w:tc>
      </w:tr>
      <w:tr w:rsidR="00000000" w14:paraId="26D47AEE" w14:textId="77777777">
        <w:tc>
          <w:tcPr>
            <w:tcW w:w="0" w:type="auto"/>
            <w:hideMark/>
          </w:tcPr>
          <w:p w14:paraId="11739941" w14:textId="77777777" w:rsidR="00000000" w:rsidRDefault="001826C1">
            <w:pPr>
              <w:rPr>
                <w:rFonts w:eastAsia="Times New Roman"/>
                <w:sz w:val="20"/>
                <w:szCs w:val="20"/>
              </w:rPr>
            </w:pPr>
            <w:r>
              <w:rPr>
                <w:rFonts w:eastAsia="Times New Roman"/>
                <w:sz w:val="20"/>
                <w:szCs w:val="20"/>
              </w:rPr>
              <w:t> </w:t>
            </w:r>
          </w:p>
        </w:tc>
        <w:tc>
          <w:tcPr>
            <w:tcW w:w="0" w:type="auto"/>
            <w:hideMark/>
          </w:tcPr>
          <w:p w14:paraId="1ACB1899" w14:textId="77777777" w:rsidR="00000000" w:rsidRDefault="001826C1">
            <w:pPr>
              <w:rPr>
                <w:rFonts w:eastAsia="Times New Roman"/>
                <w:sz w:val="20"/>
                <w:szCs w:val="20"/>
              </w:rPr>
            </w:pPr>
            <w:r>
              <w:rPr>
                <w:rFonts w:eastAsia="Times New Roman"/>
                <w:sz w:val="20"/>
                <w:szCs w:val="20"/>
              </w:rPr>
              <w:t> </w:t>
            </w:r>
          </w:p>
        </w:tc>
        <w:tc>
          <w:tcPr>
            <w:tcW w:w="0" w:type="auto"/>
            <w:hideMark/>
          </w:tcPr>
          <w:p w14:paraId="7C7B7215" w14:textId="77777777" w:rsidR="00000000" w:rsidRDefault="001826C1">
            <w:pPr>
              <w:rPr>
                <w:rFonts w:eastAsia="Times New Roman"/>
                <w:sz w:val="20"/>
                <w:szCs w:val="20"/>
              </w:rPr>
            </w:pPr>
            <w:r>
              <w:rPr>
                <w:rFonts w:eastAsia="Times New Roman"/>
                <w:sz w:val="20"/>
                <w:szCs w:val="20"/>
              </w:rPr>
              <w:t>Date: February 28, 2020</w:t>
            </w:r>
          </w:p>
        </w:tc>
      </w:tr>
      <w:tr w:rsidR="00000000" w14:paraId="7D91B6A4" w14:textId="77777777">
        <w:tc>
          <w:tcPr>
            <w:tcW w:w="0" w:type="auto"/>
            <w:hideMark/>
          </w:tcPr>
          <w:p w14:paraId="407CB422" w14:textId="77777777" w:rsidR="00000000" w:rsidRDefault="001826C1">
            <w:pPr>
              <w:rPr>
                <w:rFonts w:eastAsia="Times New Roman"/>
                <w:sz w:val="20"/>
                <w:szCs w:val="20"/>
              </w:rPr>
            </w:pPr>
            <w:r>
              <w:rPr>
                <w:rFonts w:eastAsia="Times New Roman"/>
                <w:sz w:val="20"/>
                <w:szCs w:val="20"/>
              </w:rPr>
              <w:t> </w:t>
            </w:r>
          </w:p>
        </w:tc>
        <w:tc>
          <w:tcPr>
            <w:tcW w:w="0" w:type="auto"/>
            <w:hideMark/>
          </w:tcPr>
          <w:p w14:paraId="0B17549F" w14:textId="77777777" w:rsidR="00000000" w:rsidRDefault="001826C1">
            <w:pPr>
              <w:rPr>
                <w:rFonts w:eastAsia="Times New Roman"/>
                <w:sz w:val="20"/>
                <w:szCs w:val="20"/>
              </w:rPr>
            </w:pPr>
            <w:r>
              <w:rPr>
                <w:rFonts w:eastAsia="Times New Roman"/>
                <w:sz w:val="20"/>
                <w:szCs w:val="20"/>
              </w:rPr>
              <w:t> </w:t>
            </w:r>
          </w:p>
        </w:tc>
        <w:tc>
          <w:tcPr>
            <w:tcW w:w="0" w:type="auto"/>
            <w:hideMark/>
          </w:tcPr>
          <w:p w14:paraId="19160A31" w14:textId="77777777" w:rsidR="00000000" w:rsidRDefault="001826C1">
            <w:pPr>
              <w:rPr>
                <w:rFonts w:eastAsia="Times New Roman"/>
                <w:sz w:val="20"/>
                <w:szCs w:val="20"/>
              </w:rPr>
            </w:pPr>
            <w:r>
              <w:rPr>
                <w:rFonts w:eastAsia="Times New Roman"/>
                <w:sz w:val="20"/>
                <w:szCs w:val="20"/>
              </w:rPr>
              <w:t> </w:t>
            </w:r>
          </w:p>
        </w:tc>
      </w:tr>
      <w:tr w:rsidR="00000000" w14:paraId="6029E9D3" w14:textId="77777777">
        <w:tc>
          <w:tcPr>
            <w:tcW w:w="0" w:type="auto"/>
            <w:tcMar>
              <w:top w:w="0" w:type="dxa"/>
              <w:left w:w="0" w:type="dxa"/>
              <w:bottom w:w="30" w:type="dxa"/>
              <w:right w:w="0" w:type="dxa"/>
            </w:tcMar>
            <w:hideMark/>
          </w:tcPr>
          <w:p w14:paraId="5A189E4C"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D7DB906" w14:textId="77777777" w:rsidR="00000000" w:rsidRDefault="001826C1">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14:paraId="5B301F34" w14:textId="77777777" w:rsidR="00000000" w:rsidRDefault="001826C1">
            <w:pPr>
              <w:rPr>
                <w:rFonts w:eastAsia="Times New Roman"/>
                <w:sz w:val="20"/>
                <w:szCs w:val="20"/>
              </w:rPr>
            </w:pPr>
            <w:r>
              <w:rPr>
                <w:rFonts w:eastAsia="Times New Roman"/>
                <w:i/>
                <w:iCs/>
                <w:sz w:val="20"/>
                <w:szCs w:val="20"/>
              </w:rPr>
              <w:t>/s/ Bill Korn</w:t>
            </w:r>
          </w:p>
        </w:tc>
      </w:tr>
      <w:tr w:rsidR="00000000" w14:paraId="153E49B3" w14:textId="77777777">
        <w:tc>
          <w:tcPr>
            <w:tcW w:w="0" w:type="auto"/>
            <w:hideMark/>
          </w:tcPr>
          <w:p w14:paraId="42FC3EFC" w14:textId="77777777" w:rsidR="00000000" w:rsidRDefault="001826C1">
            <w:pPr>
              <w:rPr>
                <w:rFonts w:eastAsia="Times New Roman"/>
                <w:sz w:val="20"/>
                <w:szCs w:val="20"/>
              </w:rPr>
            </w:pPr>
            <w:r>
              <w:rPr>
                <w:rFonts w:eastAsia="Times New Roman"/>
                <w:sz w:val="20"/>
                <w:szCs w:val="20"/>
              </w:rPr>
              <w:t> </w:t>
            </w:r>
          </w:p>
        </w:tc>
        <w:tc>
          <w:tcPr>
            <w:tcW w:w="0" w:type="auto"/>
            <w:hideMark/>
          </w:tcPr>
          <w:p w14:paraId="620922A3" w14:textId="77777777" w:rsidR="00000000" w:rsidRDefault="001826C1">
            <w:pPr>
              <w:rPr>
                <w:rFonts w:eastAsia="Times New Roman"/>
                <w:sz w:val="20"/>
                <w:szCs w:val="20"/>
              </w:rPr>
            </w:pPr>
            <w:r>
              <w:rPr>
                <w:rFonts w:eastAsia="Times New Roman"/>
                <w:sz w:val="20"/>
                <w:szCs w:val="20"/>
              </w:rPr>
              <w:t> </w:t>
            </w:r>
          </w:p>
        </w:tc>
        <w:tc>
          <w:tcPr>
            <w:tcW w:w="0" w:type="auto"/>
            <w:hideMark/>
          </w:tcPr>
          <w:p w14:paraId="13829FEF" w14:textId="77777777" w:rsidR="00000000" w:rsidRDefault="001826C1">
            <w:pPr>
              <w:rPr>
                <w:rFonts w:eastAsia="Times New Roman"/>
                <w:sz w:val="20"/>
                <w:szCs w:val="20"/>
              </w:rPr>
            </w:pPr>
            <w:r>
              <w:rPr>
                <w:rFonts w:eastAsia="Times New Roman"/>
                <w:sz w:val="20"/>
                <w:szCs w:val="20"/>
              </w:rPr>
              <w:t>Bill Korn</w:t>
            </w:r>
          </w:p>
        </w:tc>
      </w:tr>
      <w:tr w:rsidR="00000000" w14:paraId="23176B5F" w14:textId="77777777">
        <w:tc>
          <w:tcPr>
            <w:tcW w:w="0" w:type="auto"/>
            <w:hideMark/>
          </w:tcPr>
          <w:p w14:paraId="119E2282" w14:textId="77777777" w:rsidR="00000000" w:rsidRDefault="001826C1">
            <w:pPr>
              <w:rPr>
                <w:rFonts w:eastAsia="Times New Roman"/>
                <w:sz w:val="20"/>
                <w:szCs w:val="20"/>
              </w:rPr>
            </w:pPr>
            <w:r>
              <w:rPr>
                <w:rFonts w:eastAsia="Times New Roman"/>
                <w:sz w:val="20"/>
                <w:szCs w:val="20"/>
              </w:rPr>
              <w:t> </w:t>
            </w:r>
          </w:p>
        </w:tc>
        <w:tc>
          <w:tcPr>
            <w:tcW w:w="0" w:type="auto"/>
            <w:hideMark/>
          </w:tcPr>
          <w:p w14:paraId="7A9E9DD4" w14:textId="77777777" w:rsidR="00000000" w:rsidRDefault="001826C1">
            <w:pPr>
              <w:rPr>
                <w:rFonts w:eastAsia="Times New Roman"/>
                <w:sz w:val="20"/>
                <w:szCs w:val="20"/>
              </w:rPr>
            </w:pPr>
            <w:r>
              <w:rPr>
                <w:rFonts w:eastAsia="Times New Roman"/>
                <w:sz w:val="20"/>
                <w:szCs w:val="20"/>
              </w:rPr>
              <w:t> </w:t>
            </w:r>
          </w:p>
        </w:tc>
        <w:tc>
          <w:tcPr>
            <w:tcW w:w="0" w:type="auto"/>
            <w:hideMark/>
          </w:tcPr>
          <w:p w14:paraId="3219CE98" w14:textId="77777777" w:rsidR="00000000" w:rsidRDefault="001826C1">
            <w:pPr>
              <w:rPr>
                <w:rFonts w:eastAsia="Times New Roman"/>
                <w:sz w:val="20"/>
                <w:szCs w:val="20"/>
              </w:rPr>
            </w:pPr>
            <w:r>
              <w:rPr>
                <w:rFonts w:eastAsia="Times New Roman"/>
                <w:sz w:val="20"/>
                <w:szCs w:val="20"/>
              </w:rPr>
              <w:t>Chief Financial Officer</w:t>
            </w:r>
          </w:p>
        </w:tc>
      </w:tr>
      <w:tr w:rsidR="00000000" w14:paraId="7EC04D61" w14:textId="77777777">
        <w:tc>
          <w:tcPr>
            <w:tcW w:w="0" w:type="auto"/>
            <w:hideMark/>
          </w:tcPr>
          <w:p w14:paraId="547EE04C" w14:textId="77777777" w:rsidR="00000000" w:rsidRDefault="001826C1">
            <w:pPr>
              <w:rPr>
                <w:rFonts w:eastAsia="Times New Roman"/>
                <w:sz w:val="20"/>
                <w:szCs w:val="20"/>
              </w:rPr>
            </w:pPr>
            <w:r>
              <w:rPr>
                <w:rFonts w:eastAsia="Times New Roman"/>
                <w:sz w:val="20"/>
                <w:szCs w:val="20"/>
              </w:rPr>
              <w:t> </w:t>
            </w:r>
          </w:p>
        </w:tc>
        <w:tc>
          <w:tcPr>
            <w:tcW w:w="0" w:type="auto"/>
            <w:hideMark/>
          </w:tcPr>
          <w:p w14:paraId="226F93B6" w14:textId="77777777" w:rsidR="00000000" w:rsidRDefault="001826C1">
            <w:pPr>
              <w:rPr>
                <w:rFonts w:eastAsia="Times New Roman"/>
                <w:sz w:val="20"/>
                <w:szCs w:val="20"/>
              </w:rPr>
            </w:pPr>
            <w:r>
              <w:rPr>
                <w:rFonts w:eastAsia="Times New Roman"/>
                <w:sz w:val="20"/>
                <w:szCs w:val="20"/>
              </w:rPr>
              <w:t> </w:t>
            </w:r>
          </w:p>
        </w:tc>
        <w:tc>
          <w:tcPr>
            <w:tcW w:w="0" w:type="auto"/>
            <w:hideMark/>
          </w:tcPr>
          <w:p w14:paraId="2D826743" w14:textId="77777777" w:rsidR="00000000" w:rsidRDefault="001826C1">
            <w:pPr>
              <w:rPr>
                <w:rFonts w:eastAsia="Times New Roman"/>
                <w:sz w:val="20"/>
                <w:szCs w:val="20"/>
              </w:rPr>
            </w:pPr>
            <w:r>
              <w:rPr>
                <w:rFonts w:eastAsia="Times New Roman"/>
                <w:sz w:val="20"/>
                <w:szCs w:val="20"/>
              </w:rPr>
              <w:t>Date: February 28, 2020</w:t>
            </w:r>
          </w:p>
        </w:tc>
      </w:tr>
    </w:tbl>
    <w:p w14:paraId="32656C7D" w14:textId="77777777" w:rsidR="00000000" w:rsidRDefault="001826C1">
      <w:pPr>
        <w:pStyle w:val="a3"/>
        <w:spacing w:before="0" w:beforeAutospacing="0" w:after="0" w:afterAutospacing="0"/>
        <w:jc w:val="both"/>
        <w:rPr>
          <w:sz w:val="20"/>
          <w:szCs w:val="20"/>
        </w:rPr>
      </w:pPr>
      <w:r>
        <w:rPr>
          <w:sz w:val="20"/>
          <w:szCs w:val="20"/>
        </w:rPr>
        <w:t> </w:t>
      </w:r>
    </w:p>
    <w:p w14:paraId="77FFC0C3" w14:textId="77777777" w:rsidR="00000000" w:rsidRDefault="001826C1">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this report has been signed below by the following persons on behalf of the Registrant and in the capacities and on the dates indicated:</w:t>
      </w:r>
    </w:p>
    <w:p w14:paraId="2992F260"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91"/>
        <w:gridCol w:w="166"/>
        <w:gridCol w:w="3156"/>
        <w:gridCol w:w="166"/>
        <w:gridCol w:w="1827"/>
      </w:tblGrid>
      <w:tr w:rsidR="00000000" w14:paraId="12D30264" w14:textId="77777777">
        <w:tc>
          <w:tcPr>
            <w:tcW w:w="1800" w:type="pct"/>
            <w:tcBorders>
              <w:bottom w:val="single" w:sz="12" w:space="0" w:color="000000"/>
            </w:tcBorders>
            <w:hideMark/>
          </w:tcPr>
          <w:p w14:paraId="05691855" w14:textId="77777777" w:rsidR="00000000" w:rsidRDefault="001826C1">
            <w:pPr>
              <w:rPr>
                <w:rFonts w:eastAsia="Times New Roman"/>
                <w:sz w:val="20"/>
                <w:szCs w:val="20"/>
              </w:rPr>
            </w:pPr>
            <w:r>
              <w:rPr>
                <w:rFonts w:eastAsia="Times New Roman"/>
                <w:b/>
                <w:bCs/>
                <w:sz w:val="20"/>
                <w:szCs w:val="20"/>
              </w:rPr>
              <w:t>Signature</w:t>
            </w:r>
          </w:p>
        </w:tc>
        <w:tc>
          <w:tcPr>
            <w:tcW w:w="100" w:type="pct"/>
            <w:tcMar>
              <w:top w:w="0" w:type="dxa"/>
              <w:left w:w="0" w:type="dxa"/>
              <w:bottom w:w="30" w:type="dxa"/>
              <w:right w:w="0" w:type="dxa"/>
            </w:tcMar>
            <w:hideMark/>
          </w:tcPr>
          <w:p w14:paraId="2BD724FC" w14:textId="77777777" w:rsidR="00000000" w:rsidRDefault="001826C1">
            <w:pPr>
              <w:jc w:val="center"/>
              <w:rPr>
                <w:rFonts w:eastAsia="Times New Roman"/>
                <w:sz w:val="20"/>
                <w:szCs w:val="20"/>
              </w:rPr>
            </w:pPr>
            <w:r>
              <w:rPr>
                <w:rFonts w:eastAsia="Times New Roman"/>
                <w:sz w:val="20"/>
                <w:szCs w:val="20"/>
              </w:rPr>
              <w:t> </w:t>
            </w:r>
          </w:p>
        </w:tc>
        <w:tc>
          <w:tcPr>
            <w:tcW w:w="1900" w:type="pct"/>
            <w:tcBorders>
              <w:bottom w:val="single" w:sz="12" w:space="0" w:color="000000"/>
            </w:tcBorders>
            <w:hideMark/>
          </w:tcPr>
          <w:p w14:paraId="77B2A28C" w14:textId="77777777" w:rsidR="00000000" w:rsidRDefault="001826C1">
            <w:pPr>
              <w:jc w:val="center"/>
              <w:rPr>
                <w:rFonts w:eastAsia="Times New Roman"/>
                <w:sz w:val="20"/>
                <w:szCs w:val="20"/>
              </w:rPr>
            </w:pPr>
            <w:r>
              <w:rPr>
                <w:rFonts w:eastAsia="Times New Roman"/>
                <w:b/>
                <w:bCs/>
                <w:sz w:val="20"/>
                <w:szCs w:val="20"/>
              </w:rPr>
              <w:t>Title</w:t>
            </w:r>
          </w:p>
        </w:tc>
        <w:tc>
          <w:tcPr>
            <w:tcW w:w="100" w:type="pct"/>
            <w:tcMar>
              <w:top w:w="0" w:type="dxa"/>
              <w:left w:w="0" w:type="dxa"/>
              <w:bottom w:w="30" w:type="dxa"/>
              <w:right w:w="0" w:type="dxa"/>
            </w:tcMar>
            <w:hideMark/>
          </w:tcPr>
          <w:p w14:paraId="1B12CE3F" w14:textId="77777777" w:rsidR="00000000" w:rsidRDefault="001826C1">
            <w:pPr>
              <w:jc w:val="center"/>
              <w:rPr>
                <w:rFonts w:eastAsia="Times New Roman"/>
                <w:sz w:val="20"/>
                <w:szCs w:val="20"/>
              </w:rPr>
            </w:pPr>
            <w:r>
              <w:rPr>
                <w:rFonts w:eastAsia="Times New Roman"/>
                <w:sz w:val="20"/>
                <w:szCs w:val="20"/>
              </w:rPr>
              <w:t> </w:t>
            </w:r>
          </w:p>
        </w:tc>
        <w:tc>
          <w:tcPr>
            <w:tcW w:w="1100" w:type="pct"/>
            <w:tcBorders>
              <w:bottom w:val="single" w:sz="12" w:space="0" w:color="000000"/>
            </w:tcBorders>
            <w:hideMark/>
          </w:tcPr>
          <w:p w14:paraId="3B7F0441" w14:textId="77777777" w:rsidR="00000000" w:rsidRDefault="001826C1">
            <w:pPr>
              <w:jc w:val="center"/>
              <w:rPr>
                <w:rFonts w:eastAsia="Times New Roman"/>
                <w:sz w:val="20"/>
                <w:szCs w:val="20"/>
              </w:rPr>
            </w:pPr>
            <w:r>
              <w:rPr>
                <w:rFonts w:eastAsia="Times New Roman"/>
                <w:b/>
                <w:bCs/>
                <w:sz w:val="20"/>
                <w:szCs w:val="20"/>
              </w:rPr>
              <w:t>Date</w:t>
            </w:r>
          </w:p>
        </w:tc>
      </w:tr>
      <w:tr w:rsidR="00000000" w14:paraId="323293E3" w14:textId="77777777">
        <w:tc>
          <w:tcPr>
            <w:tcW w:w="0" w:type="auto"/>
            <w:hideMark/>
          </w:tcPr>
          <w:p w14:paraId="440F6276" w14:textId="77777777" w:rsidR="00000000" w:rsidRDefault="001826C1">
            <w:pPr>
              <w:rPr>
                <w:rFonts w:eastAsia="Times New Roman"/>
                <w:sz w:val="20"/>
                <w:szCs w:val="20"/>
              </w:rPr>
            </w:pPr>
            <w:r>
              <w:rPr>
                <w:rFonts w:eastAsia="Times New Roman"/>
                <w:sz w:val="20"/>
                <w:szCs w:val="20"/>
              </w:rPr>
              <w:t> </w:t>
            </w:r>
          </w:p>
        </w:tc>
        <w:tc>
          <w:tcPr>
            <w:tcW w:w="0" w:type="auto"/>
            <w:hideMark/>
          </w:tcPr>
          <w:p w14:paraId="1D41222F" w14:textId="77777777" w:rsidR="00000000" w:rsidRDefault="001826C1">
            <w:pPr>
              <w:rPr>
                <w:rFonts w:eastAsia="Times New Roman"/>
                <w:sz w:val="20"/>
                <w:szCs w:val="20"/>
              </w:rPr>
            </w:pPr>
            <w:r>
              <w:rPr>
                <w:rFonts w:eastAsia="Times New Roman"/>
                <w:sz w:val="20"/>
                <w:szCs w:val="20"/>
              </w:rPr>
              <w:t> </w:t>
            </w:r>
          </w:p>
        </w:tc>
        <w:tc>
          <w:tcPr>
            <w:tcW w:w="0" w:type="auto"/>
            <w:hideMark/>
          </w:tcPr>
          <w:p w14:paraId="66C92C54" w14:textId="77777777" w:rsidR="00000000" w:rsidRDefault="001826C1">
            <w:pPr>
              <w:rPr>
                <w:rFonts w:eastAsia="Times New Roman"/>
                <w:sz w:val="20"/>
                <w:szCs w:val="20"/>
              </w:rPr>
            </w:pPr>
            <w:r>
              <w:rPr>
                <w:rFonts w:eastAsia="Times New Roman"/>
                <w:sz w:val="20"/>
                <w:szCs w:val="20"/>
              </w:rPr>
              <w:t> </w:t>
            </w:r>
          </w:p>
        </w:tc>
        <w:tc>
          <w:tcPr>
            <w:tcW w:w="0" w:type="auto"/>
            <w:hideMark/>
          </w:tcPr>
          <w:p w14:paraId="4EB688C0" w14:textId="77777777" w:rsidR="00000000" w:rsidRDefault="001826C1">
            <w:pPr>
              <w:rPr>
                <w:rFonts w:eastAsia="Times New Roman"/>
                <w:sz w:val="20"/>
                <w:szCs w:val="20"/>
              </w:rPr>
            </w:pPr>
            <w:r>
              <w:rPr>
                <w:rFonts w:eastAsia="Times New Roman"/>
                <w:sz w:val="20"/>
                <w:szCs w:val="20"/>
              </w:rPr>
              <w:t> </w:t>
            </w:r>
          </w:p>
        </w:tc>
        <w:tc>
          <w:tcPr>
            <w:tcW w:w="0" w:type="auto"/>
            <w:hideMark/>
          </w:tcPr>
          <w:p w14:paraId="4BA91FB7" w14:textId="77777777" w:rsidR="00000000" w:rsidRDefault="001826C1">
            <w:pPr>
              <w:jc w:val="center"/>
              <w:rPr>
                <w:rFonts w:eastAsia="Times New Roman"/>
                <w:sz w:val="20"/>
                <w:szCs w:val="20"/>
              </w:rPr>
            </w:pPr>
            <w:r>
              <w:rPr>
                <w:rFonts w:eastAsia="Times New Roman"/>
                <w:sz w:val="20"/>
                <w:szCs w:val="20"/>
              </w:rPr>
              <w:t> </w:t>
            </w:r>
          </w:p>
        </w:tc>
      </w:tr>
      <w:tr w:rsidR="00000000" w14:paraId="1C5CE709" w14:textId="77777777">
        <w:tc>
          <w:tcPr>
            <w:tcW w:w="0" w:type="auto"/>
            <w:tcBorders>
              <w:bottom w:val="single" w:sz="12" w:space="0" w:color="000000"/>
            </w:tcBorders>
            <w:hideMark/>
          </w:tcPr>
          <w:p w14:paraId="59602E3A" w14:textId="77777777" w:rsidR="00000000" w:rsidRDefault="001826C1">
            <w:pPr>
              <w:rPr>
                <w:rFonts w:eastAsia="Times New Roman"/>
                <w:sz w:val="20"/>
                <w:szCs w:val="20"/>
              </w:rPr>
            </w:pPr>
            <w:r>
              <w:rPr>
                <w:rFonts w:eastAsia="Times New Roman"/>
                <w:i/>
                <w:iCs/>
                <w:sz w:val="20"/>
                <w:szCs w:val="20"/>
              </w:rPr>
              <w:t xml:space="preserve">/s/ </w:t>
            </w:r>
            <w:r>
              <w:rPr>
                <w:rFonts w:eastAsia="Times New Roman"/>
                <w:i/>
                <w:iCs/>
                <w:sz w:val="20"/>
                <w:szCs w:val="20"/>
              </w:rPr>
              <w:t>Mahmud Haq</w:t>
            </w:r>
          </w:p>
        </w:tc>
        <w:tc>
          <w:tcPr>
            <w:tcW w:w="0" w:type="auto"/>
            <w:tcMar>
              <w:top w:w="0" w:type="dxa"/>
              <w:left w:w="0" w:type="dxa"/>
              <w:bottom w:w="30" w:type="dxa"/>
              <w:right w:w="0" w:type="dxa"/>
            </w:tcMar>
            <w:hideMark/>
          </w:tcPr>
          <w:p w14:paraId="59DA3AD7"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241026CB"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1AAD07AD"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B0C27B9" w14:textId="77777777" w:rsidR="00000000" w:rsidRDefault="001826C1">
            <w:pPr>
              <w:jc w:val="center"/>
              <w:rPr>
                <w:rFonts w:eastAsia="Times New Roman"/>
                <w:sz w:val="20"/>
                <w:szCs w:val="20"/>
              </w:rPr>
            </w:pPr>
            <w:r>
              <w:rPr>
                <w:rFonts w:eastAsia="Times New Roman"/>
                <w:sz w:val="20"/>
                <w:szCs w:val="20"/>
              </w:rPr>
              <w:t>February 28, 2020</w:t>
            </w:r>
          </w:p>
        </w:tc>
      </w:tr>
      <w:tr w:rsidR="00000000" w14:paraId="25AA71B8" w14:textId="77777777">
        <w:tc>
          <w:tcPr>
            <w:tcW w:w="0" w:type="auto"/>
            <w:hideMark/>
          </w:tcPr>
          <w:p w14:paraId="3317FD71" w14:textId="77777777" w:rsidR="00000000" w:rsidRDefault="001826C1">
            <w:pPr>
              <w:rPr>
                <w:rFonts w:eastAsia="Times New Roman"/>
                <w:sz w:val="20"/>
                <w:szCs w:val="20"/>
              </w:rPr>
            </w:pPr>
            <w:r>
              <w:rPr>
                <w:rFonts w:eastAsia="Times New Roman"/>
                <w:sz w:val="20"/>
                <w:szCs w:val="20"/>
              </w:rPr>
              <w:t>Mahmud Haq</w:t>
            </w:r>
          </w:p>
        </w:tc>
        <w:tc>
          <w:tcPr>
            <w:tcW w:w="0" w:type="auto"/>
            <w:hideMark/>
          </w:tcPr>
          <w:p w14:paraId="3A62A23B" w14:textId="77777777" w:rsidR="00000000" w:rsidRDefault="001826C1">
            <w:pPr>
              <w:rPr>
                <w:rFonts w:eastAsia="Times New Roman"/>
                <w:sz w:val="20"/>
                <w:szCs w:val="20"/>
              </w:rPr>
            </w:pPr>
            <w:r>
              <w:rPr>
                <w:rFonts w:eastAsia="Times New Roman"/>
                <w:sz w:val="20"/>
                <w:szCs w:val="20"/>
              </w:rPr>
              <w:t> </w:t>
            </w:r>
          </w:p>
        </w:tc>
        <w:tc>
          <w:tcPr>
            <w:tcW w:w="0" w:type="auto"/>
            <w:hideMark/>
          </w:tcPr>
          <w:p w14:paraId="74F68487" w14:textId="77777777" w:rsidR="00000000" w:rsidRDefault="001826C1">
            <w:pPr>
              <w:rPr>
                <w:rFonts w:eastAsia="Times New Roman"/>
                <w:sz w:val="20"/>
                <w:szCs w:val="20"/>
              </w:rPr>
            </w:pPr>
            <w:r>
              <w:rPr>
                <w:rFonts w:eastAsia="Times New Roman"/>
                <w:sz w:val="20"/>
                <w:szCs w:val="20"/>
              </w:rPr>
              <w:t>Executive Chairman and Director</w:t>
            </w:r>
          </w:p>
        </w:tc>
        <w:tc>
          <w:tcPr>
            <w:tcW w:w="0" w:type="auto"/>
            <w:hideMark/>
          </w:tcPr>
          <w:p w14:paraId="304719BE" w14:textId="77777777" w:rsidR="00000000" w:rsidRDefault="001826C1">
            <w:pPr>
              <w:rPr>
                <w:rFonts w:eastAsia="Times New Roman"/>
                <w:sz w:val="20"/>
                <w:szCs w:val="20"/>
              </w:rPr>
            </w:pPr>
            <w:r>
              <w:rPr>
                <w:rFonts w:eastAsia="Times New Roman"/>
                <w:sz w:val="20"/>
                <w:szCs w:val="20"/>
              </w:rPr>
              <w:t> </w:t>
            </w:r>
          </w:p>
        </w:tc>
        <w:tc>
          <w:tcPr>
            <w:tcW w:w="0" w:type="auto"/>
            <w:hideMark/>
          </w:tcPr>
          <w:p w14:paraId="32B35AAD" w14:textId="77777777" w:rsidR="00000000" w:rsidRDefault="001826C1">
            <w:pPr>
              <w:jc w:val="center"/>
              <w:rPr>
                <w:rFonts w:eastAsia="Times New Roman"/>
                <w:sz w:val="20"/>
                <w:szCs w:val="20"/>
              </w:rPr>
            </w:pPr>
            <w:r>
              <w:rPr>
                <w:rFonts w:eastAsia="Times New Roman"/>
                <w:sz w:val="20"/>
                <w:szCs w:val="20"/>
              </w:rPr>
              <w:t> </w:t>
            </w:r>
          </w:p>
        </w:tc>
      </w:tr>
      <w:tr w:rsidR="00000000" w14:paraId="186E0325" w14:textId="77777777">
        <w:tc>
          <w:tcPr>
            <w:tcW w:w="0" w:type="auto"/>
            <w:hideMark/>
          </w:tcPr>
          <w:p w14:paraId="16D975A4" w14:textId="77777777" w:rsidR="00000000" w:rsidRDefault="001826C1">
            <w:pPr>
              <w:rPr>
                <w:rFonts w:eastAsia="Times New Roman"/>
                <w:sz w:val="20"/>
                <w:szCs w:val="20"/>
              </w:rPr>
            </w:pPr>
            <w:r>
              <w:rPr>
                <w:rFonts w:eastAsia="Times New Roman"/>
                <w:sz w:val="20"/>
                <w:szCs w:val="20"/>
              </w:rPr>
              <w:t> </w:t>
            </w:r>
          </w:p>
        </w:tc>
        <w:tc>
          <w:tcPr>
            <w:tcW w:w="0" w:type="auto"/>
            <w:hideMark/>
          </w:tcPr>
          <w:p w14:paraId="2F82C73B" w14:textId="77777777" w:rsidR="00000000" w:rsidRDefault="001826C1">
            <w:pPr>
              <w:rPr>
                <w:rFonts w:eastAsia="Times New Roman"/>
                <w:sz w:val="20"/>
                <w:szCs w:val="20"/>
              </w:rPr>
            </w:pPr>
            <w:r>
              <w:rPr>
                <w:rFonts w:eastAsia="Times New Roman"/>
                <w:sz w:val="20"/>
                <w:szCs w:val="20"/>
              </w:rPr>
              <w:t> </w:t>
            </w:r>
          </w:p>
        </w:tc>
        <w:tc>
          <w:tcPr>
            <w:tcW w:w="0" w:type="auto"/>
            <w:hideMark/>
          </w:tcPr>
          <w:p w14:paraId="4721F42E" w14:textId="77777777" w:rsidR="00000000" w:rsidRDefault="001826C1">
            <w:pPr>
              <w:rPr>
                <w:rFonts w:eastAsia="Times New Roman"/>
                <w:sz w:val="20"/>
                <w:szCs w:val="20"/>
              </w:rPr>
            </w:pPr>
            <w:r>
              <w:rPr>
                <w:rFonts w:eastAsia="Times New Roman"/>
                <w:sz w:val="20"/>
                <w:szCs w:val="20"/>
              </w:rPr>
              <w:t> </w:t>
            </w:r>
          </w:p>
        </w:tc>
        <w:tc>
          <w:tcPr>
            <w:tcW w:w="0" w:type="auto"/>
            <w:hideMark/>
          </w:tcPr>
          <w:p w14:paraId="7CA16911" w14:textId="77777777" w:rsidR="00000000" w:rsidRDefault="001826C1">
            <w:pPr>
              <w:rPr>
                <w:rFonts w:eastAsia="Times New Roman"/>
                <w:sz w:val="20"/>
                <w:szCs w:val="20"/>
              </w:rPr>
            </w:pPr>
            <w:r>
              <w:rPr>
                <w:rFonts w:eastAsia="Times New Roman"/>
                <w:sz w:val="20"/>
                <w:szCs w:val="20"/>
              </w:rPr>
              <w:t> </w:t>
            </w:r>
          </w:p>
        </w:tc>
        <w:tc>
          <w:tcPr>
            <w:tcW w:w="0" w:type="auto"/>
            <w:hideMark/>
          </w:tcPr>
          <w:p w14:paraId="5748A1A4" w14:textId="77777777" w:rsidR="00000000" w:rsidRDefault="001826C1">
            <w:pPr>
              <w:jc w:val="center"/>
              <w:rPr>
                <w:rFonts w:eastAsia="Times New Roman"/>
                <w:sz w:val="20"/>
                <w:szCs w:val="20"/>
              </w:rPr>
            </w:pPr>
            <w:r>
              <w:rPr>
                <w:rFonts w:eastAsia="Times New Roman"/>
                <w:sz w:val="20"/>
                <w:szCs w:val="20"/>
              </w:rPr>
              <w:t> </w:t>
            </w:r>
          </w:p>
        </w:tc>
      </w:tr>
      <w:tr w:rsidR="00000000" w14:paraId="135C8FAB" w14:textId="77777777">
        <w:tc>
          <w:tcPr>
            <w:tcW w:w="0" w:type="auto"/>
            <w:tcBorders>
              <w:bottom w:val="single" w:sz="12" w:space="0" w:color="000000"/>
            </w:tcBorders>
            <w:hideMark/>
          </w:tcPr>
          <w:p w14:paraId="4F7B71DD" w14:textId="77777777" w:rsidR="00000000" w:rsidRDefault="001826C1">
            <w:pPr>
              <w:rPr>
                <w:rFonts w:eastAsia="Times New Roman"/>
                <w:sz w:val="20"/>
                <w:szCs w:val="20"/>
              </w:rPr>
            </w:pPr>
            <w:r>
              <w:rPr>
                <w:rFonts w:eastAsia="Times New Roman"/>
                <w:i/>
                <w:iCs/>
                <w:sz w:val="20"/>
                <w:szCs w:val="20"/>
              </w:rPr>
              <w:t>/s/ Stephen Snyder</w:t>
            </w:r>
          </w:p>
        </w:tc>
        <w:tc>
          <w:tcPr>
            <w:tcW w:w="0" w:type="auto"/>
            <w:tcMar>
              <w:top w:w="0" w:type="dxa"/>
              <w:left w:w="0" w:type="dxa"/>
              <w:bottom w:w="30" w:type="dxa"/>
              <w:right w:w="0" w:type="dxa"/>
            </w:tcMar>
            <w:hideMark/>
          </w:tcPr>
          <w:p w14:paraId="4DCC19CE"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2A06CA9B"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61975CD2"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6D0CD31" w14:textId="77777777" w:rsidR="00000000" w:rsidRDefault="001826C1">
            <w:pPr>
              <w:jc w:val="center"/>
              <w:rPr>
                <w:rFonts w:eastAsia="Times New Roman"/>
                <w:sz w:val="20"/>
                <w:szCs w:val="20"/>
              </w:rPr>
            </w:pPr>
            <w:r>
              <w:rPr>
                <w:rFonts w:eastAsia="Times New Roman"/>
                <w:sz w:val="20"/>
                <w:szCs w:val="20"/>
              </w:rPr>
              <w:t>February 28, 2020</w:t>
            </w:r>
          </w:p>
        </w:tc>
      </w:tr>
      <w:tr w:rsidR="00000000" w14:paraId="1C8ABACF" w14:textId="77777777">
        <w:tc>
          <w:tcPr>
            <w:tcW w:w="0" w:type="auto"/>
            <w:hideMark/>
          </w:tcPr>
          <w:p w14:paraId="610055CE" w14:textId="77777777" w:rsidR="00000000" w:rsidRDefault="001826C1">
            <w:pPr>
              <w:rPr>
                <w:rFonts w:eastAsia="Times New Roman"/>
                <w:sz w:val="20"/>
                <w:szCs w:val="20"/>
              </w:rPr>
            </w:pPr>
            <w:r>
              <w:rPr>
                <w:rFonts w:eastAsia="Times New Roman"/>
                <w:sz w:val="20"/>
                <w:szCs w:val="20"/>
              </w:rPr>
              <w:t>Stephen Snyder</w:t>
            </w:r>
          </w:p>
        </w:tc>
        <w:tc>
          <w:tcPr>
            <w:tcW w:w="0" w:type="auto"/>
            <w:hideMark/>
          </w:tcPr>
          <w:p w14:paraId="64E8B300" w14:textId="77777777" w:rsidR="00000000" w:rsidRDefault="001826C1">
            <w:pPr>
              <w:rPr>
                <w:rFonts w:eastAsia="Times New Roman"/>
                <w:sz w:val="20"/>
                <w:szCs w:val="20"/>
              </w:rPr>
            </w:pPr>
            <w:r>
              <w:rPr>
                <w:rFonts w:eastAsia="Times New Roman"/>
                <w:sz w:val="20"/>
                <w:szCs w:val="20"/>
              </w:rPr>
              <w:t> </w:t>
            </w:r>
          </w:p>
        </w:tc>
        <w:tc>
          <w:tcPr>
            <w:tcW w:w="0" w:type="auto"/>
            <w:hideMark/>
          </w:tcPr>
          <w:p w14:paraId="4E27E7CF" w14:textId="77777777" w:rsidR="00000000" w:rsidRDefault="001826C1">
            <w:pPr>
              <w:rPr>
                <w:rFonts w:eastAsia="Times New Roman"/>
                <w:sz w:val="20"/>
                <w:szCs w:val="20"/>
              </w:rPr>
            </w:pPr>
            <w:r>
              <w:rPr>
                <w:rFonts w:eastAsia="Times New Roman"/>
                <w:sz w:val="20"/>
                <w:szCs w:val="20"/>
              </w:rPr>
              <w:t>Principal Executive Officer and Director</w:t>
            </w:r>
          </w:p>
        </w:tc>
        <w:tc>
          <w:tcPr>
            <w:tcW w:w="0" w:type="auto"/>
            <w:hideMark/>
          </w:tcPr>
          <w:p w14:paraId="6BF4BDBF" w14:textId="77777777" w:rsidR="00000000" w:rsidRDefault="001826C1">
            <w:pPr>
              <w:rPr>
                <w:rFonts w:eastAsia="Times New Roman"/>
                <w:sz w:val="20"/>
                <w:szCs w:val="20"/>
              </w:rPr>
            </w:pPr>
            <w:r>
              <w:rPr>
                <w:rFonts w:eastAsia="Times New Roman"/>
                <w:sz w:val="20"/>
                <w:szCs w:val="20"/>
              </w:rPr>
              <w:t> </w:t>
            </w:r>
          </w:p>
        </w:tc>
        <w:tc>
          <w:tcPr>
            <w:tcW w:w="0" w:type="auto"/>
            <w:hideMark/>
          </w:tcPr>
          <w:p w14:paraId="27204884" w14:textId="77777777" w:rsidR="00000000" w:rsidRDefault="001826C1">
            <w:pPr>
              <w:jc w:val="center"/>
              <w:rPr>
                <w:rFonts w:eastAsia="Times New Roman"/>
                <w:sz w:val="20"/>
                <w:szCs w:val="20"/>
              </w:rPr>
            </w:pPr>
            <w:r>
              <w:rPr>
                <w:rFonts w:eastAsia="Times New Roman"/>
                <w:sz w:val="20"/>
                <w:szCs w:val="20"/>
              </w:rPr>
              <w:t> </w:t>
            </w:r>
          </w:p>
        </w:tc>
      </w:tr>
      <w:tr w:rsidR="00000000" w14:paraId="2B968E2E" w14:textId="77777777">
        <w:tc>
          <w:tcPr>
            <w:tcW w:w="0" w:type="auto"/>
            <w:hideMark/>
          </w:tcPr>
          <w:p w14:paraId="112D5C49" w14:textId="77777777" w:rsidR="00000000" w:rsidRDefault="001826C1">
            <w:pPr>
              <w:rPr>
                <w:rFonts w:eastAsia="Times New Roman"/>
                <w:sz w:val="20"/>
                <w:szCs w:val="20"/>
              </w:rPr>
            </w:pPr>
            <w:r>
              <w:rPr>
                <w:rFonts w:eastAsia="Times New Roman"/>
                <w:sz w:val="20"/>
                <w:szCs w:val="20"/>
              </w:rPr>
              <w:t> </w:t>
            </w:r>
          </w:p>
        </w:tc>
        <w:tc>
          <w:tcPr>
            <w:tcW w:w="0" w:type="auto"/>
            <w:hideMark/>
          </w:tcPr>
          <w:p w14:paraId="143A2222" w14:textId="77777777" w:rsidR="00000000" w:rsidRDefault="001826C1">
            <w:pPr>
              <w:rPr>
                <w:rFonts w:eastAsia="Times New Roman"/>
                <w:sz w:val="20"/>
                <w:szCs w:val="20"/>
              </w:rPr>
            </w:pPr>
            <w:r>
              <w:rPr>
                <w:rFonts w:eastAsia="Times New Roman"/>
                <w:sz w:val="20"/>
                <w:szCs w:val="20"/>
              </w:rPr>
              <w:t> </w:t>
            </w:r>
          </w:p>
        </w:tc>
        <w:tc>
          <w:tcPr>
            <w:tcW w:w="0" w:type="auto"/>
            <w:hideMark/>
          </w:tcPr>
          <w:p w14:paraId="153C1C04" w14:textId="77777777" w:rsidR="00000000" w:rsidRDefault="001826C1">
            <w:pPr>
              <w:rPr>
                <w:rFonts w:eastAsia="Times New Roman"/>
                <w:sz w:val="20"/>
                <w:szCs w:val="20"/>
              </w:rPr>
            </w:pPr>
            <w:r>
              <w:rPr>
                <w:rFonts w:eastAsia="Times New Roman"/>
                <w:sz w:val="20"/>
                <w:szCs w:val="20"/>
              </w:rPr>
              <w:t> </w:t>
            </w:r>
          </w:p>
        </w:tc>
        <w:tc>
          <w:tcPr>
            <w:tcW w:w="0" w:type="auto"/>
            <w:hideMark/>
          </w:tcPr>
          <w:p w14:paraId="3E0B78A1" w14:textId="77777777" w:rsidR="00000000" w:rsidRDefault="001826C1">
            <w:pPr>
              <w:rPr>
                <w:rFonts w:eastAsia="Times New Roman"/>
                <w:sz w:val="20"/>
                <w:szCs w:val="20"/>
              </w:rPr>
            </w:pPr>
            <w:r>
              <w:rPr>
                <w:rFonts w:eastAsia="Times New Roman"/>
                <w:sz w:val="20"/>
                <w:szCs w:val="20"/>
              </w:rPr>
              <w:t> </w:t>
            </w:r>
          </w:p>
        </w:tc>
        <w:tc>
          <w:tcPr>
            <w:tcW w:w="0" w:type="auto"/>
            <w:hideMark/>
          </w:tcPr>
          <w:p w14:paraId="591F94A6" w14:textId="77777777" w:rsidR="00000000" w:rsidRDefault="001826C1">
            <w:pPr>
              <w:jc w:val="center"/>
              <w:rPr>
                <w:rFonts w:eastAsia="Times New Roman"/>
                <w:sz w:val="20"/>
                <w:szCs w:val="20"/>
              </w:rPr>
            </w:pPr>
            <w:r>
              <w:rPr>
                <w:rFonts w:eastAsia="Times New Roman"/>
                <w:sz w:val="20"/>
                <w:szCs w:val="20"/>
              </w:rPr>
              <w:t> </w:t>
            </w:r>
          </w:p>
        </w:tc>
      </w:tr>
      <w:tr w:rsidR="00000000" w14:paraId="1C950AEA" w14:textId="77777777">
        <w:tc>
          <w:tcPr>
            <w:tcW w:w="0" w:type="auto"/>
            <w:tcBorders>
              <w:bottom w:val="single" w:sz="12" w:space="0" w:color="000000"/>
            </w:tcBorders>
            <w:hideMark/>
          </w:tcPr>
          <w:p w14:paraId="49D94770" w14:textId="77777777" w:rsidR="00000000" w:rsidRDefault="001826C1">
            <w:pPr>
              <w:rPr>
                <w:rFonts w:eastAsia="Times New Roman"/>
                <w:sz w:val="20"/>
                <w:szCs w:val="20"/>
              </w:rPr>
            </w:pPr>
            <w:r>
              <w:rPr>
                <w:rFonts w:eastAsia="Times New Roman"/>
                <w:i/>
                <w:iCs/>
                <w:sz w:val="20"/>
                <w:szCs w:val="20"/>
              </w:rPr>
              <w:t>/s/ Bill Korn</w:t>
            </w:r>
          </w:p>
        </w:tc>
        <w:tc>
          <w:tcPr>
            <w:tcW w:w="0" w:type="auto"/>
            <w:tcMar>
              <w:top w:w="0" w:type="dxa"/>
              <w:left w:w="0" w:type="dxa"/>
              <w:bottom w:w="30" w:type="dxa"/>
              <w:right w:w="0" w:type="dxa"/>
            </w:tcMar>
            <w:hideMark/>
          </w:tcPr>
          <w:p w14:paraId="2F966D87"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8F4A5B7"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1C8636DF"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63F3D73C" w14:textId="77777777" w:rsidR="00000000" w:rsidRDefault="001826C1">
            <w:pPr>
              <w:jc w:val="center"/>
              <w:rPr>
                <w:rFonts w:eastAsia="Times New Roman"/>
                <w:sz w:val="20"/>
                <w:szCs w:val="20"/>
              </w:rPr>
            </w:pPr>
            <w:r>
              <w:rPr>
                <w:rFonts w:eastAsia="Times New Roman"/>
                <w:sz w:val="20"/>
                <w:szCs w:val="20"/>
              </w:rPr>
              <w:t xml:space="preserve">February </w:t>
            </w:r>
            <w:r>
              <w:rPr>
                <w:rFonts w:eastAsia="Times New Roman"/>
                <w:sz w:val="20"/>
                <w:szCs w:val="20"/>
              </w:rPr>
              <w:t>28, 2020</w:t>
            </w:r>
          </w:p>
        </w:tc>
      </w:tr>
      <w:tr w:rsidR="00000000" w14:paraId="34755C35" w14:textId="77777777">
        <w:tc>
          <w:tcPr>
            <w:tcW w:w="0" w:type="auto"/>
            <w:hideMark/>
          </w:tcPr>
          <w:p w14:paraId="1CD07EFD" w14:textId="77777777" w:rsidR="00000000" w:rsidRDefault="001826C1">
            <w:pPr>
              <w:rPr>
                <w:rFonts w:eastAsia="Times New Roman"/>
                <w:sz w:val="20"/>
                <w:szCs w:val="20"/>
              </w:rPr>
            </w:pPr>
            <w:r>
              <w:rPr>
                <w:rFonts w:eastAsia="Times New Roman"/>
                <w:sz w:val="20"/>
                <w:szCs w:val="20"/>
              </w:rPr>
              <w:t>Bill Korn</w:t>
            </w:r>
          </w:p>
        </w:tc>
        <w:tc>
          <w:tcPr>
            <w:tcW w:w="0" w:type="auto"/>
            <w:hideMark/>
          </w:tcPr>
          <w:p w14:paraId="05A46A6F" w14:textId="77777777" w:rsidR="00000000" w:rsidRDefault="001826C1">
            <w:pPr>
              <w:rPr>
                <w:rFonts w:eastAsia="Times New Roman"/>
                <w:sz w:val="20"/>
                <w:szCs w:val="20"/>
              </w:rPr>
            </w:pPr>
            <w:r>
              <w:rPr>
                <w:rFonts w:eastAsia="Times New Roman"/>
                <w:sz w:val="20"/>
                <w:szCs w:val="20"/>
              </w:rPr>
              <w:t> </w:t>
            </w:r>
          </w:p>
        </w:tc>
        <w:tc>
          <w:tcPr>
            <w:tcW w:w="0" w:type="auto"/>
            <w:hideMark/>
          </w:tcPr>
          <w:p w14:paraId="0F93D27C" w14:textId="77777777" w:rsidR="00000000" w:rsidRDefault="001826C1">
            <w:pPr>
              <w:rPr>
                <w:rFonts w:eastAsia="Times New Roman"/>
                <w:sz w:val="20"/>
                <w:szCs w:val="20"/>
              </w:rPr>
            </w:pPr>
            <w:r>
              <w:rPr>
                <w:rFonts w:eastAsia="Times New Roman"/>
                <w:sz w:val="20"/>
                <w:szCs w:val="20"/>
              </w:rPr>
              <w:t>Principal Financial Officer</w:t>
            </w:r>
          </w:p>
        </w:tc>
        <w:tc>
          <w:tcPr>
            <w:tcW w:w="0" w:type="auto"/>
            <w:hideMark/>
          </w:tcPr>
          <w:p w14:paraId="34FE8E54" w14:textId="77777777" w:rsidR="00000000" w:rsidRDefault="001826C1">
            <w:pPr>
              <w:rPr>
                <w:rFonts w:eastAsia="Times New Roman"/>
                <w:sz w:val="20"/>
                <w:szCs w:val="20"/>
              </w:rPr>
            </w:pPr>
            <w:r>
              <w:rPr>
                <w:rFonts w:eastAsia="Times New Roman"/>
                <w:sz w:val="20"/>
                <w:szCs w:val="20"/>
              </w:rPr>
              <w:t> </w:t>
            </w:r>
          </w:p>
        </w:tc>
        <w:tc>
          <w:tcPr>
            <w:tcW w:w="0" w:type="auto"/>
            <w:hideMark/>
          </w:tcPr>
          <w:p w14:paraId="24A6F799" w14:textId="77777777" w:rsidR="00000000" w:rsidRDefault="001826C1">
            <w:pPr>
              <w:jc w:val="center"/>
              <w:rPr>
                <w:rFonts w:eastAsia="Times New Roman"/>
                <w:sz w:val="20"/>
                <w:szCs w:val="20"/>
              </w:rPr>
            </w:pPr>
            <w:r>
              <w:rPr>
                <w:rFonts w:eastAsia="Times New Roman"/>
                <w:sz w:val="20"/>
                <w:szCs w:val="20"/>
              </w:rPr>
              <w:t> </w:t>
            </w:r>
          </w:p>
        </w:tc>
      </w:tr>
      <w:tr w:rsidR="00000000" w14:paraId="677C2E50" w14:textId="77777777">
        <w:tc>
          <w:tcPr>
            <w:tcW w:w="0" w:type="auto"/>
            <w:hideMark/>
          </w:tcPr>
          <w:p w14:paraId="155F3CDE" w14:textId="77777777" w:rsidR="00000000" w:rsidRDefault="001826C1">
            <w:pPr>
              <w:rPr>
                <w:rFonts w:eastAsia="Times New Roman"/>
                <w:sz w:val="20"/>
                <w:szCs w:val="20"/>
              </w:rPr>
            </w:pPr>
            <w:r>
              <w:rPr>
                <w:rFonts w:eastAsia="Times New Roman"/>
                <w:sz w:val="20"/>
                <w:szCs w:val="20"/>
              </w:rPr>
              <w:t> </w:t>
            </w:r>
          </w:p>
        </w:tc>
        <w:tc>
          <w:tcPr>
            <w:tcW w:w="0" w:type="auto"/>
            <w:hideMark/>
          </w:tcPr>
          <w:p w14:paraId="01AEBB70" w14:textId="77777777" w:rsidR="00000000" w:rsidRDefault="001826C1">
            <w:pPr>
              <w:rPr>
                <w:rFonts w:eastAsia="Times New Roman"/>
                <w:sz w:val="20"/>
                <w:szCs w:val="20"/>
              </w:rPr>
            </w:pPr>
            <w:r>
              <w:rPr>
                <w:rFonts w:eastAsia="Times New Roman"/>
                <w:sz w:val="20"/>
                <w:szCs w:val="20"/>
              </w:rPr>
              <w:t> </w:t>
            </w:r>
          </w:p>
        </w:tc>
        <w:tc>
          <w:tcPr>
            <w:tcW w:w="0" w:type="auto"/>
            <w:hideMark/>
          </w:tcPr>
          <w:p w14:paraId="2759604D" w14:textId="77777777" w:rsidR="00000000" w:rsidRDefault="001826C1">
            <w:pPr>
              <w:rPr>
                <w:rFonts w:eastAsia="Times New Roman"/>
                <w:sz w:val="20"/>
                <w:szCs w:val="20"/>
              </w:rPr>
            </w:pPr>
            <w:r>
              <w:rPr>
                <w:rFonts w:eastAsia="Times New Roman"/>
                <w:sz w:val="20"/>
                <w:szCs w:val="20"/>
              </w:rPr>
              <w:t> </w:t>
            </w:r>
          </w:p>
        </w:tc>
        <w:tc>
          <w:tcPr>
            <w:tcW w:w="0" w:type="auto"/>
            <w:hideMark/>
          </w:tcPr>
          <w:p w14:paraId="2AD02EB0" w14:textId="77777777" w:rsidR="00000000" w:rsidRDefault="001826C1">
            <w:pPr>
              <w:rPr>
                <w:rFonts w:eastAsia="Times New Roman"/>
                <w:sz w:val="20"/>
                <w:szCs w:val="20"/>
              </w:rPr>
            </w:pPr>
            <w:r>
              <w:rPr>
                <w:rFonts w:eastAsia="Times New Roman"/>
                <w:sz w:val="20"/>
                <w:szCs w:val="20"/>
              </w:rPr>
              <w:t> </w:t>
            </w:r>
          </w:p>
        </w:tc>
        <w:tc>
          <w:tcPr>
            <w:tcW w:w="0" w:type="auto"/>
            <w:hideMark/>
          </w:tcPr>
          <w:p w14:paraId="0F9BCFB6" w14:textId="77777777" w:rsidR="00000000" w:rsidRDefault="001826C1">
            <w:pPr>
              <w:jc w:val="center"/>
              <w:rPr>
                <w:rFonts w:eastAsia="Times New Roman"/>
                <w:sz w:val="20"/>
                <w:szCs w:val="20"/>
              </w:rPr>
            </w:pPr>
            <w:r>
              <w:rPr>
                <w:rFonts w:eastAsia="Times New Roman"/>
                <w:sz w:val="20"/>
                <w:szCs w:val="20"/>
              </w:rPr>
              <w:t> </w:t>
            </w:r>
          </w:p>
        </w:tc>
      </w:tr>
      <w:tr w:rsidR="00000000" w14:paraId="050426A5" w14:textId="77777777">
        <w:tc>
          <w:tcPr>
            <w:tcW w:w="0" w:type="auto"/>
            <w:tcBorders>
              <w:bottom w:val="single" w:sz="12" w:space="0" w:color="000000"/>
            </w:tcBorders>
            <w:hideMark/>
          </w:tcPr>
          <w:p w14:paraId="2209B1EB" w14:textId="77777777" w:rsidR="00000000" w:rsidRDefault="001826C1">
            <w:pPr>
              <w:rPr>
                <w:rFonts w:eastAsia="Times New Roman"/>
                <w:sz w:val="20"/>
                <w:szCs w:val="20"/>
              </w:rPr>
            </w:pPr>
            <w:r>
              <w:rPr>
                <w:rFonts w:eastAsia="Times New Roman"/>
                <w:i/>
                <w:iCs/>
                <w:sz w:val="20"/>
                <w:szCs w:val="20"/>
              </w:rPr>
              <w:t>/s/ Norman Roth</w:t>
            </w:r>
          </w:p>
        </w:tc>
        <w:tc>
          <w:tcPr>
            <w:tcW w:w="0" w:type="auto"/>
            <w:tcMar>
              <w:top w:w="0" w:type="dxa"/>
              <w:left w:w="0" w:type="dxa"/>
              <w:bottom w:w="30" w:type="dxa"/>
              <w:right w:w="0" w:type="dxa"/>
            </w:tcMar>
            <w:hideMark/>
          </w:tcPr>
          <w:p w14:paraId="68FB4BB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B940F3C"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A193847"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490E092" w14:textId="77777777" w:rsidR="00000000" w:rsidRDefault="001826C1">
            <w:pPr>
              <w:jc w:val="center"/>
              <w:rPr>
                <w:rFonts w:eastAsia="Times New Roman"/>
                <w:sz w:val="20"/>
                <w:szCs w:val="20"/>
              </w:rPr>
            </w:pPr>
            <w:r>
              <w:rPr>
                <w:rFonts w:eastAsia="Times New Roman"/>
                <w:sz w:val="20"/>
                <w:szCs w:val="20"/>
              </w:rPr>
              <w:t>February 28, 2020</w:t>
            </w:r>
          </w:p>
        </w:tc>
      </w:tr>
      <w:tr w:rsidR="00000000" w14:paraId="3DAF5078" w14:textId="77777777">
        <w:tc>
          <w:tcPr>
            <w:tcW w:w="0" w:type="auto"/>
            <w:hideMark/>
          </w:tcPr>
          <w:p w14:paraId="0B4B471C" w14:textId="77777777" w:rsidR="00000000" w:rsidRDefault="001826C1">
            <w:pPr>
              <w:rPr>
                <w:rFonts w:eastAsia="Times New Roman"/>
                <w:sz w:val="20"/>
                <w:szCs w:val="20"/>
              </w:rPr>
            </w:pPr>
            <w:r>
              <w:rPr>
                <w:rFonts w:eastAsia="Times New Roman"/>
                <w:sz w:val="20"/>
                <w:szCs w:val="20"/>
              </w:rPr>
              <w:t>Norman Roth</w:t>
            </w:r>
          </w:p>
        </w:tc>
        <w:tc>
          <w:tcPr>
            <w:tcW w:w="0" w:type="auto"/>
            <w:hideMark/>
          </w:tcPr>
          <w:p w14:paraId="61F3B55E" w14:textId="77777777" w:rsidR="00000000" w:rsidRDefault="001826C1">
            <w:pPr>
              <w:rPr>
                <w:rFonts w:eastAsia="Times New Roman"/>
                <w:sz w:val="20"/>
                <w:szCs w:val="20"/>
              </w:rPr>
            </w:pPr>
            <w:r>
              <w:rPr>
                <w:rFonts w:eastAsia="Times New Roman"/>
                <w:sz w:val="20"/>
                <w:szCs w:val="20"/>
              </w:rPr>
              <w:t> </w:t>
            </w:r>
          </w:p>
        </w:tc>
        <w:tc>
          <w:tcPr>
            <w:tcW w:w="0" w:type="auto"/>
            <w:hideMark/>
          </w:tcPr>
          <w:p w14:paraId="5D81B9D4" w14:textId="77777777" w:rsidR="00000000" w:rsidRDefault="001826C1">
            <w:pPr>
              <w:rPr>
                <w:rFonts w:eastAsia="Times New Roman"/>
                <w:sz w:val="20"/>
                <w:szCs w:val="20"/>
              </w:rPr>
            </w:pPr>
            <w:r>
              <w:rPr>
                <w:rFonts w:eastAsia="Times New Roman"/>
                <w:sz w:val="20"/>
                <w:szCs w:val="20"/>
              </w:rPr>
              <w:t>Principal Accounting Officer</w:t>
            </w:r>
          </w:p>
        </w:tc>
        <w:tc>
          <w:tcPr>
            <w:tcW w:w="0" w:type="auto"/>
            <w:hideMark/>
          </w:tcPr>
          <w:p w14:paraId="54C2DC52" w14:textId="77777777" w:rsidR="00000000" w:rsidRDefault="001826C1">
            <w:pPr>
              <w:rPr>
                <w:rFonts w:eastAsia="Times New Roman"/>
                <w:sz w:val="20"/>
                <w:szCs w:val="20"/>
              </w:rPr>
            </w:pPr>
            <w:r>
              <w:rPr>
                <w:rFonts w:eastAsia="Times New Roman"/>
                <w:sz w:val="20"/>
                <w:szCs w:val="20"/>
              </w:rPr>
              <w:t> </w:t>
            </w:r>
          </w:p>
        </w:tc>
        <w:tc>
          <w:tcPr>
            <w:tcW w:w="0" w:type="auto"/>
            <w:hideMark/>
          </w:tcPr>
          <w:p w14:paraId="528B1B9E" w14:textId="77777777" w:rsidR="00000000" w:rsidRDefault="001826C1">
            <w:pPr>
              <w:jc w:val="center"/>
              <w:rPr>
                <w:rFonts w:eastAsia="Times New Roman"/>
                <w:sz w:val="20"/>
                <w:szCs w:val="20"/>
              </w:rPr>
            </w:pPr>
            <w:r>
              <w:rPr>
                <w:rFonts w:eastAsia="Times New Roman"/>
                <w:sz w:val="20"/>
                <w:szCs w:val="20"/>
              </w:rPr>
              <w:t> </w:t>
            </w:r>
          </w:p>
        </w:tc>
      </w:tr>
      <w:tr w:rsidR="00000000" w14:paraId="0C7CF80E" w14:textId="77777777">
        <w:tc>
          <w:tcPr>
            <w:tcW w:w="0" w:type="auto"/>
            <w:hideMark/>
          </w:tcPr>
          <w:p w14:paraId="09AEDDCB" w14:textId="77777777" w:rsidR="00000000" w:rsidRDefault="001826C1">
            <w:pPr>
              <w:rPr>
                <w:rFonts w:eastAsia="Times New Roman"/>
                <w:sz w:val="20"/>
                <w:szCs w:val="20"/>
              </w:rPr>
            </w:pPr>
            <w:r>
              <w:rPr>
                <w:rFonts w:eastAsia="Times New Roman"/>
                <w:sz w:val="20"/>
                <w:szCs w:val="20"/>
              </w:rPr>
              <w:t> </w:t>
            </w:r>
          </w:p>
        </w:tc>
        <w:tc>
          <w:tcPr>
            <w:tcW w:w="0" w:type="auto"/>
            <w:hideMark/>
          </w:tcPr>
          <w:p w14:paraId="147F7231" w14:textId="77777777" w:rsidR="00000000" w:rsidRDefault="001826C1">
            <w:pPr>
              <w:rPr>
                <w:rFonts w:eastAsia="Times New Roman"/>
                <w:sz w:val="20"/>
                <w:szCs w:val="20"/>
              </w:rPr>
            </w:pPr>
            <w:r>
              <w:rPr>
                <w:rFonts w:eastAsia="Times New Roman"/>
                <w:sz w:val="20"/>
                <w:szCs w:val="20"/>
              </w:rPr>
              <w:t> </w:t>
            </w:r>
          </w:p>
        </w:tc>
        <w:tc>
          <w:tcPr>
            <w:tcW w:w="0" w:type="auto"/>
            <w:hideMark/>
          </w:tcPr>
          <w:p w14:paraId="784C732D" w14:textId="77777777" w:rsidR="00000000" w:rsidRDefault="001826C1">
            <w:pPr>
              <w:rPr>
                <w:rFonts w:eastAsia="Times New Roman"/>
                <w:sz w:val="20"/>
                <w:szCs w:val="20"/>
              </w:rPr>
            </w:pPr>
            <w:r>
              <w:rPr>
                <w:rFonts w:eastAsia="Times New Roman"/>
                <w:sz w:val="20"/>
                <w:szCs w:val="20"/>
              </w:rPr>
              <w:t> </w:t>
            </w:r>
          </w:p>
        </w:tc>
        <w:tc>
          <w:tcPr>
            <w:tcW w:w="0" w:type="auto"/>
            <w:hideMark/>
          </w:tcPr>
          <w:p w14:paraId="27EB7A16" w14:textId="77777777" w:rsidR="00000000" w:rsidRDefault="001826C1">
            <w:pPr>
              <w:rPr>
                <w:rFonts w:eastAsia="Times New Roman"/>
                <w:sz w:val="20"/>
                <w:szCs w:val="20"/>
              </w:rPr>
            </w:pPr>
            <w:r>
              <w:rPr>
                <w:rFonts w:eastAsia="Times New Roman"/>
                <w:sz w:val="20"/>
                <w:szCs w:val="20"/>
              </w:rPr>
              <w:t> </w:t>
            </w:r>
          </w:p>
        </w:tc>
        <w:tc>
          <w:tcPr>
            <w:tcW w:w="0" w:type="auto"/>
            <w:hideMark/>
          </w:tcPr>
          <w:p w14:paraId="0FB777D6" w14:textId="77777777" w:rsidR="00000000" w:rsidRDefault="001826C1">
            <w:pPr>
              <w:jc w:val="center"/>
              <w:rPr>
                <w:rFonts w:eastAsia="Times New Roman"/>
                <w:sz w:val="20"/>
                <w:szCs w:val="20"/>
              </w:rPr>
            </w:pPr>
            <w:r>
              <w:rPr>
                <w:rFonts w:eastAsia="Times New Roman"/>
                <w:sz w:val="20"/>
                <w:szCs w:val="20"/>
              </w:rPr>
              <w:t> </w:t>
            </w:r>
          </w:p>
        </w:tc>
      </w:tr>
      <w:tr w:rsidR="00000000" w14:paraId="4977BCE1" w14:textId="77777777">
        <w:tc>
          <w:tcPr>
            <w:tcW w:w="0" w:type="auto"/>
            <w:tcBorders>
              <w:bottom w:val="single" w:sz="12" w:space="0" w:color="000000"/>
            </w:tcBorders>
            <w:hideMark/>
          </w:tcPr>
          <w:p w14:paraId="3144E41D" w14:textId="77777777" w:rsidR="00000000" w:rsidRDefault="001826C1">
            <w:pPr>
              <w:rPr>
                <w:rFonts w:eastAsia="Times New Roman"/>
                <w:sz w:val="20"/>
                <w:szCs w:val="20"/>
              </w:rPr>
            </w:pPr>
            <w:r>
              <w:rPr>
                <w:rFonts w:eastAsia="Times New Roman"/>
                <w:i/>
                <w:iCs/>
                <w:sz w:val="20"/>
                <w:szCs w:val="20"/>
              </w:rPr>
              <w:t>/s/ A. Hadi Chaudhry</w:t>
            </w:r>
          </w:p>
        </w:tc>
        <w:tc>
          <w:tcPr>
            <w:tcW w:w="0" w:type="auto"/>
            <w:tcMar>
              <w:top w:w="0" w:type="dxa"/>
              <w:left w:w="0" w:type="dxa"/>
              <w:bottom w:w="30" w:type="dxa"/>
              <w:right w:w="0" w:type="dxa"/>
            </w:tcMar>
            <w:hideMark/>
          </w:tcPr>
          <w:p w14:paraId="3AEFFAC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2373D698"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2DFC513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3C3CC0C" w14:textId="77777777" w:rsidR="00000000" w:rsidRDefault="001826C1">
            <w:pPr>
              <w:jc w:val="center"/>
              <w:rPr>
                <w:rFonts w:eastAsia="Times New Roman"/>
                <w:sz w:val="20"/>
                <w:szCs w:val="20"/>
              </w:rPr>
            </w:pPr>
            <w:r>
              <w:rPr>
                <w:rFonts w:eastAsia="Times New Roman"/>
                <w:sz w:val="20"/>
                <w:szCs w:val="20"/>
              </w:rPr>
              <w:t>February 28, 2020</w:t>
            </w:r>
          </w:p>
        </w:tc>
      </w:tr>
      <w:tr w:rsidR="00000000" w14:paraId="0C0C2443" w14:textId="77777777">
        <w:tc>
          <w:tcPr>
            <w:tcW w:w="0" w:type="auto"/>
            <w:tcBorders>
              <w:top w:val="single" w:sz="8" w:space="0" w:color="000000"/>
            </w:tcBorders>
            <w:hideMark/>
          </w:tcPr>
          <w:p w14:paraId="1195D962" w14:textId="77777777" w:rsidR="00000000" w:rsidRDefault="001826C1">
            <w:pPr>
              <w:rPr>
                <w:rFonts w:eastAsia="Times New Roman"/>
                <w:sz w:val="20"/>
                <w:szCs w:val="20"/>
              </w:rPr>
            </w:pPr>
            <w:r>
              <w:rPr>
                <w:rFonts w:eastAsia="Times New Roman"/>
                <w:sz w:val="20"/>
                <w:szCs w:val="20"/>
              </w:rPr>
              <w:t>A. Hadi Chaudhry</w:t>
            </w:r>
          </w:p>
        </w:tc>
        <w:tc>
          <w:tcPr>
            <w:tcW w:w="0" w:type="auto"/>
            <w:hideMark/>
          </w:tcPr>
          <w:p w14:paraId="3CC14FAE" w14:textId="77777777" w:rsidR="00000000" w:rsidRDefault="001826C1">
            <w:pPr>
              <w:rPr>
                <w:rFonts w:eastAsia="Times New Roman"/>
                <w:sz w:val="20"/>
                <w:szCs w:val="20"/>
              </w:rPr>
            </w:pPr>
            <w:r>
              <w:rPr>
                <w:rFonts w:eastAsia="Times New Roman"/>
                <w:sz w:val="20"/>
                <w:szCs w:val="20"/>
              </w:rPr>
              <w:t> </w:t>
            </w:r>
          </w:p>
        </w:tc>
        <w:tc>
          <w:tcPr>
            <w:tcW w:w="0" w:type="auto"/>
            <w:hideMark/>
          </w:tcPr>
          <w:p w14:paraId="5F1AA033" w14:textId="77777777" w:rsidR="00000000" w:rsidRDefault="001826C1">
            <w:pPr>
              <w:rPr>
                <w:rFonts w:eastAsia="Times New Roman"/>
                <w:sz w:val="20"/>
                <w:szCs w:val="20"/>
              </w:rPr>
            </w:pPr>
            <w:r>
              <w:rPr>
                <w:rFonts w:eastAsia="Times New Roman"/>
                <w:sz w:val="20"/>
                <w:szCs w:val="20"/>
              </w:rPr>
              <w:t xml:space="preserve">President </w:t>
            </w:r>
            <w:r>
              <w:rPr>
                <w:rFonts w:eastAsia="Times New Roman"/>
                <w:sz w:val="20"/>
                <w:szCs w:val="20"/>
              </w:rPr>
              <w:t>and Director</w:t>
            </w:r>
          </w:p>
        </w:tc>
        <w:tc>
          <w:tcPr>
            <w:tcW w:w="0" w:type="auto"/>
            <w:hideMark/>
          </w:tcPr>
          <w:p w14:paraId="1B80A423" w14:textId="77777777" w:rsidR="00000000" w:rsidRDefault="001826C1">
            <w:pPr>
              <w:rPr>
                <w:rFonts w:eastAsia="Times New Roman"/>
                <w:sz w:val="20"/>
                <w:szCs w:val="20"/>
              </w:rPr>
            </w:pPr>
            <w:r>
              <w:rPr>
                <w:rFonts w:eastAsia="Times New Roman"/>
                <w:sz w:val="20"/>
                <w:szCs w:val="20"/>
              </w:rPr>
              <w:t> </w:t>
            </w:r>
          </w:p>
        </w:tc>
        <w:tc>
          <w:tcPr>
            <w:tcW w:w="0" w:type="auto"/>
            <w:hideMark/>
          </w:tcPr>
          <w:p w14:paraId="3125A3DD" w14:textId="77777777" w:rsidR="00000000" w:rsidRDefault="001826C1">
            <w:pPr>
              <w:jc w:val="center"/>
              <w:rPr>
                <w:rFonts w:eastAsia="Times New Roman"/>
                <w:sz w:val="20"/>
                <w:szCs w:val="20"/>
              </w:rPr>
            </w:pPr>
            <w:r>
              <w:rPr>
                <w:rFonts w:eastAsia="Times New Roman"/>
                <w:sz w:val="20"/>
                <w:szCs w:val="20"/>
              </w:rPr>
              <w:t> </w:t>
            </w:r>
          </w:p>
        </w:tc>
      </w:tr>
      <w:tr w:rsidR="00000000" w14:paraId="042CCBFA" w14:textId="77777777">
        <w:tc>
          <w:tcPr>
            <w:tcW w:w="0" w:type="auto"/>
            <w:hideMark/>
          </w:tcPr>
          <w:p w14:paraId="48D7E30D" w14:textId="77777777" w:rsidR="00000000" w:rsidRDefault="001826C1">
            <w:pPr>
              <w:rPr>
                <w:rFonts w:eastAsia="Times New Roman"/>
                <w:sz w:val="20"/>
                <w:szCs w:val="20"/>
              </w:rPr>
            </w:pPr>
            <w:r>
              <w:rPr>
                <w:rFonts w:eastAsia="Times New Roman"/>
                <w:sz w:val="20"/>
                <w:szCs w:val="20"/>
              </w:rPr>
              <w:t> </w:t>
            </w:r>
          </w:p>
        </w:tc>
        <w:tc>
          <w:tcPr>
            <w:tcW w:w="0" w:type="auto"/>
            <w:hideMark/>
          </w:tcPr>
          <w:p w14:paraId="1D2E32DB" w14:textId="77777777" w:rsidR="00000000" w:rsidRDefault="001826C1">
            <w:pPr>
              <w:rPr>
                <w:rFonts w:eastAsia="Times New Roman"/>
                <w:sz w:val="20"/>
                <w:szCs w:val="20"/>
              </w:rPr>
            </w:pPr>
            <w:r>
              <w:rPr>
                <w:rFonts w:eastAsia="Times New Roman"/>
                <w:sz w:val="20"/>
                <w:szCs w:val="20"/>
              </w:rPr>
              <w:t> </w:t>
            </w:r>
          </w:p>
        </w:tc>
        <w:tc>
          <w:tcPr>
            <w:tcW w:w="0" w:type="auto"/>
            <w:hideMark/>
          </w:tcPr>
          <w:p w14:paraId="1061B9D4" w14:textId="77777777" w:rsidR="00000000" w:rsidRDefault="001826C1">
            <w:pPr>
              <w:rPr>
                <w:rFonts w:eastAsia="Times New Roman"/>
                <w:sz w:val="20"/>
                <w:szCs w:val="20"/>
              </w:rPr>
            </w:pPr>
            <w:r>
              <w:rPr>
                <w:rFonts w:eastAsia="Times New Roman"/>
                <w:sz w:val="20"/>
                <w:szCs w:val="20"/>
              </w:rPr>
              <w:t> </w:t>
            </w:r>
          </w:p>
        </w:tc>
        <w:tc>
          <w:tcPr>
            <w:tcW w:w="0" w:type="auto"/>
            <w:hideMark/>
          </w:tcPr>
          <w:p w14:paraId="1022AB52" w14:textId="77777777" w:rsidR="00000000" w:rsidRDefault="001826C1">
            <w:pPr>
              <w:rPr>
                <w:rFonts w:eastAsia="Times New Roman"/>
                <w:sz w:val="20"/>
                <w:szCs w:val="20"/>
              </w:rPr>
            </w:pPr>
            <w:r>
              <w:rPr>
                <w:rFonts w:eastAsia="Times New Roman"/>
                <w:sz w:val="20"/>
                <w:szCs w:val="20"/>
              </w:rPr>
              <w:t> </w:t>
            </w:r>
          </w:p>
        </w:tc>
        <w:tc>
          <w:tcPr>
            <w:tcW w:w="0" w:type="auto"/>
            <w:hideMark/>
          </w:tcPr>
          <w:p w14:paraId="1D133033" w14:textId="77777777" w:rsidR="00000000" w:rsidRDefault="001826C1">
            <w:pPr>
              <w:jc w:val="center"/>
              <w:rPr>
                <w:rFonts w:eastAsia="Times New Roman"/>
                <w:sz w:val="20"/>
                <w:szCs w:val="20"/>
              </w:rPr>
            </w:pPr>
            <w:r>
              <w:rPr>
                <w:rFonts w:eastAsia="Times New Roman"/>
                <w:sz w:val="20"/>
                <w:szCs w:val="20"/>
              </w:rPr>
              <w:t> </w:t>
            </w:r>
          </w:p>
        </w:tc>
      </w:tr>
      <w:tr w:rsidR="00000000" w14:paraId="26842888" w14:textId="77777777">
        <w:tc>
          <w:tcPr>
            <w:tcW w:w="0" w:type="auto"/>
            <w:tcBorders>
              <w:bottom w:val="single" w:sz="12" w:space="0" w:color="000000"/>
            </w:tcBorders>
            <w:hideMark/>
          </w:tcPr>
          <w:p w14:paraId="4599F92E" w14:textId="77777777" w:rsidR="00000000" w:rsidRDefault="001826C1">
            <w:pPr>
              <w:rPr>
                <w:rFonts w:eastAsia="Times New Roman"/>
                <w:sz w:val="20"/>
                <w:szCs w:val="20"/>
              </w:rPr>
            </w:pPr>
            <w:r>
              <w:rPr>
                <w:rFonts w:eastAsia="Times New Roman"/>
                <w:i/>
                <w:iCs/>
                <w:sz w:val="20"/>
                <w:szCs w:val="20"/>
              </w:rPr>
              <w:t>/s/ Anne Busquet</w:t>
            </w:r>
          </w:p>
        </w:tc>
        <w:tc>
          <w:tcPr>
            <w:tcW w:w="0" w:type="auto"/>
            <w:tcMar>
              <w:top w:w="0" w:type="dxa"/>
              <w:left w:w="0" w:type="dxa"/>
              <w:bottom w:w="30" w:type="dxa"/>
              <w:right w:w="0" w:type="dxa"/>
            </w:tcMar>
            <w:hideMark/>
          </w:tcPr>
          <w:p w14:paraId="3EF93EDD"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AED865D"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548951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4C8BB3F9" w14:textId="77777777" w:rsidR="00000000" w:rsidRDefault="001826C1">
            <w:pPr>
              <w:jc w:val="center"/>
              <w:rPr>
                <w:rFonts w:eastAsia="Times New Roman"/>
                <w:sz w:val="20"/>
                <w:szCs w:val="20"/>
              </w:rPr>
            </w:pPr>
            <w:r>
              <w:rPr>
                <w:rFonts w:eastAsia="Times New Roman"/>
                <w:sz w:val="20"/>
                <w:szCs w:val="20"/>
              </w:rPr>
              <w:t>February 28, 2020</w:t>
            </w:r>
          </w:p>
        </w:tc>
      </w:tr>
      <w:tr w:rsidR="00000000" w14:paraId="42C9C699" w14:textId="77777777">
        <w:tc>
          <w:tcPr>
            <w:tcW w:w="0" w:type="auto"/>
            <w:hideMark/>
          </w:tcPr>
          <w:p w14:paraId="3713B16A" w14:textId="77777777" w:rsidR="00000000" w:rsidRDefault="001826C1">
            <w:pPr>
              <w:rPr>
                <w:rFonts w:eastAsia="Times New Roman"/>
                <w:sz w:val="20"/>
                <w:szCs w:val="20"/>
              </w:rPr>
            </w:pPr>
            <w:r>
              <w:rPr>
                <w:rFonts w:eastAsia="Times New Roman"/>
                <w:sz w:val="20"/>
                <w:szCs w:val="20"/>
              </w:rPr>
              <w:t>Anne Busquet</w:t>
            </w:r>
          </w:p>
        </w:tc>
        <w:tc>
          <w:tcPr>
            <w:tcW w:w="0" w:type="auto"/>
            <w:hideMark/>
          </w:tcPr>
          <w:p w14:paraId="0989F857" w14:textId="77777777" w:rsidR="00000000" w:rsidRDefault="001826C1">
            <w:pPr>
              <w:rPr>
                <w:rFonts w:eastAsia="Times New Roman"/>
                <w:sz w:val="20"/>
                <w:szCs w:val="20"/>
              </w:rPr>
            </w:pPr>
            <w:r>
              <w:rPr>
                <w:rFonts w:eastAsia="Times New Roman"/>
                <w:sz w:val="20"/>
                <w:szCs w:val="20"/>
              </w:rPr>
              <w:t> </w:t>
            </w:r>
          </w:p>
        </w:tc>
        <w:tc>
          <w:tcPr>
            <w:tcW w:w="0" w:type="auto"/>
            <w:hideMark/>
          </w:tcPr>
          <w:p w14:paraId="0D08EA5D" w14:textId="77777777" w:rsidR="00000000" w:rsidRDefault="001826C1">
            <w:pPr>
              <w:rPr>
                <w:rFonts w:eastAsia="Times New Roman"/>
                <w:sz w:val="20"/>
                <w:szCs w:val="20"/>
              </w:rPr>
            </w:pPr>
            <w:r>
              <w:rPr>
                <w:rFonts w:eastAsia="Times New Roman"/>
                <w:sz w:val="20"/>
                <w:szCs w:val="20"/>
              </w:rPr>
              <w:t>Director</w:t>
            </w:r>
          </w:p>
        </w:tc>
        <w:tc>
          <w:tcPr>
            <w:tcW w:w="0" w:type="auto"/>
            <w:hideMark/>
          </w:tcPr>
          <w:p w14:paraId="2A13B393" w14:textId="77777777" w:rsidR="00000000" w:rsidRDefault="001826C1">
            <w:pPr>
              <w:rPr>
                <w:rFonts w:eastAsia="Times New Roman"/>
                <w:sz w:val="20"/>
                <w:szCs w:val="20"/>
              </w:rPr>
            </w:pPr>
            <w:r>
              <w:rPr>
                <w:rFonts w:eastAsia="Times New Roman"/>
                <w:sz w:val="20"/>
                <w:szCs w:val="20"/>
              </w:rPr>
              <w:t> </w:t>
            </w:r>
          </w:p>
        </w:tc>
        <w:tc>
          <w:tcPr>
            <w:tcW w:w="0" w:type="auto"/>
            <w:hideMark/>
          </w:tcPr>
          <w:p w14:paraId="50DCD44F" w14:textId="77777777" w:rsidR="00000000" w:rsidRDefault="001826C1">
            <w:pPr>
              <w:jc w:val="center"/>
              <w:rPr>
                <w:rFonts w:eastAsia="Times New Roman"/>
                <w:sz w:val="20"/>
                <w:szCs w:val="20"/>
              </w:rPr>
            </w:pPr>
            <w:r>
              <w:rPr>
                <w:rFonts w:eastAsia="Times New Roman"/>
                <w:sz w:val="20"/>
                <w:szCs w:val="20"/>
              </w:rPr>
              <w:t> </w:t>
            </w:r>
          </w:p>
        </w:tc>
      </w:tr>
      <w:tr w:rsidR="00000000" w14:paraId="3670AEF2" w14:textId="77777777">
        <w:tc>
          <w:tcPr>
            <w:tcW w:w="0" w:type="auto"/>
            <w:hideMark/>
          </w:tcPr>
          <w:p w14:paraId="51D4A4A3" w14:textId="77777777" w:rsidR="00000000" w:rsidRDefault="001826C1">
            <w:pPr>
              <w:rPr>
                <w:rFonts w:eastAsia="Times New Roman"/>
                <w:sz w:val="20"/>
                <w:szCs w:val="20"/>
              </w:rPr>
            </w:pPr>
            <w:r>
              <w:rPr>
                <w:rFonts w:eastAsia="Times New Roman"/>
                <w:sz w:val="20"/>
                <w:szCs w:val="20"/>
              </w:rPr>
              <w:t> </w:t>
            </w:r>
          </w:p>
        </w:tc>
        <w:tc>
          <w:tcPr>
            <w:tcW w:w="0" w:type="auto"/>
            <w:hideMark/>
          </w:tcPr>
          <w:p w14:paraId="65BCDEE0" w14:textId="77777777" w:rsidR="00000000" w:rsidRDefault="001826C1">
            <w:pPr>
              <w:rPr>
                <w:rFonts w:eastAsia="Times New Roman"/>
                <w:sz w:val="20"/>
                <w:szCs w:val="20"/>
              </w:rPr>
            </w:pPr>
            <w:r>
              <w:rPr>
                <w:rFonts w:eastAsia="Times New Roman"/>
                <w:sz w:val="20"/>
                <w:szCs w:val="20"/>
              </w:rPr>
              <w:t> </w:t>
            </w:r>
          </w:p>
        </w:tc>
        <w:tc>
          <w:tcPr>
            <w:tcW w:w="0" w:type="auto"/>
            <w:hideMark/>
          </w:tcPr>
          <w:p w14:paraId="19BF132A" w14:textId="77777777" w:rsidR="00000000" w:rsidRDefault="001826C1">
            <w:pPr>
              <w:rPr>
                <w:rFonts w:eastAsia="Times New Roman"/>
                <w:sz w:val="20"/>
                <w:szCs w:val="20"/>
              </w:rPr>
            </w:pPr>
            <w:r>
              <w:rPr>
                <w:rFonts w:eastAsia="Times New Roman"/>
                <w:sz w:val="20"/>
                <w:szCs w:val="20"/>
              </w:rPr>
              <w:t> </w:t>
            </w:r>
          </w:p>
        </w:tc>
        <w:tc>
          <w:tcPr>
            <w:tcW w:w="0" w:type="auto"/>
            <w:hideMark/>
          </w:tcPr>
          <w:p w14:paraId="524EF94A" w14:textId="77777777" w:rsidR="00000000" w:rsidRDefault="001826C1">
            <w:pPr>
              <w:rPr>
                <w:rFonts w:eastAsia="Times New Roman"/>
                <w:sz w:val="20"/>
                <w:szCs w:val="20"/>
              </w:rPr>
            </w:pPr>
            <w:r>
              <w:rPr>
                <w:rFonts w:eastAsia="Times New Roman"/>
                <w:sz w:val="20"/>
                <w:szCs w:val="20"/>
              </w:rPr>
              <w:t> </w:t>
            </w:r>
          </w:p>
        </w:tc>
        <w:tc>
          <w:tcPr>
            <w:tcW w:w="0" w:type="auto"/>
            <w:hideMark/>
          </w:tcPr>
          <w:p w14:paraId="3ABE6D37" w14:textId="77777777" w:rsidR="00000000" w:rsidRDefault="001826C1">
            <w:pPr>
              <w:jc w:val="center"/>
              <w:rPr>
                <w:rFonts w:eastAsia="Times New Roman"/>
                <w:sz w:val="20"/>
                <w:szCs w:val="20"/>
              </w:rPr>
            </w:pPr>
            <w:r>
              <w:rPr>
                <w:rFonts w:eastAsia="Times New Roman"/>
                <w:sz w:val="20"/>
                <w:szCs w:val="20"/>
              </w:rPr>
              <w:t> </w:t>
            </w:r>
          </w:p>
        </w:tc>
      </w:tr>
      <w:tr w:rsidR="00000000" w14:paraId="3C9228F8" w14:textId="77777777">
        <w:tc>
          <w:tcPr>
            <w:tcW w:w="0" w:type="auto"/>
            <w:tcBorders>
              <w:bottom w:val="single" w:sz="12" w:space="0" w:color="000000"/>
            </w:tcBorders>
            <w:hideMark/>
          </w:tcPr>
          <w:p w14:paraId="1BF45D32" w14:textId="77777777" w:rsidR="00000000" w:rsidRDefault="001826C1">
            <w:pPr>
              <w:rPr>
                <w:rFonts w:eastAsia="Times New Roman"/>
                <w:sz w:val="20"/>
                <w:szCs w:val="20"/>
              </w:rPr>
            </w:pPr>
            <w:r>
              <w:rPr>
                <w:rFonts w:eastAsia="Times New Roman"/>
                <w:i/>
                <w:iCs/>
                <w:sz w:val="20"/>
                <w:szCs w:val="20"/>
              </w:rPr>
              <w:t>/s/ Howard L. Clark, Jr.</w:t>
            </w:r>
          </w:p>
        </w:tc>
        <w:tc>
          <w:tcPr>
            <w:tcW w:w="0" w:type="auto"/>
            <w:tcMar>
              <w:top w:w="0" w:type="dxa"/>
              <w:left w:w="0" w:type="dxa"/>
              <w:bottom w:w="30" w:type="dxa"/>
              <w:right w:w="0" w:type="dxa"/>
            </w:tcMar>
            <w:hideMark/>
          </w:tcPr>
          <w:p w14:paraId="08A8147E"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3326EAA2"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7041FEA"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744956C1" w14:textId="77777777" w:rsidR="00000000" w:rsidRDefault="001826C1">
            <w:pPr>
              <w:jc w:val="center"/>
              <w:rPr>
                <w:rFonts w:eastAsia="Times New Roman"/>
                <w:sz w:val="20"/>
                <w:szCs w:val="20"/>
              </w:rPr>
            </w:pPr>
            <w:r>
              <w:rPr>
                <w:rFonts w:eastAsia="Times New Roman"/>
                <w:sz w:val="20"/>
                <w:szCs w:val="20"/>
              </w:rPr>
              <w:t>February 28, 2020</w:t>
            </w:r>
          </w:p>
        </w:tc>
      </w:tr>
      <w:tr w:rsidR="00000000" w14:paraId="0180BA5C" w14:textId="77777777">
        <w:tc>
          <w:tcPr>
            <w:tcW w:w="0" w:type="auto"/>
            <w:hideMark/>
          </w:tcPr>
          <w:p w14:paraId="4E3A7980" w14:textId="77777777" w:rsidR="00000000" w:rsidRDefault="001826C1">
            <w:pPr>
              <w:rPr>
                <w:rFonts w:eastAsia="Times New Roman"/>
                <w:sz w:val="20"/>
                <w:szCs w:val="20"/>
              </w:rPr>
            </w:pPr>
            <w:r>
              <w:rPr>
                <w:rFonts w:eastAsia="Times New Roman"/>
                <w:sz w:val="20"/>
                <w:szCs w:val="20"/>
              </w:rPr>
              <w:t>Howard L. Clark, Jr.</w:t>
            </w:r>
          </w:p>
        </w:tc>
        <w:tc>
          <w:tcPr>
            <w:tcW w:w="0" w:type="auto"/>
            <w:hideMark/>
          </w:tcPr>
          <w:p w14:paraId="34540150" w14:textId="77777777" w:rsidR="00000000" w:rsidRDefault="001826C1">
            <w:pPr>
              <w:rPr>
                <w:rFonts w:eastAsia="Times New Roman"/>
                <w:sz w:val="20"/>
                <w:szCs w:val="20"/>
              </w:rPr>
            </w:pPr>
            <w:r>
              <w:rPr>
                <w:rFonts w:eastAsia="Times New Roman"/>
                <w:sz w:val="20"/>
                <w:szCs w:val="20"/>
              </w:rPr>
              <w:t> </w:t>
            </w:r>
          </w:p>
        </w:tc>
        <w:tc>
          <w:tcPr>
            <w:tcW w:w="0" w:type="auto"/>
            <w:hideMark/>
          </w:tcPr>
          <w:p w14:paraId="15C31D6D" w14:textId="77777777" w:rsidR="00000000" w:rsidRDefault="001826C1">
            <w:pPr>
              <w:rPr>
                <w:rFonts w:eastAsia="Times New Roman"/>
                <w:sz w:val="20"/>
                <w:szCs w:val="20"/>
              </w:rPr>
            </w:pPr>
            <w:r>
              <w:rPr>
                <w:rFonts w:eastAsia="Times New Roman"/>
                <w:sz w:val="20"/>
                <w:szCs w:val="20"/>
              </w:rPr>
              <w:t>Director</w:t>
            </w:r>
          </w:p>
        </w:tc>
        <w:tc>
          <w:tcPr>
            <w:tcW w:w="0" w:type="auto"/>
            <w:hideMark/>
          </w:tcPr>
          <w:p w14:paraId="794C9D62" w14:textId="77777777" w:rsidR="00000000" w:rsidRDefault="001826C1">
            <w:pPr>
              <w:rPr>
                <w:rFonts w:eastAsia="Times New Roman"/>
                <w:sz w:val="20"/>
                <w:szCs w:val="20"/>
              </w:rPr>
            </w:pPr>
            <w:r>
              <w:rPr>
                <w:rFonts w:eastAsia="Times New Roman"/>
                <w:sz w:val="20"/>
                <w:szCs w:val="20"/>
              </w:rPr>
              <w:t> </w:t>
            </w:r>
          </w:p>
        </w:tc>
        <w:tc>
          <w:tcPr>
            <w:tcW w:w="0" w:type="auto"/>
            <w:hideMark/>
          </w:tcPr>
          <w:p w14:paraId="0B3EC10D" w14:textId="77777777" w:rsidR="00000000" w:rsidRDefault="001826C1">
            <w:pPr>
              <w:jc w:val="center"/>
              <w:rPr>
                <w:rFonts w:eastAsia="Times New Roman"/>
                <w:sz w:val="20"/>
                <w:szCs w:val="20"/>
              </w:rPr>
            </w:pPr>
            <w:r>
              <w:rPr>
                <w:rFonts w:eastAsia="Times New Roman"/>
                <w:sz w:val="20"/>
                <w:szCs w:val="20"/>
              </w:rPr>
              <w:t> </w:t>
            </w:r>
          </w:p>
        </w:tc>
      </w:tr>
      <w:tr w:rsidR="00000000" w14:paraId="3A89E506" w14:textId="77777777">
        <w:tc>
          <w:tcPr>
            <w:tcW w:w="0" w:type="auto"/>
            <w:hideMark/>
          </w:tcPr>
          <w:p w14:paraId="427A1C76" w14:textId="77777777" w:rsidR="00000000" w:rsidRDefault="001826C1">
            <w:pPr>
              <w:rPr>
                <w:rFonts w:eastAsia="Times New Roman"/>
                <w:sz w:val="20"/>
                <w:szCs w:val="20"/>
              </w:rPr>
            </w:pPr>
            <w:r>
              <w:rPr>
                <w:rFonts w:eastAsia="Times New Roman"/>
                <w:sz w:val="20"/>
                <w:szCs w:val="20"/>
              </w:rPr>
              <w:t> </w:t>
            </w:r>
          </w:p>
        </w:tc>
        <w:tc>
          <w:tcPr>
            <w:tcW w:w="0" w:type="auto"/>
            <w:hideMark/>
          </w:tcPr>
          <w:p w14:paraId="61A2A7D1" w14:textId="77777777" w:rsidR="00000000" w:rsidRDefault="001826C1">
            <w:pPr>
              <w:rPr>
                <w:rFonts w:eastAsia="Times New Roman"/>
                <w:sz w:val="20"/>
                <w:szCs w:val="20"/>
              </w:rPr>
            </w:pPr>
            <w:r>
              <w:rPr>
                <w:rFonts w:eastAsia="Times New Roman"/>
                <w:sz w:val="20"/>
                <w:szCs w:val="20"/>
              </w:rPr>
              <w:t> </w:t>
            </w:r>
          </w:p>
        </w:tc>
        <w:tc>
          <w:tcPr>
            <w:tcW w:w="0" w:type="auto"/>
            <w:hideMark/>
          </w:tcPr>
          <w:p w14:paraId="380CF722" w14:textId="77777777" w:rsidR="00000000" w:rsidRDefault="001826C1">
            <w:pPr>
              <w:rPr>
                <w:rFonts w:eastAsia="Times New Roman"/>
                <w:sz w:val="20"/>
                <w:szCs w:val="20"/>
              </w:rPr>
            </w:pPr>
            <w:r>
              <w:rPr>
                <w:rFonts w:eastAsia="Times New Roman"/>
                <w:sz w:val="20"/>
                <w:szCs w:val="20"/>
              </w:rPr>
              <w:t> </w:t>
            </w:r>
          </w:p>
        </w:tc>
        <w:tc>
          <w:tcPr>
            <w:tcW w:w="0" w:type="auto"/>
            <w:hideMark/>
          </w:tcPr>
          <w:p w14:paraId="6471B701" w14:textId="77777777" w:rsidR="00000000" w:rsidRDefault="001826C1">
            <w:pPr>
              <w:rPr>
                <w:rFonts w:eastAsia="Times New Roman"/>
                <w:sz w:val="20"/>
                <w:szCs w:val="20"/>
              </w:rPr>
            </w:pPr>
            <w:r>
              <w:rPr>
                <w:rFonts w:eastAsia="Times New Roman"/>
                <w:sz w:val="20"/>
                <w:szCs w:val="20"/>
              </w:rPr>
              <w:t> </w:t>
            </w:r>
          </w:p>
        </w:tc>
        <w:tc>
          <w:tcPr>
            <w:tcW w:w="0" w:type="auto"/>
            <w:hideMark/>
          </w:tcPr>
          <w:p w14:paraId="79869187" w14:textId="77777777" w:rsidR="00000000" w:rsidRDefault="001826C1">
            <w:pPr>
              <w:jc w:val="center"/>
              <w:rPr>
                <w:rFonts w:eastAsia="Times New Roman"/>
                <w:sz w:val="20"/>
                <w:szCs w:val="20"/>
              </w:rPr>
            </w:pPr>
            <w:r>
              <w:rPr>
                <w:rFonts w:eastAsia="Times New Roman"/>
                <w:sz w:val="20"/>
                <w:szCs w:val="20"/>
              </w:rPr>
              <w:t> </w:t>
            </w:r>
          </w:p>
        </w:tc>
      </w:tr>
      <w:tr w:rsidR="00000000" w14:paraId="203C9FC2" w14:textId="77777777">
        <w:tc>
          <w:tcPr>
            <w:tcW w:w="0" w:type="auto"/>
            <w:tcBorders>
              <w:bottom w:val="single" w:sz="12" w:space="0" w:color="000000"/>
            </w:tcBorders>
            <w:hideMark/>
          </w:tcPr>
          <w:p w14:paraId="5723F01E" w14:textId="77777777" w:rsidR="00000000" w:rsidRDefault="001826C1">
            <w:pPr>
              <w:rPr>
                <w:rFonts w:eastAsia="Times New Roman"/>
                <w:sz w:val="20"/>
                <w:szCs w:val="20"/>
              </w:rPr>
            </w:pPr>
            <w:r>
              <w:rPr>
                <w:rFonts w:eastAsia="Times New Roman"/>
                <w:i/>
                <w:iCs/>
                <w:sz w:val="20"/>
                <w:szCs w:val="20"/>
              </w:rPr>
              <w:t>/s/ John N. Daly</w:t>
            </w:r>
          </w:p>
        </w:tc>
        <w:tc>
          <w:tcPr>
            <w:tcW w:w="0" w:type="auto"/>
            <w:tcMar>
              <w:top w:w="0" w:type="dxa"/>
              <w:left w:w="0" w:type="dxa"/>
              <w:bottom w:w="30" w:type="dxa"/>
              <w:right w:w="0" w:type="dxa"/>
            </w:tcMar>
            <w:hideMark/>
          </w:tcPr>
          <w:p w14:paraId="18BFA00B"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A6B841E"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59B8164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063AFE5B" w14:textId="77777777" w:rsidR="00000000" w:rsidRDefault="001826C1">
            <w:pPr>
              <w:jc w:val="center"/>
              <w:rPr>
                <w:rFonts w:eastAsia="Times New Roman"/>
                <w:sz w:val="20"/>
                <w:szCs w:val="20"/>
              </w:rPr>
            </w:pPr>
            <w:r>
              <w:rPr>
                <w:rFonts w:eastAsia="Times New Roman"/>
                <w:sz w:val="20"/>
                <w:szCs w:val="20"/>
              </w:rPr>
              <w:t xml:space="preserve">February </w:t>
            </w:r>
            <w:r>
              <w:rPr>
                <w:rFonts w:eastAsia="Times New Roman"/>
                <w:sz w:val="20"/>
                <w:szCs w:val="20"/>
              </w:rPr>
              <w:t>28, 2020</w:t>
            </w:r>
          </w:p>
        </w:tc>
      </w:tr>
      <w:tr w:rsidR="00000000" w14:paraId="3C96E844" w14:textId="77777777">
        <w:tc>
          <w:tcPr>
            <w:tcW w:w="0" w:type="auto"/>
            <w:hideMark/>
          </w:tcPr>
          <w:p w14:paraId="50C99FE1" w14:textId="77777777" w:rsidR="00000000" w:rsidRDefault="001826C1">
            <w:pPr>
              <w:rPr>
                <w:rFonts w:eastAsia="Times New Roman"/>
                <w:sz w:val="20"/>
                <w:szCs w:val="20"/>
              </w:rPr>
            </w:pPr>
            <w:r>
              <w:rPr>
                <w:rFonts w:eastAsia="Times New Roman"/>
                <w:sz w:val="20"/>
                <w:szCs w:val="20"/>
              </w:rPr>
              <w:t>John N. Daly</w:t>
            </w:r>
          </w:p>
        </w:tc>
        <w:tc>
          <w:tcPr>
            <w:tcW w:w="0" w:type="auto"/>
            <w:hideMark/>
          </w:tcPr>
          <w:p w14:paraId="620762BD" w14:textId="77777777" w:rsidR="00000000" w:rsidRDefault="001826C1">
            <w:pPr>
              <w:rPr>
                <w:rFonts w:eastAsia="Times New Roman"/>
                <w:sz w:val="20"/>
                <w:szCs w:val="20"/>
              </w:rPr>
            </w:pPr>
            <w:r>
              <w:rPr>
                <w:rFonts w:eastAsia="Times New Roman"/>
                <w:sz w:val="20"/>
                <w:szCs w:val="20"/>
              </w:rPr>
              <w:t> </w:t>
            </w:r>
          </w:p>
        </w:tc>
        <w:tc>
          <w:tcPr>
            <w:tcW w:w="0" w:type="auto"/>
            <w:hideMark/>
          </w:tcPr>
          <w:p w14:paraId="5063CAFF" w14:textId="77777777" w:rsidR="00000000" w:rsidRDefault="001826C1">
            <w:pPr>
              <w:rPr>
                <w:rFonts w:eastAsia="Times New Roman"/>
                <w:sz w:val="20"/>
                <w:szCs w:val="20"/>
              </w:rPr>
            </w:pPr>
            <w:r>
              <w:rPr>
                <w:rFonts w:eastAsia="Times New Roman"/>
                <w:sz w:val="20"/>
                <w:szCs w:val="20"/>
              </w:rPr>
              <w:t>Director</w:t>
            </w:r>
          </w:p>
        </w:tc>
        <w:tc>
          <w:tcPr>
            <w:tcW w:w="0" w:type="auto"/>
            <w:hideMark/>
          </w:tcPr>
          <w:p w14:paraId="1F6F666A" w14:textId="77777777" w:rsidR="00000000" w:rsidRDefault="001826C1">
            <w:pPr>
              <w:rPr>
                <w:rFonts w:eastAsia="Times New Roman"/>
                <w:sz w:val="20"/>
                <w:szCs w:val="20"/>
              </w:rPr>
            </w:pPr>
            <w:r>
              <w:rPr>
                <w:rFonts w:eastAsia="Times New Roman"/>
                <w:sz w:val="20"/>
                <w:szCs w:val="20"/>
              </w:rPr>
              <w:t> </w:t>
            </w:r>
          </w:p>
        </w:tc>
        <w:tc>
          <w:tcPr>
            <w:tcW w:w="0" w:type="auto"/>
            <w:hideMark/>
          </w:tcPr>
          <w:p w14:paraId="0FB8B8D1" w14:textId="77777777" w:rsidR="00000000" w:rsidRDefault="001826C1">
            <w:pPr>
              <w:jc w:val="center"/>
              <w:rPr>
                <w:rFonts w:eastAsia="Times New Roman"/>
                <w:sz w:val="20"/>
                <w:szCs w:val="20"/>
              </w:rPr>
            </w:pPr>
            <w:r>
              <w:rPr>
                <w:rFonts w:eastAsia="Times New Roman"/>
                <w:sz w:val="20"/>
                <w:szCs w:val="20"/>
              </w:rPr>
              <w:t> </w:t>
            </w:r>
          </w:p>
        </w:tc>
      </w:tr>
      <w:tr w:rsidR="00000000" w14:paraId="69FC9797" w14:textId="77777777">
        <w:tc>
          <w:tcPr>
            <w:tcW w:w="0" w:type="auto"/>
            <w:hideMark/>
          </w:tcPr>
          <w:p w14:paraId="04595757" w14:textId="77777777" w:rsidR="00000000" w:rsidRDefault="001826C1">
            <w:pPr>
              <w:rPr>
                <w:rFonts w:eastAsia="Times New Roman"/>
                <w:sz w:val="20"/>
                <w:szCs w:val="20"/>
              </w:rPr>
            </w:pPr>
            <w:r>
              <w:rPr>
                <w:rFonts w:eastAsia="Times New Roman"/>
                <w:sz w:val="20"/>
                <w:szCs w:val="20"/>
              </w:rPr>
              <w:t> </w:t>
            </w:r>
          </w:p>
        </w:tc>
        <w:tc>
          <w:tcPr>
            <w:tcW w:w="0" w:type="auto"/>
            <w:hideMark/>
          </w:tcPr>
          <w:p w14:paraId="727867E3" w14:textId="77777777" w:rsidR="00000000" w:rsidRDefault="001826C1">
            <w:pPr>
              <w:rPr>
                <w:rFonts w:eastAsia="Times New Roman"/>
                <w:sz w:val="20"/>
                <w:szCs w:val="20"/>
              </w:rPr>
            </w:pPr>
            <w:r>
              <w:rPr>
                <w:rFonts w:eastAsia="Times New Roman"/>
                <w:sz w:val="20"/>
                <w:szCs w:val="20"/>
              </w:rPr>
              <w:t> </w:t>
            </w:r>
          </w:p>
        </w:tc>
        <w:tc>
          <w:tcPr>
            <w:tcW w:w="0" w:type="auto"/>
            <w:hideMark/>
          </w:tcPr>
          <w:p w14:paraId="10367404" w14:textId="77777777" w:rsidR="00000000" w:rsidRDefault="001826C1">
            <w:pPr>
              <w:rPr>
                <w:rFonts w:eastAsia="Times New Roman"/>
                <w:sz w:val="20"/>
                <w:szCs w:val="20"/>
              </w:rPr>
            </w:pPr>
            <w:r>
              <w:rPr>
                <w:rFonts w:eastAsia="Times New Roman"/>
                <w:sz w:val="20"/>
                <w:szCs w:val="20"/>
              </w:rPr>
              <w:t> </w:t>
            </w:r>
          </w:p>
        </w:tc>
        <w:tc>
          <w:tcPr>
            <w:tcW w:w="0" w:type="auto"/>
            <w:hideMark/>
          </w:tcPr>
          <w:p w14:paraId="140D7D5F" w14:textId="77777777" w:rsidR="00000000" w:rsidRDefault="001826C1">
            <w:pPr>
              <w:rPr>
                <w:rFonts w:eastAsia="Times New Roman"/>
                <w:sz w:val="20"/>
                <w:szCs w:val="20"/>
              </w:rPr>
            </w:pPr>
            <w:r>
              <w:rPr>
                <w:rFonts w:eastAsia="Times New Roman"/>
                <w:sz w:val="20"/>
                <w:szCs w:val="20"/>
              </w:rPr>
              <w:t> </w:t>
            </w:r>
          </w:p>
        </w:tc>
        <w:tc>
          <w:tcPr>
            <w:tcW w:w="0" w:type="auto"/>
            <w:hideMark/>
          </w:tcPr>
          <w:p w14:paraId="648F56AA" w14:textId="77777777" w:rsidR="00000000" w:rsidRDefault="001826C1">
            <w:pPr>
              <w:jc w:val="center"/>
              <w:rPr>
                <w:rFonts w:eastAsia="Times New Roman"/>
                <w:sz w:val="20"/>
                <w:szCs w:val="20"/>
              </w:rPr>
            </w:pPr>
            <w:r>
              <w:rPr>
                <w:rFonts w:eastAsia="Times New Roman"/>
                <w:sz w:val="20"/>
                <w:szCs w:val="20"/>
              </w:rPr>
              <w:t> </w:t>
            </w:r>
          </w:p>
        </w:tc>
      </w:tr>
      <w:tr w:rsidR="00000000" w14:paraId="42C57C6A" w14:textId="77777777">
        <w:tc>
          <w:tcPr>
            <w:tcW w:w="0" w:type="auto"/>
            <w:tcBorders>
              <w:bottom w:val="single" w:sz="12" w:space="0" w:color="000000"/>
            </w:tcBorders>
            <w:hideMark/>
          </w:tcPr>
          <w:p w14:paraId="1A5061E9" w14:textId="77777777" w:rsidR="00000000" w:rsidRDefault="001826C1">
            <w:pPr>
              <w:rPr>
                <w:rFonts w:eastAsia="Times New Roman"/>
                <w:sz w:val="20"/>
                <w:szCs w:val="20"/>
              </w:rPr>
            </w:pPr>
            <w:r>
              <w:rPr>
                <w:rFonts w:eastAsia="Times New Roman"/>
                <w:i/>
                <w:iCs/>
                <w:sz w:val="20"/>
                <w:szCs w:val="20"/>
              </w:rPr>
              <w:t>/s/ Cameron Munter</w:t>
            </w:r>
          </w:p>
        </w:tc>
        <w:tc>
          <w:tcPr>
            <w:tcW w:w="0" w:type="auto"/>
            <w:tcMar>
              <w:top w:w="0" w:type="dxa"/>
              <w:left w:w="0" w:type="dxa"/>
              <w:bottom w:w="30" w:type="dxa"/>
              <w:right w:w="0" w:type="dxa"/>
            </w:tcMar>
            <w:hideMark/>
          </w:tcPr>
          <w:p w14:paraId="18C8EA42"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6ECFABCF"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2FFF0921"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hideMark/>
          </w:tcPr>
          <w:p w14:paraId="660E043D" w14:textId="77777777" w:rsidR="00000000" w:rsidRDefault="001826C1">
            <w:pPr>
              <w:jc w:val="center"/>
              <w:rPr>
                <w:rFonts w:eastAsia="Times New Roman"/>
                <w:sz w:val="20"/>
                <w:szCs w:val="20"/>
              </w:rPr>
            </w:pPr>
            <w:r>
              <w:rPr>
                <w:rFonts w:eastAsia="Times New Roman"/>
                <w:sz w:val="20"/>
                <w:szCs w:val="20"/>
              </w:rPr>
              <w:t>February 28, 2020</w:t>
            </w:r>
          </w:p>
        </w:tc>
      </w:tr>
      <w:tr w:rsidR="00000000" w14:paraId="1A45E9C2" w14:textId="77777777">
        <w:tc>
          <w:tcPr>
            <w:tcW w:w="0" w:type="auto"/>
            <w:hideMark/>
          </w:tcPr>
          <w:p w14:paraId="2D42C9B2" w14:textId="77777777" w:rsidR="00000000" w:rsidRDefault="001826C1">
            <w:pPr>
              <w:rPr>
                <w:rFonts w:eastAsia="Times New Roman"/>
                <w:sz w:val="20"/>
                <w:szCs w:val="20"/>
              </w:rPr>
            </w:pPr>
            <w:r>
              <w:rPr>
                <w:rFonts w:eastAsia="Times New Roman"/>
                <w:sz w:val="20"/>
                <w:szCs w:val="20"/>
              </w:rPr>
              <w:t>Cameron Munter</w:t>
            </w:r>
          </w:p>
        </w:tc>
        <w:tc>
          <w:tcPr>
            <w:tcW w:w="0" w:type="auto"/>
            <w:hideMark/>
          </w:tcPr>
          <w:p w14:paraId="76408DAC" w14:textId="77777777" w:rsidR="00000000" w:rsidRDefault="001826C1">
            <w:pPr>
              <w:rPr>
                <w:rFonts w:eastAsia="Times New Roman"/>
                <w:sz w:val="20"/>
                <w:szCs w:val="20"/>
              </w:rPr>
            </w:pPr>
            <w:r>
              <w:rPr>
                <w:rFonts w:eastAsia="Times New Roman"/>
                <w:sz w:val="20"/>
                <w:szCs w:val="20"/>
              </w:rPr>
              <w:t> </w:t>
            </w:r>
          </w:p>
        </w:tc>
        <w:tc>
          <w:tcPr>
            <w:tcW w:w="0" w:type="auto"/>
            <w:hideMark/>
          </w:tcPr>
          <w:p w14:paraId="258801C9" w14:textId="77777777" w:rsidR="00000000" w:rsidRDefault="001826C1">
            <w:pPr>
              <w:rPr>
                <w:rFonts w:eastAsia="Times New Roman"/>
                <w:sz w:val="20"/>
                <w:szCs w:val="20"/>
              </w:rPr>
            </w:pPr>
            <w:r>
              <w:rPr>
                <w:rFonts w:eastAsia="Times New Roman"/>
                <w:sz w:val="20"/>
                <w:szCs w:val="20"/>
              </w:rPr>
              <w:t>Director</w:t>
            </w:r>
          </w:p>
        </w:tc>
        <w:tc>
          <w:tcPr>
            <w:tcW w:w="0" w:type="auto"/>
            <w:hideMark/>
          </w:tcPr>
          <w:p w14:paraId="6DB95110" w14:textId="77777777" w:rsidR="00000000" w:rsidRDefault="001826C1">
            <w:pPr>
              <w:rPr>
                <w:rFonts w:eastAsia="Times New Roman"/>
                <w:sz w:val="20"/>
                <w:szCs w:val="20"/>
              </w:rPr>
            </w:pPr>
            <w:r>
              <w:rPr>
                <w:rFonts w:eastAsia="Times New Roman"/>
                <w:sz w:val="20"/>
                <w:szCs w:val="20"/>
              </w:rPr>
              <w:t> </w:t>
            </w:r>
          </w:p>
        </w:tc>
        <w:tc>
          <w:tcPr>
            <w:tcW w:w="0" w:type="auto"/>
            <w:hideMark/>
          </w:tcPr>
          <w:p w14:paraId="7967B2DE" w14:textId="77777777" w:rsidR="00000000" w:rsidRDefault="001826C1">
            <w:pPr>
              <w:jc w:val="center"/>
              <w:rPr>
                <w:rFonts w:eastAsia="Times New Roman"/>
                <w:sz w:val="20"/>
                <w:szCs w:val="20"/>
              </w:rPr>
            </w:pPr>
            <w:r>
              <w:rPr>
                <w:rFonts w:eastAsia="Times New Roman"/>
                <w:sz w:val="20"/>
                <w:szCs w:val="20"/>
              </w:rPr>
              <w:t> </w:t>
            </w:r>
          </w:p>
        </w:tc>
      </w:tr>
    </w:tbl>
    <w:p w14:paraId="07257BBD" w14:textId="77777777" w:rsidR="00000000" w:rsidRDefault="001826C1">
      <w:pPr>
        <w:pStyle w:val="a3"/>
        <w:spacing w:before="0" w:beforeAutospacing="0" w:after="0" w:afterAutospacing="0"/>
        <w:rPr>
          <w:sz w:val="20"/>
          <w:szCs w:val="20"/>
        </w:rPr>
      </w:pPr>
      <w:r>
        <w:rPr>
          <w:b/>
          <w:bCs/>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1FD451F6" w14:textId="77777777">
        <w:trPr>
          <w:divId w:val="1719434981"/>
        </w:trPr>
        <w:tc>
          <w:tcPr>
            <w:tcW w:w="5000" w:type="pct"/>
            <w:hideMark/>
          </w:tcPr>
          <w:p w14:paraId="4408C758" w14:textId="77777777" w:rsidR="00000000" w:rsidRDefault="001826C1">
            <w:pPr>
              <w:jc w:val="center"/>
              <w:rPr>
                <w:rFonts w:eastAsia="Times New Roman"/>
                <w:sz w:val="20"/>
                <w:szCs w:val="20"/>
              </w:rPr>
            </w:pPr>
            <w:r>
              <w:rPr>
                <w:rFonts w:eastAsia="Times New Roman"/>
                <w:sz w:val="20"/>
                <w:szCs w:val="20"/>
              </w:rPr>
              <w:t>5</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09253E8F" w14:textId="77777777">
        <w:tc>
          <w:tcPr>
            <w:tcW w:w="5000" w:type="pct"/>
            <w:hideMark/>
          </w:tcPr>
          <w:p w14:paraId="2F591FC9" w14:textId="77777777" w:rsidR="00000000" w:rsidRDefault="001826C1">
            <w:pPr>
              <w:jc w:val="center"/>
              <w:rPr>
                <w:rFonts w:eastAsia="Times New Roman"/>
                <w:sz w:val="20"/>
                <w:szCs w:val="20"/>
              </w:rPr>
            </w:pPr>
            <w:r>
              <w:rPr>
                <w:rFonts w:eastAsia="Times New Roman"/>
                <w:sz w:val="20"/>
                <w:szCs w:val="20"/>
              </w:rPr>
              <w:t> </w:t>
            </w:r>
          </w:p>
        </w:tc>
      </w:tr>
    </w:tbl>
    <w:p w14:paraId="74DDB3EF" w14:textId="77777777" w:rsidR="00000000" w:rsidRDefault="001826C1">
      <w:pPr>
        <w:pStyle w:val="a3"/>
        <w:spacing w:before="0" w:beforeAutospacing="0" w:after="0" w:afterAutospacing="0"/>
        <w:jc w:val="center"/>
        <w:rPr>
          <w:sz w:val="20"/>
          <w:szCs w:val="20"/>
        </w:rPr>
      </w:pPr>
      <w:r>
        <w:rPr>
          <w:sz w:val="20"/>
          <w:szCs w:val="20"/>
        </w:rPr>
        <w:t> </w:t>
      </w:r>
    </w:p>
    <w:p w14:paraId="784CDCAB" w14:textId="77777777" w:rsidR="00000000" w:rsidRDefault="001826C1">
      <w:pPr>
        <w:pStyle w:val="a3"/>
        <w:spacing w:before="0" w:beforeAutospacing="0" w:after="0" w:afterAutospacing="0"/>
        <w:jc w:val="center"/>
        <w:rPr>
          <w:b/>
          <w:bCs/>
          <w:sz w:val="20"/>
          <w:szCs w:val="20"/>
        </w:rPr>
      </w:pPr>
      <w:r>
        <w:rPr>
          <w:b/>
          <w:bCs/>
          <w:sz w:val="20"/>
          <w:szCs w:val="20"/>
        </w:rPr>
        <w:t>Index to Consolidated Financial Statements</w:t>
      </w:r>
    </w:p>
    <w:p w14:paraId="37BA8E46" w14:textId="77777777" w:rsidR="00000000" w:rsidRDefault="001826C1">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86"/>
        <w:gridCol w:w="720"/>
      </w:tblGrid>
      <w:tr w:rsidR="00000000" w14:paraId="7AE26061" w14:textId="77777777">
        <w:tc>
          <w:tcPr>
            <w:tcW w:w="0" w:type="auto"/>
            <w:shd w:val="clear" w:color="auto" w:fill="CCEEFF"/>
            <w:vAlign w:val="bottom"/>
            <w:hideMark/>
          </w:tcPr>
          <w:p w14:paraId="0AF0DA8A" w14:textId="77777777" w:rsidR="00000000" w:rsidRDefault="001826C1">
            <w:pPr>
              <w:rPr>
                <w:rFonts w:eastAsia="Times New Roman"/>
                <w:sz w:val="20"/>
                <w:szCs w:val="20"/>
              </w:rPr>
            </w:pPr>
            <w:hyperlink w:anchor="a_024" w:history="1">
              <w:r>
                <w:rPr>
                  <w:rStyle w:val="a4"/>
                  <w:rFonts w:eastAsia="Times New Roman"/>
                  <w:sz w:val="20"/>
                  <w:szCs w:val="20"/>
                </w:rPr>
                <w:t>Report of Independent Registered Public Accounting Firm</w:t>
              </w:r>
            </w:hyperlink>
          </w:p>
        </w:tc>
        <w:tc>
          <w:tcPr>
            <w:tcW w:w="720" w:type="dxa"/>
            <w:shd w:val="clear" w:color="auto" w:fill="CCEEFF"/>
            <w:vAlign w:val="bottom"/>
            <w:hideMark/>
          </w:tcPr>
          <w:p w14:paraId="54FCA212" w14:textId="77777777" w:rsidR="00000000" w:rsidRDefault="001826C1">
            <w:pPr>
              <w:jc w:val="center"/>
              <w:rPr>
                <w:rFonts w:eastAsia="Times New Roman"/>
                <w:sz w:val="20"/>
                <w:szCs w:val="20"/>
              </w:rPr>
            </w:pPr>
            <w:r>
              <w:rPr>
                <w:rFonts w:eastAsia="Times New Roman"/>
                <w:sz w:val="20"/>
                <w:szCs w:val="20"/>
              </w:rPr>
              <w:t>F-2</w:t>
            </w:r>
          </w:p>
        </w:tc>
      </w:tr>
      <w:tr w:rsidR="00000000" w14:paraId="02B4B305" w14:textId="77777777">
        <w:tc>
          <w:tcPr>
            <w:tcW w:w="0" w:type="auto"/>
            <w:shd w:val="clear" w:color="auto" w:fill="FFFFFF"/>
            <w:vAlign w:val="bottom"/>
            <w:hideMark/>
          </w:tcPr>
          <w:p w14:paraId="59987341" w14:textId="77777777" w:rsidR="00000000" w:rsidRDefault="001826C1">
            <w:pPr>
              <w:rPr>
                <w:rFonts w:eastAsia="Times New Roman"/>
                <w:sz w:val="20"/>
                <w:szCs w:val="20"/>
              </w:rPr>
            </w:pPr>
            <w:hyperlink w:anchor="a_025" w:history="1">
              <w:r>
                <w:rPr>
                  <w:rStyle w:val="a4"/>
                  <w:rFonts w:eastAsia="Times New Roman"/>
                  <w:sz w:val="20"/>
                  <w:szCs w:val="20"/>
                </w:rPr>
                <w:t>Consolidated Balance Sheets as of December 31, 2019 and 2018</w:t>
              </w:r>
            </w:hyperlink>
          </w:p>
        </w:tc>
        <w:tc>
          <w:tcPr>
            <w:tcW w:w="0" w:type="auto"/>
            <w:shd w:val="clear" w:color="auto" w:fill="FFFFFF"/>
            <w:vAlign w:val="bottom"/>
            <w:hideMark/>
          </w:tcPr>
          <w:p w14:paraId="488A74EE" w14:textId="77777777" w:rsidR="00000000" w:rsidRDefault="001826C1">
            <w:pPr>
              <w:jc w:val="center"/>
              <w:rPr>
                <w:rFonts w:eastAsia="Times New Roman"/>
                <w:sz w:val="20"/>
                <w:szCs w:val="20"/>
              </w:rPr>
            </w:pPr>
            <w:r>
              <w:rPr>
                <w:rFonts w:eastAsia="Times New Roman"/>
                <w:sz w:val="20"/>
                <w:szCs w:val="20"/>
              </w:rPr>
              <w:t>F-3</w:t>
            </w:r>
          </w:p>
        </w:tc>
      </w:tr>
      <w:tr w:rsidR="00000000" w14:paraId="3248911B" w14:textId="77777777">
        <w:tc>
          <w:tcPr>
            <w:tcW w:w="0" w:type="auto"/>
            <w:shd w:val="clear" w:color="auto" w:fill="CCEEFF"/>
            <w:vAlign w:val="bottom"/>
            <w:hideMark/>
          </w:tcPr>
          <w:p w14:paraId="69447126" w14:textId="77777777" w:rsidR="00000000" w:rsidRDefault="001826C1">
            <w:pPr>
              <w:rPr>
                <w:rFonts w:eastAsia="Times New Roman"/>
                <w:sz w:val="20"/>
                <w:szCs w:val="20"/>
              </w:rPr>
            </w:pPr>
            <w:hyperlink w:anchor="a_026" w:history="1">
              <w:r>
                <w:rPr>
                  <w:rStyle w:val="a4"/>
                  <w:rFonts w:eastAsia="Times New Roman"/>
                  <w:sz w:val="20"/>
                  <w:szCs w:val="20"/>
                </w:rPr>
                <w:t>Consolidated Statements of Operations for the years ended December 31, 20</w:t>
              </w:r>
              <w:r>
                <w:rPr>
                  <w:rStyle w:val="a4"/>
                  <w:rFonts w:eastAsia="Times New Roman"/>
                  <w:sz w:val="20"/>
                  <w:szCs w:val="20"/>
                </w:rPr>
                <w:t>19 and 2018</w:t>
              </w:r>
            </w:hyperlink>
          </w:p>
        </w:tc>
        <w:tc>
          <w:tcPr>
            <w:tcW w:w="0" w:type="auto"/>
            <w:shd w:val="clear" w:color="auto" w:fill="CCEEFF"/>
            <w:vAlign w:val="bottom"/>
            <w:hideMark/>
          </w:tcPr>
          <w:p w14:paraId="01B5B0B4" w14:textId="77777777" w:rsidR="00000000" w:rsidRDefault="001826C1">
            <w:pPr>
              <w:jc w:val="center"/>
              <w:rPr>
                <w:rFonts w:eastAsia="Times New Roman"/>
                <w:sz w:val="20"/>
                <w:szCs w:val="20"/>
              </w:rPr>
            </w:pPr>
            <w:r>
              <w:rPr>
                <w:rFonts w:eastAsia="Times New Roman"/>
                <w:sz w:val="20"/>
                <w:szCs w:val="20"/>
              </w:rPr>
              <w:t>F-4</w:t>
            </w:r>
          </w:p>
        </w:tc>
      </w:tr>
      <w:tr w:rsidR="00000000" w14:paraId="3CC50466" w14:textId="77777777">
        <w:tc>
          <w:tcPr>
            <w:tcW w:w="0" w:type="auto"/>
            <w:shd w:val="clear" w:color="auto" w:fill="FFFFFF"/>
            <w:vAlign w:val="bottom"/>
            <w:hideMark/>
          </w:tcPr>
          <w:p w14:paraId="24F376A1" w14:textId="77777777" w:rsidR="00000000" w:rsidRDefault="001826C1">
            <w:pPr>
              <w:rPr>
                <w:rFonts w:eastAsia="Times New Roman"/>
                <w:sz w:val="20"/>
                <w:szCs w:val="20"/>
              </w:rPr>
            </w:pPr>
            <w:hyperlink w:anchor="a_027" w:history="1">
              <w:r>
                <w:rPr>
                  <w:rStyle w:val="a4"/>
                  <w:rFonts w:eastAsia="Times New Roman"/>
                  <w:sz w:val="20"/>
                  <w:szCs w:val="20"/>
                </w:rPr>
                <w:t>Consolidated Statements of Comprehensive Loss for the years ended December 31, 2019 and 2018</w:t>
              </w:r>
            </w:hyperlink>
          </w:p>
        </w:tc>
        <w:tc>
          <w:tcPr>
            <w:tcW w:w="0" w:type="auto"/>
            <w:shd w:val="clear" w:color="auto" w:fill="FFFFFF"/>
            <w:vAlign w:val="bottom"/>
            <w:hideMark/>
          </w:tcPr>
          <w:p w14:paraId="2B1AC359" w14:textId="77777777" w:rsidR="00000000" w:rsidRDefault="001826C1">
            <w:pPr>
              <w:jc w:val="center"/>
              <w:rPr>
                <w:rFonts w:eastAsia="Times New Roman"/>
                <w:sz w:val="20"/>
                <w:szCs w:val="20"/>
              </w:rPr>
            </w:pPr>
            <w:r>
              <w:rPr>
                <w:rFonts w:eastAsia="Times New Roman"/>
                <w:sz w:val="20"/>
                <w:szCs w:val="20"/>
              </w:rPr>
              <w:t>F-5</w:t>
            </w:r>
          </w:p>
        </w:tc>
      </w:tr>
      <w:tr w:rsidR="00000000" w14:paraId="72DD27F4" w14:textId="77777777">
        <w:tc>
          <w:tcPr>
            <w:tcW w:w="0" w:type="auto"/>
            <w:shd w:val="clear" w:color="auto" w:fill="CCEEFF"/>
            <w:vAlign w:val="bottom"/>
            <w:hideMark/>
          </w:tcPr>
          <w:p w14:paraId="6D469970" w14:textId="77777777" w:rsidR="00000000" w:rsidRDefault="001826C1">
            <w:pPr>
              <w:rPr>
                <w:rFonts w:eastAsia="Times New Roman"/>
                <w:sz w:val="20"/>
                <w:szCs w:val="20"/>
              </w:rPr>
            </w:pPr>
            <w:hyperlink w:anchor="a_028" w:history="1">
              <w:r>
                <w:rPr>
                  <w:rStyle w:val="a4"/>
                  <w:rFonts w:eastAsia="Times New Roman"/>
                  <w:sz w:val="20"/>
                  <w:szCs w:val="20"/>
                </w:rPr>
                <w:t xml:space="preserve">Consolidated Statements of Shareholders’ </w:t>
              </w:r>
              <w:r>
                <w:rPr>
                  <w:rStyle w:val="a4"/>
                  <w:rFonts w:eastAsia="Times New Roman"/>
                  <w:sz w:val="20"/>
                  <w:szCs w:val="20"/>
                </w:rPr>
                <w:t>Equity for the years ended December 31, 2019 and 2018</w:t>
              </w:r>
            </w:hyperlink>
          </w:p>
        </w:tc>
        <w:tc>
          <w:tcPr>
            <w:tcW w:w="0" w:type="auto"/>
            <w:shd w:val="clear" w:color="auto" w:fill="CCEEFF"/>
            <w:vAlign w:val="bottom"/>
            <w:hideMark/>
          </w:tcPr>
          <w:p w14:paraId="48795C77" w14:textId="77777777" w:rsidR="00000000" w:rsidRDefault="001826C1">
            <w:pPr>
              <w:jc w:val="center"/>
              <w:rPr>
                <w:rFonts w:eastAsia="Times New Roman"/>
                <w:sz w:val="20"/>
                <w:szCs w:val="20"/>
              </w:rPr>
            </w:pPr>
            <w:r>
              <w:rPr>
                <w:rFonts w:eastAsia="Times New Roman"/>
                <w:sz w:val="20"/>
                <w:szCs w:val="20"/>
              </w:rPr>
              <w:t>F-6</w:t>
            </w:r>
          </w:p>
        </w:tc>
      </w:tr>
      <w:tr w:rsidR="00000000" w14:paraId="30C67592" w14:textId="77777777">
        <w:tc>
          <w:tcPr>
            <w:tcW w:w="0" w:type="auto"/>
            <w:shd w:val="clear" w:color="auto" w:fill="FFFFFF"/>
            <w:vAlign w:val="bottom"/>
            <w:hideMark/>
          </w:tcPr>
          <w:p w14:paraId="2952BCF8" w14:textId="77777777" w:rsidR="00000000" w:rsidRDefault="001826C1">
            <w:pPr>
              <w:rPr>
                <w:rFonts w:eastAsia="Times New Roman"/>
                <w:sz w:val="20"/>
                <w:szCs w:val="20"/>
              </w:rPr>
            </w:pPr>
            <w:hyperlink w:anchor="a_029" w:history="1">
              <w:r>
                <w:rPr>
                  <w:rStyle w:val="a4"/>
                  <w:rFonts w:eastAsia="Times New Roman"/>
                  <w:sz w:val="20"/>
                  <w:szCs w:val="20"/>
                </w:rPr>
                <w:t>Consolidated Statements of Cash Flows for the years ended December 31, 2019 and 2018</w:t>
              </w:r>
            </w:hyperlink>
          </w:p>
        </w:tc>
        <w:tc>
          <w:tcPr>
            <w:tcW w:w="0" w:type="auto"/>
            <w:shd w:val="clear" w:color="auto" w:fill="FFFFFF"/>
            <w:vAlign w:val="bottom"/>
            <w:hideMark/>
          </w:tcPr>
          <w:p w14:paraId="66283D59" w14:textId="77777777" w:rsidR="00000000" w:rsidRDefault="001826C1">
            <w:pPr>
              <w:jc w:val="center"/>
              <w:rPr>
                <w:rFonts w:eastAsia="Times New Roman"/>
                <w:sz w:val="20"/>
                <w:szCs w:val="20"/>
              </w:rPr>
            </w:pPr>
            <w:r>
              <w:rPr>
                <w:rFonts w:eastAsia="Times New Roman"/>
                <w:sz w:val="20"/>
                <w:szCs w:val="20"/>
              </w:rPr>
              <w:t>F-7</w:t>
            </w:r>
          </w:p>
        </w:tc>
      </w:tr>
      <w:tr w:rsidR="00000000" w14:paraId="30F6164F" w14:textId="77777777">
        <w:tc>
          <w:tcPr>
            <w:tcW w:w="0" w:type="auto"/>
            <w:shd w:val="clear" w:color="auto" w:fill="CCEEFF"/>
            <w:vAlign w:val="bottom"/>
            <w:hideMark/>
          </w:tcPr>
          <w:p w14:paraId="48992DA4" w14:textId="77777777" w:rsidR="00000000" w:rsidRDefault="001826C1">
            <w:pPr>
              <w:rPr>
                <w:rFonts w:eastAsia="Times New Roman"/>
                <w:sz w:val="20"/>
                <w:szCs w:val="20"/>
              </w:rPr>
            </w:pPr>
            <w:hyperlink w:anchor="a_030" w:history="1">
              <w:r>
                <w:rPr>
                  <w:rStyle w:val="a4"/>
                  <w:rFonts w:eastAsia="Times New Roman"/>
                  <w:sz w:val="20"/>
                  <w:szCs w:val="20"/>
                </w:rPr>
                <w:t>Notes to Consolidated Financial Statements</w:t>
              </w:r>
            </w:hyperlink>
          </w:p>
        </w:tc>
        <w:tc>
          <w:tcPr>
            <w:tcW w:w="0" w:type="auto"/>
            <w:shd w:val="clear" w:color="auto" w:fill="CCEEFF"/>
            <w:vAlign w:val="bottom"/>
            <w:hideMark/>
          </w:tcPr>
          <w:p w14:paraId="3778D0FC" w14:textId="77777777" w:rsidR="00000000" w:rsidRDefault="001826C1">
            <w:pPr>
              <w:jc w:val="center"/>
              <w:rPr>
                <w:rFonts w:eastAsia="Times New Roman"/>
                <w:sz w:val="20"/>
                <w:szCs w:val="20"/>
              </w:rPr>
            </w:pPr>
            <w:r>
              <w:rPr>
                <w:rFonts w:eastAsia="Times New Roman"/>
                <w:sz w:val="20"/>
                <w:szCs w:val="20"/>
              </w:rPr>
              <w:t>F-8</w:t>
            </w:r>
          </w:p>
        </w:tc>
      </w:tr>
    </w:tbl>
    <w:p w14:paraId="6BC2A877"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339F828" w14:textId="77777777">
        <w:trPr>
          <w:divId w:val="103690944"/>
        </w:trPr>
        <w:tc>
          <w:tcPr>
            <w:tcW w:w="5000" w:type="pct"/>
            <w:hideMark/>
          </w:tcPr>
          <w:p w14:paraId="25C5E048"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4A20985D" w14:textId="77777777">
        <w:tc>
          <w:tcPr>
            <w:tcW w:w="5000" w:type="pct"/>
            <w:hideMark/>
          </w:tcPr>
          <w:p w14:paraId="51F1F3BE" w14:textId="77777777" w:rsidR="00000000" w:rsidRDefault="001826C1">
            <w:pPr>
              <w:jc w:val="center"/>
              <w:rPr>
                <w:rFonts w:eastAsia="Times New Roman"/>
                <w:sz w:val="20"/>
                <w:szCs w:val="20"/>
              </w:rPr>
            </w:pPr>
            <w:r>
              <w:rPr>
                <w:rFonts w:eastAsia="Times New Roman"/>
                <w:sz w:val="20"/>
                <w:szCs w:val="20"/>
              </w:rPr>
              <w:t> </w:t>
            </w:r>
          </w:p>
        </w:tc>
      </w:tr>
    </w:tbl>
    <w:p w14:paraId="5F82078B" w14:textId="77777777" w:rsidR="00000000" w:rsidRDefault="001826C1">
      <w:pPr>
        <w:pStyle w:val="a3"/>
        <w:spacing w:before="0" w:beforeAutospacing="0" w:after="0" w:afterAutospacing="0"/>
        <w:jc w:val="center"/>
        <w:rPr>
          <w:sz w:val="20"/>
          <w:szCs w:val="20"/>
        </w:rPr>
      </w:pPr>
      <w:r>
        <w:rPr>
          <w:sz w:val="20"/>
          <w:szCs w:val="20"/>
        </w:rPr>
        <w:t> </w:t>
      </w:r>
    </w:p>
    <w:p w14:paraId="1A683E95" w14:textId="77777777" w:rsidR="00000000" w:rsidRDefault="001826C1">
      <w:pPr>
        <w:pStyle w:val="a3"/>
        <w:spacing w:before="0" w:beforeAutospacing="0" w:after="0" w:afterAutospacing="0"/>
        <w:jc w:val="center"/>
        <w:rPr>
          <w:sz w:val="20"/>
          <w:szCs w:val="20"/>
        </w:rPr>
      </w:pPr>
      <w:bookmarkStart w:id="25" w:name="a_024"/>
      <w:bookmarkEnd w:id="25"/>
      <w:r>
        <w:rPr>
          <w:b/>
          <w:bCs/>
          <w:sz w:val="20"/>
          <w:szCs w:val="20"/>
        </w:rPr>
        <w:t>REPORT OF INDEPENDENT REGISTERED PUBLIC ACCOUNTING FIRM</w:t>
      </w:r>
    </w:p>
    <w:p w14:paraId="2C35A0DD" w14:textId="77777777" w:rsidR="00000000" w:rsidRDefault="001826C1">
      <w:pPr>
        <w:pStyle w:val="a3"/>
        <w:spacing w:before="0" w:beforeAutospacing="0" w:after="0" w:afterAutospacing="0"/>
        <w:jc w:val="center"/>
        <w:rPr>
          <w:sz w:val="20"/>
          <w:szCs w:val="20"/>
        </w:rPr>
      </w:pPr>
      <w:r>
        <w:rPr>
          <w:sz w:val="20"/>
          <w:szCs w:val="20"/>
        </w:rPr>
        <w:t> </w:t>
      </w:r>
    </w:p>
    <w:p w14:paraId="206903BF" w14:textId="77777777" w:rsidR="00000000" w:rsidRDefault="001826C1">
      <w:pPr>
        <w:pStyle w:val="a3"/>
        <w:spacing w:before="0" w:beforeAutospacing="0" w:after="0" w:afterAutospacing="0"/>
        <w:rPr>
          <w:sz w:val="20"/>
          <w:szCs w:val="20"/>
        </w:rPr>
      </w:pPr>
      <w:r>
        <w:rPr>
          <w:sz w:val="20"/>
          <w:szCs w:val="20"/>
        </w:rPr>
        <w:t>Board of Directors and Shareholders</w:t>
      </w:r>
    </w:p>
    <w:p w14:paraId="77C17878" w14:textId="77777777" w:rsidR="00000000" w:rsidRDefault="001826C1">
      <w:pPr>
        <w:pStyle w:val="a3"/>
        <w:spacing w:before="0" w:beforeAutospacing="0" w:after="0" w:afterAutospacing="0"/>
        <w:rPr>
          <w:sz w:val="20"/>
          <w:szCs w:val="20"/>
        </w:rPr>
      </w:pPr>
      <w:r>
        <w:rPr>
          <w:sz w:val="20"/>
          <w:szCs w:val="20"/>
        </w:rPr>
        <w:t>MTBC, Inc.</w:t>
      </w:r>
    </w:p>
    <w:p w14:paraId="54379BBD" w14:textId="77777777" w:rsidR="00000000" w:rsidRDefault="001826C1">
      <w:pPr>
        <w:pStyle w:val="a3"/>
        <w:spacing w:before="0" w:beforeAutospacing="0" w:after="0" w:afterAutospacing="0"/>
        <w:rPr>
          <w:sz w:val="20"/>
          <w:szCs w:val="20"/>
        </w:rPr>
      </w:pPr>
      <w:r>
        <w:rPr>
          <w:sz w:val="20"/>
          <w:szCs w:val="20"/>
        </w:rPr>
        <w:t> </w:t>
      </w:r>
    </w:p>
    <w:p w14:paraId="745E7D25" w14:textId="77777777" w:rsidR="00000000" w:rsidRDefault="001826C1">
      <w:pPr>
        <w:pStyle w:val="a3"/>
        <w:spacing w:before="0" w:beforeAutospacing="0" w:after="0" w:afterAutospacing="0"/>
        <w:rPr>
          <w:sz w:val="20"/>
          <w:szCs w:val="20"/>
        </w:rPr>
      </w:pPr>
      <w:r>
        <w:rPr>
          <w:b/>
          <w:bCs/>
          <w:sz w:val="20"/>
          <w:szCs w:val="20"/>
        </w:rPr>
        <w:t xml:space="preserve">Opinion on the financial statements </w:t>
      </w:r>
    </w:p>
    <w:p w14:paraId="67F3EC53" w14:textId="77777777" w:rsidR="00000000" w:rsidRDefault="001826C1">
      <w:pPr>
        <w:pStyle w:val="a3"/>
        <w:spacing w:before="0" w:beforeAutospacing="0" w:after="0" w:afterAutospacing="0"/>
        <w:rPr>
          <w:sz w:val="20"/>
          <w:szCs w:val="20"/>
        </w:rPr>
      </w:pPr>
      <w:r>
        <w:rPr>
          <w:b/>
          <w:bCs/>
          <w:sz w:val="20"/>
          <w:szCs w:val="20"/>
        </w:rPr>
        <w:t> </w:t>
      </w:r>
    </w:p>
    <w:p w14:paraId="13BE1DF9" w14:textId="77777777" w:rsidR="00000000" w:rsidRDefault="001826C1">
      <w:pPr>
        <w:pStyle w:val="a3"/>
        <w:spacing w:before="0" w:beforeAutospacing="0" w:after="0" w:afterAutospacing="0"/>
        <w:jc w:val="both"/>
        <w:rPr>
          <w:sz w:val="20"/>
          <w:szCs w:val="20"/>
        </w:rPr>
      </w:pPr>
      <w:r>
        <w:rPr>
          <w:sz w:val="20"/>
          <w:szCs w:val="20"/>
        </w:rPr>
        <w:t xml:space="preserve">We </w:t>
      </w:r>
      <w:r>
        <w:rPr>
          <w:sz w:val="20"/>
          <w:szCs w:val="20"/>
        </w:rPr>
        <w:t>have audited the accompanying consolidated balance sheets of MTBC, Inc. (a Delaware corporation) and subsidiaries (the “Company”) as of December 31, 2019 and 2018, the related consolidated statements of operations, comprehensive loss, changes in shareholde</w:t>
      </w:r>
      <w:r>
        <w:rPr>
          <w:sz w:val="20"/>
          <w:szCs w:val="20"/>
        </w:rPr>
        <w:t>rs’ equity and cash flows for each of the two years in the period ended December 31, 2019, and the related notes (collectively referred to as the “financial statements”). In our opinion, the financial statements present fairly, in all material respects, th</w:t>
      </w:r>
      <w:r>
        <w:rPr>
          <w:sz w:val="20"/>
          <w:szCs w:val="20"/>
        </w:rPr>
        <w:t>e financial position of the Company as of December 31, 2019 and 2018, and the results of its operations and its cash flows for each of the two years in the period ended December 31, 2019, in conformity with accounting principles generally accepted in the U</w:t>
      </w:r>
      <w:r>
        <w:rPr>
          <w:sz w:val="20"/>
          <w:szCs w:val="20"/>
        </w:rPr>
        <w:t>nited States of America.</w:t>
      </w:r>
    </w:p>
    <w:p w14:paraId="7F90898F" w14:textId="77777777" w:rsidR="00000000" w:rsidRDefault="001826C1">
      <w:pPr>
        <w:pStyle w:val="a3"/>
        <w:spacing w:before="0" w:beforeAutospacing="0" w:after="0" w:afterAutospacing="0"/>
        <w:jc w:val="both"/>
        <w:rPr>
          <w:sz w:val="20"/>
          <w:szCs w:val="20"/>
        </w:rPr>
      </w:pPr>
      <w:r>
        <w:rPr>
          <w:sz w:val="20"/>
          <w:szCs w:val="20"/>
        </w:rPr>
        <w:t> </w:t>
      </w:r>
    </w:p>
    <w:p w14:paraId="66FA2450" w14:textId="77777777" w:rsidR="00000000" w:rsidRDefault="001826C1">
      <w:pPr>
        <w:pStyle w:val="a3"/>
        <w:spacing w:before="0" w:beforeAutospacing="0" w:after="0" w:afterAutospacing="0"/>
        <w:rPr>
          <w:sz w:val="20"/>
          <w:szCs w:val="20"/>
        </w:rPr>
      </w:pPr>
      <w:r>
        <w:rPr>
          <w:b/>
          <w:bCs/>
          <w:sz w:val="20"/>
          <w:szCs w:val="20"/>
        </w:rPr>
        <w:t xml:space="preserve">Basis for opinion </w:t>
      </w:r>
    </w:p>
    <w:p w14:paraId="25500A86" w14:textId="77777777" w:rsidR="00000000" w:rsidRDefault="001826C1">
      <w:pPr>
        <w:pStyle w:val="a3"/>
        <w:spacing w:before="0" w:beforeAutospacing="0" w:after="0" w:afterAutospacing="0"/>
        <w:rPr>
          <w:sz w:val="20"/>
          <w:szCs w:val="20"/>
        </w:rPr>
      </w:pPr>
      <w:r>
        <w:rPr>
          <w:b/>
          <w:bCs/>
          <w:sz w:val="20"/>
          <w:szCs w:val="20"/>
        </w:rPr>
        <w:t> </w:t>
      </w:r>
    </w:p>
    <w:p w14:paraId="0AB07B05" w14:textId="77777777" w:rsidR="00000000" w:rsidRDefault="001826C1">
      <w:pPr>
        <w:pStyle w:val="a3"/>
        <w:spacing w:before="0" w:beforeAutospacing="0" w:after="0" w:afterAutospacing="0"/>
        <w:jc w:val="both"/>
        <w:rPr>
          <w:sz w:val="20"/>
          <w:szCs w:val="20"/>
        </w:rPr>
      </w:pPr>
      <w:r>
        <w:rPr>
          <w:sz w:val="20"/>
          <w:szCs w:val="20"/>
        </w:rPr>
        <w:t>These financial statements are the responsibility of the Company’s management. Our responsibility is to express an opinion on the Company’s financial statements based on our audits. We are a public accounting</w:t>
      </w:r>
      <w:r>
        <w:rPr>
          <w:sz w:val="20"/>
          <w:szCs w:val="20"/>
        </w:rPr>
        <w:t xml:space="preserve"> firm registered with the PCAOB and are required to be independent with respect to the Company in accordance with the U.S. federal securities laws and the applicable rules and regulations of the Securities and Exchange Commission and the PCAOB.</w:t>
      </w:r>
    </w:p>
    <w:p w14:paraId="2F6C151B" w14:textId="77777777" w:rsidR="00000000" w:rsidRDefault="001826C1">
      <w:pPr>
        <w:pStyle w:val="a3"/>
        <w:spacing w:before="0" w:beforeAutospacing="0" w:after="0" w:afterAutospacing="0"/>
        <w:jc w:val="both"/>
        <w:rPr>
          <w:sz w:val="20"/>
          <w:szCs w:val="20"/>
        </w:rPr>
      </w:pPr>
      <w:r>
        <w:rPr>
          <w:sz w:val="20"/>
          <w:szCs w:val="20"/>
        </w:rPr>
        <w:t> </w:t>
      </w:r>
    </w:p>
    <w:p w14:paraId="60727FAD" w14:textId="77777777" w:rsidR="00000000" w:rsidRDefault="001826C1">
      <w:pPr>
        <w:pStyle w:val="a3"/>
        <w:spacing w:before="0" w:beforeAutospacing="0" w:after="0" w:afterAutospacing="0"/>
        <w:jc w:val="both"/>
        <w:rPr>
          <w:sz w:val="20"/>
          <w:szCs w:val="20"/>
        </w:rPr>
      </w:pPr>
      <w:r>
        <w:rPr>
          <w:sz w:val="20"/>
          <w:szCs w:val="20"/>
        </w:rPr>
        <w:t>We conduc</w:t>
      </w:r>
      <w:r>
        <w:rPr>
          <w:sz w:val="20"/>
          <w:szCs w:val="20"/>
        </w:rPr>
        <w:t>ted our audits in accordance with the standards of the PCAOB. Those standards require that we plan and perform the audit to obtain reasonable assurance about whether the financial statements are free of material misstatement, whether due to error or fraud.</w:t>
      </w:r>
      <w:r>
        <w:rPr>
          <w:sz w:val="20"/>
          <w:szCs w:val="20"/>
        </w:rPr>
        <w:t xml:space="preserve"> Our audits included performing procedures to assess the risks of material misstatement of the financial statements, whether due to error or fraud, and performing procedures that respond to those risks. Such procedures included examining, on a test basis, </w:t>
      </w:r>
      <w:r>
        <w:rPr>
          <w:sz w:val="20"/>
          <w:szCs w:val="20"/>
        </w:rPr>
        <w:t>evidence supporting the amounts and disclosures in the financial statements. Our audits also included evaluating the accounting principles used and significant estimates made by management, as well as evaluating the overall presentation of the financial st</w:t>
      </w:r>
      <w:r>
        <w:rPr>
          <w:sz w:val="20"/>
          <w:szCs w:val="20"/>
        </w:rPr>
        <w:t>atements. We believe that our audits provide a reasonable basis for our opinion.</w:t>
      </w:r>
    </w:p>
    <w:p w14:paraId="23990C02" w14:textId="77777777" w:rsidR="00000000" w:rsidRDefault="001826C1">
      <w:pPr>
        <w:pStyle w:val="a3"/>
        <w:spacing w:before="0" w:beforeAutospacing="0" w:after="0" w:afterAutospacing="0"/>
        <w:rPr>
          <w:sz w:val="20"/>
          <w:szCs w:val="20"/>
        </w:rPr>
      </w:pPr>
      <w:r>
        <w:rPr>
          <w:sz w:val="20"/>
          <w:szCs w:val="20"/>
        </w:rPr>
        <w:t> </w:t>
      </w:r>
    </w:p>
    <w:p w14:paraId="416E5B61" w14:textId="77777777" w:rsidR="00000000" w:rsidRDefault="001826C1">
      <w:pPr>
        <w:pStyle w:val="a3"/>
        <w:spacing w:before="0" w:beforeAutospacing="0" w:after="0" w:afterAutospacing="0"/>
        <w:rPr>
          <w:sz w:val="20"/>
          <w:szCs w:val="20"/>
        </w:rPr>
      </w:pPr>
      <w:r>
        <w:rPr>
          <w:i/>
          <w:iCs/>
          <w:sz w:val="20"/>
          <w:szCs w:val="20"/>
        </w:rPr>
        <w:t>/s/ GRANT THORNTON LLP</w:t>
      </w:r>
    </w:p>
    <w:p w14:paraId="41B469FC" w14:textId="77777777" w:rsidR="00000000" w:rsidRDefault="001826C1">
      <w:pPr>
        <w:pStyle w:val="a3"/>
        <w:spacing w:before="0" w:beforeAutospacing="0" w:after="0" w:afterAutospacing="0"/>
        <w:rPr>
          <w:sz w:val="20"/>
          <w:szCs w:val="20"/>
        </w:rPr>
      </w:pPr>
      <w:r>
        <w:rPr>
          <w:sz w:val="20"/>
          <w:szCs w:val="20"/>
        </w:rPr>
        <w:t> </w:t>
      </w:r>
    </w:p>
    <w:p w14:paraId="4152C8E8" w14:textId="77777777" w:rsidR="00000000" w:rsidRDefault="001826C1">
      <w:pPr>
        <w:pStyle w:val="a3"/>
        <w:spacing w:before="0" w:beforeAutospacing="0" w:after="0" w:afterAutospacing="0"/>
        <w:rPr>
          <w:sz w:val="20"/>
          <w:szCs w:val="20"/>
        </w:rPr>
      </w:pPr>
      <w:r>
        <w:rPr>
          <w:sz w:val="20"/>
          <w:szCs w:val="20"/>
        </w:rPr>
        <w:t>We have served as the Company’s auditor since 2015.</w:t>
      </w:r>
    </w:p>
    <w:p w14:paraId="1FF23663" w14:textId="77777777" w:rsidR="00000000" w:rsidRDefault="001826C1">
      <w:pPr>
        <w:pStyle w:val="a3"/>
        <w:spacing w:before="0" w:beforeAutospacing="0" w:after="0" w:afterAutospacing="0"/>
        <w:rPr>
          <w:sz w:val="20"/>
          <w:szCs w:val="20"/>
        </w:rPr>
      </w:pPr>
      <w:r>
        <w:rPr>
          <w:sz w:val="20"/>
          <w:szCs w:val="20"/>
        </w:rPr>
        <w:t> </w:t>
      </w:r>
    </w:p>
    <w:p w14:paraId="2A1D4018" w14:textId="77777777" w:rsidR="00000000" w:rsidRDefault="001826C1">
      <w:pPr>
        <w:pStyle w:val="a3"/>
        <w:spacing w:before="0" w:beforeAutospacing="0" w:after="0" w:afterAutospacing="0"/>
        <w:rPr>
          <w:sz w:val="20"/>
          <w:szCs w:val="20"/>
        </w:rPr>
      </w:pPr>
      <w:r>
        <w:rPr>
          <w:sz w:val="20"/>
          <w:szCs w:val="20"/>
        </w:rPr>
        <w:t>Iselin, NJ</w:t>
      </w:r>
    </w:p>
    <w:p w14:paraId="3F30A12D" w14:textId="77777777" w:rsidR="00000000" w:rsidRDefault="001826C1">
      <w:pPr>
        <w:pStyle w:val="a3"/>
        <w:spacing w:before="0" w:beforeAutospacing="0" w:after="0" w:afterAutospacing="0"/>
        <w:rPr>
          <w:sz w:val="20"/>
          <w:szCs w:val="20"/>
        </w:rPr>
      </w:pPr>
      <w:r>
        <w:rPr>
          <w:sz w:val="20"/>
          <w:szCs w:val="20"/>
        </w:rPr>
        <w:t>February 28, 2020</w:t>
      </w:r>
    </w:p>
    <w:p w14:paraId="47A407A0" w14:textId="77777777" w:rsidR="00000000" w:rsidRDefault="001826C1">
      <w:pPr>
        <w:pStyle w:val="a3"/>
        <w:spacing w:before="0" w:beforeAutospacing="0" w:after="0" w:afterAutospacing="0"/>
        <w:rPr>
          <w:color w:val="4F2D7F"/>
          <w:sz w:val="20"/>
          <w:szCs w:val="20"/>
        </w:rPr>
      </w:pPr>
      <w:r>
        <w:rPr>
          <w:b/>
          <w:bCs/>
          <w:color w:val="4F2D7F"/>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054C15B" w14:textId="77777777">
        <w:trPr>
          <w:divId w:val="216404161"/>
        </w:trPr>
        <w:tc>
          <w:tcPr>
            <w:tcW w:w="5000" w:type="pct"/>
            <w:hideMark/>
          </w:tcPr>
          <w:p w14:paraId="7AC55B84"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3017A51A" w14:textId="77777777">
        <w:tc>
          <w:tcPr>
            <w:tcW w:w="5000" w:type="pct"/>
            <w:hideMark/>
          </w:tcPr>
          <w:p w14:paraId="4E8A70D6" w14:textId="77777777" w:rsidR="00000000" w:rsidRDefault="001826C1">
            <w:pPr>
              <w:jc w:val="center"/>
              <w:rPr>
                <w:rFonts w:eastAsia="Times New Roman"/>
                <w:sz w:val="20"/>
                <w:szCs w:val="20"/>
              </w:rPr>
            </w:pPr>
            <w:r>
              <w:rPr>
                <w:rFonts w:eastAsia="Times New Roman"/>
                <w:sz w:val="20"/>
                <w:szCs w:val="20"/>
              </w:rPr>
              <w:t> </w:t>
            </w:r>
          </w:p>
        </w:tc>
      </w:tr>
    </w:tbl>
    <w:p w14:paraId="162592C4" w14:textId="77777777" w:rsidR="00000000" w:rsidRDefault="001826C1">
      <w:pPr>
        <w:pStyle w:val="a3"/>
        <w:spacing w:before="0" w:beforeAutospacing="0" w:after="0" w:afterAutospacing="0"/>
        <w:rPr>
          <w:sz w:val="20"/>
          <w:szCs w:val="20"/>
        </w:rPr>
      </w:pPr>
      <w:r>
        <w:rPr>
          <w:sz w:val="20"/>
          <w:szCs w:val="20"/>
        </w:rPr>
        <w:t> </w:t>
      </w:r>
    </w:p>
    <w:p w14:paraId="3A7C2525" w14:textId="77777777" w:rsidR="00000000" w:rsidRDefault="001826C1">
      <w:pPr>
        <w:pStyle w:val="a3"/>
        <w:spacing w:before="0" w:beforeAutospacing="0" w:after="0" w:afterAutospacing="0"/>
        <w:jc w:val="center"/>
        <w:rPr>
          <w:sz w:val="20"/>
          <w:szCs w:val="20"/>
        </w:rPr>
      </w:pPr>
      <w:r>
        <w:rPr>
          <w:b/>
          <w:bCs/>
          <w:sz w:val="20"/>
          <w:szCs w:val="20"/>
        </w:rPr>
        <w:t>MTBC, INC.</w:t>
      </w:r>
    </w:p>
    <w:p w14:paraId="47A9E245" w14:textId="77777777" w:rsidR="00000000" w:rsidRDefault="001826C1">
      <w:pPr>
        <w:pStyle w:val="a3"/>
        <w:spacing w:before="0" w:beforeAutospacing="0" w:after="0" w:afterAutospacing="0"/>
        <w:jc w:val="center"/>
        <w:rPr>
          <w:sz w:val="20"/>
          <w:szCs w:val="20"/>
        </w:rPr>
      </w:pPr>
      <w:bookmarkStart w:id="26" w:name="a_025"/>
      <w:bookmarkEnd w:id="26"/>
      <w:r>
        <w:rPr>
          <w:b/>
          <w:bCs/>
          <w:sz w:val="20"/>
          <w:szCs w:val="20"/>
        </w:rPr>
        <w:t>CONSOLIDATED BALANCE SHEETS</w:t>
      </w:r>
    </w:p>
    <w:p w14:paraId="5B5A4522" w14:textId="77777777" w:rsidR="00000000" w:rsidRDefault="001826C1">
      <w:pPr>
        <w:pStyle w:val="a3"/>
        <w:pBdr>
          <w:bottom w:val="single" w:sz="12" w:space="0" w:color="000000"/>
        </w:pBdr>
        <w:spacing w:before="0" w:beforeAutospacing="0" w:after="0" w:afterAutospacing="0"/>
        <w:jc w:val="center"/>
        <w:rPr>
          <w:sz w:val="20"/>
          <w:szCs w:val="20"/>
        </w:rPr>
      </w:pPr>
      <w:r>
        <w:rPr>
          <w:b/>
          <w:bCs/>
          <w:sz w:val="20"/>
          <w:szCs w:val="20"/>
        </w:rPr>
        <w:t xml:space="preserve">AS </w:t>
      </w:r>
      <w:r>
        <w:rPr>
          <w:b/>
          <w:bCs/>
          <w:sz w:val="20"/>
          <w:szCs w:val="20"/>
        </w:rPr>
        <w:t>OF DECEMBER 31, 2019 AND 2018</w:t>
      </w:r>
    </w:p>
    <w:p w14:paraId="311B21EA"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14:paraId="72F06A41" w14:textId="77777777">
        <w:tc>
          <w:tcPr>
            <w:tcW w:w="0" w:type="auto"/>
            <w:vAlign w:val="bottom"/>
            <w:hideMark/>
          </w:tcPr>
          <w:p w14:paraId="78F0CB72" w14:textId="77777777" w:rsidR="00000000" w:rsidRDefault="001826C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8B9D285"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BCE06C5" w14:textId="77777777" w:rsidR="00000000" w:rsidRDefault="001826C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49E66DDC"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81176E7"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10B3790" w14:textId="77777777" w:rsidR="00000000" w:rsidRDefault="001826C1">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665F5944" w14:textId="77777777" w:rsidR="00000000" w:rsidRDefault="001826C1">
            <w:pPr>
              <w:jc w:val="center"/>
              <w:rPr>
                <w:rFonts w:eastAsia="Times New Roman"/>
                <w:b/>
                <w:bCs/>
                <w:sz w:val="20"/>
                <w:szCs w:val="20"/>
              </w:rPr>
            </w:pPr>
            <w:r>
              <w:rPr>
                <w:rFonts w:eastAsia="Times New Roman"/>
                <w:b/>
                <w:bCs/>
                <w:sz w:val="20"/>
                <w:szCs w:val="20"/>
              </w:rPr>
              <w:t> </w:t>
            </w:r>
          </w:p>
        </w:tc>
      </w:tr>
      <w:tr w:rsidR="00000000" w14:paraId="107DECD7" w14:textId="77777777">
        <w:tc>
          <w:tcPr>
            <w:tcW w:w="0" w:type="auto"/>
            <w:shd w:val="clear" w:color="auto" w:fill="CCEEFF"/>
            <w:vAlign w:val="bottom"/>
            <w:hideMark/>
          </w:tcPr>
          <w:p w14:paraId="0C2936AE" w14:textId="77777777" w:rsidR="00000000" w:rsidRDefault="001826C1">
            <w:pPr>
              <w:rPr>
                <w:rFonts w:eastAsia="Times New Roman"/>
                <w:sz w:val="20"/>
                <w:szCs w:val="20"/>
              </w:rPr>
            </w:pPr>
            <w:r>
              <w:rPr>
                <w:rFonts w:eastAsia="Times New Roman"/>
                <w:sz w:val="20"/>
                <w:szCs w:val="20"/>
              </w:rPr>
              <w:t xml:space="preserve">ASSETS </w:t>
            </w:r>
          </w:p>
        </w:tc>
        <w:tc>
          <w:tcPr>
            <w:tcW w:w="0" w:type="auto"/>
            <w:shd w:val="clear" w:color="auto" w:fill="CCEEFF"/>
            <w:vAlign w:val="bottom"/>
            <w:hideMark/>
          </w:tcPr>
          <w:p w14:paraId="242356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B85E2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01F3D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F42C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5F5A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122D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725008"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275139A" w14:textId="77777777" w:rsidR="00000000" w:rsidRDefault="001826C1">
            <w:pPr>
              <w:rPr>
                <w:rFonts w:eastAsia="Times New Roman"/>
                <w:sz w:val="20"/>
                <w:szCs w:val="20"/>
              </w:rPr>
            </w:pPr>
            <w:r>
              <w:rPr>
                <w:rFonts w:eastAsia="Times New Roman"/>
                <w:sz w:val="20"/>
                <w:szCs w:val="20"/>
              </w:rPr>
              <w:t> </w:t>
            </w:r>
          </w:p>
        </w:tc>
      </w:tr>
      <w:tr w:rsidR="00000000" w14:paraId="458D97A8" w14:textId="77777777">
        <w:tc>
          <w:tcPr>
            <w:tcW w:w="0" w:type="auto"/>
            <w:shd w:val="clear" w:color="auto" w:fill="FFFFFF"/>
            <w:vAlign w:val="bottom"/>
            <w:hideMark/>
          </w:tcPr>
          <w:p w14:paraId="49F3AB2D" w14:textId="77777777" w:rsidR="00000000" w:rsidRDefault="001826C1">
            <w:pPr>
              <w:rPr>
                <w:rFonts w:eastAsia="Times New Roman"/>
                <w:sz w:val="20"/>
                <w:szCs w:val="20"/>
              </w:rPr>
            </w:pPr>
            <w:r>
              <w:rPr>
                <w:rFonts w:eastAsia="Times New Roman"/>
                <w:sz w:val="20"/>
                <w:szCs w:val="20"/>
              </w:rPr>
              <w:t>CURRENT ASSETS:</w:t>
            </w:r>
          </w:p>
        </w:tc>
        <w:tc>
          <w:tcPr>
            <w:tcW w:w="0" w:type="auto"/>
            <w:shd w:val="clear" w:color="auto" w:fill="FFFFFF"/>
            <w:vAlign w:val="bottom"/>
            <w:hideMark/>
          </w:tcPr>
          <w:p w14:paraId="23FACA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3AFC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F9F33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BF574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72117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147D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1A13A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171CB35" w14:textId="77777777" w:rsidR="00000000" w:rsidRDefault="001826C1">
            <w:pPr>
              <w:rPr>
                <w:rFonts w:eastAsia="Times New Roman"/>
                <w:sz w:val="20"/>
                <w:szCs w:val="20"/>
              </w:rPr>
            </w:pPr>
            <w:r>
              <w:rPr>
                <w:rFonts w:eastAsia="Times New Roman"/>
                <w:sz w:val="20"/>
                <w:szCs w:val="20"/>
              </w:rPr>
              <w:t> </w:t>
            </w:r>
          </w:p>
        </w:tc>
      </w:tr>
      <w:tr w:rsidR="00000000" w14:paraId="1B53A4CB" w14:textId="77777777">
        <w:tc>
          <w:tcPr>
            <w:tcW w:w="3000" w:type="pct"/>
            <w:shd w:val="clear" w:color="auto" w:fill="CCEEFF"/>
            <w:tcMar>
              <w:top w:w="0" w:type="dxa"/>
              <w:left w:w="200" w:type="dxa"/>
              <w:bottom w:w="0" w:type="dxa"/>
              <w:right w:w="0" w:type="dxa"/>
            </w:tcMar>
            <w:vAlign w:val="bottom"/>
            <w:hideMark/>
          </w:tcPr>
          <w:p w14:paraId="63FFD4FB" w14:textId="77777777" w:rsidR="00000000" w:rsidRDefault="001826C1">
            <w:pPr>
              <w:rPr>
                <w:rFonts w:eastAsia="Times New Roman"/>
                <w:sz w:val="20"/>
                <w:szCs w:val="20"/>
              </w:rPr>
            </w:pPr>
            <w:r>
              <w:rPr>
                <w:rFonts w:eastAsia="Times New Roman"/>
                <w:sz w:val="20"/>
                <w:szCs w:val="20"/>
              </w:rPr>
              <w:t>Cash</w:t>
            </w:r>
          </w:p>
        </w:tc>
        <w:tc>
          <w:tcPr>
            <w:tcW w:w="100" w:type="pct"/>
            <w:shd w:val="clear" w:color="auto" w:fill="CCEEFF"/>
            <w:vAlign w:val="bottom"/>
            <w:hideMark/>
          </w:tcPr>
          <w:p w14:paraId="689A8FE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C9062C6" w14:textId="77777777" w:rsidR="00000000" w:rsidRDefault="001826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1A29FA15" w14:textId="77777777" w:rsidR="00000000" w:rsidRDefault="001826C1">
            <w:pPr>
              <w:jc w:val="right"/>
              <w:rPr>
                <w:rFonts w:eastAsia="Times New Roman"/>
                <w:sz w:val="20"/>
                <w:szCs w:val="20"/>
              </w:rPr>
            </w:pPr>
            <w:r>
              <w:rPr>
                <w:rFonts w:eastAsia="Times New Roman"/>
                <w:sz w:val="20"/>
                <w:szCs w:val="20"/>
              </w:rPr>
              <w:t>19,994,134</w:t>
            </w:r>
          </w:p>
        </w:tc>
        <w:tc>
          <w:tcPr>
            <w:tcW w:w="50" w:type="pct"/>
            <w:shd w:val="clear" w:color="auto" w:fill="CCEEFF"/>
            <w:vAlign w:val="bottom"/>
            <w:hideMark/>
          </w:tcPr>
          <w:p w14:paraId="576BBB4A"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5AFCE08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3F2C75" w14:textId="77777777" w:rsidR="00000000" w:rsidRDefault="001826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3C9956ED" w14:textId="77777777" w:rsidR="00000000" w:rsidRDefault="001826C1">
            <w:pPr>
              <w:jc w:val="right"/>
              <w:rPr>
                <w:rFonts w:eastAsia="Times New Roman"/>
                <w:sz w:val="20"/>
                <w:szCs w:val="20"/>
              </w:rPr>
            </w:pPr>
            <w:r>
              <w:rPr>
                <w:rFonts w:eastAsia="Times New Roman"/>
                <w:sz w:val="20"/>
                <w:szCs w:val="20"/>
              </w:rPr>
              <w:t>14,472,483</w:t>
            </w:r>
          </w:p>
        </w:tc>
        <w:tc>
          <w:tcPr>
            <w:tcW w:w="50" w:type="pct"/>
            <w:shd w:val="clear" w:color="auto" w:fill="CCEEFF"/>
            <w:vAlign w:val="bottom"/>
            <w:hideMark/>
          </w:tcPr>
          <w:p w14:paraId="61A89471" w14:textId="77777777" w:rsidR="00000000" w:rsidRDefault="001826C1">
            <w:pPr>
              <w:rPr>
                <w:rFonts w:eastAsia="Times New Roman"/>
                <w:sz w:val="20"/>
                <w:szCs w:val="20"/>
              </w:rPr>
            </w:pPr>
            <w:r>
              <w:rPr>
                <w:rFonts w:eastAsia="Times New Roman"/>
                <w:sz w:val="20"/>
                <w:szCs w:val="20"/>
              </w:rPr>
              <w:t> </w:t>
            </w:r>
          </w:p>
        </w:tc>
      </w:tr>
      <w:tr w:rsidR="00000000" w14:paraId="58152977" w14:textId="77777777">
        <w:tc>
          <w:tcPr>
            <w:tcW w:w="0" w:type="auto"/>
            <w:shd w:val="clear" w:color="auto" w:fill="FFFFFF"/>
            <w:tcMar>
              <w:top w:w="0" w:type="dxa"/>
              <w:left w:w="200" w:type="dxa"/>
              <w:bottom w:w="0" w:type="dxa"/>
              <w:right w:w="0" w:type="dxa"/>
            </w:tcMar>
            <w:vAlign w:val="bottom"/>
            <w:hideMark/>
          </w:tcPr>
          <w:p w14:paraId="72E5CF3E" w14:textId="77777777" w:rsidR="00000000" w:rsidRDefault="001826C1">
            <w:pPr>
              <w:rPr>
                <w:rFonts w:eastAsia="Times New Roman"/>
                <w:sz w:val="20"/>
                <w:szCs w:val="20"/>
              </w:rPr>
            </w:pPr>
            <w:r>
              <w:rPr>
                <w:rFonts w:eastAsia="Times New Roman"/>
                <w:sz w:val="20"/>
                <w:szCs w:val="20"/>
              </w:rPr>
              <w:t>Accounts receivable - net of allowance for doubtful accounts of $256,000 and $189,000 at December 31, 2019 and December 31, 2018, respectively</w:t>
            </w:r>
          </w:p>
        </w:tc>
        <w:tc>
          <w:tcPr>
            <w:tcW w:w="0" w:type="auto"/>
            <w:shd w:val="clear" w:color="auto" w:fill="FFFFFF"/>
            <w:vAlign w:val="bottom"/>
            <w:hideMark/>
          </w:tcPr>
          <w:p w14:paraId="754C730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E50CB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266FA0" w14:textId="77777777" w:rsidR="00000000" w:rsidRDefault="001826C1">
            <w:pPr>
              <w:jc w:val="right"/>
              <w:rPr>
                <w:rFonts w:eastAsia="Times New Roman"/>
                <w:sz w:val="20"/>
                <w:szCs w:val="20"/>
              </w:rPr>
            </w:pPr>
            <w:r>
              <w:rPr>
                <w:rFonts w:eastAsia="Times New Roman"/>
                <w:sz w:val="20"/>
                <w:szCs w:val="20"/>
              </w:rPr>
              <w:t>6,995,343</w:t>
            </w:r>
          </w:p>
        </w:tc>
        <w:tc>
          <w:tcPr>
            <w:tcW w:w="0" w:type="auto"/>
            <w:shd w:val="clear" w:color="auto" w:fill="FFFFFF"/>
            <w:vAlign w:val="bottom"/>
            <w:hideMark/>
          </w:tcPr>
          <w:p w14:paraId="639513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AE5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19E2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1DF0B2" w14:textId="77777777" w:rsidR="00000000" w:rsidRDefault="001826C1">
            <w:pPr>
              <w:jc w:val="right"/>
              <w:rPr>
                <w:rFonts w:eastAsia="Times New Roman"/>
                <w:sz w:val="20"/>
                <w:szCs w:val="20"/>
              </w:rPr>
            </w:pPr>
            <w:r>
              <w:rPr>
                <w:rFonts w:eastAsia="Times New Roman"/>
                <w:sz w:val="20"/>
                <w:szCs w:val="20"/>
              </w:rPr>
              <w:t>7,331,474</w:t>
            </w:r>
          </w:p>
        </w:tc>
        <w:tc>
          <w:tcPr>
            <w:tcW w:w="0" w:type="auto"/>
            <w:shd w:val="clear" w:color="auto" w:fill="FFFFFF"/>
            <w:vAlign w:val="bottom"/>
            <w:hideMark/>
          </w:tcPr>
          <w:p w14:paraId="15A78E92" w14:textId="77777777" w:rsidR="00000000" w:rsidRDefault="001826C1">
            <w:pPr>
              <w:rPr>
                <w:rFonts w:eastAsia="Times New Roman"/>
                <w:sz w:val="20"/>
                <w:szCs w:val="20"/>
              </w:rPr>
            </w:pPr>
            <w:r>
              <w:rPr>
                <w:rFonts w:eastAsia="Times New Roman"/>
                <w:sz w:val="20"/>
                <w:szCs w:val="20"/>
              </w:rPr>
              <w:t> </w:t>
            </w:r>
          </w:p>
        </w:tc>
      </w:tr>
      <w:tr w:rsidR="00000000" w14:paraId="0A3E28E5" w14:textId="77777777">
        <w:tc>
          <w:tcPr>
            <w:tcW w:w="0" w:type="auto"/>
            <w:shd w:val="clear" w:color="auto" w:fill="CCEEFF"/>
            <w:tcMar>
              <w:top w:w="0" w:type="dxa"/>
              <w:left w:w="200" w:type="dxa"/>
              <w:bottom w:w="0" w:type="dxa"/>
              <w:right w:w="0" w:type="dxa"/>
            </w:tcMar>
            <w:vAlign w:val="bottom"/>
            <w:hideMark/>
          </w:tcPr>
          <w:p w14:paraId="3EE49D70" w14:textId="77777777" w:rsidR="00000000" w:rsidRDefault="001826C1">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637898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6DCD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6B594D" w14:textId="77777777" w:rsidR="00000000" w:rsidRDefault="001826C1">
            <w:pPr>
              <w:jc w:val="right"/>
              <w:rPr>
                <w:rFonts w:eastAsia="Times New Roman"/>
                <w:sz w:val="20"/>
                <w:szCs w:val="20"/>
              </w:rPr>
            </w:pPr>
            <w:r>
              <w:rPr>
                <w:rFonts w:eastAsia="Times New Roman"/>
                <w:sz w:val="20"/>
                <w:szCs w:val="20"/>
              </w:rPr>
              <w:t>2,385,334</w:t>
            </w:r>
          </w:p>
        </w:tc>
        <w:tc>
          <w:tcPr>
            <w:tcW w:w="0" w:type="auto"/>
            <w:shd w:val="clear" w:color="auto" w:fill="CCEEFF"/>
            <w:vAlign w:val="bottom"/>
            <w:hideMark/>
          </w:tcPr>
          <w:p w14:paraId="684D98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E0ECF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EFF1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095046" w14:textId="77777777" w:rsidR="00000000" w:rsidRDefault="001826C1">
            <w:pPr>
              <w:jc w:val="right"/>
              <w:rPr>
                <w:rFonts w:eastAsia="Times New Roman"/>
                <w:sz w:val="20"/>
                <w:szCs w:val="20"/>
              </w:rPr>
            </w:pPr>
            <w:r>
              <w:rPr>
                <w:rFonts w:eastAsia="Times New Roman"/>
                <w:sz w:val="20"/>
                <w:szCs w:val="20"/>
              </w:rPr>
              <w:t>2,608,631</w:t>
            </w:r>
          </w:p>
        </w:tc>
        <w:tc>
          <w:tcPr>
            <w:tcW w:w="0" w:type="auto"/>
            <w:shd w:val="clear" w:color="auto" w:fill="CCEEFF"/>
            <w:vAlign w:val="bottom"/>
            <w:hideMark/>
          </w:tcPr>
          <w:p w14:paraId="66594879" w14:textId="77777777" w:rsidR="00000000" w:rsidRDefault="001826C1">
            <w:pPr>
              <w:rPr>
                <w:rFonts w:eastAsia="Times New Roman"/>
                <w:sz w:val="20"/>
                <w:szCs w:val="20"/>
              </w:rPr>
            </w:pPr>
            <w:r>
              <w:rPr>
                <w:rFonts w:eastAsia="Times New Roman"/>
                <w:sz w:val="20"/>
                <w:szCs w:val="20"/>
              </w:rPr>
              <w:t> </w:t>
            </w:r>
          </w:p>
        </w:tc>
      </w:tr>
      <w:tr w:rsidR="00000000" w14:paraId="0ADE4214" w14:textId="77777777">
        <w:tc>
          <w:tcPr>
            <w:tcW w:w="0" w:type="auto"/>
            <w:shd w:val="clear" w:color="auto" w:fill="FFFFFF"/>
            <w:tcMar>
              <w:top w:w="0" w:type="dxa"/>
              <w:left w:w="200" w:type="dxa"/>
              <w:bottom w:w="0" w:type="dxa"/>
              <w:right w:w="0" w:type="dxa"/>
            </w:tcMar>
            <w:vAlign w:val="bottom"/>
            <w:hideMark/>
          </w:tcPr>
          <w:p w14:paraId="0DB391FE" w14:textId="77777777" w:rsidR="00000000" w:rsidRDefault="001826C1">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3CF464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C49C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AFD156" w14:textId="77777777" w:rsidR="00000000" w:rsidRDefault="001826C1">
            <w:pPr>
              <w:jc w:val="right"/>
              <w:rPr>
                <w:rFonts w:eastAsia="Times New Roman"/>
                <w:sz w:val="20"/>
                <w:szCs w:val="20"/>
              </w:rPr>
            </w:pPr>
            <w:r>
              <w:rPr>
                <w:rFonts w:eastAsia="Times New Roman"/>
                <w:sz w:val="20"/>
                <w:szCs w:val="20"/>
              </w:rPr>
              <w:t>491,088</w:t>
            </w:r>
          </w:p>
        </w:tc>
        <w:tc>
          <w:tcPr>
            <w:tcW w:w="0" w:type="auto"/>
            <w:shd w:val="clear" w:color="auto" w:fill="FFFFFF"/>
            <w:vAlign w:val="bottom"/>
            <w:hideMark/>
          </w:tcPr>
          <w:p w14:paraId="56FEAE8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7951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3EFFE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C71F9" w14:textId="77777777" w:rsidR="00000000" w:rsidRDefault="001826C1">
            <w:pPr>
              <w:jc w:val="right"/>
              <w:rPr>
                <w:rFonts w:eastAsia="Times New Roman"/>
                <w:sz w:val="20"/>
                <w:szCs w:val="20"/>
              </w:rPr>
            </w:pPr>
            <w:r>
              <w:rPr>
                <w:rFonts w:eastAsia="Times New Roman"/>
                <w:sz w:val="20"/>
                <w:szCs w:val="20"/>
              </w:rPr>
              <w:t>444,437</w:t>
            </w:r>
          </w:p>
        </w:tc>
        <w:tc>
          <w:tcPr>
            <w:tcW w:w="0" w:type="auto"/>
            <w:shd w:val="clear" w:color="auto" w:fill="FFFFFF"/>
            <w:vAlign w:val="bottom"/>
            <w:hideMark/>
          </w:tcPr>
          <w:p w14:paraId="68DD3F9C" w14:textId="77777777" w:rsidR="00000000" w:rsidRDefault="001826C1">
            <w:pPr>
              <w:rPr>
                <w:rFonts w:eastAsia="Times New Roman"/>
                <w:sz w:val="20"/>
                <w:szCs w:val="20"/>
              </w:rPr>
            </w:pPr>
            <w:r>
              <w:rPr>
                <w:rFonts w:eastAsia="Times New Roman"/>
                <w:sz w:val="20"/>
                <w:szCs w:val="20"/>
              </w:rPr>
              <w:t> </w:t>
            </w:r>
          </w:p>
        </w:tc>
      </w:tr>
      <w:tr w:rsidR="00000000" w14:paraId="0C6A6991" w14:textId="77777777">
        <w:tc>
          <w:tcPr>
            <w:tcW w:w="0" w:type="auto"/>
            <w:shd w:val="clear" w:color="auto" w:fill="CCEEFF"/>
            <w:tcMar>
              <w:top w:w="0" w:type="dxa"/>
              <w:left w:w="200" w:type="dxa"/>
              <w:bottom w:w="0" w:type="dxa"/>
              <w:right w:w="0" w:type="dxa"/>
            </w:tcMar>
            <w:vAlign w:val="bottom"/>
            <w:hideMark/>
          </w:tcPr>
          <w:p w14:paraId="0B99BD27" w14:textId="77777777" w:rsidR="00000000" w:rsidRDefault="001826C1">
            <w:pPr>
              <w:rPr>
                <w:rFonts w:eastAsia="Times New Roman"/>
                <w:sz w:val="20"/>
                <w:szCs w:val="20"/>
              </w:rPr>
            </w:pPr>
            <w:r>
              <w:rPr>
                <w:rFonts w:eastAsia="Times New Roman"/>
                <w:sz w:val="20"/>
                <w:szCs w:val="20"/>
              </w:rPr>
              <w:t>Current assets - related party</w:t>
            </w:r>
          </w:p>
        </w:tc>
        <w:tc>
          <w:tcPr>
            <w:tcW w:w="0" w:type="auto"/>
            <w:shd w:val="clear" w:color="auto" w:fill="CCEEFF"/>
            <w:vAlign w:val="bottom"/>
            <w:hideMark/>
          </w:tcPr>
          <w:p w14:paraId="23FA4A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040A1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04A7B8" w14:textId="77777777" w:rsidR="00000000" w:rsidRDefault="001826C1">
            <w:pPr>
              <w:jc w:val="right"/>
              <w:rPr>
                <w:rFonts w:eastAsia="Times New Roman"/>
                <w:sz w:val="20"/>
                <w:szCs w:val="20"/>
              </w:rPr>
            </w:pPr>
            <w:r>
              <w:rPr>
                <w:rFonts w:eastAsia="Times New Roman"/>
                <w:sz w:val="20"/>
                <w:szCs w:val="20"/>
              </w:rPr>
              <w:t>13,200</w:t>
            </w:r>
          </w:p>
        </w:tc>
        <w:tc>
          <w:tcPr>
            <w:tcW w:w="0" w:type="auto"/>
            <w:shd w:val="clear" w:color="auto" w:fill="CCEEFF"/>
            <w:vAlign w:val="bottom"/>
            <w:hideMark/>
          </w:tcPr>
          <w:p w14:paraId="5FA305A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BA5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A5A8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42E927" w14:textId="77777777" w:rsidR="00000000" w:rsidRDefault="001826C1">
            <w:pPr>
              <w:jc w:val="right"/>
              <w:rPr>
                <w:rFonts w:eastAsia="Times New Roman"/>
                <w:sz w:val="20"/>
                <w:szCs w:val="20"/>
              </w:rPr>
            </w:pPr>
            <w:r>
              <w:rPr>
                <w:rFonts w:eastAsia="Times New Roman"/>
                <w:sz w:val="20"/>
                <w:szCs w:val="20"/>
              </w:rPr>
              <w:t>25,203</w:t>
            </w:r>
          </w:p>
        </w:tc>
        <w:tc>
          <w:tcPr>
            <w:tcW w:w="0" w:type="auto"/>
            <w:shd w:val="clear" w:color="auto" w:fill="CCEEFF"/>
            <w:vAlign w:val="bottom"/>
            <w:hideMark/>
          </w:tcPr>
          <w:p w14:paraId="4AF74DA4" w14:textId="77777777" w:rsidR="00000000" w:rsidRDefault="001826C1">
            <w:pPr>
              <w:rPr>
                <w:rFonts w:eastAsia="Times New Roman"/>
                <w:sz w:val="20"/>
                <w:szCs w:val="20"/>
              </w:rPr>
            </w:pPr>
            <w:r>
              <w:rPr>
                <w:rFonts w:eastAsia="Times New Roman"/>
                <w:sz w:val="20"/>
                <w:szCs w:val="20"/>
              </w:rPr>
              <w:t> </w:t>
            </w:r>
          </w:p>
        </w:tc>
      </w:tr>
      <w:tr w:rsidR="00000000" w14:paraId="302B4432" w14:textId="77777777">
        <w:tc>
          <w:tcPr>
            <w:tcW w:w="0" w:type="auto"/>
            <w:shd w:val="clear" w:color="auto" w:fill="FFFFFF"/>
            <w:tcMar>
              <w:top w:w="0" w:type="dxa"/>
              <w:left w:w="200" w:type="dxa"/>
              <w:bottom w:w="30" w:type="dxa"/>
              <w:right w:w="0" w:type="dxa"/>
            </w:tcMar>
            <w:vAlign w:val="bottom"/>
            <w:hideMark/>
          </w:tcPr>
          <w:p w14:paraId="6960A31C" w14:textId="77777777" w:rsidR="00000000" w:rsidRDefault="001826C1">
            <w:pPr>
              <w:rPr>
                <w:rFonts w:eastAsia="Times New Roman"/>
                <w:sz w:val="20"/>
                <w:szCs w:val="20"/>
              </w:rPr>
            </w:pPr>
            <w:r>
              <w:rPr>
                <w:rFonts w:eastAsia="Times New Roman"/>
                <w:sz w:val="20"/>
                <w:szCs w:val="20"/>
              </w:rPr>
              <w:t>Prepaid expenses and other current assets</w:t>
            </w:r>
          </w:p>
        </w:tc>
        <w:tc>
          <w:tcPr>
            <w:tcW w:w="0" w:type="auto"/>
            <w:shd w:val="clear" w:color="auto" w:fill="FFFFFF"/>
            <w:tcMar>
              <w:top w:w="0" w:type="dxa"/>
              <w:left w:w="0" w:type="dxa"/>
              <w:bottom w:w="30" w:type="dxa"/>
              <w:right w:w="0" w:type="dxa"/>
            </w:tcMar>
            <w:vAlign w:val="bottom"/>
            <w:hideMark/>
          </w:tcPr>
          <w:p w14:paraId="3B5E554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FAFC3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AA4E8D" w14:textId="77777777" w:rsidR="00000000" w:rsidRDefault="001826C1">
            <w:pPr>
              <w:jc w:val="right"/>
              <w:rPr>
                <w:rFonts w:eastAsia="Times New Roman"/>
                <w:sz w:val="20"/>
                <w:szCs w:val="20"/>
              </w:rPr>
            </w:pPr>
            <w:r>
              <w:rPr>
                <w:rFonts w:eastAsia="Times New Roman"/>
                <w:sz w:val="20"/>
                <w:szCs w:val="20"/>
              </w:rPr>
              <w:t>1,123,036</w:t>
            </w:r>
          </w:p>
        </w:tc>
        <w:tc>
          <w:tcPr>
            <w:tcW w:w="0" w:type="auto"/>
            <w:shd w:val="clear" w:color="auto" w:fill="FFFFFF"/>
            <w:tcMar>
              <w:top w:w="0" w:type="dxa"/>
              <w:left w:w="0" w:type="dxa"/>
              <w:bottom w:w="30" w:type="dxa"/>
              <w:right w:w="0" w:type="dxa"/>
            </w:tcMar>
            <w:vAlign w:val="bottom"/>
            <w:hideMark/>
          </w:tcPr>
          <w:p w14:paraId="2794542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06C7F3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D57F7F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D0293B" w14:textId="77777777" w:rsidR="00000000" w:rsidRDefault="001826C1">
            <w:pPr>
              <w:jc w:val="right"/>
              <w:rPr>
                <w:rFonts w:eastAsia="Times New Roman"/>
                <w:sz w:val="20"/>
                <w:szCs w:val="20"/>
              </w:rPr>
            </w:pPr>
            <w:r>
              <w:rPr>
                <w:rFonts w:eastAsia="Times New Roman"/>
                <w:sz w:val="20"/>
                <w:szCs w:val="20"/>
              </w:rPr>
              <w:t>1,191,445</w:t>
            </w:r>
          </w:p>
        </w:tc>
        <w:tc>
          <w:tcPr>
            <w:tcW w:w="0" w:type="auto"/>
            <w:shd w:val="clear" w:color="auto" w:fill="FFFFFF"/>
            <w:tcMar>
              <w:top w:w="0" w:type="dxa"/>
              <w:left w:w="0" w:type="dxa"/>
              <w:bottom w:w="30" w:type="dxa"/>
              <w:right w:w="0" w:type="dxa"/>
            </w:tcMar>
            <w:vAlign w:val="bottom"/>
            <w:hideMark/>
          </w:tcPr>
          <w:p w14:paraId="56CA765A" w14:textId="77777777" w:rsidR="00000000" w:rsidRDefault="001826C1">
            <w:pPr>
              <w:rPr>
                <w:rFonts w:eastAsia="Times New Roman"/>
                <w:sz w:val="20"/>
                <w:szCs w:val="20"/>
              </w:rPr>
            </w:pPr>
            <w:r>
              <w:rPr>
                <w:rFonts w:eastAsia="Times New Roman"/>
                <w:sz w:val="20"/>
                <w:szCs w:val="20"/>
              </w:rPr>
              <w:t> </w:t>
            </w:r>
          </w:p>
        </w:tc>
      </w:tr>
      <w:tr w:rsidR="00000000" w14:paraId="0C9966BF" w14:textId="77777777">
        <w:tc>
          <w:tcPr>
            <w:tcW w:w="0" w:type="auto"/>
            <w:shd w:val="clear" w:color="auto" w:fill="CCEEFF"/>
            <w:tcMar>
              <w:top w:w="0" w:type="dxa"/>
              <w:left w:w="400" w:type="dxa"/>
              <w:bottom w:w="0" w:type="dxa"/>
              <w:right w:w="0" w:type="dxa"/>
            </w:tcMar>
            <w:vAlign w:val="bottom"/>
            <w:hideMark/>
          </w:tcPr>
          <w:p w14:paraId="06E4026B" w14:textId="77777777" w:rsidR="00000000" w:rsidRDefault="001826C1">
            <w:pPr>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14:paraId="743D64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48C4A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AD25BD" w14:textId="77777777" w:rsidR="00000000" w:rsidRDefault="001826C1">
            <w:pPr>
              <w:jc w:val="right"/>
              <w:rPr>
                <w:rFonts w:eastAsia="Times New Roman"/>
                <w:sz w:val="20"/>
                <w:szCs w:val="20"/>
              </w:rPr>
            </w:pPr>
            <w:r>
              <w:rPr>
                <w:rFonts w:eastAsia="Times New Roman"/>
                <w:sz w:val="20"/>
                <w:szCs w:val="20"/>
              </w:rPr>
              <w:t>31,002,135</w:t>
            </w:r>
          </w:p>
        </w:tc>
        <w:tc>
          <w:tcPr>
            <w:tcW w:w="0" w:type="auto"/>
            <w:shd w:val="clear" w:color="auto" w:fill="CCEEFF"/>
            <w:vAlign w:val="bottom"/>
            <w:hideMark/>
          </w:tcPr>
          <w:p w14:paraId="498DB33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21A3B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938A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3693CB" w14:textId="77777777" w:rsidR="00000000" w:rsidRDefault="001826C1">
            <w:pPr>
              <w:jc w:val="right"/>
              <w:rPr>
                <w:rFonts w:eastAsia="Times New Roman"/>
                <w:sz w:val="20"/>
                <w:szCs w:val="20"/>
              </w:rPr>
            </w:pPr>
            <w:r>
              <w:rPr>
                <w:rFonts w:eastAsia="Times New Roman"/>
                <w:sz w:val="20"/>
                <w:szCs w:val="20"/>
              </w:rPr>
              <w:t>26,073,673</w:t>
            </w:r>
          </w:p>
        </w:tc>
        <w:tc>
          <w:tcPr>
            <w:tcW w:w="0" w:type="auto"/>
            <w:shd w:val="clear" w:color="auto" w:fill="CCEEFF"/>
            <w:vAlign w:val="bottom"/>
            <w:hideMark/>
          </w:tcPr>
          <w:p w14:paraId="1CD0AD69" w14:textId="77777777" w:rsidR="00000000" w:rsidRDefault="001826C1">
            <w:pPr>
              <w:rPr>
                <w:rFonts w:eastAsia="Times New Roman"/>
                <w:sz w:val="20"/>
                <w:szCs w:val="20"/>
              </w:rPr>
            </w:pPr>
            <w:r>
              <w:rPr>
                <w:rFonts w:eastAsia="Times New Roman"/>
                <w:sz w:val="20"/>
                <w:szCs w:val="20"/>
              </w:rPr>
              <w:t> </w:t>
            </w:r>
          </w:p>
        </w:tc>
      </w:tr>
      <w:tr w:rsidR="00000000" w14:paraId="288A7272" w14:textId="77777777">
        <w:tc>
          <w:tcPr>
            <w:tcW w:w="0" w:type="auto"/>
            <w:shd w:val="clear" w:color="auto" w:fill="FFFFFF"/>
            <w:vAlign w:val="bottom"/>
            <w:hideMark/>
          </w:tcPr>
          <w:p w14:paraId="74075971" w14:textId="77777777" w:rsidR="00000000" w:rsidRDefault="001826C1">
            <w:pPr>
              <w:rPr>
                <w:rFonts w:eastAsia="Times New Roman"/>
                <w:sz w:val="20"/>
                <w:szCs w:val="20"/>
              </w:rPr>
            </w:pPr>
            <w:r>
              <w:rPr>
                <w:rFonts w:eastAsia="Times New Roman"/>
                <w:sz w:val="20"/>
                <w:szCs w:val="20"/>
              </w:rPr>
              <w:t>Property and equipment - net</w:t>
            </w:r>
          </w:p>
        </w:tc>
        <w:tc>
          <w:tcPr>
            <w:tcW w:w="0" w:type="auto"/>
            <w:shd w:val="clear" w:color="auto" w:fill="FFFFFF"/>
            <w:vAlign w:val="bottom"/>
            <w:hideMark/>
          </w:tcPr>
          <w:p w14:paraId="58FF3C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CAD0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A5A3B7" w14:textId="77777777" w:rsidR="00000000" w:rsidRDefault="001826C1">
            <w:pPr>
              <w:jc w:val="right"/>
              <w:rPr>
                <w:rFonts w:eastAsia="Times New Roman"/>
                <w:sz w:val="20"/>
                <w:szCs w:val="20"/>
              </w:rPr>
            </w:pPr>
            <w:r>
              <w:rPr>
                <w:rFonts w:eastAsia="Times New Roman"/>
                <w:sz w:val="20"/>
                <w:szCs w:val="20"/>
              </w:rPr>
              <w:t>2,907,516</w:t>
            </w:r>
          </w:p>
        </w:tc>
        <w:tc>
          <w:tcPr>
            <w:tcW w:w="0" w:type="auto"/>
            <w:shd w:val="clear" w:color="auto" w:fill="FFFFFF"/>
            <w:vAlign w:val="bottom"/>
            <w:hideMark/>
          </w:tcPr>
          <w:p w14:paraId="72866E7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495E1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A95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45B60E" w14:textId="77777777" w:rsidR="00000000" w:rsidRDefault="001826C1">
            <w:pPr>
              <w:jc w:val="right"/>
              <w:rPr>
                <w:rFonts w:eastAsia="Times New Roman"/>
                <w:sz w:val="20"/>
                <w:szCs w:val="20"/>
              </w:rPr>
            </w:pPr>
            <w:r>
              <w:rPr>
                <w:rFonts w:eastAsia="Times New Roman"/>
                <w:sz w:val="20"/>
                <w:szCs w:val="20"/>
              </w:rPr>
              <w:t>1,832,187</w:t>
            </w:r>
          </w:p>
        </w:tc>
        <w:tc>
          <w:tcPr>
            <w:tcW w:w="0" w:type="auto"/>
            <w:shd w:val="clear" w:color="auto" w:fill="FFFFFF"/>
            <w:vAlign w:val="bottom"/>
            <w:hideMark/>
          </w:tcPr>
          <w:p w14:paraId="1F660996" w14:textId="77777777" w:rsidR="00000000" w:rsidRDefault="001826C1">
            <w:pPr>
              <w:rPr>
                <w:rFonts w:eastAsia="Times New Roman"/>
                <w:sz w:val="20"/>
                <w:szCs w:val="20"/>
              </w:rPr>
            </w:pPr>
            <w:r>
              <w:rPr>
                <w:rFonts w:eastAsia="Times New Roman"/>
                <w:sz w:val="20"/>
                <w:szCs w:val="20"/>
              </w:rPr>
              <w:t> </w:t>
            </w:r>
          </w:p>
        </w:tc>
      </w:tr>
      <w:tr w:rsidR="00000000" w14:paraId="5C7B2BAA" w14:textId="77777777">
        <w:tc>
          <w:tcPr>
            <w:tcW w:w="0" w:type="auto"/>
            <w:shd w:val="clear" w:color="auto" w:fill="CCEEFF"/>
            <w:vAlign w:val="bottom"/>
            <w:hideMark/>
          </w:tcPr>
          <w:p w14:paraId="625546AB" w14:textId="77777777" w:rsidR="00000000" w:rsidRDefault="001826C1">
            <w:pPr>
              <w:rPr>
                <w:rFonts w:eastAsia="Times New Roman"/>
                <w:sz w:val="20"/>
                <w:szCs w:val="20"/>
              </w:rPr>
            </w:pPr>
            <w:r>
              <w:rPr>
                <w:rFonts w:eastAsia="Times New Roman"/>
                <w:sz w:val="20"/>
                <w:szCs w:val="20"/>
              </w:rPr>
              <w:t>Operating lease right-of-use assets</w:t>
            </w:r>
          </w:p>
        </w:tc>
        <w:tc>
          <w:tcPr>
            <w:tcW w:w="0" w:type="auto"/>
            <w:shd w:val="clear" w:color="auto" w:fill="CCEEFF"/>
            <w:vAlign w:val="bottom"/>
            <w:hideMark/>
          </w:tcPr>
          <w:p w14:paraId="7C8504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0509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380FA8" w14:textId="77777777" w:rsidR="00000000" w:rsidRDefault="001826C1">
            <w:pPr>
              <w:jc w:val="right"/>
              <w:rPr>
                <w:rFonts w:eastAsia="Times New Roman"/>
                <w:sz w:val="20"/>
                <w:szCs w:val="20"/>
              </w:rPr>
            </w:pPr>
            <w:r>
              <w:rPr>
                <w:rFonts w:eastAsia="Times New Roman"/>
                <w:sz w:val="20"/>
                <w:szCs w:val="20"/>
              </w:rPr>
              <w:t>3,526,315</w:t>
            </w:r>
          </w:p>
        </w:tc>
        <w:tc>
          <w:tcPr>
            <w:tcW w:w="0" w:type="auto"/>
            <w:shd w:val="clear" w:color="auto" w:fill="CCEEFF"/>
            <w:vAlign w:val="bottom"/>
            <w:hideMark/>
          </w:tcPr>
          <w:p w14:paraId="33BD902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4EEB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A4B97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6CE12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E076359" w14:textId="77777777" w:rsidR="00000000" w:rsidRDefault="001826C1">
            <w:pPr>
              <w:rPr>
                <w:rFonts w:eastAsia="Times New Roman"/>
                <w:sz w:val="20"/>
                <w:szCs w:val="20"/>
              </w:rPr>
            </w:pPr>
            <w:r>
              <w:rPr>
                <w:rFonts w:eastAsia="Times New Roman"/>
                <w:sz w:val="20"/>
                <w:szCs w:val="20"/>
              </w:rPr>
              <w:t> </w:t>
            </w:r>
          </w:p>
        </w:tc>
      </w:tr>
      <w:tr w:rsidR="00000000" w14:paraId="628DA940" w14:textId="77777777">
        <w:tc>
          <w:tcPr>
            <w:tcW w:w="0" w:type="auto"/>
            <w:shd w:val="clear" w:color="auto" w:fill="FFFFFF"/>
            <w:vAlign w:val="bottom"/>
            <w:hideMark/>
          </w:tcPr>
          <w:p w14:paraId="7C470CE5" w14:textId="77777777" w:rsidR="00000000" w:rsidRDefault="001826C1">
            <w:pPr>
              <w:rPr>
                <w:rFonts w:eastAsia="Times New Roman"/>
                <w:sz w:val="20"/>
                <w:szCs w:val="20"/>
              </w:rPr>
            </w:pPr>
            <w:r>
              <w:rPr>
                <w:rFonts w:eastAsia="Times New Roman"/>
                <w:sz w:val="20"/>
                <w:szCs w:val="20"/>
              </w:rPr>
              <w:t>Intangible assets - net</w:t>
            </w:r>
          </w:p>
        </w:tc>
        <w:tc>
          <w:tcPr>
            <w:tcW w:w="0" w:type="auto"/>
            <w:shd w:val="clear" w:color="auto" w:fill="FFFFFF"/>
            <w:vAlign w:val="bottom"/>
            <w:hideMark/>
          </w:tcPr>
          <w:p w14:paraId="4CC69BD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562BB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D757A1" w14:textId="77777777" w:rsidR="00000000" w:rsidRDefault="001826C1">
            <w:pPr>
              <w:jc w:val="right"/>
              <w:rPr>
                <w:rFonts w:eastAsia="Times New Roman"/>
                <w:sz w:val="20"/>
                <w:szCs w:val="20"/>
              </w:rPr>
            </w:pPr>
            <w:r>
              <w:rPr>
                <w:rFonts w:eastAsia="Times New Roman"/>
                <w:sz w:val="20"/>
                <w:szCs w:val="20"/>
              </w:rPr>
              <w:t>5,977,225</w:t>
            </w:r>
          </w:p>
        </w:tc>
        <w:tc>
          <w:tcPr>
            <w:tcW w:w="0" w:type="auto"/>
            <w:shd w:val="clear" w:color="auto" w:fill="FFFFFF"/>
            <w:vAlign w:val="bottom"/>
            <w:hideMark/>
          </w:tcPr>
          <w:p w14:paraId="1E49A1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B2F50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E56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03A5DF" w14:textId="77777777" w:rsidR="00000000" w:rsidRDefault="001826C1">
            <w:pPr>
              <w:jc w:val="right"/>
              <w:rPr>
                <w:rFonts w:eastAsia="Times New Roman"/>
                <w:sz w:val="20"/>
                <w:szCs w:val="20"/>
              </w:rPr>
            </w:pPr>
            <w:r>
              <w:rPr>
                <w:rFonts w:eastAsia="Times New Roman"/>
                <w:sz w:val="20"/>
                <w:szCs w:val="20"/>
              </w:rPr>
              <w:t>6,634,003</w:t>
            </w:r>
          </w:p>
        </w:tc>
        <w:tc>
          <w:tcPr>
            <w:tcW w:w="0" w:type="auto"/>
            <w:shd w:val="clear" w:color="auto" w:fill="FFFFFF"/>
            <w:vAlign w:val="bottom"/>
            <w:hideMark/>
          </w:tcPr>
          <w:p w14:paraId="33FF41D7" w14:textId="77777777" w:rsidR="00000000" w:rsidRDefault="001826C1">
            <w:pPr>
              <w:rPr>
                <w:rFonts w:eastAsia="Times New Roman"/>
                <w:sz w:val="20"/>
                <w:szCs w:val="20"/>
              </w:rPr>
            </w:pPr>
            <w:r>
              <w:rPr>
                <w:rFonts w:eastAsia="Times New Roman"/>
                <w:sz w:val="20"/>
                <w:szCs w:val="20"/>
              </w:rPr>
              <w:t> </w:t>
            </w:r>
          </w:p>
        </w:tc>
      </w:tr>
      <w:tr w:rsidR="00000000" w14:paraId="417F9909" w14:textId="77777777">
        <w:tc>
          <w:tcPr>
            <w:tcW w:w="0" w:type="auto"/>
            <w:shd w:val="clear" w:color="auto" w:fill="CCEEFF"/>
            <w:vAlign w:val="bottom"/>
            <w:hideMark/>
          </w:tcPr>
          <w:p w14:paraId="6FA2D569" w14:textId="77777777" w:rsidR="00000000" w:rsidRDefault="001826C1">
            <w:pPr>
              <w:rPr>
                <w:rFonts w:eastAsia="Times New Roman"/>
                <w:sz w:val="20"/>
                <w:szCs w:val="20"/>
              </w:rPr>
            </w:pPr>
            <w:r>
              <w:rPr>
                <w:rFonts w:eastAsia="Times New Roman"/>
                <w:sz w:val="20"/>
                <w:szCs w:val="20"/>
              </w:rPr>
              <w:t>Goodwill</w:t>
            </w:r>
          </w:p>
        </w:tc>
        <w:tc>
          <w:tcPr>
            <w:tcW w:w="0" w:type="auto"/>
            <w:shd w:val="clear" w:color="auto" w:fill="CCEEFF"/>
            <w:vAlign w:val="bottom"/>
            <w:hideMark/>
          </w:tcPr>
          <w:p w14:paraId="54E223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6CE6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E67019" w14:textId="77777777" w:rsidR="00000000" w:rsidRDefault="001826C1">
            <w:pPr>
              <w:jc w:val="right"/>
              <w:rPr>
                <w:rFonts w:eastAsia="Times New Roman"/>
                <w:sz w:val="20"/>
                <w:szCs w:val="20"/>
              </w:rPr>
            </w:pPr>
            <w:r>
              <w:rPr>
                <w:rFonts w:eastAsia="Times New Roman"/>
                <w:sz w:val="20"/>
                <w:szCs w:val="20"/>
              </w:rPr>
              <w:t>12,633,696</w:t>
            </w:r>
          </w:p>
        </w:tc>
        <w:tc>
          <w:tcPr>
            <w:tcW w:w="0" w:type="auto"/>
            <w:shd w:val="clear" w:color="auto" w:fill="CCEEFF"/>
            <w:vAlign w:val="bottom"/>
            <w:hideMark/>
          </w:tcPr>
          <w:p w14:paraId="716730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AB19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F82ED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29E132" w14:textId="77777777" w:rsidR="00000000" w:rsidRDefault="001826C1">
            <w:pPr>
              <w:jc w:val="right"/>
              <w:rPr>
                <w:rFonts w:eastAsia="Times New Roman"/>
                <w:sz w:val="20"/>
                <w:szCs w:val="20"/>
              </w:rPr>
            </w:pPr>
            <w:r>
              <w:rPr>
                <w:rFonts w:eastAsia="Times New Roman"/>
                <w:sz w:val="20"/>
                <w:szCs w:val="20"/>
              </w:rPr>
              <w:t>12,593,795</w:t>
            </w:r>
          </w:p>
        </w:tc>
        <w:tc>
          <w:tcPr>
            <w:tcW w:w="0" w:type="auto"/>
            <w:shd w:val="clear" w:color="auto" w:fill="CCEEFF"/>
            <w:vAlign w:val="bottom"/>
            <w:hideMark/>
          </w:tcPr>
          <w:p w14:paraId="41B11501" w14:textId="77777777" w:rsidR="00000000" w:rsidRDefault="001826C1">
            <w:pPr>
              <w:rPr>
                <w:rFonts w:eastAsia="Times New Roman"/>
                <w:sz w:val="20"/>
                <w:szCs w:val="20"/>
              </w:rPr>
            </w:pPr>
            <w:r>
              <w:rPr>
                <w:rFonts w:eastAsia="Times New Roman"/>
                <w:sz w:val="20"/>
                <w:szCs w:val="20"/>
              </w:rPr>
              <w:t> </w:t>
            </w:r>
          </w:p>
        </w:tc>
      </w:tr>
      <w:tr w:rsidR="00000000" w14:paraId="1203DF80" w14:textId="77777777">
        <w:tc>
          <w:tcPr>
            <w:tcW w:w="0" w:type="auto"/>
            <w:shd w:val="clear" w:color="auto" w:fill="FFFFFF"/>
            <w:tcMar>
              <w:top w:w="0" w:type="dxa"/>
              <w:left w:w="0" w:type="dxa"/>
              <w:bottom w:w="30" w:type="dxa"/>
              <w:right w:w="0" w:type="dxa"/>
            </w:tcMar>
            <w:vAlign w:val="bottom"/>
            <w:hideMark/>
          </w:tcPr>
          <w:p w14:paraId="571EC7A8" w14:textId="77777777" w:rsidR="00000000" w:rsidRDefault="001826C1">
            <w:pPr>
              <w:rPr>
                <w:rFonts w:eastAsia="Times New Roman"/>
                <w:sz w:val="20"/>
                <w:szCs w:val="20"/>
              </w:rPr>
            </w:pPr>
            <w:r>
              <w:rPr>
                <w:rFonts w:eastAsia="Times New Roman"/>
                <w:sz w:val="20"/>
                <w:szCs w:val="20"/>
              </w:rPr>
              <w:t>Other assets</w:t>
            </w:r>
          </w:p>
        </w:tc>
        <w:tc>
          <w:tcPr>
            <w:tcW w:w="0" w:type="auto"/>
            <w:shd w:val="clear" w:color="auto" w:fill="FFFFFF"/>
            <w:tcMar>
              <w:top w:w="0" w:type="dxa"/>
              <w:left w:w="0" w:type="dxa"/>
              <w:bottom w:w="30" w:type="dxa"/>
              <w:right w:w="0" w:type="dxa"/>
            </w:tcMar>
            <w:vAlign w:val="bottom"/>
            <w:hideMark/>
          </w:tcPr>
          <w:p w14:paraId="52DE6C9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9F9DB8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6722EE" w14:textId="77777777" w:rsidR="00000000" w:rsidRDefault="001826C1">
            <w:pPr>
              <w:jc w:val="right"/>
              <w:rPr>
                <w:rFonts w:eastAsia="Times New Roman"/>
                <w:sz w:val="20"/>
                <w:szCs w:val="20"/>
              </w:rPr>
            </w:pPr>
            <w:r>
              <w:rPr>
                <w:rFonts w:eastAsia="Times New Roman"/>
                <w:sz w:val="20"/>
                <w:szCs w:val="20"/>
              </w:rPr>
              <w:t>356,578</w:t>
            </w:r>
          </w:p>
        </w:tc>
        <w:tc>
          <w:tcPr>
            <w:tcW w:w="0" w:type="auto"/>
            <w:shd w:val="clear" w:color="auto" w:fill="FFFFFF"/>
            <w:tcMar>
              <w:top w:w="0" w:type="dxa"/>
              <w:left w:w="0" w:type="dxa"/>
              <w:bottom w:w="30" w:type="dxa"/>
              <w:right w:w="0" w:type="dxa"/>
            </w:tcMar>
            <w:vAlign w:val="bottom"/>
            <w:hideMark/>
          </w:tcPr>
          <w:p w14:paraId="2CB3E55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C72357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47AD20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D92E2A" w14:textId="77777777" w:rsidR="00000000" w:rsidRDefault="001826C1">
            <w:pPr>
              <w:jc w:val="right"/>
              <w:rPr>
                <w:rFonts w:eastAsia="Times New Roman"/>
                <w:sz w:val="20"/>
                <w:szCs w:val="20"/>
              </w:rPr>
            </w:pPr>
            <w:r>
              <w:rPr>
                <w:rFonts w:eastAsia="Times New Roman"/>
                <w:sz w:val="20"/>
                <w:szCs w:val="20"/>
              </w:rPr>
              <w:t>489,703</w:t>
            </w:r>
          </w:p>
        </w:tc>
        <w:tc>
          <w:tcPr>
            <w:tcW w:w="0" w:type="auto"/>
            <w:shd w:val="clear" w:color="auto" w:fill="FFFFFF"/>
            <w:tcMar>
              <w:top w:w="0" w:type="dxa"/>
              <w:left w:w="0" w:type="dxa"/>
              <w:bottom w:w="30" w:type="dxa"/>
              <w:right w:w="0" w:type="dxa"/>
            </w:tcMar>
            <w:vAlign w:val="bottom"/>
            <w:hideMark/>
          </w:tcPr>
          <w:p w14:paraId="14CCDB40" w14:textId="77777777" w:rsidR="00000000" w:rsidRDefault="001826C1">
            <w:pPr>
              <w:rPr>
                <w:rFonts w:eastAsia="Times New Roman"/>
                <w:sz w:val="20"/>
                <w:szCs w:val="20"/>
              </w:rPr>
            </w:pPr>
            <w:r>
              <w:rPr>
                <w:rFonts w:eastAsia="Times New Roman"/>
                <w:sz w:val="20"/>
                <w:szCs w:val="20"/>
              </w:rPr>
              <w:t> </w:t>
            </w:r>
          </w:p>
        </w:tc>
      </w:tr>
      <w:tr w:rsidR="00000000" w14:paraId="6EC4EB99" w14:textId="77777777">
        <w:tc>
          <w:tcPr>
            <w:tcW w:w="0" w:type="auto"/>
            <w:shd w:val="clear" w:color="auto" w:fill="CCEEFF"/>
            <w:tcMar>
              <w:top w:w="0" w:type="dxa"/>
              <w:left w:w="0" w:type="dxa"/>
              <w:bottom w:w="50" w:type="dxa"/>
              <w:right w:w="0" w:type="dxa"/>
            </w:tcMar>
            <w:vAlign w:val="bottom"/>
            <w:hideMark/>
          </w:tcPr>
          <w:p w14:paraId="39A1DC49" w14:textId="77777777" w:rsidR="00000000" w:rsidRDefault="001826C1">
            <w:pPr>
              <w:rPr>
                <w:rFonts w:eastAsia="Times New Roman"/>
                <w:sz w:val="20"/>
                <w:szCs w:val="20"/>
              </w:rPr>
            </w:pPr>
            <w:r>
              <w:rPr>
                <w:rFonts w:eastAsia="Times New Roman"/>
                <w:sz w:val="20"/>
                <w:szCs w:val="20"/>
              </w:rPr>
              <w:t>TOTAL ASSETS</w:t>
            </w:r>
          </w:p>
        </w:tc>
        <w:tc>
          <w:tcPr>
            <w:tcW w:w="0" w:type="auto"/>
            <w:shd w:val="clear" w:color="auto" w:fill="CCEEFF"/>
            <w:tcMar>
              <w:top w:w="0" w:type="dxa"/>
              <w:left w:w="0" w:type="dxa"/>
              <w:bottom w:w="50" w:type="dxa"/>
              <w:right w:w="0" w:type="dxa"/>
            </w:tcMar>
            <w:vAlign w:val="bottom"/>
            <w:hideMark/>
          </w:tcPr>
          <w:p w14:paraId="118CAB7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C9BEBD8"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4B3ACF6" w14:textId="77777777" w:rsidR="00000000" w:rsidRDefault="001826C1">
            <w:pPr>
              <w:jc w:val="right"/>
              <w:rPr>
                <w:rFonts w:eastAsia="Times New Roman"/>
                <w:sz w:val="20"/>
                <w:szCs w:val="20"/>
              </w:rPr>
            </w:pPr>
            <w:r>
              <w:rPr>
                <w:rFonts w:eastAsia="Times New Roman"/>
                <w:sz w:val="20"/>
                <w:szCs w:val="20"/>
              </w:rPr>
              <w:t>56,403,465</w:t>
            </w:r>
          </w:p>
        </w:tc>
        <w:tc>
          <w:tcPr>
            <w:tcW w:w="0" w:type="auto"/>
            <w:shd w:val="clear" w:color="auto" w:fill="CCEEFF"/>
            <w:tcMar>
              <w:top w:w="0" w:type="dxa"/>
              <w:left w:w="0" w:type="dxa"/>
              <w:bottom w:w="50" w:type="dxa"/>
              <w:right w:w="0" w:type="dxa"/>
            </w:tcMar>
            <w:vAlign w:val="bottom"/>
            <w:hideMark/>
          </w:tcPr>
          <w:p w14:paraId="5BFF3D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9FA374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F2872B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DC6C0D6" w14:textId="77777777" w:rsidR="00000000" w:rsidRDefault="001826C1">
            <w:pPr>
              <w:jc w:val="right"/>
              <w:rPr>
                <w:rFonts w:eastAsia="Times New Roman"/>
                <w:sz w:val="20"/>
                <w:szCs w:val="20"/>
              </w:rPr>
            </w:pPr>
            <w:r>
              <w:rPr>
                <w:rFonts w:eastAsia="Times New Roman"/>
                <w:sz w:val="20"/>
                <w:szCs w:val="20"/>
              </w:rPr>
              <w:t>47,623,361</w:t>
            </w:r>
          </w:p>
        </w:tc>
        <w:tc>
          <w:tcPr>
            <w:tcW w:w="0" w:type="auto"/>
            <w:shd w:val="clear" w:color="auto" w:fill="CCEEFF"/>
            <w:tcMar>
              <w:top w:w="0" w:type="dxa"/>
              <w:left w:w="0" w:type="dxa"/>
              <w:bottom w:w="50" w:type="dxa"/>
              <w:right w:w="0" w:type="dxa"/>
            </w:tcMar>
            <w:vAlign w:val="bottom"/>
            <w:hideMark/>
          </w:tcPr>
          <w:p w14:paraId="1CE0951B" w14:textId="77777777" w:rsidR="00000000" w:rsidRDefault="001826C1">
            <w:pPr>
              <w:rPr>
                <w:rFonts w:eastAsia="Times New Roman"/>
                <w:sz w:val="20"/>
                <w:szCs w:val="20"/>
              </w:rPr>
            </w:pPr>
            <w:r>
              <w:rPr>
                <w:rFonts w:eastAsia="Times New Roman"/>
                <w:sz w:val="20"/>
                <w:szCs w:val="20"/>
              </w:rPr>
              <w:t> </w:t>
            </w:r>
          </w:p>
        </w:tc>
      </w:tr>
      <w:tr w:rsidR="00000000" w14:paraId="3E46F981" w14:textId="77777777">
        <w:tc>
          <w:tcPr>
            <w:tcW w:w="0" w:type="auto"/>
            <w:shd w:val="clear" w:color="auto" w:fill="FFFFFF"/>
            <w:vAlign w:val="bottom"/>
            <w:hideMark/>
          </w:tcPr>
          <w:p w14:paraId="138F2EAB" w14:textId="77777777" w:rsidR="00000000" w:rsidRDefault="001826C1">
            <w:pPr>
              <w:rPr>
                <w:rFonts w:eastAsia="Times New Roman"/>
                <w:sz w:val="20"/>
                <w:szCs w:val="20"/>
              </w:rPr>
            </w:pPr>
            <w:r>
              <w:rPr>
                <w:rFonts w:eastAsia="Times New Roman"/>
                <w:sz w:val="20"/>
                <w:szCs w:val="20"/>
              </w:rPr>
              <w:t>LIABILITIES AND SHAREHOLDERS’ EQUITY</w:t>
            </w:r>
          </w:p>
        </w:tc>
        <w:tc>
          <w:tcPr>
            <w:tcW w:w="0" w:type="auto"/>
            <w:shd w:val="clear" w:color="auto" w:fill="FFFFFF"/>
            <w:vAlign w:val="bottom"/>
            <w:hideMark/>
          </w:tcPr>
          <w:p w14:paraId="76FE00C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6FD3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123BE8"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090FB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136E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725C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5AB5F6"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6037908" w14:textId="77777777" w:rsidR="00000000" w:rsidRDefault="001826C1">
            <w:pPr>
              <w:rPr>
                <w:rFonts w:eastAsia="Times New Roman"/>
                <w:sz w:val="20"/>
                <w:szCs w:val="20"/>
              </w:rPr>
            </w:pPr>
            <w:r>
              <w:rPr>
                <w:rFonts w:eastAsia="Times New Roman"/>
                <w:sz w:val="20"/>
                <w:szCs w:val="20"/>
              </w:rPr>
              <w:t> </w:t>
            </w:r>
          </w:p>
        </w:tc>
      </w:tr>
      <w:tr w:rsidR="00000000" w14:paraId="43DA5BBE" w14:textId="77777777">
        <w:tc>
          <w:tcPr>
            <w:tcW w:w="0" w:type="auto"/>
            <w:shd w:val="clear" w:color="auto" w:fill="CCEEFF"/>
            <w:vAlign w:val="bottom"/>
            <w:hideMark/>
          </w:tcPr>
          <w:p w14:paraId="43DE9C49" w14:textId="77777777" w:rsidR="00000000" w:rsidRDefault="001826C1">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14:paraId="4E1E6E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9006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440A0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D4217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7DDE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CA31B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E235EF"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23C06B7" w14:textId="77777777" w:rsidR="00000000" w:rsidRDefault="001826C1">
            <w:pPr>
              <w:rPr>
                <w:rFonts w:eastAsia="Times New Roman"/>
                <w:sz w:val="20"/>
                <w:szCs w:val="20"/>
              </w:rPr>
            </w:pPr>
            <w:r>
              <w:rPr>
                <w:rFonts w:eastAsia="Times New Roman"/>
                <w:sz w:val="20"/>
                <w:szCs w:val="20"/>
              </w:rPr>
              <w:t> </w:t>
            </w:r>
          </w:p>
        </w:tc>
      </w:tr>
      <w:tr w:rsidR="00000000" w14:paraId="028FAC54" w14:textId="77777777">
        <w:tc>
          <w:tcPr>
            <w:tcW w:w="0" w:type="auto"/>
            <w:shd w:val="clear" w:color="auto" w:fill="FFFFFF"/>
            <w:tcMar>
              <w:top w:w="0" w:type="dxa"/>
              <w:left w:w="200" w:type="dxa"/>
              <w:bottom w:w="0" w:type="dxa"/>
              <w:right w:w="0" w:type="dxa"/>
            </w:tcMar>
            <w:vAlign w:val="bottom"/>
            <w:hideMark/>
          </w:tcPr>
          <w:p w14:paraId="2AFE69E2" w14:textId="77777777" w:rsidR="00000000" w:rsidRDefault="001826C1">
            <w:pPr>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14:paraId="7D30BF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20CEB2"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FA6529D" w14:textId="77777777" w:rsidR="00000000" w:rsidRDefault="001826C1">
            <w:pPr>
              <w:jc w:val="right"/>
              <w:rPr>
                <w:rFonts w:eastAsia="Times New Roman"/>
                <w:sz w:val="20"/>
                <w:szCs w:val="20"/>
              </w:rPr>
            </w:pPr>
            <w:r>
              <w:rPr>
                <w:rFonts w:eastAsia="Times New Roman"/>
                <w:sz w:val="20"/>
                <w:szCs w:val="20"/>
              </w:rPr>
              <w:t>3,490,834</w:t>
            </w:r>
          </w:p>
        </w:tc>
        <w:tc>
          <w:tcPr>
            <w:tcW w:w="0" w:type="auto"/>
            <w:shd w:val="clear" w:color="auto" w:fill="FFFFFF"/>
            <w:vAlign w:val="bottom"/>
            <w:hideMark/>
          </w:tcPr>
          <w:p w14:paraId="3ABC23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AED1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AB775A"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40EAE4F" w14:textId="77777777" w:rsidR="00000000" w:rsidRDefault="001826C1">
            <w:pPr>
              <w:jc w:val="right"/>
              <w:rPr>
                <w:rFonts w:eastAsia="Times New Roman"/>
                <w:sz w:val="20"/>
                <w:szCs w:val="20"/>
              </w:rPr>
            </w:pPr>
            <w:r>
              <w:rPr>
                <w:rFonts w:eastAsia="Times New Roman"/>
                <w:sz w:val="20"/>
                <w:szCs w:val="20"/>
              </w:rPr>
              <w:t>2,438,267</w:t>
            </w:r>
          </w:p>
        </w:tc>
        <w:tc>
          <w:tcPr>
            <w:tcW w:w="0" w:type="auto"/>
            <w:shd w:val="clear" w:color="auto" w:fill="FFFFFF"/>
            <w:vAlign w:val="bottom"/>
            <w:hideMark/>
          </w:tcPr>
          <w:p w14:paraId="1241D4DC" w14:textId="77777777" w:rsidR="00000000" w:rsidRDefault="001826C1">
            <w:pPr>
              <w:rPr>
                <w:rFonts w:eastAsia="Times New Roman"/>
                <w:sz w:val="20"/>
                <w:szCs w:val="20"/>
              </w:rPr>
            </w:pPr>
            <w:r>
              <w:rPr>
                <w:rFonts w:eastAsia="Times New Roman"/>
                <w:sz w:val="20"/>
                <w:szCs w:val="20"/>
              </w:rPr>
              <w:t> </w:t>
            </w:r>
          </w:p>
        </w:tc>
      </w:tr>
      <w:tr w:rsidR="00000000" w14:paraId="60996EB8" w14:textId="77777777">
        <w:tc>
          <w:tcPr>
            <w:tcW w:w="0" w:type="auto"/>
            <w:shd w:val="clear" w:color="auto" w:fill="CCEEFF"/>
            <w:tcMar>
              <w:top w:w="0" w:type="dxa"/>
              <w:left w:w="200" w:type="dxa"/>
              <w:bottom w:w="0" w:type="dxa"/>
              <w:right w:w="0" w:type="dxa"/>
            </w:tcMar>
            <w:vAlign w:val="bottom"/>
            <w:hideMark/>
          </w:tcPr>
          <w:p w14:paraId="5CD2D307" w14:textId="77777777" w:rsidR="00000000" w:rsidRDefault="001826C1">
            <w:pPr>
              <w:rPr>
                <w:rFonts w:eastAsia="Times New Roman"/>
                <w:sz w:val="20"/>
                <w:szCs w:val="20"/>
              </w:rPr>
            </w:pPr>
            <w:r>
              <w:rPr>
                <w:rFonts w:eastAsia="Times New Roman"/>
                <w:sz w:val="20"/>
                <w:szCs w:val="20"/>
              </w:rPr>
              <w:t>Accrued compensation</w:t>
            </w:r>
          </w:p>
        </w:tc>
        <w:tc>
          <w:tcPr>
            <w:tcW w:w="0" w:type="auto"/>
            <w:shd w:val="clear" w:color="auto" w:fill="CCEEFF"/>
            <w:vAlign w:val="bottom"/>
            <w:hideMark/>
          </w:tcPr>
          <w:p w14:paraId="1EF69C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C97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A48524" w14:textId="77777777" w:rsidR="00000000" w:rsidRDefault="001826C1">
            <w:pPr>
              <w:jc w:val="right"/>
              <w:rPr>
                <w:rFonts w:eastAsia="Times New Roman"/>
                <w:sz w:val="20"/>
                <w:szCs w:val="20"/>
              </w:rPr>
            </w:pPr>
            <w:r>
              <w:rPr>
                <w:rFonts w:eastAsia="Times New Roman"/>
                <w:sz w:val="20"/>
                <w:szCs w:val="20"/>
              </w:rPr>
              <w:t>1,836,309</w:t>
            </w:r>
          </w:p>
        </w:tc>
        <w:tc>
          <w:tcPr>
            <w:tcW w:w="0" w:type="auto"/>
            <w:shd w:val="clear" w:color="auto" w:fill="CCEEFF"/>
            <w:vAlign w:val="bottom"/>
            <w:hideMark/>
          </w:tcPr>
          <w:p w14:paraId="049483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9050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80091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E9E258" w14:textId="77777777" w:rsidR="00000000" w:rsidRDefault="001826C1">
            <w:pPr>
              <w:jc w:val="right"/>
              <w:rPr>
                <w:rFonts w:eastAsia="Times New Roman"/>
                <w:sz w:val="20"/>
                <w:szCs w:val="20"/>
              </w:rPr>
            </w:pPr>
            <w:r>
              <w:rPr>
                <w:rFonts w:eastAsia="Times New Roman"/>
                <w:sz w:val="20"/>
                <w:szCs w:val="20"/>
              </w:rPr>
              <w:t>1,731,063</w:t>
            </w:r>
          </w:p>
        </w:tc>
        <w:tc>
          <w:tcPr>
            <w:tcW w:w="0" w:type="auto"/>
            <w:shd w:val="clear" w:color="auto" w:fill="CCEEFF"/>
            <w:vAlign w:val="bottom"/>
            <w:hideMark/>
          </w:tcPr>
          <w:p w14:paraId="6C9D10C6" w14:textId="77777777" w:rsidR="00000000" w:rsidRDefault="001826C1">
            <w:pPr>
              <w:rPr>
                <w:rFonts w:eastAsia="Times New Roman"/>
                <w:sz w:val="20"/>
                <w:szCs w:val="20"/>
              </w:rPr>
            </w:pPr>
            <w:r>
              <w:rPr>
                <w:rFonts w:eastAsia="Times New Roman"/>
                <w:sz w:val="20"/>
                <w:szCs w:val="20"/>
              </w:rPr>
              <w:t> </w:t>
            </w:r>
          </w:p>
        </w:tc>
      </w:tr>
      <w:tr w:rsidR="00000000" w14:paraId="5BD3989A" w14:textId="77777777">
        <w:tc>
          <w:tcPr>
            <w:tcW w:w="0" w:type="auto"/>
            <w:shd w:val="clear" w:color="auto" w:fill="FFFFFF"/>
            <w:tcMar>
              <w:top w:w="0" w:type="dxa"/>
              <w:left w:w="200" w:type="dxa"/>
              <w:bottom w:w="0" w:type="dxa"/>
              <w:right w:w="0" w:type="dxa"/>
            </w:tcMar>
            <w:vAlign w:val="bottom"/>
            <w:hideMark/>
          </w:tcPr>
          <w:p w14:paraId="79396D2B" w14:textId="77777777" w:rsidR="00000000" w:rsidRDefault="001826C1">
            <w:pPr>
              <w:rPr>
                <w:rFonts w:eastAsia="Times New Roman"/>
                <w:sz w:val="20"/>
                <w:szCs w:val="20"/>
              </w:rPr>
            </w:pPr>
            <w:r>
              <w:rPr>
                <w:rFonts w:eastAsia="Times New Roman"/>
                <w:sz w:val="20"/>
                <w:szCs w:val="20"/>
              </w:rPr>
              <w:t>Accrued expenses</w:t>
            </w:r>
          </w:p>
        </w:tc>
        <w:tc>
          <w:tcPr>
            <w:tcW w:w="0" w:type="auto"/>
            <w:shd w:val="clear" w:color="auto" w:fill="FFFFFF"/>
            <w:vAlign w:val="bottom"/>
            <w:hideMark/>
          </w:tcPr>
          <w:p w14:paraId="2B1E13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D124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37D25" w14:textId="77777777" w:rsidR="00000000" w:rsidRDefault="001826C1">
            <w:pPr>
              <w:jc w:val="right"/>
              <w:rPr>
                <w:rFonts w:eastAsia="Times New Roman"/>
                <w:sz w:val="20"/>
                <w:szCs w:val="20"/>
              </w:rPr>
            </w:pPr>
            <w:r>
              <w:rPr>
                <w:rFonts w:eastAsia="Times New Roman"/>
                <w:sz w:val="20"/>
                <w:szCs w:val="20"/>
              </w:rPr>
              <w:t>2,111,515</w:t>
            </w:r>
          </w:p>
        </w:tc>
        <w:tc>
          <w:tcPr>
            <w:tcW w:w="0" w:type="auto"/>
            <w:shd w:val="clear" w:color="auto" w:fill="FFFFFF"/>
            <w:vAlign w:val="bottom"/>
            <w:hideMark/>
          </w:tcPr>
          <w:p w14:paraId="40C4E4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6C0C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219F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F85DCE" w14:textId="77777777" w:rsidR="00000000" w:rsidRDefault="001826C1">
            <w:pPr>
              <w:jc w:val="right"/>
              <w:rPr>
                <w:rFonts w:eastAsia="Times New Roman"/>
                <w:sz w:val="20"/>
                <w:szCs w:val="20"/>
              </w:rPr>
            </w:pPr>
            <w:r>
              <w:rPr>
                <w:rFonts w:eastAsia="Times New Roman"/>
                <w:sz w:val="20"/>
                <w:szCs w:val="20"/>
              </w:rPr>
              <w:t>1,589,009</w:t>
            </w:r>
          </w:p>
        </w:tc>
        <w:tc>
          <w:tcPr>
            <w:tcW w:w="0" w:type="auto"/>
            <w:shd w:val="clear" w:color="auto" w:fill="FFFFFF"/>
            <w:vAlign w:val="bottom"/>
            <w:hideMark/>
          </w:tcPr>
          <w:p w14:paraId="5F33A87C" w14:textId="77777777" w:rsidR="00000000" w:rsidRDefault="001826C1">
            <w:pPr>
              <w:rPr>
                <w:rFonts w:eastAsia="Times New Roman"/>
                <w:sz w:val="20"/>
                <w:szCs w:val="20"/>
              </w:rPr>
            </w:pPr>
            <w:r>
              <w:rPr>
                <w:rFonts w:eastAsia="Times New Roman"/>
                <w:sz w:val="20"/>
                <w:szCs w:val="20"/>
              </w:rPr>
              <w:t> </w:t>
            </w:r>
          </w:p>
        </w:tc>
      </w:tr>
      <w:tr w:rsidR="00000000" w14:paraId="60CFCF7C" w14:textId="77777777">
        <w:tc>
          <w:tcPr>
            <w:tcW w:w="0" w:type="auto"/>
            <w:shd w:val="clear" w:color="auto" w:fill="CCEEFF"/>
            <w:tcMar>
              <w:top w:w="0" w:type="dxa"/>
              <w:left w:w="200" w:type="dxa"/>
              <w:bottom w:w="0" w:type="dxa"/>
              <w:right w:w="0" w:type="dxa"/>
            </w:tcMar>
            <w:vAlign w:val="bottom"/>
            <w:hideMark/>
          </w:tcPr>
          <w:p w14:paraId="5F9239F0" w14:textId="77777777" w:rsidR="00000000" w:rsidRDefault="001826C1">
            <w:pPr>
              <w:rPr>
                <w:rFonts w:eastAsia="Times New Roman"/>
                <w:sz w:val="20"/>
                <w:szCs w:val="20"/>
              </w:rPr>
            </w:pPr>
            <w:r>
              <w:rPr>
                <w:rFonts w:eastAsia="Times New Roman"/>
                <w:sz w:val="20"/>
                <w:szCs w:val="20"/>
              </w:rPr>
              <w:t>Deferred rent (current portion)</w:t>
            </w:r>
          </w:p>
        </w:tc>
        <w:tc>
          <w:tcPr>
            <w:tcW w:w="0" w:type="auto"/>
            <w:shd w:val="clear" w:color="auto" w:fill="CCEEFF"/>
            <w:vAlign w:val="bottom"/>
            <w:hideMark/>
          </w:tcPr>
          <w:p w14:paraId="07C59EE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6DE1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8471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07B55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7AD9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06F26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8F025C" w14:textId="77777777" w:rsidR="00000000" w:rsidRDefault="001826C1">
            <w:pPr>
              <w:jc w:val="right"/>
              <w:rPr>
                <w:rFonts w:eastAsia="Times New Roman"/>
                <w:sz w:val="20"/>
                <w:szCs w:val="20"/>
              </w:rPr>
            </w:pPr>
            <w:r>
              <w:rPr>
                <w:rFonts w:eastAsia="Times New Roman"/>
                <w:sz w:val="20"/>
                <w:szCs w:val="20"/>
              </w:rPr>
              <w:t>90,657</w:t>
            </w:r>
          </w:p>
        </w:tc>
        <w:tc>
          <w:tcPr>
            <w:tcW w:w="0" w:type="auto"/>
            <w:shd w:val="clear" w:color="auto" w:fill="CCEEFF"/>
            <w:vAlign w:val="bottom"/>
            <w:hideMark/>
          </w:tcPr>
          <w:p w14:paraId="6C5A5730" w14:textId="77777777" w:rsidR="00000000" w:rsidRDefault="001826C1">
            <w:pPr>
              <w:rPr>
                <w:rFonts w:eastAsia="Times New Roman"/>
                <w:sz w:val="20"/>
                <w:szCs w:val="20"/>
              </w:rPr>
            </w:pPr>
            <w:r>
              <w:rPr>
                <w:rFonts w:eastAsia="Times New Roman"/>
                <w:sz w:val="20"/>
                <w:szCs w:val="20"/>
              </w:rPr>
              <w:t> </w:t>
            </w:r>
          </w:p>
        </w:tc>
      </w:tr>
      <w:tr w:rsidR="00000000" w14:paraId="03F8E8D1" w14:textId="77777777">
        <w:tc>
          <w:tcPr>
            <w:tcW w:w="0" w:type="auto"/>
            <w:shd w:val="clear" w:color="auto" w:fill="FFFFFF"/>
            <w:tcMar>
              <w:top w:w="0" w:type="dxa"/>
              <w:left w:w="200" w:type="dxa"/>
              <w:bottom w:w="0" w:type="dxa"/>
              <w:right w:w="0" w:type="dxa"/>
            </w:tcMar>
            <w:vAlign w:val="bottom"/>
            <w:hideMark/>
          </w:tcPr>
          <w:p w14:paraId="1F57BC6A" w14:textId="77777777" w:rsidR="00000000" w:rsidRDefault="001826C1">
            <w:pPr>
              <w:rPr>
                <w:rFonts w:eastAsia="Times New Roman"/>
                <w:sz w:val="20"/>
                <w:szCs w:val="20"/>
              </w:rPr>
            </w:pPr>
            <w:r>
              <w:rPr>
                <w:rFonts w:eastAsia="Times New Roman"/>
                <w:sz w:val="20"/>
                <w:szCs w:val="20"/>
              </w:rPr>
              <w:t>Operating lease liability (current portion)</w:t>
            </w:r>
          </w:p>
        </w:tc>
        <w:tc>
          <w:tcPr>
            <w:tcW w:w="0" w:type="auto"/>
            <w:shd w:val="clear" w:color="auto" w:fill="FFFFFF"/>
            <w:vAlign w:val="bottom"/>
            <w:hideMark/>
          </w:tcPr>
          <w:p w14:paraId="03E3E5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E2AC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FCA4D1" w14:textId="77777777" w:rsidR="00000000" w:rsidRDefault="001826C1">
            <w:pPr>
              <w:jc w:val="right"/>
              <w:rPr>
                <w:rFonts w:eastAsia="Times New Roman"/>
                <w:sz w:val="20"/>
                <w:szCs w:val="20"/>
              </w:rPr>
            </w:pPr>
            <w:r>
              <w:rPr>
                <w:rFonts w:eastAsia="Times New Roman"/>
                <w:sz w:val="20"/>
                <w:szCs w:val="20"/>
              </w:rPr>
              <w:t>1,688,772</w:t>
            </w:r>
          </w:p>
        </w:tc>
        <w:tc>
          <w:tcPr>
            <w:tcW w:w="0" w:type="auto"/>
            <w:shd w:val="clear" w:color="auto" w:fill="FFFFFF"/>
            <w:vAlign w:val="bottom"/>
            <w:hideMark/>
          </w:tcPr>
          <w:p w14:paraId="194B9EA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120D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8AFE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42A0C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A1FE09F" w14:textId="77777777" w:rsidR="00000000" w:rsidRDefault="001826C1">
            <w:pPr>
              <w:rPr>
                <w:rFonts w:eastAsia="Times New Roman"/>
                <w:sz w:val="20"/>
                <w:szCs w:val="20"/>
              </w:rPr>
            </w:pPr>
            <w:r>
              <w:rPr>
                <w:rFonts w:eastAsia="Times New Roman"/>
                <w:sz w:val="20"/>
                <w:szCs w:val="20"/>
              </w:rPr>
              <w:t> </w:t>
            </w:r>
          </w:p>
        </w:tc>
      </w:tr>
      <w:tr w:rsidR="00000000" w14:paraId="70DB70FC" w14:textId="77777777">
        <w:tc>
          <w:tcPr>
            <w:tcW w:w="0" w:type="auto"/>
            <w:shd w:val="clear" w:color="auto" w:fill="CCEEFF"/>
            <w:tcMar>
              <w:top w:w="0" w:type="dxa"/>
              <w:left w:w="200" w:type="dxa"/>
              <w:bottom w:w="0" w:type="dxa"/>
              <w:right w:w="0" w:type="dxa"/>
            </w:tcMar>
            <w:vAlign w:val="bottom"/>
            <w:hideMark/>
          </w:tcPr>
          <w:p w14:paraId="7F083E1D" w14:textId="77777777" w:rsidR="00000000" w:rsidRDefault="001826C1">
            <w:pPr>
              <w:rPr>
                <w:rFonts w:eastAsia="Times New Roman"/>
                <w:sz w:val="20"/>
                <w:szCs w:val="20"/>
              </w:rPr>
            </w:pPr>
            <w:r>
              <w:rPr>
                <w:rFonts w:eastAsia="Times New Roman"/>
                <w:sz w:val="20"/>
                <w:szCs w:val="20"/>
              </w:rPr>
              <w:t>Deferred revenue (current portion)</w:t>
            </w:r>
          </w:p>
        </w:tc>
        <w:tc>
          <w:tcPr>
            <w:tcW w:w="0" w:type="auto"/>
            <w:shd w:val="clear" w:color="auto" w:fill="CCEEFF"/>
            <w:vAlign w:val="bottom"/>
            <w:hideMark/>
          </w:tcPr>
          <w:p w14:paraId="7A43D47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3AFC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A0D10" w14:textId="77777777" w:rsidR="00000000" w:rsidRDefault="001826C1">
            <w:pPr>
              <w:jc w:val="right"/>
              <w:rPr>
                <w:rFonts w:eastAsia="Times New Roman"/>
                <w:sz w:val="20"/>
                <w:szCs w:val="20"/>
              </w:rPr>
            </w:pPr>
            <w:r>
              <w:rPr>
                <w:rFonts w:eastAsia="Times New Roman"/>
                <w:sz w:val="20"/>
                <w:szCs w:val="20"/>
              </w:rPr>
              <w:t>20,277</w:t>
            </w:r>
          </w:p>
        </w:tc>
        <w:tc>
          <w:tcPr>
            <w:tcW w:w="0" w:type="auto"/>
            <w:shd w:val="clear" w:color="auto" w:fill="CCEEFF"/>
            <w:vAlign w:val="bottom"/>
            <w:hideMark/>
          </w:tcPr>
          <w:p w14:paraId="4A04052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46FA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0E26B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0E0B9" w14:textId="77777777" w:rsidR="00000000" w:rsidRDefault="001826C1">
            <w:pPr>
              <w:jc w:val="right"/>
              <w:rPr>
                <w:rFonts w:eastAsia="Times New Roman"/>
                <w:sz w:val="20"/>
                <w:szCs w:val="20"/>
              </w:rPr>
            </w:pPr>
            <w:r>
              <w:rPr>
                <w:rFonts w:eastAsia="Times New Roman"/>
                <w:sz w:val="20"/>
                <w:szCs w:val="20"/>
              </w:rPr>
              <w:t>25,355</w:t>
            </w:r>
          </w:p>
        </w:tc>
        <w:tc>
          <w:tcPr>
            <w:tcW w:w="0" w:type="auto"/>
            <w:shd w:val="clear" w:color="auto" w:fill="CCEEFF"/>
            <w:vAlign w:val="bottom"/>
            <w:hideMark/>
          </w:tcPr>
          <w:p w14:paraId="09E9FEAA" w14:textId="77777777" w:rsidR="00000000" w:rsidRDefault="001826C1">
            <w:pPr>
              <w:rPr>
                <w:rFonts w:eastAsia="Times New Roman"/>
                <w:sz w:val="20"/>
                <w:szCs w:val="20"/>
              </w:rPr>
            </w:pPr>
            <w:r>
              <w:rPr>
                <w:rFonts w:eastAsia="Times New Roman"/>
                <w:sz w:val="20"/>
                <w:szCs w:val="20"/>
              </w:rPr>
              <w:t> </w:t>
            </w:r>
          </w:p>
        </w:tc>
      </w:tr>
      <w:tr w:rsidR="00000000" w14:paraId="2CA31443" w14:textId="77777777">
        <w:tc>
          <w:tcPr>
            <w:tcW w:w="0" w:type="auto"/>
            <w:shd w:val="clear" w:color="auto" w:fill="FFFFFF"/>
            <w:tcMar>
              <w:top w:w="0" w:type="dxa"/>
              <w:left w:w="200" w:type="dxa"/>
              <w:bottom w:w="0" w:type="dxa"/>
              <w:right w:w="0" w:type="dxa"/>
            </w:tcMar>
            <w:vAlign w:val="bottom"/>
            <w:hideMark/>
          </w:tcPr>
          <w:p w14:paraId="2D8A5A5A" w14:textId="77777777" w:rsidR="00000000" w:rsidRDefault="001826C1">
            <w:pPr>
              <w:rPr>
                <w:rFonts w:eastAsia="Times New Roman"/>
                <w:sz w:val="20"/>
                <w:szCs w:val="20"/>
              </w:rPr>
            </w:pPr>
            <w:r>
              <w:rPr>
                <w:rFonts w:eastAsia="Times New Roman"/>
                <w:sz w:val="20"/>
                <w:szCs w:val="20"/>
              </w:rPr>
              <w:t>Accrued liability to related party</w:t>
            </w:r>
          </w:p>
        </w:tc>
        <w:tc>
          <w:tcPr>
            <w:tcW w:w="0" w:type="auto"/>
            <w:shd w:val="clear" w:color="auto" w:fill="FFFFFF"/>
            <w:vAlign w:val="bottom"/>
            <w:hideMark/>
          </w:tcPr>
          <w:p w14:paraId="2FB8EA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FFF5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81499C" w14:textId="77777777" w:rsidR="00000000" w:rsidRDefault="001826C1">
            <w:pPr>
              <w:jc w:val="right"/>
              <w:rPr>
                <w:rFonts w:eastAsia="Times New Roman"/>
                <w:sz w:val="20"/>
                <w:szCs w:val="20"/>
              </w:rPr>
            </w:pPr>
            <w:r>
              <w:rPr>
                <w:rFonts w:eastAsia="Times New Roman"/>
                <w:sz w:val="20"/>
                <w:szCs w:val="20"/>
              </w:rPr>
              <w:t>663</w:t>
            </w:r>
          </w:p>
        </w:tc>
        <w:tc>
          <w:tcPr>
            <w:tcW w:w="0" w:type="auto"/>
            <w:shd w:val="clear" w:color="auto" w:fill="FFFFFF"/>
            <w:vAlign w:val="bottom"/>
            <w:hideMark/>
          </w:tcPr>
          <w:p w14:paraId="13F1DC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9F847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A9E1A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41EF3A" w14:textId="77777777" w:rsidR="00000000" w:rsidRDefault="001826C1">
            <w:pPr>
              <w:jc w:val="right"/>
              <w:rPr>
                <w:rFonts w:eastAsia="Times New Roman"/>
                <w:sz w:val="20"/>
                <w:szCs w:val="20"/>
              </w:rPr>
            </w:pPr>
            <w:r>
              <w:rPr>
                <w:rFonts w:eastAsia="Times New Roman"/>
                <w:sz w:val="20"/>
                <w:szCs w:val="20"/>
              </w:rPr>
              <w:t>10,663</w:t>
            </w:r>
          </w:p>
        </w:tc>
        <w:tc>
          <w:tcPr>
            <w:tcW w:w="0" w:type="auto"/>
            <w:shd w:val="clear" w:color="auto" w:fill="FFFFFF"/>
            <w:vAlign w:val="bottom"/>
            <w:hideMark/>
          </w:tcPr>
          <w:p w14:paraId="1E8342B6" w14:textId="77777777" w:rsidR="00000000" w:rsidRDefault="001826C1">
            <w:pPr>
              <w:rPr>
                <w:rFonts w:eastAsia="Times New Roman"/>
                <w:sz w:val="20"/>
                <w:szCs w:val="20"/>
              </w:rPr>
            </w:pPr>
            <w:r>
              <w:rPr>
                <w:rFonts w:eastAsia="Times New Roman"/>
                <w:sz w:val="20"/>
                <w:szCs w:val="20"/>
              </w:rPr>
              <w:t> </w:t>
            </w:r>
          </w:p>
        </w:tc>
      </w:tr>
      <w:tr w:rsidR="00000000" w14:paraId="666612DB" w14:textId="77777777">
        <w:tc>
          <w:tcPr>
            <w:tcW w:w="0" w:type="auto"/>
            <w:shd w:val="clear" w:color="auto" w:fill="CCEEFF"/>
            <w:tcMar>
              <w:top w:w="0" w:type="dxa"/>
              <w:left w:w="200" w:type="dxa"/>
              <w:bottom w:w="0" w:type="dxa"/>
              <w:right w:w="0" w:type="dxa"/>
            </w:tcMar>
            <w:vAlign w:val="bottom"/>
            <w:hideMark/>
          </w:tcPr>
          <w:p w14:paraId="074D2782" w14:textId="77777777" w:rsidR="00000000" w:rsidRDefault="001826C1">
            <w:pPr>
              <w:rPr>
                <w:rFonts w:eastAsia="Times New Roman"/>
                <w:sz w:val="20"/>
                <w:szCs w:val="20"/>
              </w:rPr>
            </w:pPr>
            <w:r>
              <w:rPr>
                <w:rFonts w:eastAsia="Times New Roman"/>
                <w:sz w:val="20"/>
                <w:szCs w:val="20"/>
              </w:rPr>
              <w:t>Notes payable (current portion)</w:t>
            </w:r>
          </w:p>
        </w:tc>
        <w:tc>
          <w:tcPr>
            <w:tcW w:w="0" w:type="auto"/>
            <w:shd w:val="clear" w:color="auto" w:fill="CCEEFF"/>
            <w:vAlign w:val="bottom"/>
            <w:hideMark/>
          </w:tcPr>
          <w:p w14:paraId="35F15F8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EB55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E22AC" w14:textId="77777777" w:rsidR="00000000" w:rsidRDefault="001826C1">
            <w:pPr>
              <w:jc w:val="right"/>
              <w:rPr>
                <w:rFonts w:eastAsia="Times New Roman"/>
                <w:sz w:val="20"/>
                <w:szCs w:val="20"/>
              </w:rPr>
            </w:pPr>
            <w:r>
              <w:rPr>
                <w:rFonts w:eastAsia="Times New Roman"/>
                <w:sz w:val="20"/>
                <w:szCs w:val="20"/>
              </w:rPr>
              <w:t>283,675</w:t>
            </w:r>
          </w:p>
        </w:tc>
        <w:tc>
          <w:tcPr>
            <w:tcW w:w="0" w:type="auto"/>
            <w:shd w:val="clear" w:color="auto" w:fill="CCEEFF"/>
            <w:vAlign w:val="bottom"/>
            <w:hideMark/>
          </w:tcPr>
          <w:p w14:paraId="52950BE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F795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2C93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1D96E0" w14:textId="77777777" w:rsidR="00000000" w:rsidRDefault="001826C1">
            <w:pPr>
              <w:jc w:val="right"/>
              <w:rPr>
                <w:rFonts w:eastAsia="Times New Roman"/>
                <w:sz w:val="20"/>
                <w:szCs w:val="20"/>
              </w:rPr>
            </w:pPr>
            <w:r>
              <w:rPr>
                <w:rFonts w:eastAsia="Times New Roman"/>
                <w:sz w:val="20"/>
                <w:szCs w:val="20"/>
              </w:rPr>
              <w:t>277,776</w:t>
            </w:r>
          </w:p>
        </w:tc>
        <w:tc>
          <w:tcPr>
            <w:tcW w:w="0" w:type="auto"/>
            <w:shd w:val="clear" w:color="auto" w:fill="CCEEFF"/>
            <w:vAlign w:val="bottom"/>
            <w:hideMark/>
          </w:tcPr>
          <w:p w14:paraId="4E31C52C" w14:textId="77777777" w:rsidR="00000000" w:rsidRDefault="001826C1">
            <w:pPr>
              <w:rPr>
                <w:rFonts w:eastAsia="Times New Roman"/>
                <w:sz w:val="20"/>
                <w:szCs w:val="20"/>
              </w:rPr>
            </w:pPr>
            <w:r>
              <w:rPr>
                <w:rFonts w:eastAsia="Times New Roman"/>
                <w:sz w:val="20"/>
                <w:szCs w:val="20"/>
              </w:rPr>
              <w:t> </w:t>
            </w:r>
          </w:p>
        </w:tc>
      </w:tr>
      <w:tr w:rsidR="00000000" w14:paraId="1FAA40F2" w14:textId="77777777">
        <w:tc>
          <w:tcPr>
            <w:tcW w:w="0" w:type="auto"/>
            <w:shd w:val="clear" w:color="auto" w:fill="FFFFFF"/>
            <w:tcMar>
              <w:top w:w="0" w:type="dxa"/>
              <w:left w:w="200" w:type="dxa"/>
              <w:bottom w:w="0" w:type="dxa"/>
              <w:right w:w="0" w:type="dxa"/>
            </w:tcMar>
            <w:vAlign w:val="bottom"/>
            <w:hideMark/>
          </w:tcPr>
          <w:p w14:paraId="74EE4EA5" w14:textId="77777777" w:rsidR="00000000" w:rsidRDefault="001826C1">
            <w:pPr>
              <w:rPr>
                <w:rFonts w:eastAsia="Times New Roman"/>
                <w:sz w:val="20"/>
                <w:szCs w:val="20"/>
              </w:rPr>
            </w:pPr>
            <w:r>
              <w:rPr>
                <w:rFonts w:eastAsia="Times New Roman"/>
                <w:sz w:val="20"/>
                <w:szCs w:val="20"/>
              </w:rPr>
              <w:t>Contingent consideration</w:t>
            </w:r>
          </w:p>
        </w:tc>
        <w:tc>
          <w:tcPr>
            <w:tcW w:w="0" w:type="auto"/>
            <w:shd w:val="clear" w:color="auto" w:fill="FFFFFF"/>
            <w:vAlign w:val="bottom"/>
            <w:hideMark/>
          </w:tcPr>
          <w:p w14:paraId="754C10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142D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166AD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60EBE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9F30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27B32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0FC2A4" w14:textId="77777777" w:rsidR="00000000" w:rsidRDefault="001826C1">
            <w:pPr>
              <w:jc w:val="right"/>
              <w:rPr>
                <w:rFonts w:eastAsia="Times New Roman"/>
                <w:sz w:val="20"/>
                <w:szCs w:val="20"/>
              </w:rPr>
            </w:pPr>
            <w:r>
              <w:rPr>
                <w:rFonts w:eastAsia="Times New Roman"/>
                <w:sz w:val="20"/>
                <w:szCs w:val="20"/>
              </w:rPr>
              <w:t>526,432</w:t>
            </w:r>
          </w:p>
        </w:tc>
        <w:tc>
          <w:tcPr>
            <w:tcW w:w="0" w:type="auto"/>
            <w:shd w:val="clear" w:color="auto" w:fill="FFFFFF"/>
            <w:vAlign w:val="bottom"/>
            <w:hideMark/>
          </w:tcPr>
          <w:p w14:paraId="29AAFCA0" w14:textId="77777777" w:rsidR="00000000" w:rsidRDefault="001826C1">
            <w:pPr>
              <w:rPr>
                <w:rFonts w:eastAsia="Times New Roman"/>
                <w:sz w:val="20"/>
                <w:szCs w:val="20"/>
              </w:rPr>
            </w:pPr>
            <w:r>
              <w:rPr>
                <w:rFonts w:eastAsia="Times New Roman"/>
                <w:sz w:val="20"/>
                <w:szCs w:val="20"/>
              </w:rPr>
              <w:t> </w:t>
            </w:r>
          </w:p>
        </w:tc>
      </w:tr>
      <w:tr w:rsidR="00000000" w14:paraId="393A2B9A" w14:textId="77777777">
        <w:tc>
          <w:tcPr>
            <w:tcW w:w="0" w:type="auto"/>
            <w:shd w:val="clear" w:color="auto" w:fill="CCEEFF"/>
            <w:tcMar>
              <w:top w:w="0" w:type="dxa"/>
              <w:left w:w="200" w:type="dxa"/>
              <w:bottom w:w="30" w:type="dxa"/>
              <w:right w:w="0" w:type="dxa"/>
            </w:tcMar>
            <w:vAlign w:val="bottom"/>
            <w:hideMark/>
          </w:tcPr>
          <w:p w14:paraId="618A4DF1" w14:textId="77777777" w:rsidR="00000000" w:rsidRDefault="001826C1">
            <w:pPr>
              <w:rPr>
                <w:rFonts w:eastAsia="Times New Roman"/>
                <w:sz w:val="20"/>
                <w:szCs w:val="20"/>
              </w:rPr>
            </w:pPr>
            <w:r>
              <w:rPr>
                <w:rFonts w:eastAsia="Times New Roman"/>
                <w:sz w:val="20"/>
                <w:szCs w:val="20"/>
              </w:rPr>
              <w:t>Dividend payable</w:t>
            </w:r>
          </w:p>
        </w:tc>
        <w:tc>
          <w:tcPr>
            <w:tcW w:w="0" w:type="auto"/>
            <w:shd w:val="clear" w:color="auto" w:fill="CCEEFF"/>
            <w:tcMar>
              <w:top w:w="0" w:type="dxa"/>
              <w:left w:w="0" w:type="dxa"/>
              <w:bottom w:w="30" w:type="dxa"/>
              <w:right w:w="0" w:type="dxa"/>
            </w:tcMar>
            <w:vAlign w:val="bottom"/>
            <w:hideMark/>
          </w:tcPr>
          <w:p w14:paraId="11DD021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A55F7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4CBD95" w14:textId="77777777" w:rsidR="00000000" w:rsidRDefault="001826C1">
            <w:pPr>
              <w:jc w:val="right"/>
              <w:rPr>
                <w:rFonts w:eastAsia="Times New Roman"/>
                <w:sz w:val="20"/>
                <w:szCs w:val="20"/>
              </w:rPr>
            </w:pPr>
            <w:r>
              <w:rPr>
                <w:rFonts w:eastAsia="Times New Roman"/>
                <w:sz w:val="20"/>
                <w:szCs w:val="20"/>
              </w:rPr>
              <w:t>1,745,791</w:t>
            </w:r>
          </w:p>
        </w:tc>
        <w:tc>
          <w:tcPr>
            <w:tcW w:w="0" w:type="auto"/>
            <w:shd w:val="clear" w:color="auto" w:fill="CCEEFF"/>
            <w:tcMar>
              <w:top w:w="0" w:type="dxa"/>
              <w:left w:w="0" w:type="dxa"/>
              <w:bottom w:w="30" w:type="dxa"/>
              <w:right w:w="0" w:type="dxa"/>
            </w:tcMar>
            <w:vAlign w:val="bottom"/>
            <w:hideMark/>
          </w:tcPr>
          <w:p w14:paraId="2811FD6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533576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AD9F8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8CCE676" w14:textId="77777777" w:rsidR="00000000" w:rsidRDefault="001826C1">
            <w:pPr>
              <w:jc w:val="right"/>
              <w:rPr>
                <w:rFonts w:eastAsia="Times New Roman"/>
                <w:sz w:val="20"/>
                <w:szCs w:val="20"/>
              </w:rPr>
            </w:pPr>
            <w:r>
              <w:rPr>
                <w:rFonts w:eastAsia="Times New Roman"/>
                <w:sz w:val="20"/>
                <w:szCs w:val="20"/>
              </w:rPr>
              <w:t>1,468,724</w:t>
            </w:r>
          </w:p>
        </w:tc>
        <w:tc>
          <w:tcPr>
            <w:tcW w:w="0" w:type="auto"/>
            <w:shd w:val="clear" w:color="auto" w:fill="CCEEFF"/>
            <w:tcMar>
              <w:top w:w="0" w:type="dxa"/>
              <w:left w:w="0" w:type="dxa"/>
              <w:bottom w:w="30" w:type="dxa"/>
              <w:right w:w="0" w:type="dxa"/>
            </w:tcMar>
            <w:vAlign w:val="bottom"/>
            <w:hideMark/>
          </w:tcPr>
          <w:p w14:paraId="67B22B76" w14:textId="77777777" w:rsidR="00000000" w:rsidRDefault="001826C1">
            <w:pPr>
              <w:rPr>
                <w:rFonts w:eastAsia="Times New Roman"/>
                <w:sz w:val="20"/>
                <w:szCs w:val="20"/>
              </w:rPr>
            </w:pPr>
            <w:r>
              <w:rPr>
                <w:rFonts w:eastAsia="Times New Roman"/>
                <w:sz w:val="20"/>
                <w:szCs w:val="20"/>
              </w:rPr>
              <w:t> </w:t>
            </w:r>
          </w:p>
        </w:tc>
      </w:tr>
      <w:tr w:rsidR="00000000" w14:paraId="76147764" w14:textId="77777777">
        <w:tc>
          <w:tcPr>
            <w:tcW w:w="0" w:type="auto"/>
            <w:shd w:val="clear" w:color="auto" w:fill="FFFFFF"/>
            <w:tcMar>
              <w:top w:w="0" w:type="dxa"/>
              <w:left w:w="400" w:type="dxa"/>
              <w:bottom w:w="0" w:type="dxa"/>
              <w:right w:w="0" w:type="dxa"/>
            </w:tcMar>
            <w:vAlign w:val="bottom"/>
            <w:hideMark/>
          </w:tcPr>
          <w:p w14:paraId="07A795B4" w14:textId="77777777" w:rsidR="00000000" w:rsidRDefault="001826C1">
            <w:pPr>
              <w:rPr>
                <w:rFonts w:eastAsia="Times New Roman"/>
                <w:sz w:val="20"/>
                <w:szCs w:val="20"/>
              </w:rPr>
            </w:pPr>
            <w:r>
              <w:rPr>
                <w:rFonts w:eastAsia="Times New Roman"/>
                <w:sz w:val="20"/>
                <w:szCs w:val="20"/>
              </w:rPr>
              <w:t>Total current liabilities</w:t>
            </w:r>
          </w:p>
        </w:tc>
        <w:tc>
          <w:tcPr>
            <w:tcW w:w="0" w:type="auto"/>
            <w:shd w:val="clear" w:color="auto" w:fill="FFFFFF"/>
            <w:vAlign w:val="bottom"/>
            <w:hideMark/>
          </w:tcPr>
          <w:p w14:paraId="4326DD4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04B4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944BA7" w14:textId="77777777" w:rsidR="00000000" w:rsidRDefault="001826C1">
            <w:pPr>
              <w:jc w:val="right"/>
              <w:rPr>
                <w:rFonts w:eastAsia="Times New Roman"/>
                <w:sz w:val="20"/>
                <w:szCs w:val="20"/>
              </w:rPr>
            </w:pPr>
            <w:r>
              <w:rPr>
                <w:rFonts w:eastAsia="Times New Roman"/>
                <w:sz w:val="20"/>
                <w:szCs w:val="20"/>
              </w:rPr>
              <w:t>11,177,836</w:t>
            </w:r>
          </w:p>
        </w:tc>
        <w:tc>
          <w:tcPr>
            <w:tcW w:w="0" w:type="auto"/>
            <w:shd w:val="clear" w:color="auto" w:fill="FFFFFF"/>
            <w:vAlign w:val="bottom"/>
            <w:hideMark/>
          </w:tcPr>
          <w:p w14:paraId="34273AB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0400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A56A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EA22BF" w14:textId="77777777" w:rsidR="00000000" w:rsidRDefault="001826C1">
            <w:pPr>
              <w:jc w:val="right"/>
              <w:rPr>
                <w:rFonts w:eastAsia="Times New Roman"/>
                <w:sz w:val="20"/>
                <w:szCs w:val="20"/>
              </w:rPr>
            </w:pPr>
            <w:r>
              <w:rPr>
                <w:rFonts w:eastAsia="Times New Roman"/>
                <w:sz w:val="20"/>
                <w:szCs w:val="20"/>
              </w:rPr>
              <w:t>8,157,946</w:t>
            </w:r>
          </w:p>
        </w:tc>
        <w:tc>
          <w:tcPr>
            <w:tcW w:w="0" w:type="auto"/>
            <w:shd w:val="clear" w:color="auto" w:fill="FFFFFF"/>
            <w:vAlign w:val="bottom"/>
            <w:hideMark/>
          </w:tcPr>
          <w:p w14:paraId="3943B8C7" w14:textId="77777777" w:rsidR="00000000" w:rsidRDefault="001826C1">
            <w:pPr>
              <w:rPr>
                <w:rFonts w:eastAsia="Times New Roman"/>
                <w:sz w:val="20"/>
                <w:szCs w:val="20"/>
              </w:rPr>
            </w:pPr>
            <w:r>
              <w:rPr>
                <w:rFonts w:eastAsia="Times New Roman"/>
                <w:sz w:val="20"/>
                <w:szCs w:val="20"/>
              </w:rPr>
              <w:t> </w:t>
            </w:r>
          </w:p>
        </w:tc>
      </w:tr>
      <w:tr w:rsidR="00000000" w14:paraId="46FCAA63" w14:textId="77777777">
        <w:tc>
          <w:tcPr>
            <w:tcW w:w="0" w:type="auto"/>
            <w:shd w:val="clear" w:color="auto" w:fill="CCEEFF"/>
            <w:tcMar>
              <w:top w:w="0" w:type="dxa"/>
              <w:left w:w="200" w:type="dxa"/>
              <w:bottom w:w="0" w:type="dxa"/>
              <w:right w:w="0" w:type="dxa"/>
            </w:tcMar>
            <w:vAlign w:val="bottom"/>
            <w:hideMark/>
          </w:tcPr>
          <w:p w14:paraId="0A353403" w14:textId="77777777" w:rsidR="00000000" w:rsidRDefault="001826C1">
            <w:pPr>
              <w:rPr>
                <w:rFonts w:eastAsia="Times New Roman"/>
                <w:sz w:val="20"/>
                <w:szCs w:val="20"/>
              </w:rPr>
            </w:pPr>
            <w:r>
              <w:rPr>
                <w:rFonts w:eastAsia="Times New Roman"/>
                <w:sz w:val="20"/>
                <w:szCs w:val="20"/>
              </w:rPr>
              <w:t>Notes payable</w:t>
            </w:r>
          </w:p>
        </w:tc>
        <w:tc>
          <w:tcPr>
            <w:tcW w:w="0" w:type="auto"/>
            <w:shd w:val="clear" w:color="auto" w:fill="CCEEFF"/>
            <w:vAlign w:val="bottom"/>
            <w:hideMark/>
          </w:tcPr>
          <w:p w14:paraId="361914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71D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AED7BA" w14:textId="77777777" w:rsidR="00000000" w:rsidRDefault="001826C1">
            <w:pPr>
              <w:jc w:val="right"/>
              <w:rPr>
                <w:rFonts w:eastAsia="Times New Roman"/>
                <w:sz w:val="20"/>
                <w:szCs w:val="20"/>
              </w:rPr>
            </w:pPr>
            <w:r>
              <w:rPr>
                <w:rFonts w:eastAsia="Times New Roman"/>
                <w:sz w:val="20"/>
                <w:szCs w:val="20"/>
              </w:rPr>
              <w:t>83,275</w:t>
            </w:r>
          </w:p>
        </w:tc>
        <w:tc>
          <w:tcPr>
            <w:tcW w:w="0" w:type="auto"/>
            <w:shd w:val="clear" w:color="auto" w:fill="CCEEFF"/>
            <w:vAlign w:val="bottom"/>
            <w:hideMark/>
          </w:tcPr>
          <w:p w14:paraId="1C96D2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14D5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4317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DC4461" w14:textId="77777777" w:rsidR="00000000" w:rsidRDefault="001826C1">
            <w:pPr>
              <w:jc w:val="right"/>
              <w:rPr>
                <w:rFonts w:eastAsia="Times New Roman"/>
                <w:sz w:val="20"/>
                <w:szCs w:val="20"/>
              </w:rPr>
            </w:pPr>
            <w:r>
              <w:rPr>
                <w:rFonts w:eastAsia="Times New Roman"/>
                <w:sz w:val="20"/>
                <w:szCs w:val="20"/>
              </w:rPr>
              <w:t>222,400</w:t>
            </w:r>
          </w:p>
        </w:tc>
        <w:tc>
          <w:tcPr>
            <w:tcW w:w="0" w:type="auto"/>
            <w:shd w:val="clear" w:color="auto" w:fill="CCEEFF"/>
            <w:vAlign w:val="bottom"/>
            <w:hideMark/>
          </w:tcPr>
          <w:p w14:paraId="143817FB" w14:textId="77777777" w:rsidR="00000000" w:rsidRDefault="001826C1">
            <w:pPr>
              <w:rPr>
                <w:rFonts w:eastAsia="Times New Roman"/>
                <w:sz w:val="20"/>
                <w:szCs w:val="20"/>
              </w:rPr>
            </w:pPr>
            <w:r>
              <w:rPr>
                <w:rFonts w:eastAsia="Times New Roman"/>
                <w:sz w:val="20"/>
                <w:szCs w:val="20"/>
              </w:rPr>
              <w:t> </w:t>
            </w:r>
          </w:p>
        </w:tc>
      </w:tr>
      <w:tr w:rsidR="00000000" w14:paraId="78C70C6A" w14:textId="77777777">
        <w:tc>
          <w:tcPr>
            <w:tcW w:w="0" w:type="auto"/>
            <w:shd w:val="clear" w:color="auto" w:fill="FFFFFF"/>
            <w:tcMar>
              <w:top w:w="0" w:type="dxa"/>
              <w:left w:w="200" w:type="dxa"/>
              <w:bottom w:w="0" w:type="dxa"/>
              <w:right w:w="0" w:type="dxa"/>
            </w:tcMar>
            <w:vAlign w:val="bottom"/>
            <w:hideMark/>
          </w:tcPr>
          <w:p w14:paraId="66216643" w14:textId="77777777" w:rsidR="00000000" w:rsidRDefault="001826C1">
            <w:pPr>
              <w:rPr>
                <w:rFonts w:eastAsia="Times New Roman"/>
                <w:sz w:val="20"/>
                <w:szCs w:val="20"/>
              </w:rPr>
            </w:pPr>
            <w:r>
              <w:rPr>
                <w:rFonts w:eastAsia="Times New Roman"/>
                <w:sz w:val="20"/>
                <w:szCs w:val="20"/>
              </w:rPr>
              <w:t>Deferred rent</w:t>
            </w:r>
          </w:p>
        </w:tc>
        <w:tc>
          <w:tcPr>
            <w:tcW w:w="0" w:type="auto"/>
            <w:shd w:val="clear" w:color="auto" w:fill="FFFFFF"/>
            <w:vAlign w:val="bottom"/>
            <w:hideMark/>
          </w:tcPr>
          <w:p w14:paraId="2A5D116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724A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9F256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A6A8B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6559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1BCD7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A5790A" w14:textId="77777777" w:rsidR="00000000" w:rsidRDefault="001826C1">
            <w:pPr>
              <w:jc w:val="right"/>
              <w:rPr>
                <w:rFonts w:eastAsia="Times New Roman"/>
                <w:sz w:val="20"/>
                <w:szCs w:val="20"/>
              </w:rPr>
            </w:pPr>
            <w:r>
              <w:rPr>
                <w:rFonts w:eastAsia="Times New Roman"/>
                <w:sz w:val="20"/>
                <w:szCs w:val="20"/>
              </w:rPr>
              <w:t>189,366</w:t>
            </w:r>
          </w:p>
        </w:tc>
        <w:tc>
          <w:tcPr>
            <w:tcW w:w="0" w:type="auto"/>
            <w:shd w:val="clear" w:color="auto" w:fill="FFFFFF"/>
            <w:vAlign w:val="bottom"/>
            <w:hideMark/>
          </w:tcPr>
          <w:p w14:paraId="3F213A51" w14:textId="77777777" w:rsidR="00000000" w:rsidRDefault="001826C1">
            <w:pPr>
              <w:rPr>
                <w:rFonts w:eastAsia="Times New Roman"/>
                <w:sz w:val="20"/>
                <w:szCs w:val="20"/>
              </w:rPr>
            </w:pPr>
            <w:r>
              <w:rPr>
                <w:rFonts w:eastAsia="Times New Roman"/>
                <w:sz w:val="20"/>
                <w:szCs w:val="20"/>
              </w:rPr>
              <w:t> </w:t>
            </w:r>
          </w:p>
        </w:tc>
      </w:tr>
      <w:tr w:rsidR="00000000" w14:paraId="7316A6B5" w14:textId="77777777">
        <w:tc>
          <w:tcPr>
            <w:tcW w:w="0" w:type="auto"/>
            <w:shd w:val="clear" w:color="auto" w:fill="CCEEFF"/>
            <w:tcMar>
              <w:top w:w="0" w:type="dxa"/>
              <w:left w:w="200" w:type="dxa"/>
              <w:bottom w:w="0" w:type="dxa"/>
              <w:right w:w="0" w:type="dxa"/>
            </w:tcMar>
            <w:vAlign w:val="bottom"/>
            <w:hideMark/>
          </w:tcPr>
          <w:p w14:paraId="07343A4B" w14:textId="77777777" w:rsidR="00000000" w:rsidRDefault="001826C1">
            <w:pPr>
              <w:rPr>
                <w:rFonts w:eastAsia="Times New Roman"/>
                <w:sz w:val="20"/>
                <w:szCs w:val="20"/>
              </w:rPr>
            </w:pPr>
            <w:r>
              <w:rPr>
                <w:rFonts w:eastAsia="Times New Roman"/>
                <w:sz w:val="20"/>
                <w:szCs w:val="20"/>
              </w:rPr>
              <w:t>Operating lease liability</w:t>
            </w:r>
          </w:p>
        </w:tc>
        <w:tc>
          <w:tcPr>
            <w:tcW w:w="0" w:type="auto"/>
            <w:shd w:val="clear" w:color="auto" w:fill="CCEEFF"/>
            <w:vAlign w:val="bottom"/>
            <w:hideMark/>
          </w:tcPr>
          <w:p w14:paraId="79AD05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B5C0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9C2957" w14:textId="77777777" w:rsidR="00000000" w:rsidRDefault="001826C1">
            <w:pPr>
              <w:jc w:val="right"/>
              <w:rPr>
                <w:rFonts w:eastAsia="Times New Roman"/>
                <w:sz w:val="20"/>
                <w:szCs w:val="20"/>
              </w:rPr>
            </w:pPr>
            <w:r>
              <w:rPr>
                <w:rFonts w:eastAsia="Times New Roman"/>
                <w:sz w:val="20"/>
                <w:szCs w:val="20"/>
              </w:rPr>
              <w:t>2,040,772</w:t>
            </w:r>
          </w:p>
        </w:tc>
        <w:tc>
          <w:tcPr>
            <w:tcW w:w="0" w:type="auto"/>
            <w:shd w:val="clear" w:color="auto" w:fill="CCEEFF"/>
            <w:vAlign w:val="bottom"/>
            <w:hideMark/>
          </w:tcPr>
          <w:p w14:paraId="41EAD85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79F3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5C93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84A0D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C1A2BFE" w14:textId="77777777" w:rsidR="00000000" w:rsidRDefault="001826C1">
            <w:pPr>
              <w:rPr>
                <w:rFonts w:eastAsia="Times New Roman"/>
                <w:sz w:val="20"/>
                <w:szCs w:val="20"/>
              </w:rPr>
            </w:pPr>
            <w:r>
              <w:rPr>
                <w:rFonts w:eastAsia="Times New Roman"/>
                <w:sz w:val="20"/>
                <w:szCs w:val="20"/>
              </w:rPr>
              <w:t> </w:t>
            </w:r>
          </w:p>
        </w:tc>
      </w:tr>
      <w:tr w:rsidR="00000000" w14:paraId="2FFED527" w14:textId="77777777">
        <w:tc>
          <w:tcPr>
            <w:tcW w:w="0" w:type="auto"/>
            <w:shd w:val="clear" w:color="auto" w:fill="FFFFFF"/>
            <w:tcMar>
              <w:top w:w="0" w:type="dxa"/>
              <w:left w:w="200" w:type="dxa"/>
              <w:bottom w:w="0" w:type="dxa"/>
              <w:right w:w="0" w:type="dxa"/>
            </w:tcMar>
            <w:vAlign w:val="bottom"/>
            <w:hideMark/>
          </w:tcPr>
          <w:p w14:paraId="47065C20" w14:textId="77777777" w:rsidR="00000000" w:rsidRDefault="001826C1">
            <w:pPr>
              <w:rPr>
                <w:rFonts w:eastAsia="Times New Roman"/>
                <w:sz w:val="20"/>
                <w:szCs w:val="20"/>
              </w:rPr>
            </w:pPr>
            <w:r>
              <w:rPr>
                <w:rFonts w:eastAsia="Times New Roman"/>
                <w:sz w:val="20"/>
                <w:szCs w:val="20"/>
              </w:rPr>
              <w:t>Deferred revenue</w:t>
            </w:r>
          </w:p>
        </w:tc>
        <w:tc>
          <w:tcPr>
            <w:tcW w:w="0" w:type="auto"/>
            <w:shd w:val="clear" w:color="auto" w:fill="FFFFFF"/>
            <w:vAlign w:val="bottom"/>
            <w:hideMark/>
          </w:tcPr>
          <w:p w14:paraId="5A0900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66312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77A305" w14:textId="77777777" w:rsidR="00000000" w:rsidRDefault="001826C1">
            <w:pPr>
              <w:jc w:val="right"/>
              <w:rPr>
                <w:rFonts w:eastAsia="Times New Roman"/>
                <w:sz w:val="20"/>
                <w:szCs w:val="20"/>
              </w:rPr>
            </w:pPr>
            <w:r>
              <w:rPr>
                <w:rFonts w:eastAsia="Times New Roman"/>
                <w:sz w:val="20"/>
                <w:szCs w:val="20"/>
              </w:rPr>
              <w:t>18,745</w:t>
            </w:r>
          </w:p>
        </w:tc>
        <w:tc>
          <w:tcPr>
            <w:tcW w:w="0" w:type="auto"/>
            <w:shd w:val="clear" w:color="auto" w:fill="FFFFFF"/>
            <w:vAlign w:val="bottom"/>
            <w:hideMark/>
          </w:tcPr>
          <w:p w14:paraId="3DB5BD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450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2F73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67C9F7" w14:textId="77777777" w:rsidR="00000000" w:rsidRDefault="001826C1">
            <w:pPr>
              <w:jc w:val="right"/>
              <w:rPr>
                <w:rFonts w:eastAsia="Times New Roman"/>
                <w:sz w:val="20"/>
                <w:szCs w:val="20"/>
              </w:rPr>
            </w:pPr>
            <w:r>
              <w:rPr>
                <w:rFonts w:eastAsia="Times New Roman"/>
                <w:sz w:val="20"/>
                <w:szCs w:val="20"/>
              </w:rPr>
              <w:t>18,949</w:t>
            </w:r>
          </w:p>
        </w:tc>
        <w:tc>
          <w:tcPr>
            <w:tcW w:w="0" w:type="auto"/>
            <w:shd w:val="clear" w:color="auto" w:fill="FFFFFF"/>
            <w:vAlign w:val="bottom"/>
            <w:hideMark/>
          </w:tcPr>
          <w:p w14:paraId="0FBBBAED" w14:textId="77777777" w:rsidR="00000000" w:rsidRDefault="001826C1">
            <w:pPr>
              <w:rPr>
                <w:rFonts w:eastAsia="Times New Roman"/>
                <w:sz w:val="20"/>
                <w:szCs w:val="20"/>
              </w:rPr>
            </w:pPr>
            <w:r>
              <w:rPr>
                <w:rFonts w:eastAsia="Times New Roman"/>
                <w:sz w:val="20"/>
                <w:szCs w:val="20"/>
              </w:rPr>
              <w:t> </w:t>
            </w:r>
          </w:p>
        </w:tc>
      </w:tr>
      <w:tr w:rsidR="00000000" w14:paraId="6CB7E21D" w14:textId="77777777">
        <w:tc>
          <w:tcPr>
            <w:tcW w:w="0" w:type="auto"/>
            <w:shd w:val="clear" w:color="auto" w:fill="CCEEFF"/>
            <w:tcMar>
              <w:top w:w="0" w:type="dxa"/>
              <w:left w:w="200" w:type="dxa"/>
              <w:bottom w:w="30" w:type="dxa"/>
              <w:right w:w="0" w:type="dxa"/>
            </w:tcMar>
            <w:vAlign w:val="bottom"/>
            <w:hideMark/>
          </w:tcPr>
          <w:p w14:paraId="5E43FA18" w14:textId="77777777" w:rsidR="00000000" w:rsidRDefault="001826C1">
            <w:pPr>
              <w:rPr>
                <w:rFonts w:eastAsia="Times New Roman"/>
                <w:sz w:val="20"/>
                <w:szCs w:val="20"/>
              </w:rPr>
            </w:pPr>
            <w:r>
              <w:rPr>
                <w:rFonts w:eastAsia="Times New Roman"/>
                <w:sz w:val="20"/>
                <w:szCs w:val="20"/>
              </w:rPr>
              <w:t>Deferred tax liability</w:t>
            </w:r>
          </w:p>
        </w:tc>
        <w:tc>
          <w:tcPr>
            <w:tcW w:w="0" w:type="auto"/>
            <w:shd w:val="clear" w:color="auto" w:fill="CCEEFF"/>
            <w:tcMar>
              <w:top w:w="0" w:type="dxa"/>
              <w:left w:w="0" w:type="dxa"/>
              <w:bottom w:w="30" w:type="dxa"/>
              <w:right w:w="0" w:type="dxa"/>
            </w:tcMar>
            <w:vAlign w:val="bottom"/>
            <w:hideMark/>
          </w:tcPr>
          <w:p w14:paraId="70DE406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596AC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6618F49" w14:textId="77777777" w:rsidR="00000000" w:rsidRDefault="001826C1">
            <w:pPr>
              <w:jc w:val="right"/>
              <w:rPr>
                <w:rFonts w:eastAsia="Times New Roman"/>
                <w:sz w:val="20"/>
                <w:szCs w:val="20"/>
              </w:rPr>
            </w:pPr>
            <w:r>
              <w:rPr>
                <w:rFonts w:eastAsia="Times New Roman"/>
                <w:sz w:val="20"/>
                <w:szCs w:val="20"/>
              </w:rPr>
              <w:t>244,512</w:t>
            </w:r>
          </w:p>
        </w:tc>
        <w:tc>
          <w:tcPr>
            <w:tcW w:w="0" w:type="auto"/>
            <w:shd w:val="clear" w:color="auto" w:fill="CCEEFF"/>
            <w:tcMar>
              <w:top w:w="0" w:type="dxa"/>
              <w:left w:w="0" w:type="dxa"/>
              <w:bottom w:w="30" w:type="dxa"/>
              <w:right w:w="0" w:type="dxa"/>
            </w:tcMar>
            <w:vAlign w:val="bottom"/>
            <w:hideMark/>
          </w:tcPr>
          <w:p w14:paraId="37C2B2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33AF75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830846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8542030" w14:textId="77777777" w:rsidR="00000000" w:rsidRDefault="001826C1">
            <w:pPr>
              <w:jc w:val="right"/>
              <w:rPr>
                <w:rFonts w:eastAsia="Times New Roman"/>
                <w:sz w:val="20"/>
                <w:szCs w:val="20"/>
              </w:rPr>
            </w:pPr>
            <w:r>
              <w:rPr>
                <w:rFonts w:eastAsia="Times New Roman"/>
                <w:sz w:val="20"/>
                <w:szCs w:val="20"/>
              </w:rPr>
              <w:t>164,346</w:t>
            </w:r>
          </w:p>
        </w:tc>
        <w:tc>
          <w:tcPr>
            <w:tcW w:w="0" w:type="auto"/>
            <w:shd w:val="clear" w:color="auto" w:fill="CCEEFF"/>
            <w:tcMar>
              <w:top w:w="0" w:type="dxa"/>
              <w:left w:w="0" w:type="dxa"/>
              <w:bottom w:w="30" w:type="dxa"/>
              <w:right w:w="0" w:type="dxa"/>
            </w:tcMar>
            <w:vAlign w:val="bottom"/>
            <w:hideMark/>
          </w:tcPr>
          <w:p w14:paraId="1E6390D4" w14:textId="77777777" w:rsidR="00000000" w:rsidRDefault="001826C1">
            <w:pPr>
              <w:rPr>
                <w:rFonts w:eastAsia="Times New Roman"/>
                <w:sz w:val="20"/>
                <w:szCs w:val="20"/>
              </w:rPr>
            </w:pPr>
            <w:r>
              <w:rPr>
                <w:rFonts w:eastAsia="Times New Roman"/>
                <w:sz w:val="20"/>
                <w:szCs w:val="20"/>
              </w:rPr>
              <w:t> </w:t>
            </w:r>
          </w:p>
        </w:tc>
      </w:tr>
      <w:tr w:rsidR="00000000" w14:paraId="660958D1" w14:textId="77777777">
        <w:tc>
          <w:tcPr>
            <w:tcW w:w="0" w:type="auto"/>
            <w:shd w:val="clear" w:color="auto" w:fill="FFFFFF"/>
            <w:tcMar>
              <w:top w:w="0" w:type="dxa"/>
              <w:left w:w="400" w:type="dxa"/>
              <w:bottom w:w="0" w:type="dxa"/>
              <w:right w:w="0" w:type="dxa"/>
            </w:tcMar>
            <w:vAlign w:val="bottom"/>
            <w:hideMark/>
          </w:tcPr>
          <w:p w14:paraId="656A6F37" w14:textId="77777777" w:rsidR="00000000" w:rsidRDefault="001826C1">
            <w:pPr>
              <w:rPr>
                <w:rFonts w:eastAsia="Times New Roman"/>
                <w:sz w:val="20"/>
                <w:szCs w:val="20"/>
              </w:rPr>
            </w:pPr>
            <w:r>
              <w:rPr>
                <w:rFonts w:eastAsia="Times New Roman"/>
                <w:sz w:val="20"/>
                <w:szCs w:val="20"/>
              </w:rPr>
              <w:t>Total liabilities</w:t>
            </w:r>
          </w:p>
        </w:tc>
        <w:tc>
          <w:tcPr>
            <w:tcW w:w="0" w:type="auto"/>
            <w:shd w:val="clear" w:color="auto" w:fill="FFFFFF"/>
            <w:vAlign w:val="bottom"/>
            <w:hideMark/>
          </w:tcPr>
          <w:p w14:paraId="3F3974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33BB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A967C3" w14:textId="77777777" w:rsidR="00000000" w:rsidRDefault="001826C1">
            <w:pPr>
              <w:jc w:val="right"/>
              <w:rPr>
                <w:rFonts w:eastAsia="Times New Roman"/>
                <w:sz w:val="20"/>
                <w:szCs w:val="20"/>
              </w:rPr>
            </w:pPr>
            <w:r>
              <w:rPr>
                <w:rFonts w:eastAsia="Times New Roman"/>
                <w:sz w:val="20"/>
                <w:szCs w:val="20"/>
              </w:rPr>
              <w:t>13,565,140</w:t>
            </w:r>
          </w:p>
        </w:tc>
        <w:tc>
          <w:tcPr>
            <w:tcW w:w="0" w:type="auto"/>
            <w:shd w:val="clear" w:color="auto" w:fill="FFFFFF"/>
            <w:vAlign w:val="bottom"/>
            <w:hideMark/>
          </w:tcPr>
          <w:p w14:paraId="76FE7BA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AB16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D385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B60A65" w14:textId="77777777" w:rsidR="00000000" w:rsidRDefault="001826C1">
            <w:pPr>
              <w:jc w:val="right"/>
              <w:rPr>
                <w:rFonts w:eastAsia="Times New Roman"/>
                <w:sz w:val="20"/>
                <w:szCs w:val="20"/>
              </w:rPr>
            </w:pPr>
            <w:r>
              <w:rPr>
                <w:rFonts w:eastAsia="Times New Roman"/>
                <w:sz w:val="20"/>
                <w:szCs w:val="20"/>
              </w:rPr>
              <w:t>8,753,007</w:t>
            </w:r>
          </w:p>
        </w:tc>
        <w:tc>
          <w:tcPr>
            <w:tcW w:w="0" w:type="auto"/>
            <w:shd w:val="clear" w:color="auto" w:fill="FFFFFF"/>
            <w:vAlign w:val="bottom"/>
            <w:hideMark/>
          </w:tcPr>
          <w:p w14:paraId="42B99EAE" w14:textId="77777777" w:rsidR="00000000" w:rsidRDefault="001826C1">
            <w:pPr>
              <w:rPr>
                <w:rFonts w:eastAsia="Times New Roman"/>
                <w:sz w:val="20"/>
                <w:szCs w:val="20"/>
              </w:rPr>
            </w:pPr>
            <w:r>
              <w:rPr>
                <w:rFonts w:eastAsia="Times New Roman"/>
                <w:sz w:val="20"/>
                <w:szCs w:val="20"/>
              </w:rPr>
              <w:t> </w:t>
            </w:r>
          </w:p>
        </w:tc>
      </w:tr>
      <w:tr w:rsidR="00000000" w14:paraId="757577A3" w14:textId="77777777">
        <w:tc>
          <w:tcPr>
            <w:tcW w:w="0" w:type="auto"/>
            <w:shd w:val="clear" w:color="auto" w:fill="CCEEFF"/>
            <w:vAlign w:val="bottom"/>
            <w:hideMark/>
          </w:tcPr>
          <w:p w14:paraId="0FA14171" w14:textId="77777777" w:rsidR="00000000" w:rsidRDefault="001826C1">
            <w:pPr>
              <w:rPr>
                <w:rFonts w:eastAsia="Times New Roman"/>
                <w:sz w:val="20"/>
                <w:szCs w:val="20"/>
              </w:rPr>
            </w:pPr>
            <w:r>
              <w:rPr>
                <w:rFonts w:eastAsia="Times New Roman"/>
                <w:sz w:val="20"/>
                <w:szCs w:val="20"/>
              </w:rPr>
              <w:t>COMMITMENTS AND CONTINGENCIES (NOTE 11)</w:t>
            </w:r>
          </w:p>
        </w:tc>
        <w:tc>
          <w:tcPr>
            <w:tcW w:w="0" w:type="auto"/>
            <w:shd w:val="clear" w:color="auto" w:fill="CCEEFF"/>
            <w:vAlign w:val="bottom"/>
            <w:hideMark/>
          </w:tcPr>
          <w:p w14:paraId="385834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E9227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DC1EB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39383D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3580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8C038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71160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671AA2" w14:textId="77777777" w:rsidR="00000000" w:rsidRDefault="001826C1">
            <w:pPr>
              <w:rPr>
                <w:rFonts w:eastAsia="Times New Roman"/>
                <w:sz w:val="20"/>
                <w:szCs w:val="20"/>
              </w:rPr>
            </w:pPr>
            <w:r>
              <w:rPr>
                <w:rFonts w:eastAsia="Times New Roman"/>
                <w:sz w:val="20"/>
                <w:szCs w:val="20"/>
              </w:rPr>
              <w:t> </w:t>
            </w:r>
          </w:p>
        </w:tc>
      </w:tr>
      <w:tr w:rsidR="00000000" w14:paraId="5397D773" w14:textId="77777777">
        <w:tc>
          <w:tcPr>
            <w:tcW w:w="0" w:type="auto"/>
            <w:shd w:val="clear" w:color="auto" w:fill="FFFFFF"/>
            <w:vAlign w:val="bottom"/>
            <w:hideMark/>
          </w:tcPr>
          <w:p w14:paraId="367BB0A9" w14:textId="77777777" w:rsidR="00000000" w:rsidRDefault="001826C1">
            <w:pPr>
              <w:rPr>
                <w:rFonts w:eastAsia="Times New Roman"/>
                <w:sz w:val="20"/>
                <w:szCs w:val="20"/>
              </w:rPr>
            </w:pPr>
            <w:r>
              <w:rPr>
                <w:rFonts w:eastAsia="Times New Roman"/>
                <w:sz w:val="20"/>
                <w:szCs w:val="20"/>
              </w:rPr>
              <w:t>SHAREHOLDERS’ EQUITY:</w:t>
            </w:r>
          </w:p>
        </w:tc>
        <w:tc>
          <w:tcPr>
            <w:tcW w:w="0" w:type="auto"/>
            <w:shd w:val="clear" w:color="auto" w:fill="FFFFFF"/>
            <w:vAlign w:val="bottom"/>
            <w:hideMark/>
          </w:tcPr>
          <w:p w14:paraId="423514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5C27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6CFDE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354B5D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D10B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A53E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5F27E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089DAB3" w14:textId="77777777" w:rsidR="00000000" w:rsidRDefault="001826C1">
            <w:pPr>
              <w:rPr>
                <w:rFonts w:eastAsia="Times New Roman"/>
                <w:sz w:val="20"/>
                <w:szCs w:val="20"/>
              </w:rPr>
            </w:pPr>
            <w:r>
              <w:rPr>
                <w:rFonts w:eastAsia="Times New Roman"/>
                <w:sz w:val="20"/>
                <w:szCs w:val="20"/>
              </w:rPr>
              <w:t> </w:t>
            </w:r>
          </w:p>
        </w:tc>
      </w:tr>
      <w:tr w:rsidR="00000000" w14:paraId="0DB7B49D" w14:textId="77777777">
        <w:tc>
          <w:tcPr>
            <w:tcW w:w="0" w:type="auto"/>
            <w:shd w:val="clear" w:color="auto" w:fill="CCEEFF"/>
            <w:vAlign w:val="bottom"/>
            <w:hideMark/>
          </w:tcPr>
          <w:p w14:paraId="03312921" w14:textId="77777777" w:rsidR="00000000" w:rsidRDefault="001826C1">
            <w:pPr>
              <w:rPr>
                <w:rFonts w:eastAsia="Times New Roman"/>
                <w:sz w:val="20"/>
                <w:szCs w:val="20"/>
              </w:rPr>
            </w:pPr>
            <w:r>
              <w:rPr>
                <w:rFonts w:eastAsia="Times New Roman"/>
                <w:sz w:val="20"/>
                <w:szCs w:val="20"/>
              </w:rPr>
              <w:t>Preferred stock, $0.001 par value - authorized 7,000,000 and 4,000,000 shares at December 31, 2019 and December 31, 2018, respectively; issued and outstanding 2,539,325 and 2,136,289 shares at December 31, 2019 and December 31, 2018, respectively</w:t>
            </w:r>
          </w:p>
        </w:tc>
        <w:tc>
          <w:tcPr>
            <w:tcW w:w="0" w:type="auto"/>
            <w:shd w:val="clear" w:color="auto" w:fill="CCEEFF"/>
            <w:vAlign w:val="bottom"/>
            <w:hideMark/>
          </w:tcPr>
          <w:p w14:paraId="10037C0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B901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89616B" w14:textId="77777777" w:rsidR="00000000" w:rsidRDefault="001826C1">
            <w:pPr>
              <w:jc w:val="right"/>
              <w:rPr>
                <w:rFonts w:eastAsia="Times New Roman"/>
                <w:sz w:val="20"/>
                <w:szCs w:val="20"/>
              </w:rPr>
            </w:pPr>
            <w:r>
              <w:rPr>
                <w:rFonts w:eastAsia="Times New Roman"/>
                <w:sz w:val="20"/>
                <w:szCs w:val="20"/>
              </w:rPr>
              <w:t>2,539</w:t>
            </w:r>
          </w:p>
        </w:tc>
        <w:tc>
          <w:tcPr>
            <w:tcW w:w="0" w:type="auto"/>
            <w:shd w:val="clear" w:color="auto" w:fill="CCEEFF"/>
            <w:vAlign w:val="bottom"/>
            <w:hideMark/>
          </w:tcPr>
          <w:p w14:paraId="256AE92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7FB8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E6B0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8F68B" w14:textId="77777777" w:rsidR="00000000" w:rsidRDefault="001826C1">
            <w:pPr>
              <w:jc w:val="right"/>
              <w:rPr>
                <w:rFonts w:eastAsia="Times New Roman"/>
                <w:sz w:val="20"/>
                <w:szCs w:val="20"/>
              </w:rPr>
            </w:pPr>
            <w:r>
              <w:rPr>
                <w:rFonts w:eastAsia="Times New Roman"/>
                <w:sz w:val="20"/>
                <w:szCs w:val="20"/>
              </w:rPr>
              <w:t>2,136</w:t>
            </w:r>
          </w:p>
        </w:tc>
        <w:tc>
          <w:tcPr>
            <w:tcW w:w="0" w:type="auto"/>
            <w:shd w:val="clear" w:color="auto" w:fill="CCEEFF"/>
            <w:vAlign w:val="bottom"/>
            <w:hideMark/>
          </w:tcPr>
          <w:p w14:paraId="4EE6F7A8" w14:textId="77777777" w:rsidR="00000000" w:rsidRDefault="001826C1">
            <w:pPr>
              <w:rPr>
                <w:rFonts w:eastAsia="Times New Roman"/>
                <w:sz w:val="20"/>
                <w:szCs w:val="20"/>
              </w:rPr>
            </w:pPr>
            <w:r>
              <w:rPr>
                <w:rFonts w:eastAsia="Times New Roman"/>
                <w:sz w:val="20"/>
                <w:szCs w:val="20"/>
              </w:rPr>
              <w:t> </w:t>
            </w:r>
          </w:p>
        </w:tc>
      </w:tr>
      <w:tr w:rsidR="00000000" w14:paraId="54F5B1F4" w14:textId="77777777">
        <w:tc>
          <w:tcPr>
            <w:tcW w:w="0" w:type="auto"/>
            <w:shd w:val="clear" w:color="auto" w:fill="FFFFFF"/>
            <w:vAlign w:val="bottom"/>
            <w:hideMark/>
          </w:tcPr>
          <w:p w14:paraId="5B989093" w14:textId="77777777" w:rsidR="00000000" w:rsidRDefault="001826C1">
            <w:pPr>
              <w:rPr>
                <w:rFonts w:eastAsia="Times New Roman"/>
                <w:sz w:val="20"/>
                <w:szCs w:val="20"/>
              </w:rPr>
            </w:pPr>
            <w:r>
              <w:rPr>
                <w:rFonts w:eastAsia="Times New Roman"/>
                <w:sz w:val="20"/>
                <w:szCs w:val="20"/>
              </w:rPr>
              <w:t>Common stock, $0.001 par value - authorized 29,000,000 and 19,000,000 shares at December 31, 2019 and December 31, 2018, respectively; issued 12,978,485 and 12,570,557 shares at December 31, 2019 and December 31, 2018, respectively; 12,237,686 and 11,829,7</w:t>
            </w:r>
            <w:r>
              <w:rPr>
                <w:rFonts w:eastAsia="Times New Roman"/>
                <w:sz w:val="20"/>
                <w:szCs w:val="20"/>
              </w:rPr>
              <w:t>58 shares outstanding at December 31, 2019 and December 31, 2018, respectively</w:t>
            </w:r>
          </w:p>
        </w:tc>
        <w:tc>
          <w:tcPr>
            <w:tcW w:w="0" w:type="auto"/>
            <w:shd w:val="clear" w:color="auto" w:fill="FFFFFF"/>
            <w:vAlign w:val="bottom"/>
            <w:hideMark/>
          </w:tcPr>
          <w:p w14:paraId="06EF31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43C9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856672" w14:textId="77777777" w:rsidR="00000000" w:rsidRDefault="001826C1">
            <w:pPr>
              <w:jc w:val="right"/>
              <w:rPr>
                <w:rFonts w:eastAsia="Times New Roman"/>
                <w:sz w:val="20"/>
                <w:szCs w:val="20"/>
              </w:rPr>
            </w:pPr>
            <w:r>
              <w:rPr>
                <w:rFonts w:eastAsia="Times New Roman"/>
                <w:sz w:val="20"/>
                <w:szCs w:val="20"/>
              </w:rPr>
              <w:t>12,979</w:t>
            </w:r>
          </w:p>
        </w:tc>
        <w:tc>
          <w:tcPr>
            <w:tcW w:w="0" w:type="auto"/>
            <w:shd w:val="clear" w:color="auto" w:fill="FFFFFF"/>
            <w:vAlign w:val="bottom"/>
            <w:hideMark/>
          </w:tcPr>
          <w:p w14:paraId="58B7F2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CC4B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8056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7BF775" w14:textId="77777777" w:rsidR="00000000" w:rsidRDefault="001826C1">
            <w:pPr>
              <w:jc w:val="right"/>
              <w:rPr>
                <w:rFonts w:eastAsia="Times New Roman"/>
                <w:sz w:val="20"/>
                <w:szCs w:val="20"/>
              </w:rPr>
            </w:pPr>
            <w:r>
              <w:rPr>
                <w:rFonts w:eastAsia="Times New Roman"/>
                <w:sz w:val="20"/>
                <w:szCs w:val="20"/>
              </w:rPr>
              <w:t>12,571</w:t>
            </w:r>
          </w:p>
        </w:tc>
        <w:tc>
          <w:tcPr>
            <w:tcW w:w="0" w:type="auto"/>
            <w:shd w:val="clear" w:color="auto" w:fill="FFFFFF"/>
            <w:vAlign w:val="bottom"/>
            <w:hideMark/>
          </w:tcPr>
          <w:p w14:paraId="13D10691" w14:textId="77777777" w:rsidR="00000000" w:rsidRDefault="001826C1">
            <w:pPr>
              <w:rPr>
                <w:rFonts w:eastAsia="Times New Roman"/>
                <w:sz w:val="20"/>
                <w:szCs w:val="20"/>
              </w:rPr>
            </w:pPr>
            <w:r>
              <w:rPr>
                <w:rFonts w:eastAsia="Times New Roman"/>
                <w:sz w:val="20"/>
                <w:szCs w:val="20"/>
              </w:rPr>
              <w:t> </w:t>
            </w:r>
          </w:p>
        </w:tc>
      </w:tr>
      <w:tr w:rsidR="00000000" w14:paraId="7B3448C5" w14:textId="77777777">
        <w:tc>
          <w:tcPr>
            <w:tcW w:w="0" w:type="auto"/>
            <w:shd w:val="clear" w:color="auto" w:fill="CCEEFF"/>
            <w:vAlign w:val="bottom"/>
            <w:hideMark/>
          </w:tcPr>
          <w:p w14:paraId="70B8D034" w14:textId="77777777" w:rsidR="00000000" w:rsidRDefault="001826C1">
            <w:pPr>
              <w:rPr>
                <w:rFonts w:eastAsia="Times New Roman"/>
                <w:sz w:val="20"/>
                <w:szCs w:val="20"/>
              </w:rPr>
            </w:pPr>
            <w:r>
              <w:rPr>
                <w:rFonts w:eastAsia="Times New Roman"/>
                <w:sz w:val="20"/>
                <w:szCs w:val="20"/>
              </w:rPr>
              <w:t>Additional paid-in capital</w:t>
            </w:r>
          </w:p>
        </w:tc>
        <w:tc>
          <w:tcPr>
            <w:tcW w:w="0" w:type="auto"/>
            <w:shd w:val="clear" w:color="auto" w:fill="CCEEFF"/>
            <w:vAlign w:val="bottom"/>
            <w:hideMark/>
          </w:tcPr>
          <w:p w14:paraId="7D1850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DBEB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E14BFE" w14:textId="77777777" w:rsidR="00000000" w:rsidRDefault="001826C1">
            <w:pPr>
              <w:jc w:val="right"/>
              <w:rPr>
                <w:rFonts w:eastAsia="Times New Roman"/>
                <w:sz w:val="20"/>
                <w:szCs w:val="20"/>
              </w:rPr>
            </w:pPr>
            <w:r>
              <w:rPr>
                <w:rFonts w:eastAsia="Times New Roman"/>
                <w:sz w:val="20"/>
                <w:szCs w:val="20"/>
              </w:rPr>
              <w:t>69,403,366</w:t>
            </w:r>
          </w:p>
        </w:tc>
        <w:tc>
          <w:tcPr>
            <w:tcW w:w="0" w:type="auto"/>
            <w:shd w:val="clear" w:color="auto" w:fill="CCEEFF"/>
            <w:vAlign w:val="bottom"/>
            <w:hideMark/>
          </w:tcPr>
          <w:p w14:paraId="392D16C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CECE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E3E66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0BEF7D" w14:textId="77777777" w:rsidR="00000000" w:rsidRDefault="001826C1">
            <w:pPr>
              <w:jc w:val="right"/>
              <w:rPr>
                <w:rFonts w:eastAsia="Times New Roman"/>
                <w:sz w:val="20"/>
                <w:szCs w:val="20"/>
              </w:rPr>
            </w:pPr>
            <w:r>
              <w:rPr>
                <w:rFonts w:eastAsia="Times New Roman"/>
                <w:sz w:val="20"/>
                <w:szCs w:val="20"/>
              </w:rPr>
              <w:t>65,142,460</w:t>
            </w:r>
          </w:p>
        </w:tc>
        <w:tc>
          <w:tcPr>
            <w:tcW w:w="0" w:type="auto"/>
            <w:shd w:val="clear" w:color="auto" w:fill="CCEEFF"/>
            <w:vAlign w:val="bottom"/>
            <w:hideMark/>
          </w:tcPr>
          <w:p w14:paraId="0BEF6CF9" w14:textId="77777777" w:rsidR="00000000" w:rsidRDefault="001826C1">
            <w:pPr>
              <w:rPr>
                <w:rFonts w:eastAsia="Times New Roman"/>
                <w:sz w:val="20"/>
                <w:szCs w:val="20"/>
              </w:rPr>
            </w:pPr>
            <w:r>
              <w:rPr>
                <w:rFonts w:eastAsia="Times New Roman"/>
                <w:sz w:val="20"/>
                <w:szCs w:val="20"/>
              </w:rPr>
              <w:t> </w:t>
            </w:r>
          </w:p>
        </w:tc>
      </w:tr>
      <w:tr w:rsidR="00000000" w14:paraId="26BAAA7F" w14:textId="77777777">
        <w:tc>
          <w:tcPr>
            <w:tcW w:w="0" w:type="auto"/>
            <w:shd w:val="clear" w:color="auto" w:fill="FFFFFF"/>
            <w:vAlign w:val="bottom"/>
            <w:hideMark/>
          </w:tcPr>
          <w:p w14:paraId="1FD8B63D" w14:textId="77777777" w:rsidR="00000000" w:rsidRDefault="001826C1">
            <w:pPr>
              <w:rPr>
                <w:rFonts w:eastAsia="Times New Roman"/>
                <w:sz w:val="20"/>
                <w:szCs w:val="20"/>
              </w:rPr>
            </w:pPr>
            <w:r>
              <w:rPr>
                <w:rFonts w:eastAsia="Times New Roman"/>
                <w:sz w:val="20"/>
                <w:szCs w:val="20"/>
              </w:rPr>
              <w:t>Accumulated deficit</w:t>
            </w:r>
          </w:p>
        </w:tc>
        <w:tc>
          <w:tcPr>
            <w:tcW w:w="0" w:type="auto"/>
            <w:shd w:val="clear" w:color="auto" w:fill="FFFFFF"/>
            <w:vAlign w:val="bottom"/>
            <w:hideMark/>
          </w:tcPr>
          <w:p w14:paraId="57D401A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4F2B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38EF5D" w14:textId="77777777" w:rsidR="00000000" w:rsidRDefault="001826C1">
            <w:pPr>
              <w:jc w:val="right"/>
              <w:rPr>
                <w:rFonts w:eastAsia="Times New Roman"/>
                <w:sz w:val="20"/>
                <w:szCs w:val="20"/>
              </w:rPr>
            </w:pPr>
            <w:r>
              <w:rPr>
                <w:rFonts w:eastAsia="Times New Roman"/>
                <w:sz w:val="20"/>
                <w:szCs w:val="20"/>
              </w:rPr>
              <w:t>(25,075,545</w:t>
            </w:r>
          </w:p>
        </w:tc>
        <w:tc>
          <w:tcPr>
            <w:tcW w:w="0" w:type="auto"/>
            <w:shd w:val="clear" w:color="auto" w:fill="FFFFFF"/>
            <w:vAlign w:val="bottom"/>
            <w:hideMark/>
          </w:tcPr>
          <w:p w14:paraId="4E43804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E9DE8A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F44B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0DDE14" w14:textId="77777777" w:rsidR="00000000" w:rsidRDefault="001826C1">
            <w:pPr>
              <w:jc w:val="right"/>
              <w:rPr>
                <w:rFonts w:eastAsia="Times New Roman"/>
                <w:sz w:val="20"/>
                <w:szCs w:val="20"/>
              </w:rPr>
            </w:pPr>
            <w:r>
              <w:rPr>
                <w:rFonts w:eastAsia="Times New Roman"/>
                <w:sz w:val="20"/>
                <w:szCs w:val="20"/>
              </w:rPr>
              <w:t>(24,203,745</w:t>
            </w:r>
          </w:p>
        </w:tc>
        <w:tc>
          <w:tcPr>
            <w:tcW w:w="0" w:type="auto"/>
            <w:shd w:val="clear" w:color="auto" w:fill="FFFFFF"/>
            <w:vAlign w:val="bottom"/>
            <w:hideMark/>
          </w:tcPr>
          <w:p w14:paraId="540D8BD7" w14:textId="77777777" w:rsidR="00000000" w:rsidRDefault="001826C1">
            <w:pPr>
              <w:rPr>
                <w:rFonts w:eastAsia="Times New Roman"/>
                <w:sz w:val="20"/>
                <w:szCs w:val="20"/>
              </w:rPr>
            </w:pPr>
            <w:r>
              <w:rPr>
                <w:rFonts w:eastAsia="Times New Roman"/>
                <w:sz w:val="20"/>
                <w:szCs w:val="20"/>
              </w:rPr>
              <w:t>)</w:t>
            </w:r>
          </w:p>
        </w:tc>
      </w:tr>
      <w:tr w:rsidR="00000000" w14:paraId="1BD40331" w14:textId="77777777">
        <w:tc>
          <w:tcPr>
            <w:tcW w:w="0" w:type="auto"/>
            <w:shd w:val="clear" w:color="auto" w:fill="CCEEFF"/>
            <w:vAlign w:val="bottom"/>
            <w:hideMark/>
          </w:tcPr>
          <w:p w14:paraId="622B997C" w14:textId="77777777" w:rsidR="00000000" w:rsidRDefault="001826C1">
            <w:pPr>
              <w:rPr>
                <w:rFonts w:eastAsia="Times New Roman"/>
                <w:sz w:val="20"/>
                <w:szCs w:val="20"/>
              </w:rPr>
            </w:pPr>
            <w:r>
              <w:rPr>
                <w:rFonts w:eastAsia="Times New Roman"/>
                <w:sz w:val="20"/>
                <w:szCs w:val="20"/>
              </w:rPr>
              <w:t>Accumulated other comprehensive loss</w:t>
            </w:r>
          </w:p>
        </w:tc>
        <w:tc>
          <w:tcPr>
            <w:tcW w:w="0" w:type="auto"/>
            <w:shd w:val="clear" w:color="auto" w:fill="CCEEFF"/>
            <w:vAlign w:val="bottom"/>
            <w:hideMark/>
          </w:tcPr>
          <w:p w14:paraId="3DAC119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2BF57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4E318" w14:textId="77777777" w:rsidR="00000000" w:rsidRDefault="001826C1">
            <w:pPr>
              <w:jc w:val="right"/>
              <w:rPr>
                <w:rFonts w:eastAsia="Times New Roman"/>
                <w:sz w:val="20"/>
                <w:szCs w:val="20"/>
              </w:rPr>
            </w:pPr>
            <w:r>
              <w:rPr>
                <w:rFonts w:eastAsia="Times New Roman"/>
                <w:sz w:val="20"/>
                <w:szCs w:val="20"/>
              </w:rPr>
              <w:t>(843,014</w:t>
            </w:r>
          </w:p>
        </w:tc>
        <w:tc>
          <w:tcPr>
            <w:tcW w:w="0" w:type="auto"/>
            <w:shd w:val="clear" w:color="auto" w:fill="CCEEFF"/>
            <w:vAlign w:val="bottom"/>
            <w:hideMark/>
          </w:tcPr>
          <w:p w14:paraId="2138FC24"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22DC48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DA16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8C35AE" w14:textId="77777777" w:rsidR="00000000" w:rsidRDefault="001826C1">
            <w:pPr>
              <w:jc w:val="right"/>
              <w:rPr>
                <w:rFonts w:eastAsia="Times New Roman"/>
                <w:sz w:val="20"/>
                <w:szCs w:val="20"/>
              </w:rPr>
            </w:pPr>
            <w:r>
              <w:rPr>
                <w:rFonts w:eastAsia="Times New Roman"/>
                <w:sz w:val="20"/>
                <w:szCs w:val="20"/>
              </w:rPr>
              <w:t>(1,421,068</w:t>
            </w:r>
          </w:p>
        </w:tc>
        <w:tc>
          <w:tcPr>
            <w:tcW w:w="0" w:type="auto"/>
            <w:shd w:val="clear" w:color="auto" w:fill="CCEEFF"/>
            <w:vAlign w:val="bottom"/>
            <w:hideMark/>
          </w:tcPr>
          <w:p w14:paraId="72F428F4" w14:textId="77777777" w:rsidR="00000000" w:rsidRDefault="001826C1">
            <w:pPr>
              <w:rPr>
                <w:rFonts w:eastAsia="Times New Roman"/>
                <w:sz w:val="20"/>
                <w:szCs w:val="20"/>
              </w:rPr>
            </w:pPr>
            <w:r>
              <w:rPr>
                <w:rFonts w:eastAsia="Times New Roman"/>
                <w:sz w:val="20"/>
                <w:szCs w:val="20"/>
              </w:rPr>
              <w:t>)</w:t>
            </w:r>
          </w:p>
        </w:tc>
      </w:tr>
      <w:tr w:rsidR="00000000" w14:paraId="451EE0D5" w14:textId="77777777">
        <w:tc>
          <w:tcPr>
            <w:tcW w:w="0" w:type="auto"/>
            <w:shd w:val="clear" w:color="auto" w:fill="FFFFFF"/>
            <w:tcMar>
              <w:top w:w="0" w:type="dxa"/>
              <w:left w:w="0" w:type="dxa"/>
              <w:bottom w:w="30" w:type="dxa"/>
              <w:right w:w="0" w:type="dxa"/>
            </w:tcMar>
            <w:vAlign w:val="bottom"/>
            <w:hideMark/>
          </w:tcPr>
          <w:p w14:paraId="2F8B2DAB" w14:textId="77777777" w:rsidR="00000000" w:rsidRDefault="001826C1">
            <w:pPr>
              <w:rPr>
                <w:rFonts w:eastAsia="Times New Roman"/>
                <w:sz w:val="20"/>
                <w:szCs w:val="20"/>
              </w:rPr>
            </w:pPr>
            <w:r>
              <w:rPr>
                <w:rFonts w:eastAsia="Times New Roman"/>
                <w:sz w:val="20"/>
                <w:szCs w:val="20"/>
              </w:rPr>
              <w:t>Less: 740,799 common shares held in treasury, at cost at December 31, 2019 and December 31, 2018</w:t>
            </w:r>
          </w:p>
        </w:tc>
        <w:tc>
          <w:tcPr>
            <w:tcW w:w="0" w:type="auto"/>
            <w:shd w:val="clear" w:color="auto" w:fill="FFFFFF"/>
            <w:tcMar>
              <w:top w:w="0" w:type="dxa"/>
              <w:left w:w="0" w:type="dxa"/>
              <w:bottom w:w="30" w:type="dxa"/>
              <w:right w:w="0" w:type="dxa"/>
            </w:tcMar>
            <w:vAlign w:val="bottom"/>
            <w:hideMark/>
          </w:tcPr>
          <w:p w14:paraId="0963BBD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228C10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80FDD0" w14:textId="77777777" w:rsidR="00000000" w:rsidRDefault="001826C1">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14:paraId="6F95BBB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E508E8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378343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773EA0" w14:textId="77777777" w:rsidR="00000000" w:rsidRDefault="001826C1">
            <w:pPr>
              <w:jc w:val="right"/>
              <w:rPr>
                <w:rFonts w:eastAsia="Times New Roman"/>
                <w:sz w:val="20"/>
                <w:szCs w:val="20"/>
              </w:rPr>
            </w:pPr>
            <w:r>
              <w:rPr>
                <w:rFonts w:eastAsia="Times New Roman"/>
                <w:sz w:val="20"/>
                <w:szCs w:val="20"/>
              </w:rPr>
              <w:t>(662,000</w:t>
            </w:r>
          </w:p>
        </w:tc>
        <w:tc>
          <w:tcPr>
            <w:tcW w:w="0" w:type="auto"/>
            <w:shd w:val="clear" w:color="auto" w:fill="FFFFFF"/>
            <w:tcMar>
              <w:top w:w="0" w:type="dxa"/>
              <w:left w:w="0" w:type="dxa"/>
              <w:bottom w:w="30" w:type="dxa"/>
              <w:right w:w="0" w:type="dxa"/>
            </w:tcMar>
            <w:vAlign w:val="bottom"/>
            <w:hideMark/>
          </w:tcPr>
          <w:p w14:paraId="0AAA5F83" w14:textId="77777777" w:rsidR="00000000" w:rsidRDefault="001826C1">
            <w:pPr>
              <w:rPr>
                <w:rFonts w:eastAsia="Times New Roman"/>
                <w:sz w:val="20"/>
                <w:szCs w:val="20"/>
              </w:rPr>
            </w:pPr>
            <w:r>
              <w:rPr>
                <w:rFonts w:eastAsia="Times New Roman"/>
                <w:sz w:val="20"/>
                <w:szCs w:val="20"/>
              </w:rPr>
              <w:t>)</w:t>
            </w:r>
          </w:p>
        </w:tc>
      </w:tr>
      <w:tr w:rsidR="00000000" w14:paraId="58F1BA87" w14:textId="77777777">
        <w:tc>
          <w:tcPr>
            <w:tcW w:w="0" w:type="auto"/>
            <w:shd w:val="clear" w:color="auto" w:fill="CCEEFF"/>
            <w:tcMar>
              <w:top w:w="0" w:type="dxa"/>
              <w:left w:w="0" w:type="dxa"/>
              <w:bottom w:w="30" w:type="dxa"/>
              <w:right w:w="0" w:type="dxa"/>
            </w:tcMar>
            <w:vAlign w:val="bottom"/>
            <w:hideMark/>
          </w:tcPr>
          <w:p w14:paraId="4CA426B7" w14:textId="77777777" w:rsidR="00000000" w:rsidRDefault="001826C1">
            <w:pPr>
              <w:rPr>
                <w:rFonts w:eastAsia="Times New Roman"/>
                <w:sz w:val="20"/>
                <w:szCs w:val="20"/>
              </w:rPr>
            </w:pPr>
            <w:r>
              <w:rPr>
                <w:rFonts w:eastAsia="Times New Roman"/>
                <w:sz w:val="20"/>
                <w:szCs w:val="20"/>
              </w:rPr>
              <w:t>Total shareholders’ equity</w:t>
            </w:r>
          </w:p>
        </w:tc>
        <w:tc>
          <w:tcPr>
            <w:tcW w:w="0" w:type="auto"/>
            <w:shd w:val="clear" w:color="auto" w:fill="CCEEFF"/>
            <w:tcMar>
              <w:top w:w="0" w:type="dxa"/>
              <w:left w:w="0" w:type="dxa"/>
              <w:bottom w:w="30" w:type="dxa"/>
              <w:right w:w="0" w:type="dxa"/>
            </w:tcMar>
            <w:vAlign w:val="bottom"/>
            <w:hideMark/>
          </w:tcPr>
          <w:p w14:paraId="506E246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7863A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93F9C0" w14:textId="77777777" w:rsidR="00000000" w:rsidRDefault="001826C1">
            <w:pPr>
              <w:jc w:val="right"/>
              <w:rPr>
                <w:rFonts w:eastAsia="Times New Roman"/>
                <w:sz w:val="20"/>
                <w:szCs w:val="20"/>
              </w:rPr>
            </w:pPr>
            <w:r>
              <w:rPr>
                <w:rFonts w:eastAsia="Times New Roman"/>
                <w:sz w:val="20"/>
                <w:szCs w:val="20"/>
              </w:rPr>
              <w:t>42,838,325</w:t>
            </w:r>
          </w:p>
        </w:tc>
        <w:tc>
          <w:tcPr>
            <w:tcW w:w="0" w:type="auto"/>
            <w:shd w:val="clear" w:color="auto" w:fill="CCEEFF"/>
            <w:tcMar>
              <w:top w:w="0" w:type="dxa"/>
              <w:left w:w="0" w:type="dxa"/>
              <w:bottom w:w="30" w:type="dxa"/>
              <w:right w:w="0" w:type="dxa"/>
            </w:tcMar>
            <w:vAlign w:val="bottom"/>
            <w:hideMark/>
          </w:tcPr>
          <w:p w14:paraId="44E10CC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8B4C3F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9CF2DC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C1D0576" w14:textId="77777777" w:rsidR="00000000" w:rsidRDefault="001826C1">
            <w:pPr>
              <w:jc w:val="right"/>
              <w:rPr>
                <w:rFonts w:eastAsia="Times New Roman"/>
                <w:sz w:val="20"/>
                <w:szCs w:val="20"/>
              </w:rPr>
            </w:pPr>
            <w:r>
              <w:rPr>
                <w:rFonts w:eastAsia="Times New Roman"/>
                <w:sz w:val="20"/>
                <w:szCs w:val="20"/>
              </w:rPr>
              <w:t>38,870,354</w:t>
            </w:r>
          </w:p>
        </w:tc>
        <w:tc>
          <w:tcPr>
            <w:tcW w:w="0" w:type="auto"/>
            <w:shd w:val="clear" w:color="auto" w:fill="CCEEFF"/>
            <w:tcMar>
              <w:top w:w="0" w:type="dxa"/>
              <w:left w:w="0" w:type="dxa"/>
              <w:bottom w:w="30" w:type="dxa"/>
              <w:right w:w="0" w:type="dxa"/>
            </w:tcMar>
            <w:vAlign w:val="bottom"/>
            <w:hideMark/>
          </w:tcPr>
          <w:p w14:paraId="4067609A" w14:textId="77777777" w:rsidR="00000000" w:rsidRDefault="001826C1">
            <w:pPr>
              <w:rPr>
                <w:rFonts w:eastAsia="Times New Roman"/>
                <w:sz w:val="20"/>
                <w:szCs w:val="20"/>
              </w:rPr>
            </w:pPr>
            <w:r>
              <w:rPr>
                <w:rFonts w:eastAsia="Times New Roman"/>
                <w:sz w:val="20"/>
                <w:szCs w:val="20"/>
              </w:rPr>
              <w:t> </w:t>
            </w:r>
          </w:p>
        </w:tc>
      </w:tr>
      <w:tr w:rsidR="00000000" w14:paraId="451C4321" w14:textId="77777777">
        <w:tc>
          <w:tcPr>
            <w:tcW w:w="0" w:type="auto"/>
            <w:shd w:val="clear" w:color="auto" w:fill="FFFFFF"/>
            <w:tcMar>
              <w:top w:w="0" w:type="dxa"/>
              <w:left w:w="0" w:type="dxa"/>
              <w:bottom w:w="50" w:type="dxa"/>
              <w:right w:w="0" w:type="dxa"/>
            </w:tcMar>
            <w:vAlign w:val="bottom"/>
            <w:hideMark/>
          </w:tcPr>
          <w:p w14:paraId="4C8DAAED" w14:textId="77777777" w:rsidR="00000000" w:rsidRDefault="001826C1">
            <w:pPr>
              <w:rPr>
                <w:rFonts w:eastAsia="Times New Roman"/>
                <w:sz w:val="20"/>
                <w:szCs w:val="20"/>
              </w:rPr>
            </w:pPr>
            <w:r>
              <w:rPr>
                <w:rFonts w:eastAsia="Times New Roman"/>
                <w:sz w:val="20"/>
                <w:szCs w:val="20"/>
              </w:rPr>
              <w:t>TOTAL LIABILITIES AND SHAREHOLDERS’ EQUITY</w:t>
            </w:r>
          </w:p>
        </w:tc>
        <w:tc>
          <w:tcPr>
            <w:tcW w:w="0" w:type="auto"/>
            <w:shd w:val="clear" w:color="auto" w:fill="FFFFFF"/>
            <w:tcMar>
              <w:top w:w="0" w:type="dxa"/>
              <w:left w:w="0" w:type="dxa"/>
              <w:bottom w:w="50" w:type="dxa"/>
              <w:right w:w="0" w:type="dxa"/>
            </w:tcMar>
            <w:vAlign w:val="bottom"/>
            <w:hideMark/>
          </w:tcPr>
          <w:p w14:paraId="71E336C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4B9C46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5B0F90A" w14:textId="77777777" w:rsidR="00000000" w:rsidRDefault="001826C1">
            <w:pPr>
              <w:jc w:val="right"/>
              <w:rPr>
                <w:rFonts w:eastAsia="Times New Roman"/>
                <w:sz w:val="20"/>
                <w:szCs w:val="20"/>
              </w:rPr>
            </w:pPr>
            <w:r>
              <w:rPr>
                <w:rFonts w:eastAsia="Times New Roman"/>
                <w:sz w:val="20"/>
                <w:szCs w:val="20"/>
              </w:rPr>
              <w:t>56,403,465</w:t>
            </w:r>
          </w:p>
        </w:tc>
        <w:tc>
          <w:tcPr>
            <w:tcW w:w="0" w:type="auto"/>
            <w:shd w:val="clear" w:color="auto" w:fill="FFFFFF"/>
            <w:tcMar>
              <w:top w:w="0" w:type="dxa"/>
              <w:left w:w="0" w:type="dxa"/>
              <w:bottom w:w="50" w:type="dxa"/>
              <w:right w:w="0" w:type="dxa"/>
            </w:tcMar>
            <w:vAlign w:val="bottom"/>
            <w:hideMark/>
          </w:tcPr>
          <w:p w14:paraId="014EC90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681F312"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56CCD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6FDF8A0" w14:textId="77777777" w:rsidR="00000000" w:rsidRDefault="001826C1">
            <w:pPr>
              <w:jc w:val="right"/>
              <w:rPr>
                <w:rFonts w:eastAsia="Times New Roman"/>
                <w:sz w:val="20"/>
                <w:szCs w:val="20"/>
              </w:rPr>
            </w:pPr>
            <w:r>
              <w:rPr>
                <w:rFonts w:eastAsia="Times New Roman"/>
                <w:sz w:val="20"/>
                <w:szCs w:val="20"/>
              </w:rPr>
              <w:t>47,623,361</w:t>
            </w:r>
          </w:p>
        </w:tc>
        <w:tc>
          <w:tcPr>
            <w:tcW w:w="0" w:type="auto"/>
            <w:shd w:val="clear" w:color="auto" w:fill="FFFFFF"/>
            <w:tcMar>
              <w:top w:w="0" w:type="dxa"/>
              <w:left w:w="0" w:type="dxa"/>
              <w:bottom w:w="50" w:type="dxa"/>
              <w:right w:w="0" w:type="dxa"/>
            </w:tcMar>
            <w:vAlign w:val="bottom"/>
            <w:hideMark/>
          </w:tcPr>
          <w:p w14:paraId="6837F0C2" w14:textId="77777777" w:rsidR="00000000" w:rsidRDefault="001826C1">
            <w:pPr>
              <w:rPr>
                <w:rFonts w:eastAsia="Times New Roman"/>
                <w:sz w:val="20"/>
                <w:szCs w:val="20"/>
              </w:rPr>
            </w:pPr>
            <w:r>
              <w:rPr>
                <w:rFonts w:eastAsia="Times New Roman"/>
                <w:sz w:val="20"/>
                <w:szCs w:val="20"/>
              </w:rPr>
              <w:t> </w:t>
            </w:r>
          </w:p>
        </w:tc>
      </w:tr>
    </w:tbl>
    <w:p w14:paraId="68481E1B" w14:textId="77777777" w:rsidR="00000000" w:rsidRDefault="001826C1">
      <w:pPr>
        <w:pStyle w:val="a3"/>
        <w:spacing w:before="0" w:beforeAutospacing="0" w:after="0" w:afterAutospacing="0"/>
        <w:rPr>
          <w:sz w:val="20"/>
          <w:szCs w:val="20"/>
        </w:rPr>
      </w:pPr>
      <w:r>
        <w:rPr>
          <w:sz w:val="20"/>
          <w:szCs w:val="20"/>
        </w:rPr>
        <w:t> </w:t>
      </w:r>
    </w:p>
    <w:p w14:paraId="31B7D8D6" w14:textId="77777777" w:rsidR="00000000" w:rsidRDefault="001826C1">
      <w:pPr>
        <w:pStyle w:val="a3"/>
        <w:spacing w:before="0" w:beforeAutospacing="0" w:after="0" w:afterAutospacing="0"/>
        <w:rPr>
          <w:sz w:val="20"/>
          <w:szCs w:val="20"/>
        </w:rPr>
      </w:pPr>
      <w:r>
        <w:rPr>
          <w:sz w:val="20"/>
          <w:szCs w:val="20"/>
        </w:rPr>
        <w:t>See notes to consolidated financial statements.</w:t>
      </w:r>
    </w:p>
    <w:p w14:paraId="75065A36"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C27099B" w14:textId="77777777">
        <w:trPr>
          <w:divId w:val="793447593"/>
        </w:trPr>
        <w:tc>
          <w:tcPr>
            <w:tcW w:w="5000" w:type="pct"/>
            <w:hideMark/>
          </w:tcPr>
          <w:p w14:paraId="0FBFCCF8"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2379CF1C" w14:textId="77777777">
        <w:tc>
          <w:tcPr>
            <w:tcW w:w="5000" w:type="pct"/>
            <w:hideMark/>
          </w:tcPr>
          <w:p w14:paraId="10A84C0A" w14:textId="77777777" w:rsidR="00000000" w:rsidRDefault="001826C1">
            <w:pPr>
              <w:jc w:val="center"/>
              <w:rPr>
                <w:rFonts w:eastAsia="Times New Roman"/>
                <w:sz w:val="20"/>
                <w:szCs w:val="20"/>
              </w:rPr>
            </w:pPr>
            <w:r>
              <w:rPr>
                <w:rFonts w:eastAsia="Times New Roman"/>
                <w:sz w:val="20"/>
                <w:szCs w:val="20"/>
              </w:rPr>
              <w:t> </w:t>
            </w:r>
          </w:p>
        </w:tc>
      </w:tr>
    </w:tbl>
    <w:p w14:paraId="130B36D9" w14:textId="77777777" w:rsidR="00000000" w:rsidRDefault="001826C1">
      <w:pPr>
        <w:pStyle w:val="a3"/>
        <w:spacing w:before="0" w:beforeAutospacing="0" w:after="0" w:afterAutospacing="0"/>
        <w:rPr>
          <w:sz w:val="20"/>
          <w:szCs w:val="20"/>
        </w:rPr>
      </w:pPr>
      <w:r>
        <w:rPr>
          <w:sz w:val="20"/>
          <w:szCs w:val="20"/>
        </w:rPr>
        <w:t> </w:t>
      </w:r>
    </w:p>
    <w:p w14:paraId="3043D5DC" w14:textId="77777777" w:rsidR="00000000" w:rsidRDefault="001826C1">
      <w:pPr>
        <w:pStyle w:val="a3"/>
        <w:spacing w:before="0" w:beforeAutospacing="0" w:after="0" w:afterAutospacing="0"/>
        <w:jc w:val="center"/>
        <w:rPr>
          <w:sz w:val="20"/>
          <w:szCs w:val="20"/>
        </w:rPr>
      </w:pPr>
      <w:r>
        <w:rPr>
          <w:b/>
          <w:bCs/>
          <w:sz w:val="20"/>
          <w:szCs w:val="20"/>
        </w:rPr>
        <w:t>MTBC, INC.</w:t>
      </w:r>
    </w:p>
    <w:p w14:paraId="35702726" w14:textId="77777777" w:rsidR="00000000" w:rsidRDefault="001826C1">
      <w:pPr>
        <w:pStyle w:val="a3"/>
        <w:spacing w:before="0" w:beforeAutospacing="0" w:after="0" w:afterAutospacing="0"/>
        <w:jc w:val="center"/>
        <w:rPr>
          <w:sz w:val="20"/>
          <w:szCs w:val="20"/>
        </w:rPr>
      </w:pPr>
      <w:bookmarkStart w:id="27" w:name="a_026"/>
      <w:bookmarkEnd w:id="27"/>
      <w:r>
        <w:rPr>
          <w:b/>
          <w:bCs/>
          <w:sz w:val="20"/>
          <w:szCs w:val="20"/>
        </w:rPr>
        <w:t>CONSOLIDATED STATEMENTS OF OPERATIONS</w:t>
      </w:r>
    </w:p>
    <w:p w14:paraId="2A9AA88F" w14:textId="77777777" w:rsidR="00000000" w:rsidRDefault="001826C1">
      <w:pPr>
        <w:pStyle w:val="a3"/>
        <w:pBdr>
          <w:bottom w:val="single" w:sz="12" w:space="0" w:color="000000"/>
        </w:pBdr>
        <w:spacing w:before="0" w:beforeAutospacing="0" w:after="0" w:afterAutospacing="0"/>
        <w:jc w:val="center"/>
        <w:rPr>
          <w:sz w:val="20"/>
          <w:szCs w:val="20"/>
        </w:rPr>
      </w:pPr>
      <w:r>
        <w:rPr>
          <w:b/>
          <w:bCs/>
          <w:sz w:val="20"/>
          <w:szCs w:val="20"/>
        </w:rPr>
        <w:t xml:space="preserve">FOR </w:t>
      </w:r>
      <w:r>
        <w:rPr>
          <w:b/>
          <w:bCs/>
          <w:sz w:val="20"/>
          <w:szCs w:val="20"/>
        </w:rPr>
        <w:t>THE YEARS ENDED DECEMBER 31, 2019 AND 2018</w:t>
      </w:r>
    </w:p>
    <w:p w14:paraId="0A4141EE"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05D0D153" w14:textId="77777777">
        <w:tc>
          <w:tcPr>
            <w:tcW w:w="0" w:type="auto"/>
            <w:vAlign w:val="bottom"/>
            <w:hideMark/>
          </w:tcPr>
          <w:p w14:paraId="048B01FC"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3D7CEB3"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921A508"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4AC51559" w14:textId="77777777" w:rsidR="00000000" w:rsidRDefault="001826C1">
            <w:pPr>
              <w:rPr>
                <w:rFonts w:eastAsia="Times New Roman"/>
                <w:b/>
                <w:bCs/>
                <w:sz w:val="20"/>
                <w:szCs w:val="20"/>
              </w:rPr>
            </w:pPr>
            <w:r>
              <w:rPr>
                <w:rFonts w:eastAsia="Times New Roman"/>
                <w:b/>
                <w:bCs/>
                <w:sz w:val="20"/>
                <w:szCs w:val="20"/>
              </w:rPr>
              <w:t> </w:t>
            </w:r>
          </w:p>
        </w:tc>
      </w:tr>
      <w:tr w:rsidR="00000000" w14:paraId="03E153B3" w14:textId="77777777">
        <w:tc>
          <w:tcPr>
            <w:tcW w:w="0" w:type="auto"/>
            <w:vAlign w:val="bottom"/>
            <w:hideMark/>
          </w:tcPr>
          <w:p w14:paraId="36FB1666"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997183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48851DE"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CB9765B"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1FE708E"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930B5DB"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7CBD43DC" w14:textId="77777777" w:rsidR="00000000" w:rsidRDefault="001826C1">
            <w:pPr>
              <w:rPr>
                <w:rFonts w:eastAsia="Times New Roman"/>
                <w:b/>
                <w:bCs/>
                <w:sz w:val="20"/>
                <w:szCs w:val="20"/>
              </w:rPr>
            </w:pPr>
            <w:r>
              <w:rPr>
                <w:rFonts w:eastAsia="Times New Roman"/>
                <w:b/>
                <w:bCs/>
                <w:sz w:val="20"/>
                <w:szCs w:val="20"/>
              </w:rPr>
              <w:t> </w:t>
            </w:r>
          </w:p>
        </w:tc>
      </w:tr>
      <w:tr w:rsidR="00000000" w14:paraId="353D5B91" w14:textId="77777777">
        <w:tc>
          <w:tcPr>
            <w:tcW w:w="3400" w:type="pct"/>
            <w:shd w:val="clear" w:color="auto" w:fill="CCEEFF"/>
            <w:tcMar>
              <w:top w:w="0" w:type="dxa"/>
              <w:left w:w="0" w:type="dxa"/>
              <w:bottom w:w="30" w:type="dxa"/>
              <w:right w:w="0" w:type="dxa"/>
            </w:tcMar>
            <w:vAlign w:val="bottom"/>
            <w:hideMark/>
          </w:tcPr>
          <w:p w14:paraId="7654A868" w14:textId="77777777" w:rsidR="00000000" w:rsidRDefault="001826C1">
            <w:pPr>
              <w:rPr>
                <w:rFonts w:eastAsia="Times New Roman"/>
                <w:sz w:val="20"/>
                <w:szCs w:val="20"/>
              </w:rPr>
            </w:pPr>
            <w:r>
              <w:rPr>
                <w:rFonts w:eastAsia="Times New Roman"/>
                <w:sz w:val="20"/>
                <w:szCs w:val="20"/>
              </w:rPr>
              <w:t>NET REVENUE</w:t>
            </w:r>
          </w:p>
        </w:tc>
        <w:tc>
          <w:tcPr>
            <w:tcW w:w="100" w:type="pct"/>
            <w:shd w:val="clear" w:color="auto" w:fill="CCEEFF"/>
            <w:tcMar>
              <w:top w:w="0" w:type="dxa"/>
              <w:left w:w="0" w:type="dxa"/>
              <w:bottom w:w="30" w:type="dxa"/>
              <w:right w:w="0" w:type="dxa"/>
            </w:tcMar>
            <w:vAlign w:val="bottom"/>
            <w:hideMark/>
          </w:tcPr>
          <w:p w14:paraId="28CD8855" w14:textId="77777777" w:rsidR="00000000" w:rsidRDefault="001826C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6FF3E3BE" w14:textId="77777777" w:rsidR="00000000" w:rsidRDefault="001826C1">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14:paraId="7A74D912" w14:textId="77777777" w:rsidR="00000000" w:rsidRDefault="001826C1">
            <w:pPr>
              <w:jc w:val="right"/>
              <w:rPr>
                <w:rFonts w:eastAsia="Times New Roman"/>
                <w:sz w:val="20"/>
                <w:szCs w:val="20"/>
              </w:rPr>
            </w:pPr>
            <w:r>
              <w:rPr>
                <w:rFonts w:eastAsia="Times New Roman"/>
                <w:sz w:val="20"/>
                <w:szCs w:val="20"/>
              </w:rPr>
              <w:t>64,438,594</w:t>
            </w:r>
          </w:p>
        </w:tc>
        <w:tc>
          <w:tcPr>
            <w:tcW w:w="50" w:type="pct"/>
            <w:shd w:val="clear" w:color="auto" w:fill="CCEEFF"/>
            <w:tcMar>
              <w:top w:w="0" w:type="dxa"/>
              <w:left w:w="0" w:type="dxa"/>
              <w:bottom w:w="30" w:type="dxa"/>
              <w:right w:w="0" w:type="dxa"/>
            </w:tcMar>
            <w:vAlign w:val="bottom"/>
            <w:hideMark/>
          </w:tcPr>
          <w:p w14:paraId="6FB87ADA"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30" w:type="dxa"/>
              <w:right w:w="0" w:type="dxa"/>
            </w:tcMar>
            <w:vAlign w:val="bottom"/>
            <w:hideMark/>
          </w:tcPr>
          <w:p w14:paraId="134DEC04" w14:textId="77777777" w:rsidR="00000000" w:rsidRDefault="001826C1">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14:paraId="2F6421CE" w14:textId="77777777" w:rsidR="00000000" w:rsidRDefault="001826C1">
            <w:pPr>
              <w:rPr>
                <w:rFonts w:eastAsia="Times New Roman"/>
                <w:sz w:val="20"/>
                <w:szCs w:val="20"/>
              </w:rPr>
            </w:pPr>
            <w:r>
              <w:rPr>
                <w:rFonts w:eastAsia="Times New Roman"/>
                <w:sz w:val="20"/>
                <w:szCs w:val="20"/>
              </w:rPr>
              <w:t>$</w:t>
            </w:r>
          </w:p>
        </w:tc>
        <w:tc>
          <w:tcPr>
            <w:tcW w:w="600" w:type="pct"/>
            <w:tcBorders>
              <w:bottom w:val="single" w:sz="12" w:space="0" w:color="000000"/>
            </w:tcBorders>
            <w:shd w:val="clear" w:color="auto" w:fill="CCEEFF"/>
            <w:vAlign w:val="bottom"/>
            <w:hideMark/>
          </w:tcPr>
          <w:p w14:paraId="2F71B933" w14:textId="77777777" w:rsidR="00000000" w:rsidRDefault="001826C1">
            <w:pPr>
              <w:jc w:val="right"/>
              <w:rPr>
                <w:rFonts w:eastAsia="Times New Roman"/>
                <w:sz w:val="20"/>
                <w:szCs w:val="20"/>
              </w:rPr>
            </w:pPr>
            <w:r>
              <w:rPr>
                <w:rFonts w:eastAsia="Times New Roman"/>
                <w:sz w:val="20"/>
                <w:szCs w:val="20"/>
              </w:rPr>
              <w:t>50,545,781</w:t>
            </w:r>
          </w:p>
        </w:tc>
        <w:tc>
          <w:tcPr>
            <w:tcW w:w="50" w:type="pct"/>
            <w:shd w:val="clear" w:color="auto" w:fill="CCEEFF"/>
            <w:tcMar>
              <w:top w:w="0" w:type="dxa"/>
              <w:left w:w="0" w:type="dxa"/>
              <w:bottom w:w="30" w:type="dxa"/>
              <w:right w:w="0" w:type="dxa"/>
            </w:tcMar>
            <w:vAlign w:val="bottom"/>
            <w:hideMark/>
          </w:tcPr>
          <w:p w14:paraId="38DA9971" w14:textId="77777777" w:rsidR="00000000" w:rsidRDefault="001826C1">
            <w:pPr>
              <w:rPr>
                <w:rFonts w:eastAsia="Times New Roman"/>
                <w:sz w:val="20"/>
                <w:szCs w:val="20"/>
              </w:rPr>
            </w:pPr>
            <w:r>
              <w:rPr>
                <w:rFonts w:eastAsia="Times New Roman"/>
                <w:sz w:val="20"/>
                <w:szCs w:val="20"/>
              </w:rPr>
              <w:t> </w:t>
            </w:r>
          </w:p>
        </w:tc>
      </w:tr>
      <w:tr w:rsidR="00000000" w14:paraId="6F16723C" w14:textId="77777777">
        <w:tc>
          <w:tcPr>
            <w:tcW w:w="0" w:type="auto"/>
            <w:shd w:val="clear" w:color="auto" w:fill="FFFFFF"/>
            <w:vAlign w:val="bottom"/>
            <w:hideMark/>
          </w:tcPr>
          <w:p w14:paraId="0DEEA983" w14:textId="77777777" w:rsidR="00000000" w:rsidRDefault="001826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17E9C64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687AC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3A9D6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8B536F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0B2EB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0C4C7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DF5D1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D02CA43" w14:textId="77777777" w:rsidR="00000000" w:rsidRDefault="001826C1">
            <w:pPr>
              <w:rPr>
                <w:rFonts w:eastAsia="Times New Roman"/>
                <w:sz w:val="20"/>
                <w:szCs w:val="20"/>
              </w:rPr>
            </w:pPr>
            <w:r>
              <w:rPr>
                <w:rFonts w:eastAsia="Times New Roman"/>
                <w:sz w:val="20"/>
                <w:szCs w:val="20"/>
              </w:rPr>
              <w:t> </w:t>
            </w:r>
          </w:p>
        </w:tc>
      </w:tr>
      <w:tr w:rsidR="00000000" w14:paraId="64DFBF75" w14:textId="77777777">
        <w:tc>
          <w:tcPr>
            <w:tcW w:w="0" w:type="auto"/>
            <w:shd w:val="clear" w:color="auto" w:fill="CCEEFF"/>
            <w:tcMar>
              <w:top w:w="0" w:type="dxa"/>
              <w:left w:w="200" w:type="dxa"/>
              <w:bottom w:w="0" w:type="dxa"/>
              <w:right w:w="0" w:type="dxa"/>
            </w:tcMar>
            <w:vAlign w:val="bottom"/>
            <w:hideMark/>
          </w:tcPr>
          <w:p w14:paraId="4B29586A" w14:textId="77777777" w:rsidR="00000000" w:rsidRDefault="001826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0C31B4A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EC0B7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818351" w14:textId="77777777" w:rsidR="00000000" w:rsidRDefault="001826C1">
            <w:pPr>
              <w:jc w:val="right"/>
              <w:rPr>
                <w:rFonts w:eastAsia="Times New Roman"/>
                <w:sz w:val="20"/>
                <w:szCs w:val="20"/>
              </w:rPr>
            </w:pPr>
            <w:r>
              <w:rPr>
                <w:rFonts w:eastAsia="Times New Roman"/>
                <w:sz w:val="20"/>
                <w:szCs w:val="20"/>
              </w:rPr>
              <w:t>41,186,024</w:t>
            </w:r>
          </w:p>
        </w:tc>
        <w:tc>
          <w:tcPr>
            <w:tcW w:w="0" w:type="auto"/>
            <w:shd w:val="clear" w:color="auto" w:fill="CCEEFF"/>
            <w:vAlign w:val="bottom"/>
            <w:hideMark/>
          </w:tcPr>
          <w:p w14:paraId="46978A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9BB7D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E853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C5F58E" w14:textId="77777777" w:rsidR="00000000" w:rsidRDefault="001826C1">
            <w:pPr>
              <w:jc w:val="right"/>
              <w:rPr>
                <w:rFonts w:eastAsia="Times New Roman"/>
                <w:sz w:val="20"/>
                <w:szCs w:val="20"/>
              </w:rPr>
            </w:pPr>
            <w:r>
              <w:rPr>
                <w:rFonts w:eastAsia="Times New Roman"/>
                <w:sz w:val="20"/>
                <w:szCs w:val="20"/>
              </w:rPr>
              <w:t>31,252,535</w:t>
            </w:r>
          </w:p>
        </w:tc>
        <w:tc>
          <w:tcPr>
            <w:tcW w:w="0" w:type="auto"/>
            <w:shd w:val="clear" w:color="auto" w:fill="CCEEFF"/>
            <w:vAlign w:val="bottom"/>
            <w:hideMark/>
          </w:tcPr>
          <w:p w14:paraId="4A6A2379" w14:textId="77777777" w:rsidR="00000000" w:rsidRDefault="001826C1">
            <w:pPr>
              <w:rPr>
                <w:rFonts w:eastAsia="Times New Roman"/>
                <w:sz w:val="20"/>
                <w:szCs w:val="20"/>
              </w:rPr>
            </w:pPr>
            <w:r>
              <w:rPr>
                <w:rFonts w:eastAsia="Times New Roman"/>
                <w:sz w:val="20"/>
                <w:szCs w:val="20"/>
              </w:rPr>
              <w:t> </w:t>
            </w:r>
          </w:p>
        </w:tc>
      </w:tr>
      <w:tr w:rsidR="00000000" w14:paraId="3ECC6C3C" w14:textId="77777777">
        <w:tc>
          <w:tcPr>
            <w:tcW w:w="0" w:type="auto"/>
            <w:shd w:val="clear" w:color="auto" w:fill="FFFFFF"/>
            <w:tcMar>
              <w:top w:w="0" w:type="dxa"/>
              <w:left w:w="200" w:type="dxa"/>
              <w:bottom w:w="0" w:type="dxa"/>
              <w:right w:w="0" w:type="dxa"/>
            </w:tcMar>
            <w:vAlign w:val="bottom"/>
            <w:hideMark/>
          </w:tcPr>
          <w:p w14:paraId="76C0D7EC" w14:textId="77777777" w:rsidR="00000000" w:rsidRDefault="001826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5F2872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C00C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994859" w14:textId="77777777" w:rsidR="00000000" w:rsidRDefault="001826C1">
            <w:pPr>
              <w:jc w:val="right"/>
              <w:rPr>
                <w:rFonts w:eastAsia="Times New Roman"/>
                <w:sz w:val="20"/>
                <w:szCs w:val="20"/>
              </w:rPr>
            </w:pPr>
            <w:r>
              <w:rPr>
                <w:rFonts w:eastAsia="Times New Roman"/>
                <w:sz w:val="20"/>
                <w:szCs w:val="20"/>
              </w:rPr>
              <w:t>1,521,815</w:t>
            </w:r>
          </w:p>
        </w:tc>
        <w:tc>
          <w:tcPr>
            <w:tcW w:w="0" w:type="auto"/>
            <w:shd w:val="clear" w:color="auto" w:fill="FFFFFF"/>
            <w:vAlign w:val="bottom"/>
            <w:hideMark/>
          </w:tcPr>
          <w:p w14:paraId="02794AD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38B8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11A2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A2A75E" w14:textId="77777777" w:rsidR="00000000" w:rsidRDefault="001826C1">
            <w:pPr>
              <w:jc w:val="right"/>
              <w:rPr>
                <w:rFonts w:eastAsia="Times New Roman"/>
                <w:sz w:val="20"/>
                <w:szCs w:val="20"/>
              </w:rPr>
            </w:pPr>
            <w:r>
              <w:rPr>
                <w:rFonts w:eastAsia="Times New Roman"/>
                <w:sz w:val="20"/>
                <w:szCs w:val="20"/>
              </w:rPr>
              <w:t>1,611,982</w:t>
            </w:r>
          </w:p>
        </w:tc>
        <w:tc>
          <w:tcPr>
            <w:tcW w:w="0" w:type="auto"/>
            <w:shd w:val="clear" w:color="auto" w:fill="FFFFFF"/>
            <w:vAlign w:val="bottom"/>
            <w:hideMark/>
          </w:tcPr>
          <w:p w14:paraId="1AFB893B" w14:textId="77777777" w:rsidR="00000000" w:rsidRDefault="001826C1">
            <w:pPr>
              <w:rPr>
                <w:rFonts w:eastAsia="Times New Roman"/>
                <w:sz w:val="20"/>
                <w:szCs w:val="20"/>
              </w:rPr>
            </w:pPr>
            <w:r>
              <w:rPr>
                <w:rFonts w:eastAsia="Times New Roman"/>
                <w:sz w:val="20"/>
                <w:szCs w:val="20"/>
              </w:rPr>
              <w:t> </w:t>
            </w:r>
          </w:p>
        </w:tc>
      </w:tr>
      <w:tr w:rsidR="00000000" w14:paraId="6AE9793C" w14:textId="77777777">
        <w:tc>
          <w:tcPr>
            <w:tcW w:w="0" w:type="auto"/>
            <w:shd w:val="clear" w:color="auto" w:fill="CCEEFF"/>
            <w:tcMar>
              <w:top w:w="0" w:type="dxa"/>
              <w:left w:w="200" w:type="dxa"/>
              <w:bottom w:w="0" w:type="dxa"/>
              <w:right w:w="0" w:type="dxa"/>
            </w:tcMar>
            <w:vAlign w:val="bottom"/>
            <w:hideMark/>
          </w:tcPr>
          <w:p w14:paraId="4360FE6E" w14:textId="77777777" w:rsidR="00000000" w:rsidRDefault="001826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7B0DAA7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523FC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64C8D" w14:textId="77777777" w:rsidR="00000000" w:rsidRDefault="001826C1">
            <w:pPr>
              <w:jc w:val="right"/>
              <w:rPr>
                <w:rFonts w:eastAsia="Times New Roman"/>
                <w:sz w:val="20"/>
                <w:szCs w:val="20"/>
              </w:rPr>
            </w:pPr>
            <w:r>
              <w:rPr>
                <w:rFonts w:eastAsia="Times New Roman"/>
                <w:sz w:val="20"/>
                <w:szCs w:val="20"/>
              </w:rPr>
              <w:t>17,911,797</w:t>
            </w:r>
          </w:p>
        </w:tc>
        <w:tc>
          <w:tcPr>
            <w:tcW w:w="0" w:type="auto"/>
            <w:shd w:val="clear" w:color="auto" w:fill="CCEEFF"/>
            <w:vAlign w:val="bottom"/>
            <w:hideMark/>
          </w:tcPr>
          <w:p w14:paraId="6B9396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F1B4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9997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667C25" w14:textId="77777777" w:rsidR="00000000" w:rsidRDefault="001826C1">
            <w:pPr>
              <w:jc w:val="right"/>
              <w:rPr>
                <w:rFonts w:eastAsia="Times New Roman"/>
                <w:sz w:val="20"/>
                <w:szCs w:val="20"/>
              </w:rPr>
            </w:pPr>
            <w:r>
              <w:rPr>
                <w:rFonts w:eastAsia="Times New Roman"/>
                <w:sz w:val="20"/>
                <w:szCs w:val="20"/>
              </w:rPr>
              <w:t>16,264,473</w:t>
            </w:r>
          </w:p>
        </w:tc>
        <w:tc>
          <w:tcPr>
            <w:tcW w:w="0" w:type="auto"/>
            <w:shd w:val="clear" w:color="auto" w:fill="CCEEFF"/>
            <w:vAlign w:val="bottom"/>
            <w:hideMark/>
          </w:tcPr>
          <w:p w14:paraId="57B58CDA" w14:textId="77777777" w:rsidR="00000000" w:rsidRDefault="001826C1">
            <w:pPr>
              <w:rPr>
                <w:rFonts w:eastAsia="Times New Roman"/>
                <w:sz w:val="20"/>
                <w:szCs w:val="20"/>
              </w:rPr>
            </w:pPr>
            <w:r>
              <w:rPr>
                <w:rFonts w:eastAsia="Times New Roman"/>
                <w:sz w:val="20"/>
                <w:szCs w:val="20"/>
              </w:rPr>
              <w:t> </w:t>
            </w:r>
          </w:p>
        </w:tc>
      </w:tr>
      <w:tr w:rsidR="00000000" w14:paraId="57F5D54F" w14:textId="77777777">
        <w:tc>
          <w:tcPr>
            <w:tcW w:w="0" w:type="auto"/>
            <w:shd w:val="clear" w:color="auto" w:fill="FFFFFF"/>
            <w:tcMar>
              <w:top w:w="0" w:type="dxa"/>
              <w:left w:w="200" w:type="dxa"/>
              <w:bottom w:w="0" w:type="dxa"/>
              <w:right w:w="0" w:type="dxa"/>
            </w:tcMar>
            <w:vAlign w:val="bottom"/>
            <w:hideMark/>
          </w:tcPr>
          <w:p w14:paraId="19DCDE2C" w14:textId="77777777" w:rsidR="00000000" w:rsidRDefault="001826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4943FC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423A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BD4C20" w14:textId="77777777" w:rsidR="00000000" w:rsidRDefault="001826C1">
            <w:pPr>
              <w:jc w:val="right"/>
              <w:rPr>
                <w:rFonts w:eastAsia="Times New Roman"/>
                <w:sz w:val="20"/>
                <w:szCs w:val="20"/>
              </w:rPr>
            </w:pPr>
            <w:r>
              <w:rPr>
                <w:rFonts w:eastAsia="Times New Roman"/>
                <w:sz w:val="20"/>
                <w:szCs w:val="20"/>
              </w:rPr>
              <w:t>870,780</w:t>
            </w:r>
          </w:p>
        </w:tc>
        <w:tc>
          <w:tcPr>
            <w:tcW w:w="0" w:type="auto"/>
            <w:shd w:val="clear" w:color="auto" w:fill="FFFFFF"/>
            <w:vAlign w:val="bottom"/>
            <w:hideMark/>
          </w:tcPr>
          <w:p w14:paraId="541E21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F11B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B45B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1C13F1" w14:textId="77777777" w:rsidR="00000000" w:rsidRDefault="001826C1">
            <w:pPr>
              <w:jc w:val="right"/>
              <w:rPr>
                <w:rFonts w:eastAsia="Times New Roman"/>
                <w:sz w:val="20"/>
                <w:szCs w:val="20"/>
              </w:rPr>
            </w:pPr>
            <w:r>
              <w:rPr>
                <w:rFonts w:eastAsia="Times New Roman"/>
                <w:sz w:val="20"/>
                <w:szCs w:val="20"/>
              </w:rPr>
              <w:t>1,029,510</w:t>
            </w:r>
          </w:p>
        </w:tc>
        <w:tc>
          <w:tcPr>
            <w:tcW w:w="0" w:type="auto"/>
            <w:shd w:val="clear" w:color="auto" w:fill="FFFFFF"/>
            <w:vAlign w:val="bottom"/>
            <w:hideMark/>
          </w:tcPr>
          <w:p w14:paraId="7035B88C" w14:textId="77777777" w:rsidR="00000000" w:rsidRDefault="001826C1">
            <w:pPr>
              <w:rPr>
                <w:rFonts w:eastAsia="Times New Roman"/>
                <w:sz w:val="20"/>
                <w:szCs w:val="20"/>
              </w:rPr>
            </w:pPr>
            <w:r>
              <w:rPr>
                <w:rFonts w:eastAsia="Times New Roman"/>
                <w:sz w:val="20"/>
                <w:szCs w:val="20"/>
              </w:rPr>
              <w:t> </w:t>
            </w:r>
          </w:p>
        </w:tc>
      </w:tr>
      <w:tr w:rsidR="00000000" w14:paraId="452F470F" w14:textId="77777777">
        <w:tc>
          <w:tcPr>
            <w:tcW w:w="0" w:type="auto"/>
            <w:shd w:val="clear" w:color="auto" w:fill="CCEEFF"/>
            <w:tcMar>
              <w:top w:w="0" w:type="dxa"/>
              <w:left w:w="200" w:type="dxa"/>
              <w:bottom w:w="0" w:type="dxa"/>
              <w:right w:w="0" w:type="dxa"/>
            </w:tcMar>
            <w:vAlign w:val="bottom"/>
            <w:hideMark/>
          </w:tcPr>
          <w:p w14:paraId="0D051AAF"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17DD5D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46AAE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69C09" w14:textId="77777777" w:rsidR="00000000" w:rsidRDefault="001826C1">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14:paraId="5A6CC961"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A766C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2771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3C9C59" w14:textId="77777777" w:rsidR="00000000" w:rsidRDefault="001826C1">
            <w:pPr>
              <w:jc w:val="right"/>
              <w:rPr>
                <w:rFonts w:eastAsia="Times New Roman"/>
                <w:sz w:val="20"/>
                <w:szCs w:val="20"/>
              </w:rPr>
            </w:pPr>
            <w:r>
              <w:rPr>
                <w:rFonts w:eastAsia="Times New Roman"/>
                <w:sz w:val="20"/>
                <w:szCs w:val="20"/>
              </w:rPr>
              <w:t>73,271</w:t>
            </w:r>
          </w:p>
        </w:tc>
        <w:tc>
          <w:tcPr>
            <w:tcW w:w="0" w:type="auto"/>
            <w:shd w:val="clear" w:color="auto" w:fill="CCEEFF"/>
            <w:vAlign w:val="bottom"/>
            <w:hideMark/>
          </w:tcPr>
          <w:p w14:paraId="5046BF8C" w14:textId="77777777" w:rsidR="00000000" w:rsidRDefault="001826C1">
            <w:pPr>
              <w:rPr>
                <w:rFonts w:eastAsia="Times New Roman"/>
                <w:sz w:val="20"/>
                <w:szCs w:val="20"/>
              </w:rPr>
            </w:pPr>
            <w:r>
              <w:rPr>
                <w:rFonts w:eastAsia="Times New Roman"/>
                <w:sz w:val="20"/>
                <w:szCs w:val="20"/>
              </w:rPr>
              <w:t> </w:t>
            </w:r>
          </w:p>
        </w:tc>
      </w:tr>
      <w:tr w:rsidR="00000000" w14:paraId="6ECA80C3" w14:textId="77777777">
        <w:tc>
          <w:tcPr>
            <w:tcW w:w="0" w:type="auto"/>
            <w:shd w:val="clear" w:color="auto" w:fill="FFFFFF"/>
            <w:tcMar>
              <w:top w:w="0" w:type="dxa"/>
              <w:left w:w="200" w:type="dxa"/>
              <w:bottom w:w="0" w:type="dxa"/>
              <w:right w:w="0" w:type="dxa"/>
            </w:tcMar>
            <w:vAlign w:val="bottom"/>
            <w:hideMark/>
          </w:tcPr>
          <w:p w14:paraId="41C5E530" w14:textId="77777777" w:rsidR="00000000" w:rsidRDefault="001826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5FF63B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4263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F6437C" w14:textId="77777777" w:rsidR="00000000" w:rsidRDefault="001826C1">
            <w:pPr>
              <w:jc w:val="right"/>
              <w:rPr>
                <w:rFonts w:eastAsia="Times New Roman"/>
                <w:sz w:val="20"/>
                <w:szCs w:val="20"/>
              </w:rPr>
            </w:pPr>
            <w:r>
              <w:rPr>
                <w:rFonts w:eastAsia="Times New Roman"/>
                <w:sz w:val="20"/>
                <w:szCs w:val="20"/>
              </w:rPr>
              <w:t>3,005,606</w:t>
            </w:r>
          </w:p>
        </w:tc>
        <w:tc>
          <w:tcPr>
            <w:tcW w:w="0" w:type="auto"/>
            <w:shd w:val="clear" w:color="auto" w:fill="FFFFFF"/>
            <w:vAlign w:val="bottom"/>
            <w:hideMark/>
          </w:tcPr>
          <w:p w14:paraId="5F878D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4DC8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0D8C5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CD50D9" w14:textId="77777777" w:rsidR="00000000" w:rsidRDefault="001826C1">
            <w:pPr>
              <w:jc w:val="right"/>
              <w:rPr>
                <w:rFonts w:eastAsia="Times New Roman"/>
                <w:sz w:val="20"/>
                <w:szCs w:val="20"/>
              </w:rPr>
            </w:pPr>
            <w:r>
              <w:rPr>
                <w:rFonts w:eastAsia="Times New Roman"/>
                <w:sz w:val="20"/>
                <w:szCs w:val="20"/>
              </w:rPr>
              <w:t>2,853,827</w:t>
            </w:r>
          </w:p>
        </w:tc>
        <w:tc>
          <w:tcPr>
            <w:tcW w:w="0" w:type="auto"/>
            <w:shd w:val="clear" w:color="auto" w:fill="FFFFFF"/>
            <w:vAlign w:val="bottom"/>
            <w:hideMark/>
          </w:tcPr>
          <w:p w14:paraId="7AA388F8" w14:textId="77777777" w:rsidR="00000000" w:rsidRDefault="001826C1">
            <w:pPr>
              <w:rPr>
                <w:rFonts w:eastAsia="Times New Roman"/>
                <w:sz w:val="20"/>
                <w:szCs w:val="20"/>
              </w:rPr>
            </w:pPr>
            <w:r>
              <w:rPr>
                <w:rFonts w:eastAsia="Times New Roman"/>
                <w:sz w:val="20"/>
                <w:szCs w:val="20"/>
              </w:rPr>
              <w:t> </w:t>
            </w:r>
          </w:p>
        </w:tc>
      </w:tr>
      <w:tr w:rsidR="00000000" w14:paraId="2F03A6B7" w14:textId="77777777">
        <w:tc>
          <w:tcPr>
            <w:tcW w:w="0" w:type="auto"/>
            <w:shd w:val="clear" w:color="auto" w:fill="CCEEFF"/>
            <w:tcMar>
              <w:top w:w="0" w:type="dxa"/>
              <w:left w:w="200" w:type="dxa"/>
              <w:bottom w:w="30" w:type="dxa"/>
              <w:right w:w="0" w:type="dxa"/>
            </w:tcMar>
            <w:vAlign w:val="bottom"/>
            <w:hideMark/>
          </w:tcPr>
          <w:p w14:paraId="69BA9D9E"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tcMar>
              <w:top w:w="0" w:type="dxa"/>
              <w:left w:w="0" w:type="dxa"/>
              <w:bottom w:w="30" w:type="dxa"/>
              <w:right w:w="0" w:type="dxa"/>
            </w:tcMar>
            <w:vAlign w:val="bottom"/>
            <w:hideMark/>
          </w:tcPr>
          <w:p w14:paraId="373D9C1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99716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A0307F" w14:textId="77777777" w:rsidR="00000000" w:rsidRDefault="001826C1">
            <w:pPr>
              <w:jc w:val="right"/>
              <w:rPr>
                <w:rFonts w:eastAsia="Times New Roman"/>
                <w:sz w:val="20"/>
                <w:szCs w:val="20"/>
              </w:rPr>
            </w:pPr>
            <w:r>
              <w:rPr>
                <w:rFonts w:eastAsia="Times New Roman"/>
                <w:sz w:val="20"/>
                <w:szCs w:val="20"/>
              </w:rPr>
              <w:t>219,013</w:t>
            </w:r>
          </w:p>
        </w:tc>
        <w:tc>
          <w:tcPr>
            <w:tcW w:w="0" w:type="auto"/>
            <w:shd w:val="clear" w:color="auto" w:fill="CCEEFF"/>
            <w:tcMar>
              <w:top w:w="0" w:type="dxa"/>
              <w:left w:w="0" w:type="dxa"/>
              <w:bottom w:w="30" w:type="dxa"/>
              <w:right w:w="0" w:type="dxa"/>
            </w:tcMar>
            <w:vAlign w:val="bottom"/>
            <w:hideMark/>
          </w:tcPr>
          <w:p w14:paraId="4A7134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40487C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DA94B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87469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8AC8F56" w14:textId="77777777" w:rsidR="00000000" w:rsidRDefault="001826C1">
            <w:pPr>
              <w:rPr>
                <w:rFonts w:eastAsia="Times New Roman"/>
                <w:sz w:val="20"/>
                <w:szCs w:val="20"/>
              </w:rPr>
            </w:pPr>
            <w:r>
              <w:rPr>
                <w:rFonts w:eastAsia="Times New Roman"/>
                <w:sz w:val="20"/>
                <w:szCs w:val="20"/>
              </w:rPr>
              <w:t> </w:t>
            </w:r>
          </w:p>
        </w:tc>
      </w:tr>
      <w:tr w:rsidR="00000000" w14:paraId="10AFFCC3" w14:textId="77777777">
        <w:tc>
          <w:tcPr>
            <w:tcW w:w="0" w:type="auto"/>
            <w:shd w:val="clear" w:color="auto" w:fill="FFFFFF"/>
            <w:tcMar>
              <w:top w:w="0" w:type="dxa"/>
              <w:left w:w="400" w:type="dxa"/>
              <w:bottom w:w="30" w:type="dxa"/>
              <w:right w:w="0" w:type="dxa"/>
            </w:tcMar>
            <w:vAlign w:val="bottom"/>
            <w:hideMark/>
          </w:tcPr>
          <w:p w14:paraId="3A1F9778" w14:textId="77777777" w:rsidR="00000000" w:rsidRDefault="001826C1">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14:paraId="69029A0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DBEAA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C659B8" w14:textId="77777777" w:rsidR="00000000" w:rsidRDefault="001826C1">
            <w:pPr>
              <w:jc w:val="right"/>
              <w:rPr>
                <w:rFonts w:eastAsia="Times New Roman"/>
                <w:sz w:val="20"/>
                <w:szCs w:val="20"/>
              </w:rPr>
            </w:pPr>
            <w:r>
              <w:rPr>
                <w:rFonts w:eastAsia="Times New Roman"/>
                <w:sz w:val="20"/>
                <w:szCs w:val="20"/>
              </w:rPr>
              <w:t>64,371,267</w:t>
            </w:r>
          </w:p>
        </w:tc>
        <w:tc>
          <w:tcPr>
            <w:tcW w:w="0" w:type="auto"/>
            <w:shd w:val="clear" w:color="auto" w:fill="FFFFFF"/>
            <w:tcMar>
              <w:top w:w="0" w:type="dxa"/>
              <w:left w:w="0" w:type="dxa"/>
              <w:bottom w:w="30" w:type="dxa"/>
              <w:right w:w="0" w:type="dxa"/>
            </w:tcMar>
            <w:vAlign w:val="bottom"/>
            <w:hideMark/>
          </w:tcPr>
          <w:p w14:paraId="426CB9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00776F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96CAAB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DF04E6" w14:textId="77777777" w:rsidR="00000000" w:rsidRDefault="001826C1">
            <w:pPr>
              <w:jc w:val="right"/>
              <w:rPr>
                <w:rFonts w:eastAsia="Times New Roman"/>
                <w:sz w:val="20"/>
                <w:szCs w:val="20"/>
              </w:rPr>
            </w:pPr>
            <w:r>
              <w:rPr>
                <w:rFonts w:eastAsia="Times New Roman"/>
                <w:sz w:val="20"/>
                <w:szCs w:val="20"/>
              </w:rPr>
              <w:t>53,085,598</w:t>
            </w:r>
          </w:p>
        </w:tc>
        <w:tc>
          <w:tcPr>
            <w:tcW w:w="0" w:type="auto"/>
            <w:shd w:val="clear" w:color="auto" w:fill="FFFFFF"/>
            <w:tcMar>
              <w:top w:w="0" w:type="dxa"/>
              <w:left w:w="0" w:type="dxa"/>
              <w:bottom w:w="30" w:type="dxa"/>
              <w:right w:w="0" w:type="dxa"/>
            </w:tcMar>
            <w:vAlign w:val="bottom"/>
            <w:hideMark/>
          </w:tcPr>
          <w:p w14:paraId="1ECBEF81" w14:textId="77777777" w:rsidR="00000000" w:rsidRDefault="001826C1">
            <w:pPr>
              <w:rPr>
                <w:rFonts w:eastAsia="Times New Roman"/>
                <w:sz w:val="20"/>
                <w:szCs w:val="20"/>
              </w:rPr>
            </w:pPr>
            <w:r>
              <w:rPr>
                <w:rFonts w:eastAsia="Times New Roman"/>
                <w:sz w:val="20"/>
                <w:szCs w:val="20"/>
              </w:rPr>
              <w:t> </w:t>
            </w:r>
          </w:p>
        </w:tc>
      </w:tr>
      <w:tr w:rsidR="00000000" w14:paraId="5A14E742" w14:textId="77777777">
        <w:tc>
          <w:tcPr>
            <w:tcW w:w="0" w:type="auto"/>
            <w:shd w:val="clear" w:color="auto" w:fill="CCEEFF"/>
            <w:vAlign w:val="bottom"/>
            <w:hideMark/>
          </w:tcPr>
          <w:p w14:paraId="4A807099" w14:textId="77777777" w:rsidR="00000000" w:rsidRDefault="001826C1">
            <w:pPr>
              <w:rPr>
                <w:rFonts w:eastAsia="Times New Roman"/>
                <w:sz w:val="20"/>
                <w:szCs w:val="20"/>
              </w:rPr>
            </w:pPr>
            <w:r>
              <w:rPr>
                <w:rFonts w:eastAsia="Times New Roman"/>
                <w:sz w:val="20"/>
                <w:szCs w:val="20"/>
              </w:rPr>
              <w:t>OPERATING INCOME (LOSS)</w:t>
            </w:r>
          </w:p>
        </w:tc>
        <w:tc>
          <w:tcPr>
            <w:tcW w:w="0" w:type="auto"/>
            <w:shd w:val="clear" w:color="auto" w:fill="CCEEFF"/>
            <w:vAlign w:val="bottom"/>
            <w:hideMark/>
          </w:tcPr>
          <w:p w14:paraId="3C6C7A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A136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BD984C" w14:textId="77777777" w:rsidR="00000000" w:rsidRDefault="001826C1">
            <w:pPr>
              <w:jc w:val="right"/>
              <w:rPr>
                <w:rFonts w:eastAsia="Times New Roman"/>
                <w:sz w:val="20"/>
                <w:szCs w:val="20"/>
              </w:rPr>
            </w:pPr>
            <w:r>
              <w:rPr>
                <w:rFonts w:eastAsia="Times New Roman"/>
                <w:sz w:val="20"/>
                <w:szCs w:val="20"/>
              </w:rPr>
              <w:t>67,327</w:t>
            </w:r>
          </w:p>
        </w:tc>
        <w:tc>
          <w:tcPr>
            <w:tcW w:w="0" w:type="auto"/>
            <w:shd w:val="clear" w:color="auto" w:fill="CCEEFF"/>
            <w:vAlign w:val="bottom"/>
            <w:hideMark/>
          </w:tcPr>
          <w:p w14:paraId="438878D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8FE8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DC48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C77F9" w14:textId="77777777" w:rsidR="00000000" w:rsidRDefault="001826C1">
            <w:pPr>
              <w:jc w:val="right"/>
              <w:rPr>
                <w:rFonts w:eastAsia="Times New Roman"/>
                <w:sz w:val="20"/>
                <w:szCs w:val="20"/>
              </w:rPr>
            </w:pPr>
            <w:r>
              <w:rPr>
                <w:rFonts w:eastAsia="Times New Roman"/>
                <w:sz w:val="20"/>
                <w:szCs w:val="20"/>
              </w:rPr>
              <w:t>(2,539,817</w:t>
            </w:r>
          </w:p>
        </w:tc>
        <w:tc>
          <w:tcPr>
            <w:tcW w:w="0" w:type="auto"/>
            <w:shd w:val="clear" w:color="auto" w:fill="CCEEFF"/>
            <w:vAlign w:val="bottom"/>
            <w:hideMark/>
          </w:tcPr>
          <w:p w14:paraId="04235231" w14:textId="77777777" w:rsidR="00000000" w:rsidRDefault="001826C1">
            <w:pPr>
              <w:rPr>
                <w:rFonts w:eastAsia="Times New Roman"/>
                <w:sz w:val="20"/>
                <w:szCs w:val="20"/>
              </w:rPr>
            </w:pPr>
            <w:r>
              <w:rPr>
                <w:rFonts w:eastAsia="Times New Roman"/>
                <w:sz w:val="20"/>
                <w:szCs w:val="20"/>
              </w:rPr>
              <w:t>)</w:t>
            </w:r>
          </w:p>
        </w:tc>
      </w:tr>
      <w:tr w:rsidR="00000000" w14:paraId="03FC485C" w14:textId="77777777">
        <w:tc>
          <w:tcPr>
            <w:tcW w:w="0" w:type="auto"/>
            <w:shd w:val="clear" w:color="auto" w:fill="FFFFFF"/>
            <w:vAlign w:val="bottom"/>
            <w:hideMark/>
          </w:tcPr>
          <w:p w14:paraId="6EF8B76D" w14:textId="77777777" w:rsidR="00000000" w:rsidRDefault="001826C1">
            <w:pPr>
              <w:rPr>
                <w:rFonts w:eastAsia="Times New Roman"/>
                <w:sz w:val="20"/>
                <w:szCs w:val="20"/>
              </w:rPr>
            </w:pPr>
            <w:r>
              <w:rPr>
                <w:rFonts w:eastAsia="Times New Roman"/>
                <w:sz w:val="20"/>
                <w:szCs w:val="20"/>
              </w:rPr>
              <w:t>OTHER:</w:t>
            </w:r>
          </w:p>
        </w:tc>
        <w:tc>
          <w:tcPr>
            <w:tcW w:w="0" w:type="auto"/>
            <w:shd w:val="clear" w:color="auto" w:fill="FFFFFF"/>
            <w:vAlign w:val="bottom"/>
            <w:hideMark/>
          </w:tcPr>
          <w:p w14:paraId="56A1B26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450E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52C718"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AACAF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C901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498A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45807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5E129A" w14:textId="77777777" w:rsidR="00000000" w:rsidRDefault="001826C1">
            <w:pPr>
              <w:rPr>
                <w:rFonts w:eastAsia="Times New Roman"/>
                <w:sz w:val="20"/>
                <w:szCs w:val="20"/>
              </w:rPr>
            </w:pPr>
            <w:r>
              <w:rPr>
                <w:rFonts w:eastAsia="Times New Roman"/>
                <w:sz w:val="20"/>
                <w:szCs w:val="20"/>
              </w:rPr>
              <w:t> </w:t>
            </w:r>
          </w:p>
        </w:tc>
      </w:tr>
      <w:tr w:rsidR="00000000" w14:paraId="0AD57A56" w14:textId="77777777">
        <w:tc>
          <w:tcPr>
            <w:tcW w:w="0" w:type="auto"/>
            <w:shd w:val="clear" w:color="auto" w:fill="CCEEFF"/>
            <w:tcMar>
              <w:top w:w="0" w:type="dxa"/>
              <w:left w:w="200" w:type="dxa"/>
              <w:bottom w:w="0" w:type="dxa"/>
              <w:right w:w="0" w:type="dxa"/>
            </w:tcMar>
            <w:vAlign w:val="bottom"/>
            <w:hideMark/>
          </w:tcPr>
          <w:p w14:paraId="00709D8F" w14:textId="77777777" w:rsidR="00000000" w:rsidRDefault="001826C1">
            <w:pPr>
              <w:rPr>
                <w:rFonts w:eastAsia="Times New Roman"/>
                <w:sz w:val="20"/>
                <w:szCs w:val="20"/>
              </w:rPr>
            </w:pPr>
            <w:r>
              <w:rPr>
                <w:rFonts w:eastAsia="Times New Roman"/>
                <w:sz w:val="20"/>
                <w:szCs w:val="20"/>
              </w:rPr>
              <w:t>Interest income</w:t>
            </w:r>
          </w:p>
        </w:tc>
        <w:tc>
          <w:tcPr>
            <w:tcW w:w="0" w:type="auto"/>
            <w:shd w:val="clear" w:color="auto" w:fill="CCEEFF"/>
            <w:vAlign w:val="bottom"/>
            <w:hideMark/>
          </w:tcPr>
          <w:p w14:paraId="7B5929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A94A2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8F7BD6" w14:textId="77777777" w:rsidR="00000000" w:rsidRDefault="001826C1">
            <w:pPr>
              <w:jc w:val="right"/>
              <w:rPr>
                <w:rFonts w:eastAsia="Times New Roman"/>
                <w:sz w:val="20"/>
                <w:szCs w:val="20"/>
              </w:rPr>
            </w:pPr>
            <w:r>
              <w:rPr>
                <w:rFonts w:eastAsia="Times New Roman"/>
                <w:sz w:val="20"/>
                <w:szCs w:val="20"/>
              </w:rPr>
              <w:t>262,001</w:t>
            </w:r>
          </w:p>
        </w:tc>
        <w:tc>
          <w:tcPr>
            <w:tcW w:w="0" w:type="auto"/>
            <w:shd w:val="clear" w:color="auto" w:fill="CCEEFF"/>
            <w:vAlign w:val="bottom"/>
            <w:hideMark/>
          </w:tcPr>
          <w:p w14:paraId="668E92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E062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8F03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72E201" w14:textId="77777777" w:rsidR="00000000" w:rsidRDefault="001826C1">
            <w:pPr>
              <w:jc w:val="right"/>
              <w:rPr>
                <w:rFonts w:eastAsia="Times New Roman"/>
                <w:sz w:val="20"/>
                <w:szCs w:val="20"/>
              </w:rPr>
            </w:pPr>
            <w:r>
              <w:rPr>
                <w:rFonts w:eastAsia="Times New Roman"/>
                <w:sz w:val="20"/>
                <w:szCs w:val="20"/>
              </w:rPr>
              <w:t>100,788</w:t>
            </w:r>
          </w:p>
        </w:tc>
        <w:tc>
          <w:tcPr>
            <w:tcW w:w="0" w:type="auto"/>
            <w:shd w:val="clear" w:color="auto" w:fill="CCEEFF"/>
            <w:vAlign w:val="bottom"/>
            <w:hideMark/>
          </w:tcPr>
          <w:p w14:paraId="70551362" w14:textId="77777777" w:rsidR="00000000" w:rsidRDefault="001826C1">
            <w:pPr>
              <w:rPr>
                <w:rFonts w:eastAsia="Times New Roman"/>
                <w:sz w:val="20"/>
                <w:szCs w:val="20"/>
              </w:rPr>
            </w:pPr>
            <w:r>
              <w:rPr>
                <w:rFonts w:eastAsia="Times New Roman"/>
                <w:sz w:val="20"/>
                <w:szCs w:val="20"/>
              </w:rPr>
              <w:t> </w:t>
            </w:r>
          </w:p>
        </w:tc>
      </w:tr>
      <w:tr w:rsidR="00000000" w14:paraId="4C575D8B" w14:textId="77777777">
        <w:tc>
          <w:tcPr>
            <w:tcW w:w="0" w:type="auto"/>
            <w:shd w:val="clear" w:color="auto" w:fill="FFFFFF"/>
            <w:tcMar>
              <w:top w:w="0" w:type="dxa"/>
              <w:left w:w="200" w:type="dxa"/>
              <w:bottom w:w="0" w:type="dxa"/>
              <w:right w:w="0" w:type="dxa"/>
            </w:tcMar>
            <w:vAlign w:val="bottom"/>
            <w:hideMark/>
          </w:tcPr>
          <w:p w14:paraId="3AC2DFBA" w14:textId="77777777" w:rsidR="00000000" w:rsidRDefault="001826C1">
            <w:pPr>
              <w:rPr>
                <w:rFonts w:eastAsia="Times New Roman"/>
                <w:sz w:val="20"/>
                <w:szCs w:val="20"/>
              </w:rPr>
            </w:pPr>
            <w:r>
              <w:rPr>
                <w:rFonts w:eastAsia="Times New Roman"/>
                <w:sz w:val="20"/>
                <w:szCs w:val="20"/>
              </w:rPr>
              <w:t>Interest expense</w:t>
            </w:r>
          </w:p>
        </w:tc>
        <w:tc>
          <w:tcPr>
            <w:tcW w:w="0" w:type="auto"/>
            <w:shd w:val="clear" w:color="auto" w:fill="FFFFFF"/>
            <w:vAlign w:val="bottom"/>
            <w:hideMark/>
          </w:tcPr>
          <w:p w14:paraId="610DBC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F37A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ADEEDD" w14:textId="77777777" w:rsidR="00000000" w:rsidRDefault="001826C1">
            <w:pPr>
              <w:jc w:val="right"/>
              <w:rPr>
                <w:rFonts w:eastAsia="Times New Roman"/>
                <w:sz w:val="20"/>
                <w:szCs w:val="20"/>
              </w:rPr>
            </w:pPr>
            <w:r>
              <w:rPr>
                <w:rFonts w:eastAsia="Times New Roman"/>
                <w:sz w:val="20"/>
                <w:szCs w:val="20"/>
              </w:rPr>
              <w:t>(382,673</w:t>
            </w:r>
          </w:p>
        </w:tc>
        <w:tc>
          <w:tcPr>
            <w:tcW w:w="0" w:type="auto"/>
            <w:shd w:val="clear" w:color="auto" w:fill="FFFFFF"/>
            <w:vAlign w:val="bottom"/>
            <w:hideMark/>
          </w:tcPr>
          <w:p w14:paraId="1CB160A4"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BD52A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CF2FA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64FDB9" w14:textId="77777777" w:rsidR="00000000" w:rsidRDefault="001826C1">
            <w:pPr>
              <w:jc w:val="right"/>
              <w:rPr>
                <w:rFonts w:eastAsia="Times New Roman"/>
                <w:sz w:val="20"/>
                <w:szCs w:val="20"/>
              </w:rPr>
            </w:pPr>
            <w:r>
              <w:rPr>
                <w:rFonts w:eastAsia="Times New Roman"/>
                <w:sz w:val="20"/>
                <w:szCs w:val="20"/>
              </w:rPr>
              <w:t>(351,168</w:t>
            </w:r>
          </w:p>
        </w:tc>
        <w:tc>
          <w:tcPr>
            <w:tcW w:w="0" w:type="auto"/>
            <w:shd w:val="clear" w:color="auto" w:fill="FFFFFF"/>
            <w:vAlign w:val="bottom"/>
            <w:hideMark/>
          </w:tcPr>
          <w:p w14:paraId="1B66A868" w14:textId="77777777" w:rsidR="00000000" w:rsidRDefault="001826C1">
            <w:pPr>
              <w:rPr>
                <w:rFonts w:eastAsia="Times New Roman"/>
                <w:sz w:val="20"/>
                <w:szCs w:val="20"/>
              </w:rPr>
            </w:pPr>
            <w:r>
              <w:rPr>
                <w:rFonts w:eastAsia="Times New Roman"/>
                <w:sz w:val="20"/>
                <w:szCs w:val="20"/>
              </w:rPr>
              <w:t>)</w:t>
            </w:r>
          </w:p>
        </w:tc>
      </w:tr>
      <w:tr w:rsidR="00000000" w14:paraId="18AA4A11" w14:textId="77777777">
        <w:tc>
          <w:tcPr>
            <w:tcW w:w="0" w:type="auto"/>
            <w:shd w:val="clear" w:color="auto" w:fill="CCEEFF"/>
            <w:tcMar>
              <w:top w:w="0" w:type="dxa"/>
              <w:left w:w="200" w:type="dxa"/>
              <w:bottom w:w="30" w:type="dxa"/>
              <w:right w:w="0" w:type="dxa"/>
            </w:tcMar>
            <w:vAlign w:val="bottom"/>
            <w:hideMark/>
          </w:tcPr>
          <w:p w14:paraId="4EAC8D70" w14:textId="77777777" w:rsidR="00000000" w:rsidRDefault="001826C1">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30" w:type="dxa"/>
              <w:right w:w="0" w:type="dxa"/>
            </w:tcMar>
            <w:vAlign w:val="bottom"/>
            <w:hideMark/>
          </w:tcPr>
          <w:p w14:paraId="4CBAE9C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A6C32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992C18" w14:textId="77777777" w:rsidR="00000000" w:rsidRDefault="001826C1">
            <w:pPr>
              <w:jc w:val="right"/>
              <w:rPr>
                <w:rFonts w:eastAsia="Times New Roman"/>
                <w:sz w:val="20"/>
                <w:szCs w:val="20"/>
              </w:rPr>
            </w:pPr>
            <w:r>
              <w:rPr>
                <w:rFonts w:eastAsia="Times New Roman"/>
                <w:sz w:val="20"/>
                <w:szCs w:val="20"/>
              </w:rPr>
              <w:t>(625,675</w:t>
            </w:r>
          </w:p>
        </w:tc>
        <w:tc>
          <w:tcPr>
            <w:tcW w:w="0" w:type="auto"/>
            <w:shd w:val="clear" w:color="auto" w:fill="CCEEFF"/>
            <w:tcMar>
              <w:top w:w="0" w:type="dxa"/>
              <w:left w:w="0" w:type="dxa"/>
              <w:bottom w:w="30" w:type="dxa"/>
              <w:right w:w="0" w:type="dxa"/>
            </w:tcMar>
            <w:vAlign w:val="bottom"/>
            <w:hideMark/>
          </w:tcPr>
          <w:p w14:paraId="083D83C4"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3AF4B10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37FD3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F9C5C6" w14:textId="77777777" w:rsidR="00000000" w:rsidRDefault="001826C1">
            <w:pPr>
              <w:jc w:val="right"/>
              <w:rPr>
                <w:rFonts w:eastAsia="Times New Roman"/>
                <w:sz w:val="20"/>
                <w:szCs w:val="20"/>
              </w:rPr>
            </w:pPr>
            <w:r>
              <w:rPr>
                <w:rFonts w:eastAsia="Times New Roman"/>
                <w:sz w:val="20"/>
                <w:szCs w:val="20"/>
              </w:rPr>
              <w:t>494,332</w:t>
            </w:r>
          </w:p>
        </w:tc>
        <w:tc>
          <w:tcPr>
            <w:tcW w:w="0" w:type="auto"/>
            <w:shd w:val="clear" w:color="auto" w:fill="CCEEFF"/>
            <w:tcMar>
              <w:top w:w="0" w:type="dxa"/>
              <w:left w:w="0" w:type="dxa"/>
              <w:bottom w:w="30" w:type="dxa"/>
              <w:right w:w="0" w:type="dxa"/>
            </w:tcMar>
            <w:vAlign w:val="bottom"/>
            <w:hideMark/>
          </w:tcPr>
          <w:p w14:paraId="67252FDE" w14:textId="77777777" w:rsidR="00000000" w:rsidRDefault="001826C1">
            <w:pPr>
              <w:rPr>
                <w:rFonts w:eastAsia="Times New Roman"/>
                <w:sz w:val="20"/>
                <w:szCs w:val="20"/>
              </w:rPr>
            </w:pPr>
            <w:r>
              <w:rPr>
                <w:rFonts w:eastAsia="Times New Roman"/>
                <w:sz w:val="20"/>
                <w:szCs w:val="20"/>
              </w:rPr>
              <w:t> </w:t>
            </w:r>
          </w:p>
        </w:tc>
      </w:tr>
      <w:tr w:rsidR="00000000" w14:paraId="6473BA50" w14:textId="77777777">
        <w:tc>
          <w:tcPr>
            <w:tcW w:w="0" w:type="auto"/>
            <w:shd w:val="clear" w:color="auto" w:fill="FFFFFF"/>
            <w:vAlign w:val="bottom"/>
            <w:hideMark/>
          </w:tcPr>
          <w:p w14:paraId="57E82FA9" w14:textId="77777777" w:rsidR="00000000" w:rsidRDefault="001826C1">
            <w:pPr>
              <w:rPr>
                <w:rFonts w:eastAsia="Times New Roman"/>
                <w:sz w:val="20"/>
                <w:szCs w:val="20"/>
              </w:rPr>
            </w:pPr>
            <w:r>
              <w:rPr>
                <w:rFonts w:eastAsia="Times New Roman"/>
                <w:sz w:val="20"/>
                <w:szCs w:val="20"/>
              </w:rPr>
              <w:t>LOSS BEFORE PROVISION FOR INCOME TAXES</w:t>
            </w:r>
          </w:p>
        </w:tc>
        <w:tc>
          <w:tcPr>
            <w:tcW w:w="0" w:type="auto"/>
            <w:shd w:val="clear" w:color="auto" w:fill="FFFFFF"/>
            <w:vAlign w:val="bottom"/>
            <w:hideMark/>
          </w:tcPr>
          <w:p w14:paraId="01795D2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F79D8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3F1C7" w14:textId="77777777" w:rsidR="00000000" w:rsidRDefault="001826C1">
            <w:pPr>
              <w:jc w:val="right"/>
              <w:rPr>
                <w:rFonts w:eastAsia="Times New Roman"/>
                <w:sz w:val="20"/>
                <w:szCs w:val="20"/>
              </w:rPr>
            </w:pPr>
            <w:r>
              <w:rPr>
                <w:rFonts w:eastAsia="Times New Roman"/>
                <w:sz w:val="20"/>
                <w:szCs w:val="20"/>
              </w:rPr>
              <w:t>(679,020</w:t>
            </w:r>
          </w:p>
        </w:tc>
        <w:tc>
          <w:tcPr>
            <w:tcW w:w="0" w:type="auto"/>
            <w:shd w:val="clear" w:color="auto" w:fill="FFFFFF"/>
            <w:vAlign w:val="bottom"/>
            <w:hideMark/>
          </w:tcPr>
          <w:p w14:paraId="523F568A"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2E7DC3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F86CB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6FABE8" w14:textId="77777777" w:rsidR="00000000" w:rsidRDefault="001826C1">
            <w:pPr>
              <w:jc w:val="right"/>
              <w:rPr>
                <w:rFonts w:eastAsia="Times New Roman"/>
                <w:sz w:val="20"/>
                <w:szCs w:val="20"/>
              </w:rPr>
            </w:pPr>
            <w:r>
              <w:rPr>
                <w:rFonts w:eastAsia="Times New Roman"/>
                <w:sz w:val="20"/>
                <w:szCs w:val="20"/>
              </w:rPr>
              <w:t>(2,295,865</w:t>
            </w:r>
          </w:p>
        </w:tc>
        <w:tc>
          <w:tcPr>
            <w:tcW w:w="0" w:type="auto"/>
            <w:shd w:val="clear" w:color="auto" w:fill="FFFFFF"/>
            <w:vAlign w:val="bottom"/>
            <w:hideMark/>
          </w:tcPr>
          <w:p w14:paraId="0322ADD7" w14:textId="77777777" w:rsidR="00000000" w:rsidRDefault="001826C1">
            <w:pPr>
              <w:rPr>
                <w:rFonts w:eastAsia="Times New Roman"/>
                <w:sz w:val="20"/>
                <w:szCs w:val="20"/>
              </w:rPr>
            </w:pPr>
            <w:r>
              <w:rPr>
                <w:rFonts w:eastAsia="Times New Roman"/>
                <w:sz w:val="20"/>
                <w:szCs w:val="20"/>
              </w:rPr>
              <w:t>)</w:t>
            </w:r>
          </w:p>
        </w:tc>
      </w:tr>
      <w:tr w:rsidR="00000000" w14:paraId="50846E63" w14:textId="77777777">
        <w:tc>
          <w:tcPr>
            <w:tcW w:w="0" w:type="auto"/>
            <w:shd w:val="clear" w:color="auto" w:fill="CCEEFF"/>
            <w:tcMar>
              <w:top w:w="0" w:type="dxa"/>
              <w:left w:w="0" w:type="dxa"/>
              <w:bottom w:w="30" w:type="dxa"/>
              <w:right w:w="0" w:type="dxa"/>
            </w:tcMar>
            <w:vAlign w:val="bottom"/>
            <w:hideMark/>
          </w:tcPr>
          <w:p w14:paraId="46BF8B85" w14:textId="77777777" w:rsidR="00000000" w:rsidRDefault="001826C1">
            <w:pPr>
              <w:rPr>
                <w:rFonts w:eastAsia="Times New Roman"/>
                <w:sz w:val="20"/>
                <w:szCs w:val="20"/>
              </w:rPr>
            </w:pPr>
            <w:r>
              <w:rPr>
                <w:rFonts w:eastAsia="Times New Roman"/>
                <w:sz w:val="20"/>
                <w:szCs w:val="20"/>
              </w:rPr>
              <w:t>Income tax provision (benefit)</w:t>
            </w:r>
          </w:p>
        </w:tc>
        <w:tc>
          <w:tcPr>
            <w:tcW w:w="0" w:type="auto"/>
            <w:shd w:val="clear" w:color="auto" w:fill="CCEEFF"/>
            <w:tcMar>
              <w:top w:w="0" w:type="dxa"/>
              <w:left w:w="0" w:type="dxa"/>
              <w:bottom w:w="30" w:type="dxa"/>
              <w:right w:w="0" w:type="dxa"/>
            </w:tcMar>
            <w:vAlign w:val="bottom"/>
            <w:hideMark/>
          </w:tcPr>
          <w:p w14:paraId="3D5852D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6F070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6D7A39" w14:textId="77777777" w:rsidR="00000000" w:rsidRDefault="001826C1">
            <w:pPr>
              <w:jc w:val="right"/>
              <w:rPr>
                <w:rFonts w:eastAsia="Times New Roman"/>
                <w:sz w:val="20"/>
                <w:szCs w:val="20"/>
              </w:rPr>
            </w:pPr>
            <w:r>
              <w:rPr>
                <w:rFonts w:eastAsia="Times New Roman"/>
                <w:sz w:val="20"/>
                <w:szCs w:val="20"/>
              </w:rPr>
              <w:t>192,780</w:t>
            </w:r>
          </w:p>
        </w:tc>
        <w:tc>
          <w:tcPr>
            <w:tcW w:w="0" w:type="auto"/>
            <w:shd w:val="clear" w:color="auto" w:fill="CCEEFF"/>
            <w:tcMar>
              <w:top w:w="0" w:type="dxa"/>
              <w:left w:w="0" w:type="dxa"/>
              <w:bottom w:w="30" w:type="dxa"/>
              <w:right w:w="0" w:type="dxa"/>
            </w:tcMar>
            <w:vAlign w:val="bottom"/>
            <w:hideMark/>
          </w:tcPr>
          <w:p w14:paraId="08F6BF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D0AC76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8FC6A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C4DC98" w14:textId="77777777" w:rsidR="00000000" w:rsidRDefault="001826C1">
            <w:pPr>
              <w:jc w:val="right"/>
              <w:rPr>
                <w:rFonts w:eastAsia="Times New Roman"/>
                <w:sz w:val="20"/>
                <w:szCs w:val="20"/>
              </w:rPr>
            </w:pPr>
            <w:r>
              <w:rPr>
                <w:rFonts w:eastAsia="Times New Roman"/>
                <w:sz w:val="20"/>
                <w:szCs w:val="20"/>
              </w:rPr>
              <w:t>(157,385</w:t>
            </w:r>
          </w:p>
        </w:tc>
        <w:tc>
          <w:tcPr>
            <w:tcW w:w="0" w:type="auto"/>
            <w:shd w:val="clear" w:color="auto" w:fill="CCEEFF"/>
            <w:tcMar>
              <w:top w:w="0" w:type="dxa"/>
              <w:left w:w="0" w:type="dxa"/>
              <w:bottom w:w="30" w:type="dxa"/>
              <w:right w:w="0" w:type="dxa"/>
            </w:tcMar>
            <w:vAlign w:val="bottom"/>
            <w:hideMark/>
          </w:tcPr>
          <w:p w14:paraId="524F8A96" w14:textId="77777777" w:rsidR="00000000" w:rsidRDefault="001826C1">
            <w:pPr>
              <w:rPr>
                <w:rFonts w:eastAsia="Times New Roman"/>
                <w:sz w:val="20"/>
                <w:szCs w:val="20"/>
              </w:rPr>
            </w:pPr>
            <w:r>
              <w:rPr>
                <w:rFonts w:eastAsia="Times New Roman"/>
                <w:sz w:val="20"/>
                <w:szCs w:val="20"/>
              </w:rPr>
              <w:t>)</w:t>
            </w:r>
          </w:p>
        </w:tc>
      </w:tr>
      <w:tr w:rsidR="00000000" w14:paraId="697FA80C" w14:textId="77777777">
        <w:tc>
          <w:tcPr>
            <w:tcW w:w="0" w:type="auto"/>
            <w:shd w:val="clear" w:color="auto" w:fill="FFFFFF"/>
            <w:tcMar>
              <w:top w:w="0" w:type="dxa"/>
              <w:left w:w="0" w:type="dxa"/>
              <w:bottom w:w="50" w:type="dxa"/>
              <w:right w:w="0" w:type="dxa"/>
            </w:tcMar>
            <w:vAlign w:val="bottom"/>
            <w:hideMark/>
          </w:tcPr>
          <w:p w14:paraId="038BBA43" w14:textId="77777777" w:rsidR="00000000" w:rsidRDefault="001826C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22755E3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BABBDC5"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69BEFFA" w14:textId="77777777" w:rsidR="00000000" w:rsidRDefault="001826C1">
            <w:pPr>
              <w:jc w:val="right"/>
              <w:rPr>
                <w:rFonts w:eastAsia="Times New Roman"/>
                <w:sz w:val="20"/>
                <w:szCs w:val="20"/>
              </w:rPr>
            </w:pPr>
            <w:r>
              <w:rPr>
                <w:rFonts w:eastAsia="Times New Roman"/>
                <w:sz w:val="20"/>
                <w:szCs w:val="20"/>
              </w:rPr>
              <w:t>(871,800</w:t>
            </w:r>
          </w:p>
        </w:tc>
        <w:tc>
          <w:tcPr>
            <w:tcW w:w="0" w:type="auto"/>
            <w:shd w:val="clear" w:color="auto" w:fill="FFFFFF"/>
            <w:tcMar>
              <w:top w:w="0" w:type="dxa"/>
              <w:left w:w="0" w:type="dxa"/>
              <w:bottom w:w="50" w:type="dxa"/>
              <w:right w:w="0" w:type="dxa"/>
            </w:tcMar>
            <w:vAlign w:val="bottom"/>
            <w:hideMark/>
          </w:tcPr>
          <w:p w14:paraId="3752399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6879162C"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854838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D46C150" w14:textId="77777777" w:rsidR="00000000" w:rsidRDefault="001826C1">
            <w:pPr>
              <w:jc w:val="right"/>
              <w:rPr>
                <w:rFonts w:eastAsia="Times New Roman"/>
                <w:sz w:val="20"/>
                <w:szCs w:val="20"/>
              </w:rPr>
            </w:pPr>
            <w:r>
              <w:rPr>
                <w:rFonts w:eastAsia="Times New Roman"/>
                <w:sz w:val="20"/>
                <w:szCs w:val="20"/>
              </w:rPr>
              <w:t>(2,138,480</w:t>
            </w:r>
          </w:p>
        </w:tc>
        <w:tc>
          <w:tcPr>
            <w:tcW w:w="0" w:type="auto"/>
            <w:shd w:val="clear" w:color="auto" w:fill="FFFFFF"/>
            <w:tcMar>
              <w:top w:w="0" w:type="dxa"/>
              <w:left w:w="0" w:type="dxa"/>
              <w:bottom w:w="50" w:type="dxa"/>
              <w:right w:w="0" w:type="dxa"/>
            </w:tcMar>
            <w:vAlign w:val="bottom"/>
            <w:hideMark/>
          </w:tcPr>
          <w:p w14:paraId="0E72E9CA" w14:textId="77777777" w:rsidR="00000000" w:rsidRDefault="001826C1">
            <w:pPr>
              <w:rPr>
                <w:rFonts w:eastAsia="Times New Roman"/>
                <w:sz w:val="20"/>
                <w:szCs w:val="20"/>
              </w:rPr>
            </w:pPr>
            <w:r>
              <w:rPr>
                <w:rFonts w:eastAsia="Times New Roman"/>
                <w:sz w:val="20"/>
                <w:szCs w:val="20"/>
              </w:rPr>
              <w:t>)</w:t>
            </w:r>
          </w:p>
        </w:tc>
      </w:tr>
      <w:tr w:rsidR="00000000" w14:paraId="16BD06DB" w14:textId="77777777">
        <w:tc>
          <w:tcPr>
            <w:tcW w:w="0" w:type="auto"/>
            <w:shd w:val="clear" w:color="auto" w:fill="CCEEFF"/>
            <w:vAlign w:val="bottom"/>
            <w:hideMark/>
          </w:tcPr>
          <w:p w14:paraId="615EC1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1F2BB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DDCC7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FA1D7D"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E4A34F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DE47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72E1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54C04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61A9D4" w14:textId="77777777" w:rsidR="00000000" w:rsidRDefault="001826C1">
            <w:pPr>
              <w:rPr>
                <w:rFonts w:eastAsia="Times New Roman"/>
                <w:sz w:val="20"/>
                <w:szCs w:val="20"/>
              </w:rPr>
            </w:pPr>
            <w:r>
              <w:rPr>
                <w:rFonts w:eastAsia="Times New Roman"/>
                <w:sz w:val="20"/>
                <w:szCs w:val="20"/>
              </w:rPr>
              <w:t> </w:t>
            </w:r>
          </w:p>
        </w:tc>
      </w:tr>
      <w:tr w:rsidR="00000000" w14:paraId="5CF055D4" w14:textId="77777777">
        <w:tc>
          <w:tcPr>
            <w:tcW w:w="0" w:type="auto"/>
            <w:shd w:val="clear" w:color="auto" w:fill="FFFFFF"/>
            <w:tcMar>
              <w:top w:w="0" w:type="dxa"/>
              <w:left w:w="0" w:type="dxa"/>
              <w:bottom w:w="30" w:type="dxa"/>
              <w:right w:w="0" w:type="dxa"/>
            </w:tcMar>
            <w:vAlign w:val="bottom"/>
            <w:hideMark/>
          </w:tcPr>
          <w:p w14:paraId="6CBCB50E" w14:textId="77777777" w:rsidR="00000000" w:rsidRDefault="001826C1">
            <w:pPr>
              <w:rPr>
                <w:rFonts w:eastAsia="Times New Roman"/>
                <w:sz w:val="20"/>
                <w:szCs w:val="20"/>
              </w:rPr>
            </w:pPr>
            <w:r>
              <w:rPr>
                <w:rFonts w:eastAsia="Times New Roman"/>
                <w:sz w:val="20"/>
                <w:szCs w:val="20"/>
              </w:rPr>
              <w:t>Preferred stock dividend</w:t>
            </w:r>
          </w:p>
        </w:tc>
        <w:tc>
          <w:tcPr>
            <w:tcW w:w="0" w:type="auto"/>
            <w:shd w:val="clear" w:color="auto" w:fill="FFFFFF"/>
            <w:tcMar>
              <w:top w:w="0" w:type="dxa"/>
              <w:left w:w="0" w:type="dxa"/>
              <w:bottom w:w="30" w:type="dxa"/>
              <w:right w:w="0" w:type="dxa"/>
            </w:tcMar>
            <w:vAlign w:val="bottom"/>
            <w:hideMark/>
          </w:tcPr>
          <w:p w14:paraId="1E7ACE7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4EEF1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36181F" w14:textId="77777777" w:rsidR="00000000" w:rsidRDefault="001826C1">
            <w:pPr>
              <w:jc w:val="right"/>
              <w:rPr>
                <w:rFonts w:eastAsia="Times New Roman"/>
                <w:sz w:val="20"/>
                <w:szCs w:val="20"/>
              </w:rPr>
            </w:pPr>
            <w:r>
              <w:rPr>
                <w:rFonts w:eastAsia="Times New Roman"/>
                <w:sz w:val="20"/>
                <w:szCs w:val="20"/>
              </w:rPr>
              <w:t>6,386,154</w:t>
            </w:r>
          </w:p>
        </w:tc>
        <w:tc>
          <w:tcPr>
            <w:tcW w:w="0" w:type="auto"/>
            <w:shd w:val="clear" w:color="auto" w:fill="FFFFFF"/>
            <w:tcMar>
              <w:top w:w="0" w:type="dxa"/>
              <w:left w:w="0" w:type="dxa"/>
              <w:bottom w:w="30" w:type="dxa"/>
              <w:right w:w="0" w:type="dxa"/>
            </w:tcMar>
            <w:vAlign w:val="bottom"/>
            <w:hideMark/>
          </w:tcPr>
          <w:p w14:paraId="314838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ABBAF0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35EFA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3823FA" w14:textId="77777777" w:rsidR="00000000" w:rsidRDefault="001826C1">
            <w:pPr>
              <w:jc w:val="right"/>
              <w:rPr>
                <w:rFonts w:eastAsia="Times New Roman"/>
                <w:sz w:val="20"/>
                <w:szCs w:val="20"/>
              </w:rPr>
            </w:pPr>
            <w:r>
              <w:rPr>
                <w:rFonts w:eastAsia="Times New Roman"/>
                <w:sz w:val="20"/>
                <w:szCs w:val="20"/>
              </w:rPr>
              <w:t>4,823,987</w:t>
            </w:r>
          </w:p>
        </w:tc>
        <w:tc>
          <w:tcPr>
            <w:tcW w:w="0" w:type="auto"/>
            <w:shd w:val="clear" w:color="auto" w:fill="FFFFFF"/>
            <w:tcMar>
              <w:top w:w="0" w:type="dxa"/>
              <w:left w:w="0" w:type="dxa"/>
              <w:bottom w:w="30" w:type="dxa"/>
              <w:right w:w="0" w:type="dxa"/>
            </w:tcMar>
            <w:vAlign w:val="bottom"/>
            <w:hideMark/>
          </w:tcPr>
          <w:p w14:paraId="69C8F1C7" w14:textId="77777777" w:rsidR="00000000" w:rsidRDefault="001826C1">
            <w:pPr>
              <w:rPr>
                <w:rFonts w:eastAsia="Times New Roman"/>
                <w:sz w:val="20"/>
                <w:szCs w:val="20"/>
              </w:rPr>
            </w:pPr>
            <w:r>
              <w:rPr>
                <w:rFonts w:eastAsia="Times New Roman"/>
                <w:sz w:val="20"/>
                <w:szCs w:val="20"/>
              </w:rPr>
              <w:t> </w:t>
            </w:r>
          </w:p>
        </w:tc>
      </w:tr>
      <w:tr w:rsidR="00000000" w14:paraId="2B840391" w14:textId="77777777">
        <w:tc>
          <w:tcPr>
            <w:tcW w:w="0" w:type="auto"/>
            <w:shd w:val="clear" w:color="auto" w:fill="CCEEFF"/>
            <w:tcMar>
              <w:top w:w="0" w:type="dxa"/>
              <w:left w:w="0" w:type="dxa"/>
              <w:bottom w:w="50" w:type="dxa"/>
              <w:right w:w="0" w:type="dxa"/>
            </w:tcMar>
            <w:vAlign w:val="bottom"/>
            <w:hideMark/>
          </w:tcPr>
          <w:p w14:paraId="0B198D7F" w14:textId="77777777" w:rsidR="00000000" w:rsidRDefault="001826C1">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6E55EEB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1B2E6EC"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51D7DA" w14:textId="77777777" w:rsidR="00000000" w:rsidRDefault="001826C1">
            <w:pPr>
              <w:jc w:val="right"/>
              <w:rPr>
                <w:rFonts w:eastAsia="Times New Roman"/>
                <w:sz w:val="20"/>
                <w:szCs w:val="20"/>
              </w:rPr>
            </w:pPr>
            <w:r>
              <w:rPr>
                <w:rFonts w:eastAsia="Times New Roman"/>
                <w:sz w:val="20"/>
                <w:szCs w:val="20"/>
              </w:rPr>
              <w:t>(7,257,954</w:t>
            </w:r>
          </w:p>
        </w:tc>
        <w:tc>
          <w:tcPr>
            <w:tcW w:w="0" w:type="auto"/>
            <w:shd w:val="clear" w:color="auto" w:fill="CCEEFF"/>
            <w:tcMar>
              <w:top w:w="0" w:type="dxa"/>
              <w:left w:w="0" w:type="dxa"/>
              <w:bottom w:w="50" w:type="dxa"/>
              <w:right w:w="0" w:type="dxa"/>
            </w:tcMar>
            <w:vAlign w:val="bottom"/>
            <w:hideMark/>
          </w:tcPr>
          <w:p w14:paraId="19D2CA99"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6B3018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C4FAAB5"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54C0D6" w14:textId="77777777" w:rsidR="00000000" w:rsidRDefault="001826C1">
            <w:pPr>
              <w:jc w:val="right"/>
              <w:rPr>
                <w:rFonts w:eastAsia="Times New Roman"/>
                <w:sz w:val="20"/>
                <w:szCs w:val="20"/>
              </w:rPr>
            </w:pPr>
            <w:r>
              <w:rPr>
                <w:rFonts w:eastAsia="Times New Roman"/>
                <w:sz w:val="20"/>
                <w:szCs w:val="20"/>
              </w:rPr>
              <w:t>(6,962,467</w:t>
            </w:r>
          </w:p>
        </w:tc>
        <w:tc>
          <w:tcPr>
            <w:tcW w:w="0" w:type="auto"/>
            <w:shd w:val="clear" w:color="auto" w:fill="CCEEFF"/>
            <w:tcMar>
              <w:top w:w="0" w:type="dxa"/>
              <w:left w:w="0" w:type="dxa"/>
              <w:bottom w:w="50" w:type="dxa"/>
              <w:right w:w="0" w:type="dxa"/>
            </w:tcMar>
            <w:vAlign w:val="bottom"/>
            <w:hideMark/>
          </w:tcPr>
          <w:p w14:paraId="0976BED7" w14:textId="77777777" w:rsidR="00000000" w:rsidRDefault="001826C1">
            <w:pPr>
              <w:rPr>
                <w:rFonts w:eastAsia="Times New Roman"/>
                <w:sz w:val="20"/>
                <w:szCs w:val="20"/>
              </w:rPr>
            </w:pPr>
            <w:r>
              <w:rPr>
                <w:rFonts w:eastAsia="Times New Roman"/>
                <w:sz w:val="20"/>
                <w:szCs w:val="20"/>
              </w:rPr>
              <w:t>)</w:t>
            </w:r>
          </w:p>
        </w:tc>
      </w:tr>
      <w:tr w:rsidR="00000000" w14:paraId="79E9BE59" w14:textId="77777777">
        <w:tc>
          <w:tcPr>
            <w:tcW w:w="0" w:type="auto"/>
            <w:shd w:val="clear" w:color="auto" w:fill="FFFFFF"/>
            <w:vAlign w:val="bottom"/>
            <w:hideMark/>
          </w:tcPr>
          <w:p w14:paraId="028993C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F681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D78C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97BF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78619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961B0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98FF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95084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F6B7EBC" w14:textId="77777777" w:rsidR="00000000" w:rsidRDefault="001826C1">
            <w:pPr>
              <w:rPr>
                <w:rFonts w:eastAsia="Times New Roman"/>
                <w:sz w:val="20"/>
                <w:szCs w:val="20"/>
              </w:rPr>
            </w:pPr>
            <w:r>
              <w:rPr>
                <w:rFonts w:eastAsia="Times New Roman"/>
                <w:sz w:val="20"/>
                <w:szCs w:val="20"/>
              </w:rPr>
              <w:t> </w:t>
            </w:r>
          </w:p>
        </w:tc>
      </w:tr>
      <w:tr w:rsidR="00000000" w14:paraId="07E710A9" w14:textId="77777777">
        <w:tc>
          <w:tcPr>
            <w:tcW w:w="0" w:type="auto"/>
            <w:shd w:val="clear" w:color="auto" w:fill="CCEEFF"/>
            <w:vAlign w:val="bottom"/>
            <w:hideMark/>
          </w:tcPr>
          <w:p w14:paraId="1738442F" w14:textId="77777777" w:rsidR="00000000" w:rsidRDefault="001826C1">
            <w:pPr>
              <w:rPr>
                <w:rFonts w:eastAsia="Times New Roman"/>
                <w:sz w:val="20"/>
                <w:szCs w:val="20"/>
              </w:rPr>
            </w:pPr>
            <w:r>
              <w:rPr>
                <w:rFonts w:eastAsia="Times New Roman"/>
                <w:sz w:val="20"/>
                <w:szCs w:val="20"/>
              </w:rPr>
              <w:t>Net loss per common share: basic and diluted</w:t>
            </w:r>
          </w:p>
        </w:tc>
        <w:tc>
          <w:tcPr>
            <w:tcW w:w="0" w:type="auto"/>
            <w:shd w:val="clear" w:color="auto" w:fill="CCEEFF"/>
            <w:vAlign w:val="bottom"/>
            <w:hideMark/>
          </w:tcPr>
          <w:p w14:paraId="649C8F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3EAAB7"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0281429" w14:textId="77777777" w:rsidR="00000000" w:rsidRDefault="001826C1">
            <w:pPr>
              <w:jc w:val="right"/>
              <w:rPr>
                <w:rFonts w:eastAsia="Times New Roman"/>
                <w:sz w:val="20"/>
                <w:szCs w:val="20"/>
              </w:rPr>
            </w:pPr>
            <w:r>
              <w:rPr>
                <w:rFonts w:eastAsia="Times New Roman"/>
                <w:sz w:val="20"/>
                <w:szCs w:val="20"/>
              </w:rPr>
              <w:t>(0.60</w:t>
            </w:r>
          </w:p>
        </w:tc>
        <w:tc>
          <w:tcPr>
            <w:tcW w:w="0" w:type="auto"/>
            <w:shd w:val="clear" w:color="auto" w:fill="CCEEFF"/>
            <w:vAlign w:val="bottom"/>
            <w:hideMark/>
          </w:tcPr>
          <w:p w14:paraId="0C9A2F08"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20AF9F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24F53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6E103F3" w14:textId="77777777" w:rsidR="00000000" w:rsidRDefault="001826C1">
            <w:pPr>
              <w:jc w:val="right"/>
              <w:rPr>
                <w:rFonts w:eastAsia="Times New Roman"/>
                <w:sz w:val="20"/>
                <w:szCs w:val="20"/>
              </w:rPr>
            </w:pPr>
            <w:r>
              <w:rPr>
                <w:rFonts w:eastAsia="Times New Roman"/>
                <w:sz w:val="20"/>
                <w:szCs w:val="20"/>
              </w:rPr>
              <w:t>(0.59</w:t>
            </w:r>
          </w:p>
        </w:tc>
        <w:tc>
          <w:tcPr>
            <w:tcW w:w="0" w:type="auto"/>
            <w:shd w:val="clear" w:color="auto" w:fill="CCEEFF"/>
            <w:vAlign w:val="bottom"/>
            <w:hideMark/>
          </w:tcPr>
          <w:p w14:paraId="01612C24" w14:textId="77777777" w:rsidR="00000000" w:rsidRDefault="001826C1">
            <w:pPr>
              <w:rPr>
                <w:rFonts w:eastAsia="Times New Roman"/>
                <w:sz w:val="20"/>
                <w:szCs w:val="20"/>
              </w:rPr>
            </w:pPr>
            <w:r>
              <w:rPr>
                <w:rFonts w:eastAsia="Times New Roman"/>
                <w:sz w:val="20"/>
                <w:szCs w:val="20"/>
              </w:rPr>
              <w:t>)</w:t>
            </w:r>
          </w:p>
        </w:tc>
      </w:tr>
      <w:tr w:rsidR="00000000" w14:paraId="03150956" w14:textId="77777777">
        <w:tc>
          <w:tcPr>
            <w:tcW w:w="0" w:type="auto"/>
            <w:shd w:val="clear" w:color="auto" w:fill="FFFFFF"/>
            <w:tcMar>
              <w:top w:w="0" w:type="dxa"/>
              <w:left w:w="200" w:type="dxa"/>
              <w:bottom w:w="0" w:type="dxa"/>
              <w:right w:w="0" w:type="dxa"/>
            </w:tcMar>
            <w:vAlign w:val="bottom"/>
            <w:hideMark/>
          </w:tcPr>
          <w:p w14:paraId="4676E3FC" w14:textId="77777777" w:rsidR="00000000" w:rsidRDefault="001826C1">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FFFFFF"/>
            <w:vAlign w:val="bottom"/>
            <w:hideMark/>
          </w:tcPr>
          <w:p w14:paraId="5A150F8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0284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8F6797" w14:textId="77777777" w:rsidR="00000000" w:rsidRDefault="001826C1">
            <w:pPr>
              <w:jc w:val="right"/>
              <w:rPr>
                <w:rFonts w:eastAsia="Times New Roman"/>
                <w:sz w:val="20"/>
                <w:szCs w:val="20"/>
              </w:rPr>
            </w:pPr>
            <w:r>
              <w:rPr>
                <w:rFonts w:eastAsia="Times New Roman"/>
                <w:sz w:val="20"/>
                <w:szCs w:val="20"/>
              </w:rPr>
              <w:t>12,087,947</w:t>
            </w:r>
          </w:p>
        </w:tc>
        <w:tc>
          <w:tcPr>
            <w:tcW w:w="0" w:type="auto"/>
            <w:shd w:val="clear" w:color="auto" w:fill="FFFFFF"/>
            <w:vAlign w:val="bottom"/>
            <w:hideMark/>
          </w:tcPr>
          <w:p w14:paraId="2485F9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C08D4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862A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ECE780" w14:textId="77777777" w:rsidR="00000000" w:rsidRDefault="001826C1">
            <w:pPr>
              <w:jc w:val="right"/>
              <w:rPr>
                <w:rFonts w:eastAsia="Times New Roman"/>
                <w:sz w:val="20"/>
                <w:szCs w:val="20"/>
              </w:rPr>
            </w:pPr>
            <w:r>
              <w:rPr>
                <w:rFonts w:eastAsia="Times New Roman"/>
                <w:sz w:val="20"/>
                <w:szCs w:val="20"/>
              </w:rPr>
              <w:t>11,721,232</w:t>
            </w:r>
          </w:p>
        </w:tc>
        <w:tc>
          <w:tcPr>
            <w:tcW w:w="0" w:type="auto"/>
            <w:shd w:val="clear" w:color="auto" w:fill="FFFFFF"/>
            <w:vAlign w:val="bottom"/>
            <w:hideMark/>
          </w:tcPr>
          <w:p w14:paraId="6979DCB5" w14:textId="77777777" w:rsidR="00000000" w:rsidRDefault="001826C1">
            <w:pPr>
              <w:rPr>
                <w:rFonts w:eastAsia="Times New Roman"/>
                <w:sz w:val="20"/>
                <w:szCs w:val="20"/>
              </w:rPr>
            </w:pPr>
            <w:r>
              <w:rPr>
                <w:rFonts w:eastAsia="Times New Roman"/>
                <w:sz w:val="20"/>
                <w:szCs w:val="20"/>
              </w:rPr>
              <w:t> </w:t>
            </w:r>
          </w:p>
        </w:tc>
      </w:tr>
    </w:tbl>
    <w:p w14:paraId="5913EC33" w14:textId="77777777" w:rsidR="00000000" w:rsidRDefault="001826C1">
      <w:pPr>
        <w:pStyle w:val="a3"/>
        <w:spacing w:before="0" w:beforeAutospacing="0" w:after="0" w:afterAutospacing="0"/>
        <w:rPr>
          <w:sz w:val="20"/>
          <w:szCs w:val="20"/>
        </w:rPr>
      </w:pPr>
      <w:r>
        <w:rPr>
          <w:sz w:val="20"/>
          <w:szCs w:val="20"/>
        </w:rPr>
        <w:t> </w:t>
      </w:r>
    </w:p>
    <w:p w14:paraId="6C595710" w14:textId="77777777" w:rsidR="00000000" w:rsidRDefault="001826C1">
      <w:pPr>
        <w:pStyle w:val="a3"/>
        <w:spacing w:before="0" w:beforeAutospacing="0" w:after="0" w:afterAutospacing="0"/>
        <w:rPr>
          <w:sz w:val="20"/>
          <w:szCs w:val="20"/>
        </w:rPr>
      </w:pPr>
      <w:r>
        <w:rPr>
          <w:sz w:val="20"/>
          <w:szCs w:val="20"/>
        </w:rPr>
        <w:t>See notes to consolidated financial statements.</w:t>
      </w:r>
    </w:p>
    <w:p w14:paraId="3A6DFF4B"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A9BC987" w14:textId="77777777">
        <w:trPr>
          <w:divId w:val="1371488822"/>
        </w:trPr>
        <w:tc>
          <w:tcPr>
            <w:tcW w:w="5000" w:type="pct"/>
            <w:hideMark/>
          </w:tcPr>
          <w:p w14:paraId="28E7AB1A"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0098657B" w14:textId="77777777">
        <w:tc>
          <w:tcPr>
            <w:tcW w:w="5000" w:type="pct"/>
            <w:hideMark/>
          </w:tcPr>
          <w:p w14:paraId="258F2C04" w14:textId="77777777" w:rsidR="00000000" w:rsidRDefault="001826C1">
            <w:pPr>
              <w:jc w:val="center"/>
              <w:rPr>
                <w:rFonts w:eastAsia="Times New Roman"/>
                <w:sz w:val="20"/>
                <w:szCs w:val="20"/>
              </w:rPr>
            </w:pPr>
            <w:r>
              <w:rPr>
                <w:rFonts w:eastAsia="Times New Roman"/>
                <w:sz w:val="20"/>
                <w:szCs w:val="20"/>
              </w:rPr>
              <w:t> </w:t>
            </w:r>
          </w:p>
        </w:tc>
      </w:tr>
    </w:tbl>
    <w:p w14:paraId="7179D2DB" w14:textId="77777777" w:rsidR="00000000" w:rsidRDefault="001826C1">
      <w:pPr>
        <w:pStyle w:val="a3"/>
        <w:spacing w:before="0" w:beforeAutospacing="0" w:after="0" w:afterAutospacing="0"/>
        <w:rPr>
          <w:sz w:val="20"/>
          <w:szCs w:val="20"/>
        </w:rPr>
      </w:pPr>
      <w:r>
        <w:rPr>
          <w:b/>
          <w:bCs/>
          <w:sz w:val="20"/>
          <w:szCs w:val="20"/>
        </w:rPr>
        <w:t> </w:t>
      </w:r>
    </w:p>
    <w:p w14:paraId="699B1E15" w14:textId="77777777" w:rsidR="00000000" w:rsidRDefault="001826C1">
      <w:pPr>
        <w:pStyle w:val="a3"/>
        <w:spacing w:before="0" w:beforeAutospacing="0" w:after="0" w:afterAutospacing="0"/>
        <w:jc w:val="center"/>
        <w:rPr>
          <w:sz w:val="20"/>
          <w:szCs w:val="20"/>
        </w:rPr>
      </w:pPr>
      <w:r>
        <w:rPr>
          <w:b/>
          <w:bCs/>
          <w:sz w:val="20"/>
          <w:szCs w:val="20"/>
        </w:rPr>
        <w:t>MTBC, INC.</w:t>
      </w:r>
    </w:p>
    <w:p w14:paraId="7EDE010A" w14:textId="77777777" w:rsidR="00000000" w:rsidRDefault="001826C1">
      <w:pPr>
        <w:pStyle w:val="a3"/>
        <w:spacing w:before="0" w:beforeAutospacing="0" w:after="0" w:afterAutospacing="0"/>
        <w:jc w:val="center"/>
        <w:rPr>
          <w:sz w:val="20"/>
          <w:szCs w:val="20"/>
        </w:rPr>
      </w:pPr>
      <w:bookmarkStart w:id="28" w:name="a_027"/>
      <w:bookmarkEnd w:id="28"/>
      <w:r>
        <w:rPr>
          <w:b/>
          <w:bCs/>
          <w:sz w:val="20"/>
          <w:szCs w:val="20"/>
        </w:rPr>
        <w:t xml:space="preserve">CONSOLIDATED </w:t>
      </w:r>
      <w:r>
        <w:rPr>
          <w:b/>
          <w:bCs/>
          <w:sz w:val="20"/>
          <w:szCs w:val="20"/>
        </w:rPr>
        <w:t>STATEMENTS OF COMPREHENSIVE LOSS</w:t>
      </w:r>
    </w:p>
    <w:p w14:paraId="25DACEAD" w14:textId="77777777" w:rsidR="00000000" w:rsidRDefault="001826C1">
      <w:pPr>
        <w:pStyle w:val="a3"/>
        <w:pBdr>
          <w:bottom w:val="single" w:sz="12" w:space="0" w:color="000000"/>
        </w:pBdr>
        <w:spacing w:before="0" w:beforeAutospacing="0" w:after="0" w:afterAutospacing="0"/>
        <w:jc w:val="center"/>
        <w:rPr>
          <w:sz w:val="20"/>
          <w:szCs w:val="20"/>
        </w:rPr>
      </w:pPr>
      <w:r>
        <w:rPr>
          <w:b/>
          <w:bCs/>
          <w:sz w:val="20"/>
          <w:szCs w:val="20"/>
        </w:rPr>
        <w:t>FOR THE YEARS ENDED DECEMBER 31, 2019 AND 2018</w:t>
      </w:r>
    </w:p>
    <w:p w14:paraId="56378801"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18410EEA" w14:textId="77777777">
        <w:tc>
          <w:tcPr>
            <w:tcW w:w="0" w:type="auto"/>
            <w:vAlign w:val="bottom"/>
            <w:hideMark/>
          </w:tcPr>
          <w:p w14:paraId="2B69814E"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992593E"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E765313"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C5DD88B"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74921C4"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BA12ACE"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30F3E911" w14:textId="77777777" w:rsidR="00000000" w:rsidRDefault="001826C1">
            <w:pPr>
              <w:rPr>
                <w:rFonts w:eastAsia="Times New Roman"/>
                <w:b/>
                <w:bCs/>
                <w:sz w:val="20"/>
                <w:szCs w:val="20"/>
              </w:rPr>
            </w:pPr>
            <w:r>
              <w:rPr>
                <w:rFonts w:eastAsia="Times New Roman"/>
                <w:b/>
                <w:bCs/>
                <w:sz w:val="20"/>
                <w:szCs w:val="20"/>
              </w:rPr>
              <w:t> </w:t>
            </w:r>
          </w:p>
        </w:tc>
      </w:tr>
      <w:tr w:rsidR="00000000" w14:paraId="6993AFCB" w14:textId="77777777">
        <w:tc>
          <w:tcPr>
            <w:tcW w:w="3400" w:type="pct"/>
            <w:shd w:val="clear" w:color="auto" w:fill="CCEEFF"/>
            <w:vAlign w:val="bottom"/>
            <w:hideMark/>
          </w:tcPr>
          <w:p w14:paraId="12E5E367" w14:textId="77777777" w:rsidR="00000000" w:rsidRDefault="001826C1">
            <w:pPr>
              <w:rPr>
                <w:rFonts w:eastAsia="Times New Roman"/>
                <w:sz w:val="20"/>
                <w:szCs w:val="20"/>
              </w:rPr>
            </w:pPr>
            <w:r>
              <w:rPr>
                <w:rFonts w:eastAsia="Times New Roman"/>
                <w:sz w:val="20"/>
                <w:szCs w:val="20"/>
              </w:rPr>
              <w:t xml:space="preserve">NET LOSS </w:t>
            </w:r>
          </w:p>
        </w:tc>
        <w:tc>
          <w:tcPr>
            <w:tcW w:w="100" w:type="pct"/>
            <w:shd w:val="clear" w:color="auto" w:fill="CCEEFF"/>
            <w:vAlign w:val="bottom"/>
            <w:hideMark/>
          </w:tcPr>
          <w:p w14:paraId="1851A955"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D9DD3A"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3408A827" w14:textId="77777777" w:rsidR="00000000" w:rsidRDefault="001826C1">
            <w:pPr>
              <w:jc w:val="right"/>
              <w:rPr>
                <w:rFonts w:eastAsia="Times New Roman"/>
                <w:sz w:val="20"/>
                <w:szCs w:val="20"/>
              </w:rPr>
            </w:pPr>
            <w:r>
              <w:rPr>
                <w:rFonts w:eastAsia="Times New Roman"/>
                <w:sz w:val="20"/>
                <w:szCs w:val="20"/>
              </w:rPr>
              <w:t>(871,800</w:t>
            </w:r>
          </w:p>
        </w:tc>
        <w:tc>
          <w:tcPr>
            <w:tcW w:w="50" w:type="pct"/>
            <w:shd w:val="clear" w:color="auto" w:fill="CCEEFF"/>
            <w:vAlign w:val="bottom"/>
            <w:hideMark/>
          </w:tcPr>
          <w:p w14:paraId="4B27AED8"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4C6B63A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DB70BC"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5380BF6D" w14:textId="77777777" w:rsidR="00000000" w:rsidRDefault="001826C1">
            <w:pPr>
              <w:jc w:val="right"/>
              <w:rPr>
                <w:rFonts w:eastAsia="Times New Roman"/>
                <w:sz w:val="20"/>
                <w:szCs w:val="20"/>
              </w:rPr>
            </w:pPr>
            <w:r>
              <w:rPr>
                <w:rFonts w:eastAsia="Times New Roman"/>
                <w:sz w:val="20"/>
                <w:szCs w:val="20"/>
              </w:rPr>
              <w:t>(2,138,480</w:t>
            </w:r>
          </w:p>
        </w:tc>
        <w:tc>
          <w:tcPr>
            <w:tcW w:w="50" w:type="pct"/>
            <w:shd w:val="clear" w:color="auto" w:fill="CCEEFF"/>
            <w:vAlign w:val="bottom"/>
            <w:hideMark/>
          </w:tcPr>
          <w:p w14:paraId="0D3C9E5B" w14:textId="77777777" w:rsidR="00000000" w:rsidRDefault="001826C1">
            <w:pPr>
              <w:rPr>
                <w:rFonts w:eastAsia="Times New Roman"/>
                <w:sz w:val="20"/>
                <w:szCs w:val="20"/>
              </w:rPr>
            </w:pPr>
            <w:r>
              <w:rPr>
                <w:rFonts w:eastAsia="Times New Roman"/>
                <w:sz w:val="20"/>
                <w:szCs w:val="20"/>
              </w:rPr>
              <w:t>)</w:t>
            </w:r>
          </w:p>
        </w:tc>
      </w:tr>
      <w:tr w:rsidR="00000000" w14:paraId="06D6D1F8" w14:textId="77777777">
        <w:tc>
          <w:tcPr>
            <w:tcW w:w="0" w:type="auto"/>
            <w:shd w:val="clear" w:color="auto" w:fill="FFFFFF"/>
            <w:vAlign w:val="bottom"/>
            <w:hideMark/>
          </w:tcPr>
          <w:p w14:paraId="61CBFB6D" w14:textId="77777777" w:rsidR="00000000" w:rsidRDefault="001826C1">
            <w:pPr>
              <w:rPr>
                <w:rFonts w:eastAsia="Times New Roman"/>
                <w:sz w:val="20"/>
                <w:szCs w:val="20"/>
              </w:rPr>
            </w:pPr>
            <w:r>
              <w:rPr>
                <w:rFonts w:eastAsia="Times New Roman"/>
                <w:sz w:val="20"/>
                <w:szCs w:val="20"/>
              </w:rPr>
              <w:t>OTHER COMPREHENSIVE INCOME (LOSS), NET OF TAX</w:t>
            </w:r>
          </w:p>
        </w:tc>
        <w:tc>
          <w:tcPr>
            <w:tcW w:w="0" w:type="auto"/>
            <w:shd w:val="clear" w:color="auto" w:fill="FFFFFF"/>
            <w:vAlign w:val="bottom"/>
            <w:hideMark/>
          </w:tcPr>
          <w:p w14:paraId="697968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98AF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9D54D2"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3CBAD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D807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9A80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44A52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B80CA1F" w14:textId="77777777" w:rsidR="00000000" w:rsidRDefault="001826C1">
            <w:pPr>
              <w:rPr>
                <w:rFonts w:eastAsia="Times New Roman"/>
                <w:sz w:val="20"/>
                <w:szCs w:val="20"/>
              </w:rPr>
            </w:pPr>
            <w:r>
              <w:rPr>
                <w:rFonts w:eastAsia="Times New Roman"/>
                <w:sz w:val="20"/>
                <w:szCs w:val="20"/>
              </w:rPr>
              <w:t> </w:t>
            </w:r>
          </w:p>
        </w:tc>
      </w:tr>
      <w:tr w:rsidR="00000000" w14:paraId="3B7FADE3" w14:textId="77777777">
        <w:tc>
          <w:tcPr>
            <w:tcW w:w="0" w:type="auto"/>
            <w:shd w:val="clear" w:color="auto" w:fill="CCEEFF"/>
            <w:tcMar>
              <w:top w:w="0" w:type="dxa"/>
              <w:left w:w="0" w:type="dxa"/>
              <w:bottom w:w="30" w:type="dxa"/>
              <w:right w:w="0" w:type="dxa"/>
            </w:tcMar>
            <w:vAlign w:val="bottom"/>
            <w:hideMark/>
          </w:tcPr>
          <w:p w14:paraId="7A41CE3D" w14:textId="77777777" w:rsidR="00000000" w:rsidRDefault="001826C1">
            <w:pPr>
              <w:rPr>
                <w:rFonts w:eastAsia="Times New Roman"/>
                <w:sz w:val="20"/>
                <w:szCs w:val="20"/>
              </w:rPr>
            </w:pPr>
            <w:r>
              <w:rPr>
                <w:rFonts w:eastAsia="Times New Roman"/>
                <w:sz w:val="20"/>
                <w:szCs w:val="20"/>
              </w:rPr>
              <w:t xml:space="preserve">Foreign currency translation adjustment (a) </w:t>
            </w:r>
          </w:p>
        </w:tc>
        <w:tc>
          <w:tcPr>
            <w:tcW w:w="0" w:type="auto"/>
            <w:shd w:val="clear" w:color="auto" w:fill="CCEEFF"/>
            <w:tcMar>
              <w:top w:w="0" w:type="dxa"/>
              <w:left w:w="0" w:type="dxa"/>
              <w:bottom w:w="30" w:type="dxa"/>
              <w:right w:w="0" w:type="dxa"/>
            </w:tcMar>
            <w:vAlign w:val="bottom"/>
            <w:hideMark/>
          </w:tcPr>
          <w:p w14:paraId="4991EE6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72A83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AC7A43" w14:textId="77777777" w:rsidR="00000000" w:rsidRDefault="001826C1">
            <w:pPr>
              <w:jc w:val="right"/>
              <w:rPr>
                <w:rFonts w:eastAsia="Times New Roman"/>
                <w:sz w:val="20"/>
                <w:szCs w:val="20"/>
              </w:rPr>
            </w:pPr>
            <w:r>
              <w:rPr>
                <w:rFonts w:eastAsia="Times New Roman"/>
                <w:sz w:val="20"/>
                <w:szCs w:val="20"/>
              </w:rPr>
              <w:t>578,054</w:t>
            </w:r>
          </w:p>
        </w:tc>
        <w:tc>
          <w:tcPr>
            <w:tcW w:w="0" w:type="auto"/>
            <w:shd w:val="clear" w:color="auto" w:fill="CCEEFF"/>
            <w:tcMar>
              <w:top w:w="0" w:type="dxa"/>
              <w:left w:w="0" w:type="dxa"/>
              <w:bottom w:w="30" w:type="dxa"/>
              <w:right w:w="0" w:type="dxa"/>
            </w:tcMar>
            <w:vAlign w:val="bottom"/>
            <w:hideMark/>
          </w:tcPr>
          <w:p w14:paraId="66DB11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D28948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D6E33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6D7D601" w14:textId="77777777" w:rsidR="00000000" w:rsidRDefault="001826C1">
            <w:pPr>
              <w:jc w:val="right"/>
              <w:rPr>
                <w:rFonts w:eastAsia="Times New Roman"/>
                <w:sz w:val="20"/>
                <w:szCs w:val="20"/>
              </w:rPr>
            </w:pPr>
            <w:r>
              <w:rPr>
                <w:rFonts w:eastAsia="Times New Roman"/>
                <w:sz w:val="20"/>
                <w:szCs w:val="20"/>
              </w:rPr>
              <w:t>(699,998</w:t>
            </w:r>
          </w:p>
        </w:tc>
        <w:tc>
          <w:tcPr>
            <w:tcW w:w="0" w:type="auto"/>
            <w:shd w:val="clear" w:color="auto" w:fill="CCEEFF"/>
            <w:tcMar>
              <w:top w:w="0" w:type="dxa"/>
              <w:left w:w="0" w:type="dxa"/>
              <w:bottom w:w="30" w:type="dxa"/>
              <w:right w:w="0" w:type="dxa"/>
            </w:tcMar>
            <w:vAlign w:val="bottom"/>
            <w:hideMark/>
          </w:tcPr>
          <w:p w14:paraId="2139A51B" w14:textId="77777777" w:rsidR="00000000" w:rsidRDefault="001826C1">
            <w:pPr>
              <w:rPr>
                <w:rFonts w:eastAsia="Times New Roman"/>
                <w:sz w:val="20"/>
                <w:szCs w:val="20"/>
              </w:rPr>
            </w:pPr>
            <w:r>
              <w:rPr>
                <w:rFonts w:eastAsia="Times New Roman"/>
                <w:sz w:val="20"/>
                <w:szCs w:val="20"/>
              </w:rPr>
              <w:t>)</w:t>
            </w:r>
          </w:p>
        </w:tc>
      </w:tr>
      <w:tr w:rsidR="00000000" w14:paraId="6C44C394" w14:textId="77777777">
        <w:tc>
          <w:tcPr>
            <w:tcW w:w="0" w:type="auto"/>
            <w:shd w:val="clear" w:color="auto" w:fill="FFFFFF"/>
            <w:tcMar>
              <w:top w:w="0" w:type="dxa"/>
              <w:left w:w="0" w:type="dxa"/>
              <w:bottom w:w="50" w:type="dxa"/>
              <w:right w:w="0" w:type="dxa"/>
            </w:tcMar>
            <w:vAlign w:val="bottom"/>
            <w:hideMark/>
          </w:tcPr>
          <w:p w14:paraId="2C3EB655" w14:textId="77777777" w:rsidR="00000000" w:rsidRDefault="001826C1">
            <w:pPr>
              <w:rPr>
                <w:rFonts w:eastAsia="Times New Roman"/>
                <w:sz w:val="20"/>
                <w:szCs w:val="20"/>
              </w:rPr>
            </w:pPr>
            <w:r>
              <w:rPr>
                <w:rFonts w:eastAsia="Times New Roman"/>
                <w:sz w:val="20"/>
                <w:szCs w:val="20"/>
              </w:rPr>
              <w:t>COMPREHENSIVE LOSS</w:t>
            </w:r>
          </w:p>
        </w:tc>
        <w:tc>
          <w:tcPr>
            <w:tcW w:w="0" w:type="auto"/>
            <w:shd w:val="clear" w:color="auto" w:fill="FFFFFF"/>
            <w:tcMar>
              <w:top w:w="0" w:type="dxa"/>
              <w:left w:w="0" w:type="dxa"/>
              <w:bottom w:w="50" w:type="dxa"/>
              <w:right w:w="0" w:type="dxa"/>
            </w:tcMar>
            <w:vAlign w:val="bottom"/>
            <w:hideMark/>
          </w:tcPr>
          <w:p w14:paraId="7CE59EB0"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005AE8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505AD7D" w14:textId="77777777" w:rsidR="00000000" w:rsidRDefault="001826C1">
            <w:pPr>
              <w:jc w:val="right"/>
              <w:rPr>
                <w:rFonts w:eastAsia="Times New Roman"/>
                <w:sz w:val="20"/>
                <w:szCs w:val="20"/>
              </w:rPr>
            </w:pPr>
            <w:r>
              <w:rPr>
                <w:rFonts w:eastAsia="Times New Roman"/>
                <w:sz w:val="20"/>
                <w:szCs w:val="20"/>
              </w:rPr>
              <w:t>(293,746</w:t>
            </w:r>
          </w:p>
        </w:tc>
        <w:tc>
          <w:tcPr>
            <w:tcW w:w="0" w:type="auto"/>
            <w:shd w:val="clear" w:color="auto" w:fill="FFFFFF"/>
            <w:tcMar>
              <w:top w:w="0" w:type="dxa"/>
              <w:left w:w="0" w:type="dxa"/>
              <w:bottom w:w="50" w:type="dxa"/>
              <w:right w:w="0" w:type="dxa"/>
            </w:tcMar>
            <w:vAlign w:val="bottom"/>
            <w:hideMark/>
          </w:tcPr>
          <w:p w14:paraId="05DD6796"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19DB8A6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5A8CDC"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ADA80CE" w14:textId="77777777" w:rsidR="00000000" w:rsidRDefault="001826C1">
            <w:pPr>
              <w:jc w:val="right"/>
              <w:rPr>
                <w:rFonts w:eastAsia="Times New Roman"/>
                <w:sz w:val="20"/>
                <w:szCs w:val="20"/>
              </w:rPr>
            </w:pPr>
            <w:r>
              <w:rPr>
                <w:rFonts w:eastAsia="Times New Roman"/>
                <w:sz w:val="20"/>
                <w:szCs w:val="20"/>
              </w:rPr>
              <w:t>(2,838,478</w:t>
            </w:r>
          </w:p>
        </w:tc>
        <w:tc>
          <w:tcPr>
            <w:tcW w:w="0" w:type="auto"/>
            <w:shd w:val="clear" w:color="auto" w:fill="FFFFFF"/>
            <w:tcMar>
              <w:top w:w="0" w:type="dxa"/>
              <w:left w:w="0" w:type="dxa"/>
              <w:bottom w:w="50" w:type="dxa"/>
              <w:right w:w="0" w:type="dxa"/>
            </w:tcMar>
            <w:vAlign w:val="bottom"/>
            <w:hideMark/>
          </w:tcPr>
          <w:p w14:paraId="1B8C311C" w14:textId="77777777" w:rsidR="00000000" w:rsidRDefault="001826C1">
            <w:pPr>
              <w:rPr>
                <w:rFonts w:eastAsia="Times New Roman"/>
                <w:sz w:val="20"/>
                <w:szCs w:val="20"/>
              </w:rPr>
            </w:pPr>
            <w:r>
              <w:rPr>
                <w:rFonts w:eastAsia="Times New Roman"/>
                <w:sz w:val="20"/>
                <w:szCs w:val="20"/>
              </w:rPr>
              <w:t>)</w:t>
            </w:r>
          </w:p>
        </w:tc>
      </w:tr>
    </w:tbl>
    <w:p w14:paraId="250FFEC0" w14:textId="77777777" w:rsidR="00000000" w:rsidRDefault="001826C1">
      <w:pPr>
        <w:pStyle w:val="a3"/>
        <w:spacing w:before="0" w:beforeAutospacing="0" w:after="0" w:afterAutospacing="0"/>
        <w:rPr>
          <w:sz w:val="20"/>
          <w:szCs w:val="20"/>
        </w:rPr>
      </w:pPr>
      <w:r>
        <w:rPr>
          <w:sz w:val="20"/>
          <w:szCs w:val="20"/>
        </w:rPr>
        <w:t> </w:t>
      </w:r>
    </w:p>
    <w:p w14:paraId="71ACDA7F" w14:textId="77777777" w:rsidR="00000000" w:rsidRDefault="001826C1">
      <w:pPr>
        <w:pStyle w:val="a3"/>
        <w:spacing w:before="0" w:beforeAutospacing="0" w:after="0" w:afterAutospacing="0"/>
        <w:jc w:val="both"/>
        <w:rPr>
          <w:sz w:val="20"/>
          <w:szCs w:val="20"/>
        </w:rPr>
      </w:pPr>
      <w:r>
        <w:rPr>
          <w:sz w:val="20"/>
          <w:szCs w:val="20"/>
        </w:rPr>
        <w:t xml:space="preserve">(a) </w:t>
      </w:r>
      <w:r>
        <w:rPr>
          <w:sz w:val="20"/>
          <w:szCs w:val="20"/>
        </w:rPr>
        <w:t>No tax effect has been recorded as the Company recorded a valuation allowance against the tax benefit from its foreign currency translation adjustments.</w:t>
      </w:r>
    </w:p>
    <w:p w14:paraId="0F4736AC" w14:textId="77777777" w:rsidR="00000000" w:rsidRDefault="001826C1">
      <w:pPr>
        <w:pStyle w:val="a3"/>
        <w:spacing w:before="0" w:beforeAutospacing="0" w:after="0" w:afterAutospacing="0"/>
        <w:rPr>
          <w:sz w:val="20"/>
          <w:szCs w:val="20"/>
        </w:rPr>
      </w:pPr>
      <w:r>
        <w:rPr>
          <w:sz w:val="20"/>
          <w:szCs w:val="20"/>
        </w:rPr>
        <w:t> </w:t>
      </w:r>
    </w:p>
    <w:p w14:paraId="3A0913C4" w14:textId="77777777" w:rsidR="00000000" w:rsidRDefault="001826C1">
      <w:pPr>
        <w:pStyle w:val="a3"/>
        <w:spacing w:before="0" w:beforeAutospacing="0" w:after="0" w:afterAutospacing="0"/>
        <w:rPr>
          <w:sz w:val="20"/>
          <w:szCs w:val="20"/>
        </w:rPr>
      </w:pPr>
      <w:r>
        <w:rPr>
          <w:sz w:val="20"/>
          <w:szCs w:val="20"/>
        </w:rPr>
        <w:t>See notes to consolidated financial statements.</w:t>
      </w:r>
    </w:p>
    <w:p w14:paraId="09481149"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223580D" w14:textId="77777777">
        <w:trPr>
          <w:divId w:val="732697200"/>
        </w:trPr>
        <w:tc>
          <w:tcPr>
            <w:tcW w:w="5000" w:type="pct"/>
            <w:hideMark/>
          </w:tcPr>
          <w:p w14:paraId="2CCBD126"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2E3528FD" w14:textId="77777777">
        <w:tc>
          <w:tcPr>
            <w:tcW w:w="5000" w:type="pct"/>
            <w:hideMark/>
          </w:tcPr>
          <w:p w14:paraId="40F5BBDF" w14:textId="77777777" w:rsidR="00000000" w:rsidRDefault="001826C1">
            <w:pPr>
              <w:jc w:val="center"/>
              <w:rPr>
                <w:rFonts w:eastAsia="Times New Roman"/>
                <w:sz w:val="20"/>
                <w:szCs w:val="20"/>
              </w:rPr>
            </w:pPr>
            <w:r>
              <w:rPr>
                <w:rFonts w:eastAsia="Times New Roman"/>
                <w:sz w:val="20"/>
                <w:szCs w:val="20"/>
              </w:rPr>
              <w:t> </w:t>
            </w:r>
          </w:p>
        </w:tc>
      </w:tr>
    </w:tbl>
    <w:p w14:paraId="4872369F" w14:textId="77777777" w:rsidR="00000000" w:rsidRDefault="001826C1">
      <w:pPr>
        <w:pStyle w:val="a3"/>
        <w:spacing w:before="0" w:beforeAutospacing="0" w:after="0" w:afterAutospacing="0"/>
        <w:rPr>
          <w:sz w:val="20"/>
          <w:szCs w:val="20"/>
        </w:rPr>
      </w:pPr>
      <w:r>
        <w:rPr>
          <w:sz w:val="20"/>
          <w:szCs w:val="20"/>
        </w:rPr>
        <w:t> </w:t>
      </w:r>
    </w:p>
    <w:p w14:paraId="60A63AE4" w14:textId="77777777" w:rsidR="00000000" w:rsidRDefault="001826C1">
      <w:pPr>
        <w:pStyle w:val="a3"/>
        <w:spacing w:before="0" w:beforeAutospacing="0" w:after="0" w:afterAutospacing="0"/>
        <w:jc w:val="center"/>
        <w:rPr>
          <w:sz w:val="20"/>
          <w:szCs w:val="20"/>
        </w:rPr>
      </w:pPr>
      <w:r>
        <w:rPr>
          <w:b/>
          <w:bCs/>
          <w:sz w:val="20"/>
          <w:szCs w:val="20"/>
        </w:rPr>
        <w:t>MTBC, INC.</w:t>
      </w:r>
    </w:p>
    <w:p w14:paraId="642E2174" w14:textId="77777777" w:rsidR="00000000" w:rsidRDefault="001826C1">
      <w:pPr>
        <w:pStyle w:val="a3"/>
        <w:spacing w:before="0" w:beforeAutospacing="0" w:after="0" w:afterAutospacing="0"/>
        <w:jc w:val="center"/>
        <w:rPr>
          <w:sz w:val="20"/>
          <w:szCs w:val="20"/>
        </w:rPr>
      </w:pPr>
      <w:bookmarkStart w:id="29" w:name="a_028"/>
      <w:bookmarkEnd w:id="29"/>
      <w:r>
        <w:rPr>
          <w:b/>
          <w:bCs/>
          <w:sz w:val="20"/>
          <w:szCs w:val="20"/>
        </w:rPr>
        <w:t xml:space="preserve">CONSOLIDATED </w:t>
      </w:r>
      <w:r>
        <w:rPr>
          <w:b/>
          <w:bCs/>
          <w:sz w:val="20"/>
          <w:szCs w:val="20"/>
        </w:rPr>
        <w:t>STATEMENTS OF SHAREHOLDERS’ EQUITY</w:t>
      </w:r>
    </w:p>
    <w:p w14:paraId="58C65D2B" w14:textId="77777777" w:rsidR="00000000" w:rsidRDefault="001826C1">
      <w:pPr>
        <w:pStyle w:val="a3"/>
        <w:pBdr>
          <w:bottom w:val="single" w:sz="12" w:space="0" w:color="000000"/>
        </w:pBdr>
        <w:spacing w:before="0" w:beforeAutospacing="0" w:after="0" w:afterAutospacing="0"/>
        <w:jc w:val="center"/>
        <w:rPr>
          <w:sz w:val="20"/>
          <w:szCs w:val="20"/>
        </w:rPr>
      </w:pPr>
      <w:r>
        <w:rPr>
          <w:b/>
          <w:bCs/>
          <w:sz w:val="20"/>
          <w:szCs w:val="20"/>
        </w:rPr>
        <w:t>FOR THE YEARS ENDED DECEMBER 31, 2019 AND 2018</w:t>
      </w:r>
    </w:p>
    <w:p w14:paraId="4CF12864"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161"/>
        <w:gridCol w:w="50"/>
        <w:gridCol w:w="50"/>
        <w:gridCol w:w="800"/>
        <w:gridCol w:w="50"/>
        <w:gridCol w:w="50"/>
        <w:gridCol w:w="141"/>
        <w:gridCol w:w="560"/>
        <w:gridCol w:w="50"/>
        <w:gridCol w:w="50"/>
        <w:gridCol w:w="50"/>
        <w:gridCol w:w="900"/>
        <w:gridCol w:w="50"/>
        <w:gridCol w:w="50"/>
        <w:gridCol w:w="141"/>
        <w:gridCol w:w="560"/>
        <w:gridCol w:w="50"/>
        <w:gridCol w:w="50"/>
        <w:gridCol w:w="100"/>
        <w:gridCol w:w="900"/>
        <w:gridCol w:w="67"/>
        <w:gridCol w:w="50"/>
        <w:gridCol w:w="227"/>
        <w:gridCol w:w="967"/>
        <w:gridCol w:w="67"/>
        <w:gridCol w:w="50"/>
        <w:gridCol w:w="267"/>
        <w:gridCol w:w="1067"/>
        <w:gridCol w:w="67"/>
        <w:gridCol w:w="50"/>
        <w:gridCol w:w="185"/>
        <w:gridCol w:w="738"/>
        <w:gridCol w:w="67"/>
        <w:gridCol w:w="50"/>
        <w:gridCol w:w="240"/>
        <w:gridCol w:w="960"/>
        <w:gridCol w:w="67"/>
      </w:tblGrid>
      <w:tr w:rsidR="00000000" w14:paraId="3C0499E6" w14:textId="77777777">
        <w:tc>
          <w:tcPr>
            <w:tcW w:w="0" w:type="auto"/>
            <w:tcMar>
              <w:top w:w="0" w:type="dxa"/>
              <w:left w:w="0" w:type="dxa"/>
              <w:bottom w:w="30" w:type="dxa"/>
              <w:right w:w="0" w:type="dxa"/>
            </w:tcMar>
            <w:vAlign w:val="bottom"/>
            <w:hideMark/>
          </w:tcPr>
          <w:p w14:paraId="5AA76223" w14:textId="77777777" w:rsidR="00000000" w:rsidRDefault="001826C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26CC270"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16C27D8" w14:textId="77777777" w:rsidR="00000000" w:rsidRDefault="001826C1">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2D414530"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C08135D"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CDB9C5C" w14:textId="77777777" w:rsidR="00000000" w:rsidRDefault="001826C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300A2ED1"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1B2E703"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175524D3" w14:textId="77777777" w:rsidR="00000000" w:rsidRDefault="001826C1">
            <w:pPr>
              <w:jc w:val="center"/>
              <w:rPr>
                <w:rFonts w:eastAsia="Times New Roman"/>
                <w:b/>
                <w:bCs/>
                <w:sz w:val="20"/>
                <w:szCs w:val="20"/>
              </w:rPr>
            </w:pPr>
            <w:r>
              <w:rPr>
                <w:rFonts w:eastAsia="Times New Roman"/>
                <w:b/>
                <w:bCs/>
                <w:sz w:val="20"/>
                <w:szCs w:val="20"/>
              </w:rPr>
              <w:t xml:space="preserve">Additional Paid-in </w:t>
            </w:r>
          </w:p>
        </w:tc>
        <w:tc>
          <w:tcPr>
            <w:tcW w:w="0" w:type="auto"/>
            <w:tcMar>
              <w:top w:w="0" w:type="dxa"/>
              <w:left w:w="0" w:type="dxa"/>
              <w:bottom w:w="30" w:type="dxa"/>
              <w:right w:w="0" w:type="dxa"/>
            </w:tcMar>
            <w:vAlign w:val="bottom"/>
            <w:hideMark/>
          </w:tcPr>
          <w:p w14:paraId="3872781D"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A76B2A0"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56AF5F8B" w14:textId="77777777" w:rsidR="00000000" w:rsidRDefault="001826C1">
            <w:pPr>
              <w:jc w:val="center"/>
              <w:rPr>
                <w:rFonts w:eastAsia="Times New Roman"/>
                <w:b/>
                <w:bCs/>
                <w:sz w:val="20"/>
                <w:szCs w:val="20"/>
              </w:rPr>
            </w:pPr>
            <w:r>
              <w:rPr>
                <w:rFonts w:eastAsia="Times New Roman"/>
                <w:b/>
                <w:bCs/>
                <w:sz w:val="20"/>
                <w:szCs w:val="20"/>
              </w:rPr>
              <w:t>Accumulated</w:t>
            </w:r>
          </w:p>
        </w:tc>
        <w:tc>
          <w:tcPr>
            <w:tcW w:w="0" w:type="auto"/>
            <w:tcMar>
              <w:top w:w="0" w:type="dxa"/>
              <w:left w:w="0" w:type="dxa"/>
              <w:bottom w:w="30" w:type="dxa"/>
              <w:right w:w="0" w:type="dxa"/>
            </w:tcMar>
            <w:vAlign w:val="bottom"/>
            <w:hideMark/>
          </w:tcPr>
          <w:p w14:paraId="20F132E9"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03ADF32"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4D91771A" w14:textId="77777777" w:rsidR="00000000" w:rsidRDefault="001826C1">
            <w:pPr>
              <w:jc w:val="center"/>
              <w:rPr>
                <w:rFonts w:eastAsia="Times New Roman"/>
                <w:b/>
                <w:bCs/>
                <w:sz w:val="20"/>
                <w:szCs w:val="20"/>
              </w:rPr>
            </w:pPr>
            <w:r>
              <w:rPr>
                <w:rFonts w:eastAsia="Times New Roman"/>
                <w:b/>
                <w:bCs/>
                <w:sz w:val="20"/>
                <w:szCs w:val="20"/>
              </w:rPr>
              <w:t>Accumulated Other Comprehensive</w:t>
            </w:r>
          </w:p>
        </w:tc>
        <w:tc>
          <w:tcPr>
            <w:tcW w:w="0" w:type="auto"/>
            <w:tcMar>
              <w:top w:w="0" w:type="dxa"/>
              <w:left w:w="0" w:type="dxa"/>
              <w:bottom w:w="30" w:type="dxa"/>
              <w:right w:w="0" w:type="dxa"/>
            </w:tcMar>
            <w:vAlign w:val="bottom"/>
            <w:hideMark/>
          </w:tcPr>
          <w:p w14:paraId="6092F689"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108DAA9"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4BB946A8" w14:textId="77777777" w:rsidR="00000000" w:rsidRDefault="001826C1">
            <w:pPr>
              <w:jc w:val="center"/>
              <w:rPr>
                <w:rFonts w:eastAsia="Times New Roman"/>
                <w:b/>
                <w:bCs/>
                <w:sz w:val="20"/>
                <w:szCs w:val="20"/>
              </w:rPr>
            </w:pPr>
            <w:r>
              <w:rPr>
                <w:rFonts w:eastAsia="Times New Roman"/>
                <w:b/>
                <w:bCs/>
                <w:sz w:val="20"/>
                <w:szCs w:val="20"/>
              </w:rPr>
              <w:t>Treasury (Common)</w:t>
            </w:r>
          </w:p>
        </w:tc>
        <w:tc>
          <w:tcPr>
            <w:tcW w:w="0" w:type="auto"/>
            <w:tcMar>
              <w:top w:w="0" w:type="dxa"/>
              <w:left w:w="0" w:type="dxa"/>
              <w:bottom w:w="30" w:type="dxa"/>
              <w:right w:w="0" w:type="dxa"/>
            </w:tcMar>
            <w:vAlign w:val="bottom"/>
            <w:hideMark/>
          </w:tcPr>
          <w:p w14:paraId="1DD87CE4"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53BFE50" w14:textId="77777777" w:rsidR="00000000" w:rsidRDefault="001826C1">
            <w:pPr>
              <w:jc w:val="center"/>
              <w:rPr>
                <w:rFonts w:eastAsia="Times New Roman"/>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3998017A" w14:textId="77777777" w:rsidR="00000000" w:rsidRDefault="001826C1">
            <w:pPr>
              <w:pStyle w:val="a3"/>
              <w:spacing w:before="0" w:beforeAutospacing="0" w:after="0" w:afterAutospacing="0"/>
              <w:jc w:val="center"/>
              <w:rPr>
                <w:sz w:val="20"/>
                <w:szCs w:val="20"/>
              </w:rPr>
            </w:pPr>
            <w:r>
              <w:rPr>
                <w:b/>
                <w:bCs/>
                <w:sz w:val="20"/>
                <w:szCs w:val="20"/>
              </w:rPr>
              <w:t>Total</w:t>
            </w:r>
          </w:p>
          <w:p w14:paraId="177D8AED" w14:textId="77777777" w:rsidR="00000000" w:rsidRDefault="001826C1">
            <w:pPr>
              <w:pStyle w:val="a3"/>
              <w:spacing w:before="0" w:beforeAutospacing="0" w:after="0" w:afterAutospacing="0"/>
              <w:jc w:val="center"/>
              <w:rPr>
                <w:sz w:val="20"/>
                <w:szCs w:val="20"/>
              </w:rPr>
            </w:pPr>
            <w:r>
              <w:rPr>
                <w:b/>
                <w:bCs/>
                <w:sz w:val="20"/>
                <w:szCs w:val="20"/>
              </w:rPr>
              <w:t>Shareholders’</w:t>
            </w:r>
          </w:p>
        </w:tc>
        <w:tc>
          <w:tcPr>
            <w:tcW w:w="0" w:type="auto"/>
            <w:tcMar>
              <w:top w:w="0" w:type="dxa"/>
              <w:left w:w="0" w:type="dxa"/>
              <w:bottom w:w="30" w:type="dxa"/>
              <w:right w:w="0" w:type="dxa"/>
            </w:tcMar>
            <w:vAlign w:val="bottom"/>
            <w:hideMark/>
          </w:tcPr>
          <w:p w14:paraId="46476543" w14:textId="77777777" w:rsidR="00000000" w:rsidRDefault="001826C1">
            <w:pPr>
              <w:jc w:val="center"/>
              <w:rPr>
                <w:rFonts w:eastAsia="Times New Roman"/>
                <w:sz w:val="20"/>
                <w:szCs w:val="20"/>
              </w:rPr>
            </w:pPr>
            <w:r>
              <w:rPr>
                <w:rFonts w:eastAsia="Times New Roman"/>
                <w:b/>
                <w:bCs/>
                <w:sz w:val="20"/>
                <w:szCs w:val="20"/>
              </w:rPr>
              <w:t> </w:t>
            </w:r>
          </w:p>
        </w:tc>
      </w:tr>
      <w:tr w:rsidR="00000000" w14:paraId="6FA5F3D0" w14:textId="77777777">
        <w:tc>
          <w:tcPr>
            <w:tcW w:w="0" w:type="auto"/>
            <w:vAlign w:val="bottom"/>
            <w:hideMark/>
          </w:tcPr>
          <w:p w14:paraId="1790EF3D" w14:textId="77777777" w:rsidR="00000000" w:rsidRDefault="001826C1">
            <w:pPr>
              <w:jc w:val="center"/>
              <w:rPr>
                <w:rFonts w:eastAsia="Times New Roman"/>
                <w:sz w:val="20"/>
                <w:szCs w:val="20"/>
              </w:rPr>
            </w:pPr>
            <w:r>
              <w:rPr>
                <w:rFonts w:eastAsia="Times New Roman"/>
                <w:b/>
                <w:bCs/>
                <w:sz w:val="20"/>
                <w:szCs w:val="20"/>
              </w:rPr>
              <w:t> </w:t>
            </w:r>
          </w:p>
        </w:tc>
        <w:tc>
          <w:tcPr>
            <w:tcW w:w="0" w:type="auto"/>
            <w:vAlign w:val="bottom"/>
            <w:hideMark/>
          </w:tcPr>
          <w:p w14:paraId="2E36B31B"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381D247" w14:textId="77777777" w:rsidR="00000000" w:rsidRDefault="001826C1">
            <w:pPr>
              <w:jc w:val="center"/>
              <w:rPr>
                <w:rFonts w:eastAsia="Times New Roman"/>
                <w:b/>
                <w:bCs/>
                <w:sz w:val="20"/>
                <w:szCs w:val="20"/>
              </w:rPr>
            </w:pPr>
            <w:r>
              <w:rPr>
                <w:rFonts w:eastAsia="Times New Roman"/>
                <w:b/>
                <w:bCs/>
                <w:sz w:val="20"/>
                <w:szCs w:val="20"/>
              </w:rPr>
              <w:t>Shares</w:t>
            </w:r>
          </w:p>
        </w:tc>
        <w:tc>
          <w:tcPr>
            <w:tcW w:w="0" w:type="auto"/>
            <w:vAlign w:val="bottom"/>
            <w:hideMark/>
          </w:tcPr>
          <w:p w14:paraId="266C9B80"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2F964FB3"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47C4378" w14:textId="77777777" w:rsidR="00000000" w:rsidRDefault="001826C1">
            <w:pPr>
              <w:jc w:val="center"/>
              <w:rPr>
                <w:rFonts w:eastAsia="Times New Roman"/>
                <w:b/>
                <w:bCs/>
                <w:sz w:val="20"/>
                <w:szCs w:val="20"/>
              </w:rPr>
            </w:pPr>
            <w:r>
              <w:rPr>
                <w:rFonts w:eastAsia="Times New Roman"/>
                <w:b/>
                <w:bCs/>
                <w:sz w:val="20"/>
                <w:szCs w:val="20"/>
              </w:rPr>
              <w:t>Amount</w:t>
            </w:r>
          </w:p>
        </w:tc>
        <w:tc>
          <w:tcPr>
            <w:tcW w:w="0" w:type="auto"/>
            <w:vAlign w:val="bottom"/>
            <w:hideMark/>
          </w:tcPr>
          <w:p w14:paraId="1E352A56"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78A5F39D"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17FCE17" w14:textId="77777777" w:rsidR="00000000" w:rsidRDefault="001826C1">
            <w:pPr>
              <w:jc w:val="center"/>
              <w:rPr>
                <w:rFonts w:eastAsia="Times New Roman"/>
                <w:b/>
                <w:bCs/>
                <w:sz w:val="20"/>
                <w:szCs w:val="20"/>
              </w:rPr>
            </w:pPr>
            <w:r>
              <w:rPr>
                <w:rFonts w:eastAsia="Times New Roman"/>
                <w:b/>
                <w:bCs/>
                <w:sz w:val="20"/>
                <w:szCs w:val="20"/>
              </w:rPr>
              <w:t>Shares</w:t>
            </w:r>
          </w:p>
        </w:tc>
        <w:tc>
          <w:tcPr>
            <w:tcW w:w="0" w:type="auto"/>
            <w:vAlign w:val="bottom"/>
            <w:hideMark/>
          </w:tcPr>
          <w:p w14:paraId="6F120C2A"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22698FDC"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6C0B447" w14:textId="77777777" w:rsidR="00000000" w:rsidRDefault="001826C1">
            <w:pPr>
              <w:jc w:val="center"/>
              <w:rPr>
                <w:rFonts w:eastAsia="Times New Roman"/>
                <w:b/>
                <w:bCs/>
                <w:sz w:val="20"/>
                <w:szCs w:val="20"/>
              </w:rPr>
            </w:pPr>
            <w:r>
              <w:rPr>
                <w:rFonts w:eastAsia="Times New Roman"/>
                <w:b/>
                <w:bCs/>
                <w:sz w:val="20"/>
                <w:szCs w:val="20"/>
              </w:rPr>
              <w:t>Amount</w:t>
            </w:r>
          </w:p>
        </w:tc>
        <w:tc>
          <w:tcPr>
            <w:tcW w:w="0" w:type="auto"/>
            <w:vAlign w:val="bottom"/>
            <w:hideMark/>
          </w:tcPr>
          <w:p w14:paraId="69D0DAF6"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0C6D0109"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CCD7ECD" w14:textId="77777777" w:rsidR="00000000" w:rsidRDefault="001826C1">
            <w:pPr>
              <w:pStyle w:val="a3"/>
              <w:spacing w:before="0" w:beforeAutospacing="0" w:after="0" w:afterAutospacing="0"/>
              <w:jc w:val="center"/>
              <w:rPr>
                <w:b/>
                <w:bCs/>
                <w:sz w:val="20"/>
                <w:szCs w:val="20"/>
              </w:rPr>
            </w:pPr>
            <w:r>
              <w:rPr>
                <w:b/>
                <w:bCs/>
                <w:sz w:val="20"/>
                <w:szCs w:val="20"/>
              </w:rPr>
              <w:t> Capital</w:t>
            </w:r>
          </w:p>
        </w:tc>
        <w:tc>
          <w:tcPr>
            <w:tcW w:w="0" w:type="auto"/>
            <w:vAlign w:val="bottom"/>
            <w:hideMark/>
          </w:tcPr>
          <w:p w14:paraId="028651B9"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75F9D21D"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FE8D50" w14:textId="77777777" w:rsidR="00000000" w:rsidRDefault="001826C1">
            <w:pPr>
              <w:pStyle w:val="a3"/>
              <w:spacing w:before="0" w:beforeAutospacing="0" w:after="0" w:afterAutospacing="0"/>
              <w:jc w:val="center"/>
              <w:rPr>
                <w:b/>
                <w:bCs/>
                <w:sz w:val="20"/>
                <w:szCs w:val="20"/>
              </w:rPr>
            </w:pPr>
            <w:r>
              <w:rPr>
                <w:b/>
                <w:bCs/>
                <w:sz w:val="20"/>
                <w:szCs w:val="20"/>
              </w:rPr>
              <w:t> Deficit</w:t>
            </w:r>
          </w:p>
        </w:tc>
        <w:tc>
          <w:tcPr>
            <w:tcW w:w="0" w:type="auto"/>
            <w:vAlign w:val="bottom"/>
            <w:hideMark/>
          </w:tcPr>
          <w:p w14:paraId="3F7FFA53"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2BB307D6"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E4073BD" w14:textId="77777777" w:rsidR="00000000" w:rsidRDefault="001826C1">
            <w:pPr>
              <w:jc w:val="center"/>
              <w:rPr>
                <w:rFonts w:eastAsia="Times New Roman"/>
                <w:b/>
                <w:bCs/>
                <w:sz w:val="20"/>
                <w:szCs w:val="20"/>
              </w:rPr>
            </w:pPr>
            <w:r>
              <w:rPr>
                <w:rFonts w:eastAsia="Times New Roman"/>
                <w:b/>
                <w:bCs/>
                <w:sz w:val="20"/>
                <w:szCs w:val="20"/>
              </w:rPr>
              <w:t>Loss</w:t>
            </w:r>
          </w:p>
        </w:tc>
        <w:tc>
          <w:tcPr>
            <w:tcW w:w="0" w:type="auto"/>
            <w:vAlign w:val="bottom"/>
            <w:hideMark/>
          </w:tcPr>
          <w:p w14:paraId="59A4C8B7"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21B4F105"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58F0CCE" w14:textId="77777777" w:rsidR="00000000" w:rsidRDefault="001826C1">
            <w:pPr>
              <w:jc w:val="center"/>
              <w:rPr>
                <w:rFonts w:eastAsia="Times New Roman"/>
                <w:b/>
                <w:bCs/>
                <w:sz w:val="20"/>
                <w:szCs w:val="20"/>
              </w:rPr>
            </w:pPr>
            <w:r>
              <w:rPr>
                <w:rFonts w:eastAsia="Times New Roman"/>
                <w:b/>
                <w:bCs/>
                <w:sz w:val="20"/>
                <w:szCs w:val="20"/>
              </w:rPr>
              <w:t>Stock</w:t>
            </w:r>
          </w:p>
        </w:tc>
        <w:tc>
          <w:tcPr>
            <w:tcW w:w="0" w:type="auto"/>
            <w:vAlign w:val="bottom"/>
            <w:hideMark/>
          </w:tcPr>
          <w:p w14:paraId="4BEB1952"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15373A81"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2CC26EE" w14:textId="77777777" w:rsidR="00000000" w:rsidRDefault="001826C1">
            <w:pPr>
              <w:pStyle w:val="a3"/>
              <w:spacing w:before="0" w:beforeAutospacing="0" w:after="0" w:afterAutospacing="0"/>
              <w:jc w:val="center"/>
              <w:rPr>
                <w:b/>
                <w:bCs/>
                <w:sz w:val="20"/>
                <w:szCs w:val="20"/>
              </w:rPr>
            </w:pPr>
            <w:r>
              <w:rPr>
                <w:b/>
                <w:bCs/>
                <w:sz w:val="20"/>
                <w:szCs w:val="20"/>
              </w:rPr>
              <w:t>Equity</w:t>
            </w:r>
          </w:p>
        </w:tc>
        <w:tc>
          <w:tcPr>
            <w:tcW w:w="0" w:type="auto"/>
            <w:vAlign w:val="bottom"/>
            <w:hideMark/>
          </w:tcPr>
          <w:p w14:paraId="6CFE378C" w14:textId="77777777" w:rsidR="00000000" w:rsidRDefault="001826C1">
            <w:pPr>
              <w:jc w:val="center"/>
              <w:rPr>
                <w:rFonts w:eastAsia="Times New Roman"/>
                <w:b/>
                <w:bCs/>
                <w:sz w:val="20"/>
                <w:szCs w:val="20"/>
              </w:rPr>
            </w:pPr>
            <w:r>
              <w:rPr>
                <w:rFonts w:eastAsia="Times New Roman"/>
                <w:b/>
                <w:bCs/>
                <w:sz w:val="20"/>
                <w:szCs w:val="20"/>
              </w:rPr>
              <w:t> </w:t>
            </w:r>
          </w:p>
        </w:tc>
      </w:tr>
      <w:tr w:rsidR="001826C1" w14:paraId="57F1250E" w14:textId="77777777">
        <w:tc>
          <w:tcPr>
            <w:tcW w:w="1400" w:type="pct"/>
            <w:shd w:val="clear" w:color="auto" w:fill="CCEEFF"/>
            <w:vAlign w:val="bottom"/>
            <w:hideMark/>
          </w:tcPr>
          <w:p w14:paraId="4C87705E" w14:textId="77777777" w:rsidR="00000000" w:rsidRDefault="001826C1">
            <w:pPr>
              <w:rPr>
                <w:rFonts w:eastAsia="Times New Roman"/>
                <w:sz w:val="20"/>
                <w:szCs w:val="20"/>
              </w:rPr>
            </w:pPr>
            <w:r>
              <w:rPr>
                <w:rFonts w:eastAsia="Times New Roman"/>
                <w:sz w:val="20"/>
                <w:szCs w:val="20"/>
              </w:rPr>
              <w:t>Balance - December 31, 2017 before adoption of ASC 606</w:t>
            </w:r>
          </w:p>
        </w:tc>
        <w:tc>
          <w:tcPr>
            <w:tcW w:w="100" w:type="pct"/>
            <w:shd w:val="clear" w:color="auto" w:fill="CCEEFF"/>
            <w:vAlign w:val="bottom"/>
            <w:hideMark/>
          </w:tcPr>
          <w:p w14:paraId="02EE9F18"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5A0023" w14:textId="77777777" w:rsidR="00000000" w:rsidRDefault="001826C1">
            <w:pPr>
              <w:rPr>
                <w:rFonts w:eastAsia="Times New Roman"/>
                <w:sz w:val="20"/>
                <w:szCs w:val="20"/>
              </w:rPr>
            </w:pPr>
            <w:r>
              <w:rPr>
                <w:rFonts w:eastAsia="Times New Roman"/>
                <w:sz w:val="20"/>
                <w:szCs w:val="20"/>
              </w:rPr>
              <w:t> </w:t>
            </w:r>
          </w:p>
        </w:tc>
        <w:tc>
          <w:tcPr>
            <w:tcW w:w="200" w:type="pct"/>
            <w:shd w:val="clear" w:color="auto" w:fill="CCEEFF"/>
            <w:vAlign w:val="bottom"/>
            <w:hideMark/>
          </w:tcPr>
          <w:p w14:paraId="72C3FCD4" w14:textId="77777777" w:rsidR="00000000" w:rsidRDefault="001826C1">
            <w:pPr>
              <w:jc w:val="right"/>
              <w:rPr>
                <w:rFonts w:eastAsia="Times New Roman"/>
                <w:sz w:val="20"/>
                <w:szCs w:val="20"/>
              </w:rPr>
            </w:pPr>
            <w:r>
              <w:rPr>
                <w:rFonts w:eastAsia="Times New Roman"/>
                <w:sz w:val="20"/>
                <w:szCs w:val="20"/>
              </w:rPr>
              <w:t>1,086,739</w:t>
            </w:r>
          </w:p>
        </w:tc>
        <w:tc>
          <w:tcPr>
            <w:tcW w:w="50" w:type="pct"/>
            <w:shd w:val="clear" w:color="auto" w:fill="CCEEFF"/>
            <w:vAlign w:val="bottom"/>
            <w:hideMark/>
          </w:tcPr>
          <w:p w14:paraId="63C7581C"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18C173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6297A8" w14:textId="77777777" w:rsidR="00000000" w:rsidRDefault="001826C1">
            <w:pPr>
              <w:rPr>
                <w:rFonts w:eastAsia="Times New Roman"/>
                <w:sz w:val="20"/>
                <w:szCs w:val="20"/>
              </w:rPr>
            </w:pPr>
            <w:r>
              <w:rPr>
                <w:rFonts w:eastAsia="Times New Roman"/>
                <w:sz w:val="20"/>
                <w:szCs w:val="20"/>
              </w:rPr>
              <w:t>$</w:t>
            </w:r>
          </w:p>
        </w:tc>
        <w:tc>
          <w:tcPr>
            <w:tcW w:w="200" w:type="pct"/>
            <w:shd w:val="clear" w:color="auto" w:fill="CCEEFF"/>
            <w:vAlign w:val="bottom"/>
            <w:hideMark/>
          </w:tcPr>
          <w:p w14:paraId="2F60CE64" w14:textId="77777777" w:rsidR="00000000" w:rsidRDefault="001826C1">
            <w:pPr>
              <w:jc w:val="right"/>
              <w:rPr>
                <w:rFonts w:eastAsia="Times New Roman"/>
                <w:sz w:val="20"/>
                <w:szCs w:val="20"/>
              </w:rPr>
            </w:pPr>
            <w:r>
              <w:rPr>
                <w:rFonts w:eastAsia="Times New Roman"/>
                <w:sz w:val="20"/>
                <w:szCs w:val="20"/>
              </w:rPr>
              <w:t>1,087</w:t>
            </w:r>
          </w:p>
        </w:tc>
        <w:tc>
          <w:tcPr>
            <w:tcW w:w="50" w:type="pct"/>
            <w:shd w:val="clear" w:color="auto" w:fill="CCEEFF"/>
            <w:vAlign w:val="bottom"/>
            <w:hideMark/>
          </w:tcPr>
          <w:p w14:paraId="2FDA9B4F"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084FC63"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D3683D" w14:textId="77777777" w:rsidR="00000000" w:rsidRDefault="001826C1">
            <w:pPr>
              <w:rPr>
                <w:rFonts w:eastAsia="Times New Roman"/>
                <w:sz w:val="20"/>
                <w:szCs w:val="20"/>
              </w:rPr>
            </w:pPr>
            <w:r>
              <w:rPr>
                <w:rFonts w:eastAsia="Times New Roman"/>
                <w:sz w:val="20"/>
                <w:szCs w:val="20"/>
              </w:rPr>
              <w:t> </w:t>
            </w:r>
          </w:p>
        </w:tc>
        <w:tc>
          <w:tcPr>
            <w:tcW w:w="200" w:type="pct"/>
            <w:shd w:val="clear" w:color="auto" w:fill="CCEEFF"/>
            <w:vAlign w:val="bottom"/>
            <w:hideMark/>
          </w:tcPr>
          <w:p w14:paraId="2152B2D2" w14:textId="77777777" w:rsidR="00000000" w:rsidRDefault="001826C1">
            <w:pPr>
              <w:jc w:val="right"/>
              <w:rPr>
                <w:rFonts w:eastAsia="Times New Roman"/>
                <w:sz w:val="20"/>
                <w:szCs w:val="20"/>
              </w:rPr>
            </w:pPr>
            <w:r>
              <w:rPr>
                <w:rFonts w:eastAsia="Times New Roman"/>
                <w:sz w:val="20"/>
                <w:szCs w:val="20"/>
              </w:rPr>
              <w:t>12,271,390</w:t>
            </w:r>
          </w:p>
        </w:tc>
        <w:tc>
          <w:tcPr>
            <w:tcW w:w="50" w:type="pct"/>
            <w:shd w:val="clear" w:color="auto" w:fill="CCEEFF"/>
            <w:vAlign w:val="bottom"/>
            <w:hideMark/>
          </w:tcPr>
          <w:p w14:paraId="7CA2E0C7"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F961ED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D2AE5C5" w14:textId="77777777" w:rsidR="00000000" w:rsidRDefault="001826C1">
            <w:pPr>
              <w:rPr>
                <w:rFonts w:eastAsia="Times New Roman"/>
                <w:sz w:val="20"/>
                <w:szCs w:val="20"/>
              </w:rPr>
            </w:pPr>
            <w:r>
              <w:rPr>
                <w:rFonts w:eastAsia="Times New Roman"/>
                <w:sz w:val="20"/>
                <w:szCs w:val="20"/>
              </w:rPr>
              <w:t>$</w:t>
            </w:r>
          </w:p>
        </w:tc>
        <w:tc>
          <w:tcPr>
            <w:tcW w:w="200" w:type="pct"/>
            <w:shd w:val="clear" w:color="auto" w:fill="CCEEFF"/>
            <w:vAlign w:val="bottom"/>
            <w:hideMark/>
          </w:tcPr>
          <w:p w14:paraId="41BD761B" w14:textId="77777777" w:rsidR="00000000" w:rsidRDefault="001826C1">
            <w:pPr>
              <w:jc w:val="right"/>
              <w:rPr>
                <w:rFonts w:eastAsia="Times New Roman"/>
                <w:sz w:val="20"/>
                <w:szCs w:val="20"/>
              </w:rPr>
            </w:pPr>
            <w:r>
              <w:rPr>
                <w:rFonts w:eastAsia="Times New Roman"/>
                <w:sz w:val="20"/>
                <w:szCs w:val="20"/>
              </w:rPr>
              <w:t>12,272</w:t>
            </w:r>
          </w:p>
        </w:tc>
        <w:tc>
          <w:tcPr>
            <w:tcW w:w="50" w:type="pct"/>
            <w:shd w:val="clear" w:color="auto" w:fill="CCEEFF"/>
            <w:vAlign w:val="bottom"/>
            <w:hideMark/>
          </w:tcPr>
          <w:p w14:paraId="1C68C4D9"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A5486E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7C85677" w14:textId="77777777" w:rsidR="00000000" w:rsidRDefault="001826C1">
            <w:pPr>
              <w:rPr>
                <w:rFonts w:eastAsia="Times New Roman"/>
                <w:sz w:val="20"/>
                <w:szCs w:val="20"/>
              </w:rPr>
            </w:pPr>
            <w:r>
              <w:rPr>
                <w:rFonts w:eastAsia="Times New Roman"/>
                <w:sz w:val="20"/>
                <w:szCs w:val="20"/>
              </w:rPr>
              <w:t>$</w:t>
            </w:r>
          </w:p>
        </w:tc>
        <w:tc>
          <w:tcPr>
            <w:tcW w:w="200" w:type="pct"/>
            <w:shd w:val="clear" w:color="auto" w:fill="CCEEFF"/>
            <w:vAlign w:val="bottom"/>
            <w:hideMark/>
          </w:tcPr>
          <w:p w14:paraId="7BA9C128" w14:textId="77777777" w:rsidR="00000000" w:rsidRDefault="001826C1">
            <w:pPr>
              <w:jc w:val="right"/>
              <w:rPr>
                <w:rFonts w:eastAsia="Times New Roman"/>
                <w:sz w:val="20"/>
                <w:szCs w:val="20"/>
              </w:rPr>
            </w:pPr>
            <w:r>
              <w:rPr>
                <w:rFonts w:eastAsia="Times New Roman"/>
                <w:sz w:val="20"/>
                <w:szCs w:val="20"/>
              </w:rPr>
              <w:t>45,129,517</w:t>
            </w:r>
          </w:p>
        </w:tc>
        <w:tc>
          <w:tcPr>
            <w:tcW w:w="50" w:type="pct"/>
            <w:shd w:val="clear" w:color="auto" w:fill="CCEEFF"/>
            <w:vAlign w:val="bottom"/>
            <w:hideMark/>
          </w:tcPr>
          <w:p w14:paraId="3A6428FF"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F859614"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2DB5622" w14:textId="77777777" w:rsidR="00000000" w:rsidRDefault="001826C1">
            <w:pPr>
              <w:rPr>
                <w:rFonts w:eastAsia="Times New Roman"/>
                <w:sz w:val="20"/>
                <w:szCs w:val="20"/>
              </w:rPr>
            </w:pPr>
            <w:r>
              <w:rPr>
                <w:rFonts w:eastAsia="Times New Roman"/>
                <w:sz w:val="20"/>
                <w:szCs w:val="20"/>
              </w:rPr>
              <w:t>$</w:t>
            </w:r>
          </w:p>
        </w:tc>
        <w:tc>
          <w:tcPr>
            <w:tcW w:w="200" w:type="pct"/>
            <w:shd w:val="clear" w:color="auto" w:fill="CCEEFF"/>
            <w:vAlign w:val="bottom"/>
            <w:hideMark/>
          </w:tcPr>
          <w:p w14:paraId="23841A2A" w14:textId="77777777" w:rsidR="00000000" w:rsidRDefault="001826C1">
            <w:pPr>
              <w:jc w:val="right"/>
              <w:rPr>
                <w:rFonts w:eastAsia="Times New Roman"/>
                <w:sz w:val="20"/>
                <w:szCs w:val="20"/>
              </w:rPr>
            </w:pPr>
            <w:r>
              <w:rPr>
                <w:rFonts w:eastAsia="Times New Roman"/>
                <w:sz w:val="20"/>
                <w:szCs w:val="20"/>
              </w:rPr>
              <w:t>(23,509,386</w:t>
            </w:r>
          </w:p>
        </w:tc>
        <w:tc>
          <w:tcPr>
            <w:tcW w:w="50" w:type="pct"/>
            <w:shd w:val="clear" w:color="auto" w:fill="CCEEFF"/>
            <w:vAlign w:val="bottom"/>
            <w:hideMark/>
          </w:tcPr>
          <w:p w14:paraId="1DEC7F7F"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14E3F47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2758F3" w14:textId="77777777" w:rsidR="00000000" w:rsidRDefault="001826C1">
            <w:pPr>
              <w:rPr>
                <w:rFonts w:eastAsia="Times New Roman"/>
                <w:sz w:val="20"/>
                <w:szCs w:val="20"/>
              </w:rPr>
            </w:pPr>
            <w:r>
              <w:rPr>
                <w:rFonts w:eastAsia="Times New Roman"/>
                <w:sz w:val="20"/>
                <w:szCs w:val="20"/>
              </w:rPr>
              <w:t>$</w:t>
            </w:r>
          </w:p>
        </w:tc>
        <w:tc>
          <w:tcPr>
            <w:tcW w:w="200" w:type="pct"/>
            <w:shd w:val="clear" w:color="auto" w:fill="CCEEFF"/>
            <w:vAlign w:val="bottom"/>
            <w:hideMark/>
          </w:tcPr>
          <w:p w14:paraId="688C0737" w14:textId="77777777" w:rsidR="00000000" w:rsidRDefault="001826C1">
            <w:pPr>
              <w:jc w:val="right"/>
              <w:rPr>
                <w:rFonts w:eastAsia="Times New Roman"/>
                <w:sz w:val="20"/>
                <w:szCs w:val="20"/>
              </w:rPr>
            </w:pPr>
            <w:r>
              <w:rPr>
                <w:rFonts w:eastAsia="Times New Roman"/>
                <w:sz w:val="20"/>
                <w:szCs w:val="20"/>
              </w:rPr>
              <w:t>(721,070</w:t>
            </w:r>
          </w:p>
        </w:tc>
        <w:tc>
          <w:tcPr>
            <w:tcW w:w="50" w:type="pct"/>
            <w:shd w:val="clear" w:color="auto" w:fill="CCEEFF"/>
            <w:vAlign w:val="bottom"/>
            <w:hideMark/>
          </w:tcPr>
          <w:p w14:paraId="5EFDB7DF"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4683DF9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C26A908" w14:textId="77777777" w:rsidR="00000000" w:rsidRDefault="001826C1">
            <w:pPr>
              <w:rPr>
                <w:rFonts w:eastAsia="Times New Roman"/>
                <w:sz w:val="20"/>
                <w:szCs w:val="20"/>
              </w:rPr>
            </w:pPr>
            <w:r>
              <w:rPr>
                <w:rFonts w:eastAsia="Times New Roman"/>
                <w:sz w:val="20"/>
                <w:szCs w:val="20"/>
              </w:rPr>
              <w:t>$</w:t>
            </w:r>
          </w:p>
        </w:tc>
        <w:tc>
          <w:tcPr>
            <w:tcW w:w="200" w:type="pct"/>
            <w:shd w:val="clear" w:color="auto" w:fill="CCEEFF"/>
            <w:vAlign w:val="bottom"/>
            <w:hideMark/>
          </w:tcPr>
          <w:p w14:paraId="022F82AF" w14:textId="77777777" w:rsidR="00000000" w:rsidRDefault="001826C1">
            <w:pPr>
              <w:jc w:val="right"/>
              <w:rPr>
                <w:rFonts w:eastAsia="Times New Roman"/>
                <w:sz w:val="20"/>
                <w:szCs w:val="20"/>
              </w:rPr>
            </w:pPr>
            <w:r>
              <w:rPr>
                <w:rFonts w:eastAsia="Times New Roman"/>
                <w:sz w:val="20"/>
                <w:szCs w:val="20"/>
              </w:rPr>
              <w:t>(662,000</w:t>
            </w:r>
          </w:p>
        </w:tc>
        <w:tc>
          <w:tcPr>
            <w:tcW w:w="50" w:type="pct"/>
            <w:shd w:val="clear" w:color="auto" w:fill="CCEEFF"/>
            <w:vAlign w:val="bottom"/>
            <w:hideMark/>
          </w:tcPr>
          <w:p w14:paraId="73B520D4"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06B95A22"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FC39129" w14:textId="77777777" w:rsidR="00000000" w:rsidRDefault="001826C1">
            <w:pPr>
              <w:rPr>
                <w:rFonts w:eastAsia="Times New Roman"/>
                <w:sz w:val="20"/>
                <w:szCs w:val="20"/>
              </w:rPr>
            </w:pPr>
            <w:r>
              <w:rPr>
                <w:rFonts w:eastAsia="Times New Roman"/>
                <w:sz w:val="20"/>
                <w:szCs w:val="20"/>
              </w:rPr>
              <w:t>$</w:t>
            </w:r>
          </w:p>
        </w:tc>
        <w:tc>
          <w:tcPr>
            <w:tcW w:w="200" w:type="pct"/>
            <w:shd w:val="clear" w:color="auto" w:fill="CCEEFF"/>
            <w:vAlign w:val="bottom"/>
            <w:hideMark/>
          </w:tcPr>
          <w:p w14:paraId="5CA49E52" w14:textId="77777777" w:rsidR="00000000" w:rsidRDefault="001826C1">
            <w:pPr>
              <w:jc w:val="right"/>
              <w:rPr>
                <w:rFonts w:eastAsia="Times New Roman"/>
                <w:sz w:val="20"/>
                <w:szCs w:val="20"/>
              </w:rPr>
            </w:pPr>
            <w:r>
              <w:rPr>
                <w:rFonts w:eastAsia="Times New Roman"/>
                <w:sz w:val="20"/>
                <w:szCs w:val="20"/>
              </w:rPr>
              <w:t>20,250,420</w:t>
            </w:r>
          </w:p>
        </w:tc>
        <w:tc>
          <w:tcPr>
            <w:tcW w:w="50" w:type="pct"/>
            <w:shd w:val="clear" w:color="auto" w:fill="CCEEFF"/>
            <w:vAlign w:val="bottom"/>
            <w:hideMark/>
          </w:tcPr>
          <w:p w14:paraId="325A941F" w14:textId="77777777" w:rsidR="00000000" w:rsidRDefault="001826C1">
            <w:pPr>
              <w:rPr>
                <w:rFonts w:eastAsia="Times New Roman"/>
                <w:sz w:val="20"/>
                <w:szCs w:val="20"/>
              </w:rPr>
            </w:pPr>
            <w:r>
              <w:rPr>
                <w:rFonts w:eastAsia="Times New Roman"/>
                <w:sz w:val="20"/>
                <w:szCs w:val="20"/>
              </w:rPr>
              <w:t> </w:t>
            </w:r>
          </w:p>
        </w:tc>
      </w:tr>
      <w:tr w:rsidR="001826C1" w14:paraId="5E967513" w14:textId="77777777">
        <w:tc>
          <w:tcPr>
            <w:tcW w:w="0" w:type="auto"/>
            <w:shd w:val="clear" w:color="auto" w:fill="FFFFFF"/>
            <w:vAlign w:val="bottom"/>
            <w:hideMark/>
          </w:tcPr>
          <w:p w14:paraId="592761FA" w14:textId="77777777" w:rsidR="00000000" w:rsidRDefault="001826C1">
            <w:pPr>
              <w:rPr>
                <w:rFonts w:eastAsia="Times New Roman"/>
                <w:sz w:val="20"/>
                <w:szCs w:val="20"/>
              </w:rPr>
            </w:pPr>
            <w:r>
              <w:rPr>
                <w:rFonts w:eastAsia="Times New Roman"/>
                <w:sz w:val="20"/>
                <w:szCs w:val="20"/>
              </w:rPr>
              <w:t>Cumulative effect of adopting ASC 606</w:t>
            </w:r>
          </w:p>
        </w:tc>
        <w:tc>
          <w:tcPr>
            <w:tcW w:w="0" w:type="auto"/>
            <w:shd w:val="clear" w:color="auto" w:fill="FFFFFF"/>
            <w:vAlign w:val="bottom"/>
            <w:hideMark/>
          </w:tcPr>
          <w:p w14:paraId="56E6902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3439C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C9A31F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27B5E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8B7E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E4B63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305CB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6628D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EBEA6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E8C76C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B6098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B97B0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4E49B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6E16F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73F1C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C0E1B6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3F2C2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8D518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7E340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2A0193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F5015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40573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5DD9AE" w14:textId="77777777" w:rsidR="00000000" w:rsidRDefault="001826C1">
            <w:pPr>
              <w:jc w:val="right"/>
              <w:rPr>
                <w:rFonts w:eastAsia="Times New Roman"/>
                <w:sz w:val="20"/>
                <w:szCs w:val="20"/>
              </w:rPr>
            </w:pPr>
            <w:r>
              <w:rPr>
                <w:rFonts w:eastAsia="Times New Roman"/>
                <w:sz w:val="20"/>
                <w:szCs w:val="20"/>
              </w:rPr>
              <w:t>1,444,121</w:t>
            </w:r>
          </w:p>
        </w:tc>
        <w:tc>
          <w:tcPr>
            <w:tcW w:w="0" w:type="auto"/>
            <w:shd w:val="clear" w:color="auto" w:fill="FFFFFF"/>
            <w:vAlign w:val="bottom"/>
            <w:hideMark/>
          </w:tcPr>
          <w:p w14:paraId="1A74AA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7469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FECDE1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D10BEC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674528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8FDF2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5701B7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8DB086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5DD9B7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A2652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10184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7F7C8E" w14:textId="77777777" w:rsidR="00000000" w:rsidRDefault="001826C1">
            <w:pPr>
              <w:jc w:val="right"/>
              <w:rPr>
                <w:rFonts w:eastAsia="Times New Roman"/>
                <w:sz w:val="20"/>
                <w:szCs w:val="20"/>
              </w:rPr>
            </w:pPr>
            <w:r>
              <w:rPr>
                <w:rFonts w:eastAsia="Times New Roman"/>
                <w:sz w:val="20"/>
                <w:szCs w:val="20"/>
              </w:rPr>
              <w:t>1,444,121</w:t>
            </w:r>
          </w:p>
        </w:tc>
        <w:tc>
          <w:tcPr>
            <w:tcW w:w="0" w:type="auto"/>
            <w:shd w:val="clear" w:color="auto" w:fill="FFFFFF"/>
            <w:vAlign w:val="bottom"/>
            <w:hideMark/>
          </w:tcPr>
          <w:p w14:paraId="07DA5909" w14:textId="77777777" w:rsidR="00000000" w:rsidRDefault="001826C1">
            <w:pPr>
              <w:rPr>
                <w:rFonts w:eastAsia="Times New Roman"/>
                <w:sz w:val="20"/>
                <w:szCs w:val="20"/>
              </w:rPr>
            </w:pPr>
            <w:r>
              <w:rPr>
                <w:rFonts w:eastAsia="Times New Roman"/>
                <w:sz w:val="20"/>
                <w:szCs w:val="20"/>
              </w:rPr>
              <w:t> </w:t>
            </w:r>
          </w:p>
        </w:tc>
      </w:tr>
      <w:tr w:rsidR="001826C1" w14:paraId="0E50F88D" w14:textId="77777777">
        <w:tc>
          <w:tcPr>
            <w:tcW w:w="0" w:type="auto"/>
            <w:shd w:val="clear" w:color="auto" w:fill="CCEEFF"/>
            <w:vAlign w:val="bottom"/>
            <w:hideMark/>
          </w:tcPr>
          <w:p w14:paraId="4D164CB1" w14:textId="77777777" w:rsidR="00000000" w:rsidRDefault="001826C1">
            <w:pPr>
              <w:rPr>
                <w:rFonts w:eastAsia="Times New Roman"/>
                <w:sz w:val="20"/>
                <w:szCs w:val="20"/>
              </w:rPr>
            </w:pPr>
            <w:r>
              <w:rPr>
                <w:rFonts w:eastAsia="Times New Roman"/>
                <w:sz w:val="20"/>
                <w:szCs w:val="20"/>
              </w:rPr>
              <w:t xml:space="preserve">Balance </w:t>
            </w:r>
            <w:r>
              <w:rPr>
                <w:rFonts w:eastAsia="Times New Roman"/>
                <w:sz w:val="20"/>
                <w:szCs w:val="20"/>
              </w:rPr>
              <w:t>- January 1, 2018 after adoption</w:t>
            </w:r>
          </w:p>
        </w:tc>
        <w:tc>
          <w:tcPr>
            <w:tcW w:w="0" w:type="auto"/>
            <w:shd w:val="clear" w:color="auto" w:fill="CCEEFF"/>
            <w:vAlign w:val="bottom"/>
            <w:hideMark/>
          </w:tcPr>
          <w:p w14:paraId="6B8906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D030A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E701FC" w14:textId="77777777" w:rsidR="00000000" w:rsidRDefault="001826C1">
            <w:pPr>
              <w:jc w:val="right"/>
              <w:rPr>
                <w:rFonts w:eastAsia="Times New Roman"/>
                <w:sz w:val="20"/>
                <w:szCs w:val="20"/>
              </w:rPr>
            </w:pPr>
            <w:r>
              <w:rPr>
                <w:rFonts w:eastAsia="Times New Roman"/>
                <w:sz w:val="20"/>
                <w:szCs w:val="20"/>
              </w:rPr>
              <w:t>1,086,739</w:t>
            </w:r>
          </w:p>
        </w:tc>
        <w:tc>
          <w:tcPr>
            <w:tcW w:w="0" w:type="auto"/>
            <w:shd w:val="clear" w:color="auto" w:fill="CCEEFF"/>
            <w:vAlign w:val="bottom"/>
            <w:hideMark/>
          </w:tcPr>
          <w:p w14:paraId="4443E4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9F56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C725E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506C772" w14:textId="77777777" w:rsidR="00000000" w:rsidRDefault="001826C1">
            <w:pPr>
              <w:jc w:val="right"/>
              <w:rPr>
                <w:rFonts w:eastAsia="Times New Roman"/>
                <w:sz w:val="20"/>
                <w:szCs w:val="20"/>
              </w:rPr>
            </w:pPr>
            <w:r>
              <w:rPr>
                <w:rFonts w:eastAsia="Times New Roman"/>
                <w:sz w:val="20"/>
                <w:szCs w:val="20"/>
              </w:rPr>
              <w:t>1,087</w:t>
            </w:r>
          </w:p>
        </w:tc>
        <w:tc>
          <w:tcPr>
            <w:tcW w:w="0" w:type="auto"/>
            <w:shd w:val="clear" w:color="auto" w:fill="CCEEFF"/>
            <w:vAlign w:val="bottom"/>
            <w:hideMark/>
          </w:tcPr>
          <w:p w14:paraId="601E2B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82DA4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FB72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51AFBC" w14:textId="77777777" w:rsidR="00000000" w:rsidRDefault="001826C1">
            <w:pPr>
              <w:jc w:val="right"/>
              <w:rPr>
                <w:rFonts w:eastAsia="Times New Roman"/>
                <w:sz w:val="20"/>
                <w:szCs w:val="20"/>
              </w:rPr>
            </w:pPr>
            <w:r>
              <w:rPr>
                <w:rFonts w:eastAsia="Times New Roman"/>
                <w:sz w:val="20"/>
                <w:szCs w:val="20"/>
              </w:rPr>
              <w:t>12,271,390</w:t>
            </w:r>
          </w:p>
        </w:tc>
        <w:tc>
          <w:tcPr>
            <w:tcW w:w="0" w:type="auto"/>
            <w:shd w:val="clear" w:color="auto" w:fill="CCEEFF"/>
            <w:vAlign w:val="bottom"/>
            <w:hideMark/>
          </w:tcPr>
          <w:p w14:paraId="43CFB2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ECFA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50F40E"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BAF9499" w14:textId="77777777" w:rsidR="00000000" w:rsidRDefault="001826C1">
            <w:pPr>
              <w:jc w:val="right"/>
              <w:rPr>
                <w:rFonts w:eastAsia="Times New Roman"/>
                <w:sz w:val="20"/>
                <w:szCs w:val="20"/>
              </w:rPr>
            </w:pPr>
            <w:r>
              <w:rPr>
                <w:rFonts w:eastAsia="Times New Roman"/>
                <w:sz w:val="20"/>
                <w:szCs w:val="20"/>
              </w:rPr>
              <w:t>12,272</w:t>
            </w:r>
          </w:p>
        </w:tc>
        <w:tc>
          <w:tcPr>
            <w:tcW w:w="0" w:type="auto"/>
            <w:shd w:val="clear" w:color="auto" w:fill="CCEEFF"/>
            <w:vAlign w:val="bottom"/>
            <w:hideMark/>
          </w:tcPr>
          <w:p w14:paraId="19E4B7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6B33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A07FD1"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D5436C9" w14:textId="77777777" w:rsidR="00000000" w:rsidRDefault="001826C1">
            <w:pPr>
              <w:jc w:val="right"/>
              <w:rPr>
                <w:rFonts w:eastAsia="Times New Roman"/>
                <w:sz w:val="20"/>
                <w:szCs w:val="20"/>
              </w:rPr>
            </w:pPr>
            <w:r>
              <w:rPr>
                <w:rFonts w:eastAsia="Times New Roman"/>
                <w:sz w:val="20"/>
                <w:szCs w:val="20"/>
              </w:rPr>
              <w:t>45,129,517</w:t>
            </w:r>
          </w:p>
        </w:tc>
        <w:tc>
          <w:tcPr>
            <w:tcW w:w="0" w:type="auto"/>
            <w:shd w:val="clear" w:color="auto" w:fill="CCEEFF"/>
            <w:vAlign w:val="bottom"/>
            <w:hideMark/>
          </w:tcPr>
          <w:p w14:paraId="52C6B0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64BB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896449"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BD9166A" w14:textId="77777777" w:rsidR="00000000" w:rsidRDefault="001826C1">
            <w:pPr>
              <w:jc w:val="right"/>
              <w:rPr>
                <w:rFonts w:eastAsia="Times New Roman"/>
                <w:sz w:val="20"/>
                <w:szCs w:val="20"/>
              </w:rPr>
            </w:pPr>
            <w:r>
              <w:rPr>
                <w:rFonts w:eastAsia="Times New Roman"/>
                <w:sz w:val="20"/>
                <w:szCs w:val="20"/>
              </w:rPr>
              <w:t>(22,065,265</w:t>
            </w:r>
          </w:p>
        </w:tc>
        <w:tc>
          <w:tcPr>
            <w:tcW w:w="0" w:type="auto"/>
            <w:shd w:val="clear" w:color="auto" w:fill="CCEEFF"/>
            <w:vAlign w:val="bottom"/>
            <w:hideMark/>
          </w:tcPr>
          <w:p w14:paraId="523DCEC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83376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5D7DE7"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2B3EEB1" w14:textId="77777777" w:rsidR="00000000" w:rsidRDefault="001826C1">
            <w:pPr>
              <w:jc w:val="right"/>
              <w:rPr>
                <w:rFonts w:eastAsia="Times New Roman"/>
                <w:sz w:val="20"/>
                <w:szCs w:val="20"/>
              </w:rPr>
            </w:pPr>
            <w:r>
              <w:rPr>
                <w:rFonts w:eastAsia="Times New Roman"/>
                <w:sz w:val="20"/>
                <w:szCs w:val="20"/>
              </w:rPr>
              <w:t>(721,070</w:t>
            </w:r>
          </w:p>
        </w:tc>
        <w:tc>
          <w:tcPr>
            <w:tcW w:w="0" w:type="auto"/>
            <w:shd w:val="clear" w:color="auto" w:fill="CCEEFF"/>
            <w:vAlign w:val="bottom"/>
            <w:hideMark/>
          </w:tcPr>
          <w:p w14:paraId="7BD8EC17"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BE62E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A0752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EBC3596" w14:textId="77777777" w:rsidR="00000000" w:rsidRDefault="001826C1">
            <w:pPr>
              <w:jc w:val="right"/>
              <w:rPr>
                <w:rFonts w:eastAsia="Times New Roman"/>
                <w:sz w:val="20"/>
                <w:szCs w:val="20"/>
              </w:rPr>
            </w:pPr>
            <w:r>
              <w:rPr>
                <w:rFonts w:eastAsia="Times New Roman"/>
                <w:sz w:val="20"/>
                <w:szCs w:val="20"/>
              </w:rPr>
              <w:t>(662,000</w:t>
            </w:r>
          </w:p>
        </w:tc>
        <w:tc>
          <w:tcPr>
            <w:tcW w:w="0" w:type="auto"/>
            <w:shd w:val="clear" w:color="auto" w:fill="CCEEFF"/>
            <w:vAlign w:val="bottom"/>
            <w:hideMark/>
          </w:tcPr>
          <w:p w14:paraId="35608719"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32B88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811F663"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42607BB" w14:textId="77777777" w:rsidR="00000000" w:rsidRDefault="001826C1">
            <w:pPr>
              <w:jc w:val="right"/>
              <w:rPr>
                <w:rFonts w:eastAsia="Times New Roman"/>
                <w:sz w:val="20"/>
                <w:szCs w:val="20"/>
              </w:rPr>
            </w:pPr>
            <w:r>
              <w:rPr>
                <w:rFonts w:eastAsia="Times New Roman"/>
                <w:sz w:val="20"/>
                <w:szCs w:val="20"/>
              </w:rPr>
              <w:t>21,694,541</w:t>
            </w:r>
          </w:p>
        </w:tc>
        <w:tc>
          <w:tcPr>
            <w:tcW w:w="0" w:type="auto"/>
            <w:shd w:val="clear" w:color="auto" w:fill="CCEEFF"/>
            <w:vAlign w:val="bottom"/>
            <w:hideMark/>
          </w:tcPr>
          <w:p w14:paraId="720393FB" w14:textId="77777777" w:rsidR="00000000" w:rsidRDefault="001826C1">
            <w:pPr>
              <w:rPr>
                <w:rFonts w:eastAsia="Times New Roman"/>
                <w:sz w:val="20"/>
                <w:szCs w:val="20"/>
              </w:rPr>
            </w:pPr>
            <w:r>
              <w:rPr>
                <w:rFonts w:eastAsia="Times New Roman"/>
                <w:sz w:val="20"/>
                <w:szCs w:val="20"/>
              </w:rPr>
              <w:t> </w:t>
            </w:r>
          </w:p>
        </w:tc>
      </w:tr>
      <w:tr w:rsidR="001826C1" w14:paraId="18E8184E" w14:textId="77777777">
        <w:tc>
          <w:tcPr>
            <w:tcW w:w="0" w:type="auto"/>
            <w:shd w:val="clear" w:color="auto" w:fill="FFFFFF"/>
            <w:vAlign w:val="bottom"/>
            <w:hideMark/>
          </w:tcPr>
          <w:p w14:paraId="535BF025" w14:textId="77777777" w:rsidR="00000000" w:rsidRDefault="001826C1">
            <w:pPr>
              <w:rPr>
                <w:rFonts w:eastAsia="Times New Roman"/>
                <w:sz w:val="20"/>
                <w:szCs w:val="20"/>
              </w:rPr>
            </w:pPr>
            <w:r>
              <w:rPr>
                <w:rFonts w:eastAsia="Times New Roman"/>
                <w:sz w:val="20"/>
                <w:szCs w:val="20"/>
              </w:rPr>
              <w:t>Net loss</w:t>
            </w:r>
          </w:p>
        </w:tc>
        <w:tc>
          <w:tcPr>
            <w:tcW w:w="0" w:type="auto"/>
            <w:shd w:val="clear" w:color="auto" w:fill="FFFFFF"/>
            <w:vAlign w:val="bottom"/>
            <w:hideMark/>
          </w:tcPr>
          <w:p w14:paraId="09189AC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F593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241C6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36344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53906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D81C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D6E78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27DF3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FAEDF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8747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D03EE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1098E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B7AC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686C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08C41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F5796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39492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B8CB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64591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6BA0AB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3AD0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5E72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625A6C" w14:textId="77777777" w:rsidR="00000000" w:rsidRDefault="001826C1">
            <w:pPr>
              <w:jc w:val="right"/>
              <w:rPr>
                <w:rFonts w:eastAsia="Times New Roman"/>
                <w:sz w:val="20"/>
                <w:szCs w:val="20"/>
              </w:rPr>
            </w:pPr>
            <w:r>
              <w:rPr>
                <w:rFonts w:eastAsia="Times New Roman"/>
                <w:sz w:val="20"/>
                <w:szCs w:val="20"/>
              </w:rPr>
              <w:t>(2,138,480</w:t>
            </w:r>
          </w:p>
        </w:tc>
        <w:tc>
          <w:tcPr>
            <w:tcW w:w="0" w:type="auto"/>
            <w:shd w:val="clear" w:color="auto" w:fill="FFFFFF"/>
            <w:vAlign w:val="bottom"/>
            <w:hideMark/>
          </w:tcPr>
          <w:p w14:paraId="6733B993"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6631C2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3C2FF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0976E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123DA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8EDF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1FBA0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2FE08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AC47F6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58FB8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B5FA7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560583" w14:textId="77777777" w:rsidR="00000000" w:rsidRDefault="001826C1">
            <w:pPr>
              <w:jc w:val="right"/>
              <w:rPr>
                <w:rFonts w:eastAsia="Times New Roman"/>
                <w:sz w:val="20"/>
                <w:szCs w:val="20"/>
              </w:rPr>
            </w:pPr>
            <w:r>
              <w:rPr>
                <w:rFonts w:eastAsia="Times New Roman"/>
                <w:sz w:val="20"/>
                <w:szCs w:val="20"/>
              </w:rPr>
              <w:t>(2,138,480</w:t>
            </w:r>
          </w:p>
        </w:tc>
        <w:tc>
          <w:tcPr>
            <w:tcW w:w="0" w:type="auto"/>
            <w:shd w:val="clear" w:color="auto" w:fill="FFFFFF"/>
            <w:vAlign w:val="bottom"/>
            <w:hideMark/>
          </w:tcPr>
          <w:p w14:paraId="1A1E5679" w14:textId="77777777" w:rsidR="00000000" w:rsidRDefault="001826C1">
            <w:pPr>
              <w:rPr>
                <w:rFonts w:eastAsia="Times New Roman"/>
                <w:sz w:val="20"/>
                <w:szCs w:val="20"/>
              </w:rPr>
            </w:pPr>
            <w:r>
              <w:rPr>
                <w:rFonts w:eastAsia="Times New Roman"/>
                <w:sz w:val="20"/>
                <w:szCs w:val="20"/>
              </w:rPr>
              <w:t>)</w:t>
            </w:r>
          </w:p>
        </w:tc>
      </w:tr>
      <w:tr w:rsidR="001826C1" w14:paraId="1C3F8FCC" w14:textId="77777777">
        <w:tc>
          <w:tcPr>
            <w:tcW w:w="0" w:type="auto"/>
            <w:shd w:val="clear" w:color="auto" w:fill="CCEEFF"/>
            <w:vAlign w:val="bottom"/>
            <w:hideMark/>
          </w:tcPr>
          <w:p w14:paraId="1AF93298" w14:textId="77777777" w:rsidR="00000000" w:rsidRDefault="001826C1">
            <w:pPr>
              <w:rPr>
                <w:rFonts w:eastAsia="Times New Roman"/>
                <w:sz w:val="20"/>
                <w:szCs w:val="20"/>
              </w:rPr>
            </w:pPr>
            <w:r>
              <w:rPr>
                <w:rFonts w:eastAsia="Times New Roman"/>
                <w:sz w:val="20"/>
                <w:szCs w:val="20"/>
              </w:rPr>
              <w:t>Foreign currency translation adjustment</w:t>
            </w:r>
          </w:p>
        </w:tc>
        <w:tc>
          <w:tcPr>
            <w:tcW w:w="0" w:type="auto"/>
            <w:shd w:val="clear" w:color="auto" w:fill="CCEEFF"/>
            <w:vAlign w:val="bottom"/>
            <w:hideMark/>
          </w:tcPr>
          <w:p w14:paraId="6516A4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C1B1F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D4844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0E473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36E8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73EE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91FE2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DD084A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7DA3A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FC253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2CB03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E71ADF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2A96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D2C2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77043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EEA50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13D5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0582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30A1A"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2873F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8A5A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B6CC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C2FD5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97EA2B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3611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3F3B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E14DBC" w14:textId="77777777" w:rsidR="00000000" w:rsidRDefault="001826C1">
            <w:pPr>
              <w:jc w:val="right"/>
              <w:rPr>
                <w:rFonts w:eastAsia="Times New Roman"/>
                <w:sz w:val="20"/>
                <w:szCs w:val="20"/>
              </w:rPr>
            </w:pPr>
            <w:r>
              <w:rPr>
                <w:rFonts w:eastAsia="Times New Roman"/>
                <w:sz w:val="20"/>
                <w:szCs w:val="20"/>
              </w:rPr>
              <w:t>(699,998</w:t>
            </w:r>
          </w:p>
        </w:tc>
        <w:tc>
          <w:tcPr>
            <w:tcW w:w="0" w:type="auto"/>
            <w:shd w:val="clear" w:color="auto" w:fill="CCEEFF"/>
            <w:vAlign w:val="bottom"/>
            <w:hideMark/>
          </w:tcPr>
          <w:p w14:paraId="0170291A"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6E56B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4838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BF762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F25EA5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9B58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A7CA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220EB7" w14:textId="77777777" w:rsidR="00000000" w:rsidRDefault="001826C1">
            <w:pPr>
              <w:jc w:val="right"/>
              <w:rPr>
                <w:rFonts w:eastAsia="Times New Roman"/>
                <w:sz w:val="20"/>
                <w:szCs w:val="20"/>
              </w:rPr>
            </w:pPr>
            <w:r>
              <w:rPr>
                <w:rFonts w:eastAsia="Times New Roman"/>
                <w:sz w:val="20"/>
                <w:szCs w:val="20"/>
              </w:rPr>
              <w:t>(699,998</w:t>
            </w:r>
          </w:p>
        </w:tc>
        <w:tc>
          <w:tcPr>
            <w:tcW w:w="0" w:type="auto"/>
            <w:shd w:val="clear" w:color="auto" w:fill="CCEEFF"/>
            <w:vAlign w:val="bottom"/>
            <w:hideMark/>
          </w:tcPr>
          <w:p w14:paraId="239B6A09" w14:textId="77777777" w:rsidR="00000000" w:rsidRDefault="001826C1">
            <w:pPr>
              <w:rPr>
                <w:rFonts w:eastAsia="Times New Roman"/>
                <w:sz w:val="20"/>
                <w:szCs w:val="20"/>
              </w:rPr>
            </w:pPr>
            <w:r>
              <w:rPr>
                <w:rFonts w:eastAsia="Times New Roman"/>
                <w:sz w:val="20"/>
                <w:szCs w:val="20"/>
              </w:rPr>
              <w:t>)</w:t>
            </w:r>
          </w:p>
        </w:tc>
      </w:tr>
      <w:tr w:rsidR="001826C1" w14:paraId="1A0B2E52" w14:textId="77777777">
        <w:tc>
          <w:tcPr>
            <w:tcW w:w="0" w:type="auto"/>
            <w:shd w:val="clear" w:color="auto" w:fill="FFFFFF"/>
            <w:vAlign w:val="bottom"/>
            <w:hideMark/>
          </w:tcPr>
          <w:p w14:paraId="4D7C453F" w14:textId="77777777" w:rsidR="00000000" w:rsidRDefault="001826C1">
            <w:pPr>
              <w:rPr>
                <w:rFonts w:eastAsia="Times New Roman"/>
                <w:sz w:val="20"/>
                <w:szCs w:val="20"/>
              </w:rPr>
            </w:pPr>
            <w:r>
              <w:rPr>
                <w:rFonts w:eastAsia="Times New Roman"/>
                <w:sz w:val="20"/>
                <w:szCs w:val="20"/>
              </w:rPr>
              <w:t>Issuance of stock under the equity incentive plan</w:t>
            </w:r>
          </w:p>
        </w:tc>
        <w:tc>
          <w:tcPr>
            <w:tcW w:w="0" w:type="auto"/>
            <w:shd w:val="clear" w:color="auto" w:fill="FFFFFF"/>
            <w:vAlign w:val="bottom"/>
            <w:hideMark/>
          </w:tcPr>
          <w:p w14:paraId="33796E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89A0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D278CC" w14:textId="77777777" w:rsidR="00000000" w:rsidRDefault="001826C1">
            <w:pPr>
              <w:jc w:val="right"/>
              <w:rPr>
                <w:rFonts w:eastAsia="Times New Roman"/>
                <w:sz w:val="20"/>
                <w:szCs w:val="20"/>
              </w:rPr>
            </w:pPr>
            <w:r>
              <w:rPr>
                <w:rFonts w:eastAsia="Times New Roman"/>
                <w:sz w:val="20"/>
                <w:szCs w:val="20"/>
              </w:rPr>
              <w:t>29,550</w:t>
            </w:r>
          </w:p>
        </w:tc>
        <w:tc>
          <w:tcPr>
            <w:tcW w:w="0" w:type="auto"/>
            <w:shd w:val="clear" w:color="auto" w:fill="FFFFFF"/>
            <w:vAlign w:val="bottom"/>
            <w:hideMark/>
          </w:tcPr>
          <w:p w14:paraId="2B7108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60AB1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8F48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F043B6" w14:textId="77777777" w:rsidR="00000000" w:rsidRDefault="001826C1">
            <w:pPr>
              <w:jc w:val="right"/>
              <w:rPr>
                <w:rFonts w:eastAsia="Times New Roman"/>
                <w:sz w:val="20"/>
                <w:szCs w:val="20"/>
              </w:rPr>
            </w:pPr>
            <w:r>
              <w:rPr>
                <w:rFonts w:eastAsia="Times New Roman"/>
                <w:sz w:val="20"/>
                <w:szCs w:val="20"/>
              </w:rPr>
              <w:t>29</w:t>
            </w:r>
          </w:p>
        </w:tc>
        <w:tc>
          <w:tcPr>
            <w:tcW w:w="0" w:type="auto"/>
            <w:shd w:val="clear" w:color="auto" w:fill="FFFFFF"/>
            <w:vAlign w:val="bottom"/>
            <w:hideMark/>
          </w:tcPr>
          <w:p w14:paraId="64629E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6B02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42A4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A9B1A7" w14:textId="77777777" w:rsidR="00000000" w:rsidRDefault="001826C1">
            <w:pPr>
              <w:jc w:val="right"/>
              <w:rPr>
                <w:rFonts w:eastAsia="Times New Roman"/>
                <w:sz w:val="20"/>
                <w:szCs w:val="20"/>
              </w:rPr>
            </w:pPr>
            <w:r>
              <w:rPr>
                <w:rFonts w:eastAsia="Times New Roman"/>
                <w:sz w:val="20"/>
                <w:szCs w:val="20"/>
              </w:rPr>
              <w:t>299,167</w:t>
            </w:r>
          </w:p>
        </w:tc>
        <w:tc>
          <w:tcPr>
            <w:tcW w:w="0" w:type="auto"/>
            <w:shd w:val="clear" w:color="auto" w:fill="FFFFFF"/>
            <w:vAlign w:val="bottom"/>
            <w:hideMark/>
          </w:tcPr>
          <w:p w14:paraId="361109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B6435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41C7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9DDED3" w14:textId="77777777" w:rsidR="00000000" w:rsidRDefault="001826C1">
            <w:pPr>
              <w:jc w:val="right"/>
              <w:rPr>
                <w:rFonts w:eastAsia="Times New Roman"/>
                <w:sz w:val="20"/>
                <w:szCs w:val="20"/>
              </w:rPr>
            </w:pPr>
            <w:r>
              <w:rPr>
                <w:rFonts w:eastAsia="Times New Roman"/>
                <w:sz w:val="20"/>
                <w:szCs w:val="20"/>
              </w:rPr>
              <w:t>299</w:t>
            </w:r>
          </w:p>
        </w:tc>
        <w:tc>
          <w:tcPr>
            <w:tcW w:w="0" w:type="auto"/>
            <w:shd w:val="clear" w:color="auto" w:fill="FFFFFF"/>
            <w:vAlign w:val="bottom"/>
            <w:hideMark/>
          </w:tcPr>
          <w:p w14:paraId="027A27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4C69C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8390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4E4399" w14:textId="77777777" w:rsidR="00000000" w:rsidRDefault="001826C1">
            <w:pPr>
              <w:jc w:val="right"/>
              <w:rPr>
                <w:rFonts w:eastAsia="Times New Roman"/>
                <w:sz w:val="20"/>
                <w:szCs w:val="20"/>
              </w:rPr>
            </w:pPr>
            <w:r>
              <w:rPr>
                <w:rFonts w:eastAsia="Times New Roman"/>
                <w:sz w:val="20"/>
                <w:szCs w:val="20"/>
              </w:rPr>
              <w:t>(328</w:t>
            </w:r>
          </w:p>
        </w:tc>
        <w:tc>
          <w:tcPr>
            <w:tcW w:w="0" w:type="auto"/>
            <w:shd w:val="clear" w:color="auto" w:fill="FFFFFF"/>
            <w:vAlign w:val="bottom"/>
            <w:hideMark/>
          </w:tcPr>
          <w:p w14:paraId="4C842983"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53953C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4F637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A891B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8EB1B7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8A34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FF4F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AAF55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8920E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49CC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25FA5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00EF5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2EA7E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186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C07E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CA0A3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CF6FB15" w14:textId="77777777" w:rsidR="00000000" w:rsidRDefault="001826C1">
            <w:pPr>
              <w:rPr>
                <w:rFonts w:eastAsia="Times New Roman"/>
                <w:sz w:val="20"/>
                <w:szCs w:val="20"/>
              </w:rPr>
            </w:pPr>
            <w:r>
              <w:rPr>
                <w:rFonts w:eastAsia="Times New Roman"/>
                <w:sz w:val="20"/>
                <w:szCs w:val="20"/>
              </w:rPr>
              <w:t> </w:t>
            </w:r>
          </w:p>
        </w:tc>
      </w:tr>
      <w:tr w:rsidR="001826C1" w14:paraId="028BDF59" w14:textId="77777777">
        <w:tc>
          <w:tcPr>
            <w:tcW w:w="0" w:type="auto"/>
            <w:shd w:val="clear" w:color="auto" w:fill="CCEEFF"/>
            <w:vAlign w:val="bottom"/>
            <w:hideMark/>
          </w:tcPr>
          <w:p w14:paraId="39FCC386" w14:textId="77777777" w:rsidR="00000000" w:rsidRDefault="001826C1">
            <w:pPr>
              <w:rPr>
                <w:rFonts w:eastAsia="Times New Roman"/>
                <w:sz w:val="20"/>
                <w:szCs w:val="20"/>
              </w:rPr>
            </w:pPr>
            <w:r>
              <w:rPr>
                <w:rFonts w:eastAsia="Times New Roman"/>
                <w:sz w:val="20"/>
                <w:szCs w:val="20"/>
              </w:rPr>
              <w:t>Common stock warrants issued</w:t>
            </w:r>
          </w:p>
        </w:tc>
        <w:tc>
          <w:tcPr>
            <w:tcW w:w="0" w:type="auto"/>
            <w:shd w:val="clear" w:color="auto" w:fill="CCEEFF"/>
            <w:vAlign w:val="bottom"/>
            <w:hideMark/>
          </w:tcPr>
          <w:p w14:paraId="30E5CD5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0243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E5D7E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C9994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DD71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5915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92C28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93C83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94D2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D90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4262F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8DAE8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2304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603EC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55CF2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0FA04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9CFE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D86F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313FDF" w14:textId="77777777" w:rsidR="00000000" w:rsidRDefault="001826C1">
            <w:pPr>
              <w:jc w:val="right"/>
              <w:rPr>
                <w:rFonts w:eastAsia="Times New Roman"/>
                <w:sz w:val="20"/>
                <w:szCs w:val="20"/>
              </w:rPr>
            </w:pPr>
            <w:r>
              <w:rPr>
                <w:rFonts w:eastAsia="Times New Roman"/>
                <w:sz w:val="20"/>
                <w:szCs w:val="20"/>
              </w:rPr>
              <w:t>101,989</w:t>
            </w:r>
          </w:p>
        </w:tc>
        <w:tc>
          <w:tcPr>
            <w:tcW w:w="0" w:type="auto"/>
            <w:shd w:val="clear" w:color="auto" w:fill="CCEEFF"/>
            <w:vAlign w:val="bottom"/>
            <w:hideMark/>
          </w:tcPr>
          <w:p w14:paraId="016C22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FD1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D97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577F8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3C55FE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FDCB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864D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4787E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63667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30D3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22AF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AB24A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5A974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28E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702FE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EAD768" w14:textId="77777777" w:rsidR="00000000" w:rsidRDefault="001826C1">
            <w:pPr>
              <w:jc w:val="right"/>
              <w:rPr>
                <w:rFonts w:eastAsia="Times New Roman"/>
                <w:sz w:val="20"/>
                <w:szCs w:val="20"/>
              </w:rPr>
            </w:pPr>
            <w:r>
              <w:rPr>
                <w:rFonts w:eastAsia="Times New Roman"/>
                <w:sz w:val="20"/>
                <w:szCs w:val="20"/>
              </w:rPr>
              <w:t>101,989</w:t>
            </w:r>
          </w:p>
        </w:tc>
        <w:tc>
          <w:tcPr>
            <w:tcW w:w="0" w:type="auto"/>
            <w:shd w:val="clear" w:color="auto" w:fill="CCEEFF"/>
            <w:vAlign w:val="bottom"/>
            <w:hideMark/>
          </w:tcPr>
          <w:p w14:paraId="5C56A1D9" w14:textId="77777777" w:rsidR="00000000" w:rsidRDefault="001826C1">
            <w:pPr>
              <w:rPr>
                <w:rFonts w:eastAsia="Times New Roman"/>
                <w:sz w:val="20"/>
                <w:szCs w:val="20"/>
              </w:rPr>
            </w:pPr>
            <w:r>
              <w:rPr>
                <w:rFonts w:eastAsia="Times New Roman"/>
                <w:sz w:val="20"/>
                <w:szCs w:val="20"/>
              </w:rPr>
              <w:t> </w:t>
            </w:r>
          </w:p>
        </w:tc>
      </w:tr>
      <w:tr w:rsidR="001826C1" w14:paraId="1333043D" w14:textId="77777777">
        <w:tc>
          <w:tcPr>
            <w:tcW w:w="0" w:type="auto"/>
            <w:shd w:val="clear" w:color="auto" w:fill="FFFFFF"/>
            <w:vAlign w:val="bottom"/>
            <w:hideMark/>
          </w:tcPr>
          <w:p w14:paraId="4B0400D2" w14:textId="77777777" w:rsidR="00000000" w:rsidRDefault="001826C1">
            <w:pPr>
              <w:rPr>
                <w:rFonts w:eastAsia="Times New Roman"/>
                <w:sz w:val="20"/>
                <w:szCs w:val="20"/>
              </w:rPr>
            </w:pPr>
            <w:r>
              <w:rPr>
                <w:rFonts w:eastAsia="Times New Roman"/>
                <w:sz w:val="20"/>
                <w:szCs w:val="20"/>
              </w:rPr>
              <w:t>Stock-based compensation, net of cash settlements</w:t>
            </w:r>
          </w:p>
        </w:tc>
        <w:tc>
          <w:tcPr>
            <w:tcW w:w="0" w:type="auto"/>
            <w:shd w:val="clear" w:color="auto" w:fill="FFFFFF"/>
            <w:vAlign w:val="bottom"/>
            <w:hideMark/>
          </w:tcPr>
          <w:p w14:paraId="73A047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E656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A08B8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3146E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D031D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15A6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8F5AF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EA1C2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BBCD4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BDFD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C123E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8A87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6C7B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DC5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2D8F9A"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8EABD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06BCDF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CA5F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BF276A" w14:textId="77777777" w:rsidR="00000000" w:rsidRDefault="001826C1">
            <w:pPr>
              <w:jc w:val="right"/>
              <w:rPr>
                <w:rFonts w:eastAsia="Times New Roman"/>
                <w:sz w:val="20"/>
                <w:szCs w:val="20"/>
              </w:rPr>
            </w:pPr>
            <w:r>
              <w:rPr>
                <w:rFonts w:eastAsia="Times New Roman"/>
                <w:sz w:val="20"/>
                <w:szCs w:val="20"/>
              </w:rPr>
              <w:t>2,264,223</w:t>
            </w:r>
          </w:p>
        </w:tc>
        <w:tc>
          <w:tcPr>
            <w:tcW w:w="0" w:type="auto"/>
            <w:shd w:val="clear" w:color="auto" w:fill="FFFFFF"/>
            <w:vAlign w:val="bottom"/>
            <w:hideMark/>
          </w:tcPr>
          <w:p w14:paraId="6857ECE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7C9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782A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0C775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84B3E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AFD5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9D7B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929B0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851C8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88FE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8737B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71AFEA"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07679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22E6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FFFD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AC5D48" w14:textId="77777777" w:rsidR="00000000" w:rsidRDefault="001826C1">
            <w:pPr>
              <w:jc w:val="right"/>
              <w:rPr>
                <w:rFonts w:eastAsia="Times New Roman"/>
                <w:sz w:val="20"/>
                <w:szCs w:val="20"/>
              </w:rPr>
            </w:pPr>
            <w:r>
              <w:rPr>
                <w:rFonts w:eastAsia="Times New Roman"/>
                <w:sz w:val="20"/>
                <w:szCs w:val="20"/>
              </w:rPr>
              <w:t>2,264,223</w:t>
            </w:r>
          </w:p>
        </w:tc>
        <w:tc>
          <w:tcPr>
            <w:tcW w:w="0" w:type="auto"/>
            <w:shd w:val="clear" w:color="auto" w:fill="FFFFFF"/>
            <w:vAlign w:val="bottom"/>
            <w:hideMark/>
          </w:tcPr>
          <w:p w14:paraId="738367D3" w14:textId="77777777" w:rsidR="00000000" w:rsidRDefault="001826C1">
            <w:pPr>
              <w:rPr>
                <w:rFonts w:eastAsia="Times New Roman"/>
                <w:sz w:val="20"/>
                <w:szCs w:val="20"/>
              </w:rPr>
            </w:pPr>
            <w:r>
              <w:rPr>
                <w:rFonts w:eastAsia="Times New Roman"/>
                <w:sz w:val="20"/>
                <w:szCs w:val="20"/>
              </w:rPr>
              <w:t> </w:t>
            </w:r>
          </w:p>
        </w:tc>
      </w:tr>
      <w:tr w:rsidR="001826C1" w14:paraId="0EF090DB" w14:textId="77777777">
        <w:tc>
          <w:tcPr>
            <w:tcW w:w="0" w:type="auto"/>
            <w:shd w:val="clear" w:color="auto" w:fill="CCEEFF"/>
            <w:vAlign w:val="bottom"/>
            <w:hideMark/>
          </w:tcPr>
          <w:p w14:paraId="273651EF" w14:textId="77777777" w:rsidR="00000000" w:rsidRDefault="001826C1">
            <w:pPr>
              <w:rPr>
                <w:rFonts w:eastAsia="Times New Roman"/>
                <w:sz w:val="20"/>
                <w:szCs w:val="20"/>
              </w:rPr>
            </w:pPr>
            <w:r>
              <w:rPr>
                <w:rFonts w:eastAsia="Times New Roman"/>
                <w:sz w:val="20"/>
                <w:szCs w:val="20"/>
              </w:rPr>
              <w:t>Tax withholding obligations on stock issued to employees</w:t>
            </w:r>
          </w:p>
        </w:tc>
        <w:tc>
          <w:tcPr>
            <w:tcW w:w="0" w:type="auto"/>
            <w:shd w:val="clear" w:color="auto" w:fill="CCEEFF"/>
            <w:vAlign w:val="bottom"/>
            <w:hideMark/>
          </w:tcPr>
          <w:p w14:paraId="69F1F3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0505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B75ED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6BD4EC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83BA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560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D168C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2AC733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CC697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F77A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22C8FA"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68508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742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D72E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0CD8B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EE3DE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ECAF4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0DD8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2D8FFF" w14:textId="77777777" w:rsidR="00000000" w:rsidRDefault="001826C1">
            <w:pPr>
              <w:jc w:val="right"/>
              <w:rPr>
                <w:rFonts w:eastAsia="Times New Roman"/>
                <w:sz w:val="20"/>
                <w:szCs w:val="20"/>
              </w:rPr>
            </w:pPr>
            <w:r>
              <w:rPr>
                <w:rFonts w:eastAsia="Times New Roman"/>
                <w:sz w:val="20"/>
                <w:szCs w:val="20"/>
              </w:rPr>
              <w:t>(345,500</w:t>
            </w:r>
          </w:p>
        </w:tc>
        <w:tc>
          <w:tcPr>
            <w:tcW w:w="0" w:type="auto"/>
            <w:shd w:val="clear" w:color="auto" w:fill="CCEEFF"/>
            <w:vAlign w:val="bottom"/>
            <w:hideMark/>
          </w:tcPr>
          <w:p w14:paraId="1DFA22CC"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015BB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CB41F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35FBA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30333D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E7BB1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00EC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7E86A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FFF9F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A77E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B3671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860E8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AE84DF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D03354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1EA74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0500A7" w14:textId="77777777" w:rsidR="00000000" w:rsidRDefault="001826C1">
            <w:pPr>
              <w:jc w:val="right"/>
              <w:rPr>
                <w:rFonts w:eastAsia="Times New Roman"/>
                <w:sz w:val="20"/>
                <w:szCs w:val="20"/>
              </w:rPr>
            </w:pPr>
            <w:r>
              <w:rPr>
                <w:rFonts w:eastAsia="Times New Roman"/>
                <w:sz w:val="20"/>
                <w:szCs w:val="20"/>
              </w:rPr>
              <w:t>(345,500</w:t>
            </w:r>
          </w:p>
        </w:tc>
        <w:tc>
          <w:tcPr>
            <w:tcW w:w="0" w:type="auto"/>
            <w:shd w:val="clear" w:color="auto" w:fill="CCEEFF"/>
            <w:vAlign w:val="bottom"/>
            <w:hideMark/>
          </w:tcPr>
          <w:p w14:paraId="58F6CBAD" w14:textId="77777777" w:rsidR="00000000" w:rsidRDefault="001826C1">
            <w:pPr>
              <w:rPr>
                <w:rFonts w:eastAsia="Times New Roman"/>
                <w:sz w:val="20"/>
                <w:szCs w:val="20"/>
              </w:rPr>
            </w:pPr>
            <w:r>
              <w:rPr>
                <w:rFonts w:eastAsia="Times New Roman"/>
                <w:sz w:val="20"/>
                <w:szCs w:val="20"/>
              </w:rPr>
              <w:t>)</w:t>
            </w:r>
          </w:p>
        </w:tc>
      </w:tr>
      <w:tr w:rsidR="001826C1" w14:paraId="68861589" w14:textId="77777777">
        <w:tc>
          <w:tcPr>
            <w:tcW w:w="0" w:type="auto"/>
            <w:shd w:val="clear" w:color="auto" w:fill="FFFFFF"/>
            <w:vAlign w:val="bottom"/>
            <w:hideMark/>
          </w:tcPr>
          <w:p w14:paraId="3DF1CF57" w14:textId="77777777" w:rsidR="00000000" w:rsidRDefault="001826C1">
            <w:pPr>
              <w:rPr>
                <w:rFonts w:eastAsia="Times New Roman"/>
                <w:sz w:val="20"/>
                <w:szCs w:val="20"/>
              </w:rPr>
            </w:pPr>
            <w:r>
              <w:rPr>
                <w:rFonts w:eastAsia="Times New Roman"/>
                <w:sz w:val="20"/>
                <w:szCs w:val="20"/>
              </w:rPr>
              <w:t xml:space="preserve">Issuance </w:t>
            </w:r>
            <w:r>
              <w:rPr>
                <w:rFonts w:eastAsia="Times New Roman"/>
                <w:sz w:val="20"/>
                <w:szCs w:val="20"/>
              </w:rPr>
              <w:t>of preferred stock, net of fees and expenses</w:t>
            </w:r>
          </w:p>
        </w:tc>
        <w:tc>
          <w:tcPr>
            <w:tcW w:w="0" w:type="auto"/>
            <w:shd w:val="clear" w:color="auto" w:fill="FFFFFF"/>
            <w:vAlign w:val="bottom"/>
            <w:hideMark/>
          </w:tcPr>
          <w:p w14:paraId="00AC15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CC06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189D5F" w14:textId="77777777" w:rsidR="00000000" w:rsidRDefault="001826C1">
            <w:pPr>
              <w:jc w:val="right"/>
              <w:rPr>
                <w:rFonts w:eastAsia="Times New Roman"/>
                <w:sz w:val="20"/>
                <w:szCs w:val="20"/>
              </w:rPr>
            </w:pPr>
            <w:r>
              <w:rPr>
                <w:rFonts w:eastAsia="Times New Roman"/>
                <w:sz w:val="20"/>
                <w:szCs w:val="20"/>
              </w:rPr>
              <w:t>1,020,000</w:t>
            </w:r>
          </w:p>
        </w:tc>
        <w:tc>
          <w:tcPr>
            <w:tcW w:w="0" w:type="auto"/>
            <w:shd w:val="clear" w:color="auto" w:fill="FFFFFF"/>
            <w:vAlign w:val="bottom"/>
            <w:hideMark/>
          </w:tcPr>
          <w:p w14:paraId="0559F57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2AB9A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217AA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6B234C" w14:textId="77777777" w:rsidR="00000000" w:rsidRDefault="001826C1">
            <w:pPr>
              <w:jc w:val="right"/>
              <w:rPr>
                <w:rFonts w:eastAsia="Times New Roman"/>
                <w:sz w:val="20"/>
                <w:szCs w:val="20"/>
              </w:rPr>
            </w:pPr>
            <w:r>
              <w:rPr>
                <w:rFonts w:eastAsia="Times New Roman"/>
                <w:sz w:val="20"/>
                <w:szCs w:val="20"/>
              </w:rPr>
              <w:t>1,020</w:t>
            </w:r>
          </w:p>
        </w:tc>
        <w:tc>
          <w:tcPr>
            <w:tcW w:w="0" w:type="auto"/>
            <w:shd w:val="clear" w:color="auto" w:fill="FFFFFF"/>
            <w:vAlign w:val="bottom"/>
            <w:hideMark/>
          </w:tcPr>
          <w:p w14:paraId="0135F1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7137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5D2EF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E01C6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0AF5D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A145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0232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65FA4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63EBC1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C2EA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9E3A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317A84" w14:textId="77777777" w:rsidR="00000000" w:rsidRDefault="001826C1">
            <w:pPr>
              <w:jc w:val="right"/>
              <w:rPr>
                <w:rFonts w:eastAsia="Times New Roman"/>
                <w:sz w:val="20"/>
                <w:szCs w:val="20"/>
              </w:rPr>
            </w:pPr>
            <w:r>
              <w:rPr>
                <w:rFonts w:eastAsia="Times New Roman"/>
                <w:sz w:val="20"/>
                <w:szCs w:val="20"/>
              </w:rPr>
              <w:t>22,816,546</w:t>
            </w:r>
          </w:p>
        </w:tc>
        <w:tc>
          <w:tcPr>
            <w:tcW w:w="0" w:type="auto"/>
            <w:shd w:val="clear" w:color="auto" w:fill="FFFFFF"/>
            <w:vAlign w:val="bottom"/>
            <w:hideMark/>
          </w:tcPr>
          <w:p w14:paraId="7D3602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070B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457F0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68DF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0217B4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8302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12FCB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758CB7"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FA3FD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4AB4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E2EC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54D3F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C55A4D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A2452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42E3D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2B46B6" w14:textId="77777777" w:rsidR="00000000" w:rsidRDefault="001826C1">
            <w:pPr>
              <w:jc w:val="right"/>
              <w:rPr>
                <w:rFonts w:eastAsia="Times New Roman"/>
                <w:sz w:val="20"/>
                <w:szCs w:val="20"/>
              </w:rPr>
            </w:pPr>
            <w:r>
              <w:rPr>
                <w:rFonts w:eastAsia="Times New Roman"/>
                <w:sz w:val="20"/>
                <w:szCs w:val="20"/>
              </w:rPr>
              <w:t>22,817,566</w:t>
            </w:r>
          </w:p>
        </w:tc>
        <w:tc>
          <w:tcPr>
            <w:tcW w:w="0" w:type="auto"/>
            <w:shd w:val="clear" w:color="auto" w:fill="FFFFFF"/>
            <w:vAlign w:val="bottom"/>
            <w:hideMark/>
          </w:tcPr>
          <w:p w14:paraId="7C446FE8" w14:textId="77777777" w:rsidR="00000000" w:rsidRDefault="001826C1">
            <w:pPr>
              <w:rPr>
                <w:rFonts w:eastAsia="Times New Roman"/>
                <w:sz w:val="20"/>
                <w:szCs w:val="20"/>
              </w:rPr>
            </w:pPr>
            <w:r>
              <w:rPr>
                <w:rFonts w:eastAsia="Times New Roman"/>
                <w:sz w:val="20"/>
                <w:szCs w:val="20"/>
              </w:rPr>
              <w:t> </w:t>
            </w:r>
          </w:p>
        </w:tc>
      </w:tr>
      <w:tr w:rsidR="001826C1" w14:paraId="1B586AF9" w14:textId="77777777">
        <w:tc>
          <w:tcPr>
            <w:tcW w:w="0" w:type="auto"/>
            <w:shd w:val="clear" w:color="auto" w:fill="CCEEFF"/>
            <w:vAlign w:val="bottom"/>
            <w:hideMark/>
          </w:tcPr>
          <w:p w14:paraId="7AF50527" w14:textId="77777777" w:rsidR="00000000" w:rsidRDefault="001826C1">
            <w:pPr>
              <w:rPr>
                <w:rFonts w:eastAsia="Times New Roman"/>
                <w:sz w:val="20"/>
                <w:szCs w:val="20"/>
              </w:rPr>
            </w:pPr>
            <w:r>
              <w:rPr>
                <w:rFonts w:eastAsia="Times New Roman"/>
                <w:sz w:val="20"/>
                <w:szCs w:val="20"/>
              </w:rPr>
              <w:t>Preferred stock dividends</w:t>
            </w:r>
          </w:p>
        </w:tc>
        <w:tc>
          <w:tcPr>
            <w:tcW w:w="0" w:type="auto"/>
            <w:shd w:val="clear" w:color="auto" w:fill="CCEEFF"/>
            <w:vAlign w:val="bottom"/>
            <w:hideMark/>
          </w:tcPr>
          <w:p w14:paraId="24D3A7F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DED5A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DB6CF8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944CE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B6D23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3AC8EB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DEC7F9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4E78D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32630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20D430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D154A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6AAA20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17BCE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B64D7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C5E75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74958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E1EE3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D7CCA8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71DA35" w14:textId="77777777" w:rsidR="00000000" w:rsidRDefault="001826C1">
            <w:pPr>
              <w:jc w:val="right"/>
              <w:rPr>
                <w:rFonts w:eastAsia="Times New Roman"/>
                <w:sz w:val="20"/>
                <w:szCs w:val="20"/>
              </w:rPr>
            </w:pPr>
            <w:r>
              <w:rPr>
                <w:rFonts w:eastAsia="Times New Roman"/>
                <w:sz w:val="20"/>
                <w:szCs w:val="20"/>
              </w:rPr>
              <w:t>(4,823,987</w:t>
            </w:r>
          </w:p>
        </w:tc>
        <w:tc>
          <w:tcPr>
            <w:tcW w:w="0" w:type="auto"/>
            <w:shd w:val="clear" w:color="auto" w:fill="CCEEFF"/>
            <w:vAlign w:val="bottom"/>
            <w:hideMark/>
          </w:tcPr>
          <w:p w14:paraId="45CCFC3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3F3D4F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3D060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C1D2AA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5F97E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84C16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FD1D9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65A73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DCBBB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D76B0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32F88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74A02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D315EB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0BB58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3FB91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DAD426F" w14:textId="77777777" w:rsidR="00000000" w:rsidRDefault="001826C1">
            <w:pPr>
              <w:jc w:val="right"/>
              <w:rPr>
                <w:rFonts w:eastAsia="Times New Roman"/>
                <w:sz w:val="20"/>
                <w:szCs w:val="20"/>
              </w:rPr>
            </w:pPr>
            <w:r>
              <w:rPr>
                <w:rFonts w:eastAsia="Times New Roman"/>
                <w:sz w:val="20"/>
                <w:szCs w:val="20"/>
              </w:rPr>
              <w:t>(4,823,987</w:t>
            </w:r>
          </w:p>
        </w:tc>
        <w:tc>
          <w:tcPr>
            <w:tcW w:w="0" w:type="auto"/>
            <w:shd w:val="clear" w:color="auto" w:fill="CCEEFF"/>
            <w:vAlign w:val="bottom"/>
            <w:hideMark/>
          </w:tcPr>
          <w:p w14:paraId="2ADA7F75" w14:textId="77777777" w:rsidR="00000000" w:rsidRDefault="001826C1">
            <w:pPr>
              <w:rPr>
                <w:rFonts w:eastAsia="Times New Roman"/>
                <w:sz w:val="20"/>
                <w:szCs w:val="20"/>
              </w:rPr>
            </w:pPr>
            <w:r>
              <w:rPr>
                <w:rFonts w:eastAsia="Times New Roman"/>
                <w:sz w:val="20"/>
                <w:szCs w:val="20"/>
              </w:rPr>
              <w:t>)</w:t>
            </w:r>
          </w:p>
        </w:tc>
      </w:tr>
      <w:tr w:rsidR="001826C1" w14:paraId="083EE570" w14:textId="77777777">
        <w:tc>
          <w:tcPr>
            <w:tcW w:w="0" w:type="auto"/>
            <w:shd w:val="clear" w:color="auto" w:fill="FFFFFF"/>
            <w:vAlign w:val="bottom"/>
            <w:hideMark/>
          </w:tcPr>
          <w:p w14:paraId="2A0C802A" w14:textId="77777777" w:rsidR="00000000" w:rsidRDefault="001826C1">
            <w:pPr>
              <w:rPr>
                <w:rFonts w:eastAsia="Times New Roman"/>
                <w:sz w:val="20"/>
                <w:szCs w:val="20"/>
              </w:rPr>
            </w:pPr>
            <w:r>
              <w:rPr>
                <w:rFonts w:eastAsia="Times New Roman"/>
                <w:sz w:val="20"/>
                <w:szCs w:val="20"/>
              </w:rPr>
              <w:t>Balance - December 31, 2018</w:t>
            </w:r>
          </w:p>
        </w:tc>
        <w:tc>
          <w:tcPr>
            <w:tcW w:w="0" w:type="auto"/>
            <w:shd w:val="clear" w:color="auto" w:fill="FFFFFF"/>
            <w:vAlign w:val="bottom"/>
            <w:hideMark/>
          </w:tcPr>
          <w:p w14:paraId="3C9D9D7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5AE4EF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B1771A9" w14:textId="77777777" w:rsidR="00000000" w:rsidRDefault="001826C1">
            <w:pPr>
              <w:jc w:val="right"/>
              <w:rPr>
                <w:rFonts w:eastAsia="Times New Roman"/>
                <w:sz w:val="20"/>
                <w:szCs w:val="20"/>
              </w:rPr>
            </w:pPr>
            <w:r>
              <w:rPr>
                <w:rFonts w:eastAsia="Times New Roman"/>
                <w:sz w:val="20"/>
                <w:szCs w:val="20"/>
              </w:rPr>
              <w:t>2,136,289</w:t>
            </w:r>
          </w:p>
        </w:tc>
        <w:tc>
          <w:tcPr>
            <w:tcW w:w="0" w:type="auto"/>
            <w:shd w:val="clear" w:color="auto" w:fill="FFFFFF"/>
            <w:vAlign w:val="bottom"/>
            <w:hideMark/>
          </w:tcPr>
          <w:p w14:paraId="1D7008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FF577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7CB80B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514E7EE" w14:textId="77777777" w:rsidR="00000000" w:rsidRDefault="001826C1">
            <w:pPr>
              <w:jc w:val="right"/>
              <w:rPr>
                <w:rFonts w:eastAsia="Times New Roman"/>
                <w:sz w:val="20"/>
                <w:szCs w:val="20"/>
              </w:rPr>
            </w:pPr>
            <w:r>
              <w:rPr>
                <w:rFonts w:eastAsia="Times New Roman"/>
                <w:sz w:val="20"/>
                <w:szCs w:val="20"/>
              </w:rPr>
              <w:t>2,136</w:t>
            </w:r>
          </w:p>
        </w:tc>
        <w:tc>
          <w:tcPr>
            <w:tcW w:w="0" w:type="auto"/>
            <w:shd w:val="clear" w:color="auto" w:fill="FFFFFF"/>
            <w:vAlign w:val="bottom"/>
            <w:hideMark/>
          </w:tcPr>
          <w:p w14:paraId="1E12896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2D01A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1A4BB4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7B196AB" w14:textId="77777777" w:rsidR="00000000" w:rsidRDefault="001826C1">
            <w:pPr>
              <w:jc w:val="right"/>
              <w:rPr>
                <w:rFonts w:eastAsia="Times New Roman"/>
                <w:sz w:val="20"/>
                <w:szCs w:val="20"/>
              </w:rPr>
            </w:pPr>
            <w:r>
              <w:rPr>
                <w:rFonts w:eastAsia="Times New Roman"/>
                <w:sz w:val="20"/>
                <w:szCs w:val="20"/>
              </w:rPr>
              <w:t>12,570,557</w:t>
            </w:r>
          </w:p>
        </w:tc>
        <w:tc>
          <w:tcPr>
            <w:tcW w:w="0" w:type="auto"/>
            <w:shd w:val="clear" w:color="auto" w:fill="FFFFFF"/>
            <w:vAlign w:val="bottom"/>
            <w:hideMark/>
          </w:tcPr>
          <w:p w14:paraId="62EDEBF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828A3B"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6FDE8A1"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5D2313F" w14:textId="77777777" w:rsidR="00000000" w:rsidRDefault="001826C1">
            <w:pPr>
              <w:jc w:val="right"/>
              <w:rPr>
                <w:rFonts w:eastAsia="Times New Roman"/>
                <w:sz w:val="20"/>
                <w:szCs w:val="20"/>
              </w:rPr>
            </w:pPr>
            <w:r>
              <w:rPr>
                <w:rFonts w:eastAsia="Times New Roman"/>
                <w:sz w:val="20"/>
                <w:szCs w:val="20"/>
              </w:rPr>
              <w:t>12,571</w:t>
            </w:r>
          </w:p>
        </w:tc>
        <w:tc>
          <w:tcPr>
            <w:tcW w:w="0" w:type="auto"/>
            <w:shd w:val="clear" w:color="auto" w:fill="FFFFFF"/>
            <w:vAlign w:val="bottom"/>
            <w:hideMark/>
          </w:tcPr>
          <w:p w14:paraId="0BB7FF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855C2"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25EB90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6EC7126" w14:textId="77777777" w:rsidR="00000000" w:rsidRDefault="001826C1">
            <w:pPr>
              <w:jc w:val="right"/>
              <w:rPr>
                <w:rFonts w:eastAsia="Times New Roman"/>
                <w:sz w:val="20"/>
                <w:szCs w:val="20"/>
              </w:rPr>
            </w:pPr>
            <w:r>
              <w:rPr>
                <w:rFonts w:eastAsia="Times New Roman"/>
                <w:sz w:val="20"/>
                <w:szCs w:val="20"/>
              </w:rPr>
              <w:t>65,142,460</w:t>
            </w:r>
          </w:p>
        </w:tc>
        <w:tc>
          <w:tcPr>
            <w:tcW w:w="0" w:type="auto"/>
            <w:shd w:val="clear" w:color="auto" w:fill="FFFFFF"/>
            <w:vAlign w:val="bottom"/>
            <w:hideMark/>
          </w:tcPr>
          <w:p w14:paraId="37BD76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8B63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E23A41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85BCCAB" w14:textId="77777777" w:rsidR="00000000" w:rsidRDefault="001826C1">
            <w:pPr>
              <w:jc w:val="right"/>
              <w:rPr>
                <w:rFonts w:eastAsia="Times New Roman"/>
                <w:sz w:val="20"/>
                <w:szCs w:val="20"/>
              </w:rPr>
            </w:pPr>
            <w:r>
              <w:rPr>
                <w:rFonts w:eastAsia="Times New Roman"/>
                <w:sz w:val="20"/>
                <w:szCs w:val="20"/>
              </w:rPr>
              <w:t>(24,203,745</w:t>
            </w:r>
          </w:p>
        </w:tc>
        <w:tc>
          <w:tcPr>
            <w:tcW w:w="0" w:type="auto"/>
            <w:shd w:val="clear" w:color="auto" w:fill="FFFFFF"/>
            <w:vAlign w:val="bottom"/>
            <w:hideMark/>
          </w:tcPr>
          <w:p w14:paraId="54C797A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812ED1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91D6C82"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8D88E11" w14:textId="77777777" w:rsidR="00000000" w:rsidRDefault="001826C1">
            <w:pPr>
              <w:jc w:val="right"/>
              <w:rPr>
                <w:rFonts w:eastAsia="Times New Roman"/>
                <w:sz w:val="20"/>
                <w:szCs w:val="20"/>
              </w:rPr>
            </w:pPr>
            <w:r>
              <w:rPr>
                <w:rFonts w:eastAsia="Times New Roman"/>
                <w:sz w:val="20"/>
                <w:szCs w:val="20"/>
              </w:rPr>
              <w:t>(1,421,068</w:t>
            </w:r>
          </w:p>
        </w:tc>
        <w:tc>
          <w:tcPr>
            <w:tcW w:w="0" w:type="auto"/>
            <w:shd w:val="clear" w:color="auto" w:fill="FFFFFF"/>
            <w:vAlign w:val="bottom"/>
            <w:hideMark/>
          </w:tcPr>
          <w:p w14:paraId="06CF1006"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0A6749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CD3D0D3"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4FEEDD2" w14:textId="77777777" w:rsidR="00000000" w:rsidRDefault="001826C1">
            <w:pPr>
              <w:jc w:val="right"/>
              <w:rPr>
                <w:rFonts w:eastAsia="Times New Roman"/>
                <w:sz w:val="20"/>
                <w:szCs w:val="20"/>
              </w:rPr>
            </w:pPr>
            <w:r>
              <w:rPr>
                <w:rFonts w:eastAsia="Times New Roman"/>
                <w:sz w:val="20"/>
                <w:szCs w:val="20"/>
              </w:rPr>
              <w:t>(662,000</w:t>
            </w:r>
          </w:p>
        </w:tc>
        <w:tc>
          <w:tcPr>
            <w:tcW w:w="0" w:type="auto"/>
            <w:shd w:val="clear" w:color="auto" w:fill="FFFFFF"/>
            <w:vAlign w:val="bottom"/>
            <w:hideMark/>
          </w:tcPr>
          <w:p w14:paraId="42F6497C"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D6DFCB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F854DDF"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8097034" w14:textId="77777777" w:rsidR="00000000" w:rsidRDefault="001826C1">
            <w:pPr>
              <w:jc w:val="right"/>
              <w:rPr>
                <w:rFonts w:eastAsia="Times New Roman"/>
                <w:sz w:val="20"/>
                <w:szCs w:val="20"/>
              </w:rPr>
            </w:pPr>
            <w:r>
              <w:rPr>
                <w:rFonts w:eastAsia="Times New Roman"/>
                <w:sz w:val="20"/>
                <w:szCs w:val="20"/>
              </w:rPr>
              <w:t>38,870,354</w:t>
            </w:r>
          </w:p>
        </w:tc>
        <w:tc>
          <w:tcPr>
            <w:tcW w:w="0" w:type="auto"/>
            <w:shd w:val="clear" w:color="auto" w:fill="FFFFFF"/>
            <w:vAlign w:val="bottom"/>
            <w:hideMark/>
          </w:tcPr>
          <w:p w14:paraId="5D224F09" w14:textId="77777777" w:rsidR="00000000" w:rsidRDefault="001826C1">
            <w:pPr>
              <w:rPr>
                <w:rFonts w:eastAsia="Times New Roman"/>
                <w:sz w:val="20"/>
                <w:szCs w:val="20"/>
              </w:rPr>
            </w:pPr>
            <w:r>
              <w:rPr>
                <w:rFonts w:eastAsia="Times New Roman"/>
                <w:sz w:val="20"/>
                <w:szCs w:val="20"/>
              </w:rPr>
              <w:t> </w:t>
            </w:r>
          </w:p>
        </w:tc>
      </w:tr>
      <w:tr w:rsidR="001826C1" w14:paraId="713E4DD9" w14:textId="77777777">
        <w:tc>
          <w:tcPr>
            <w:tcW w:w="0" w:type="auto"/>
            <w:shd w:val="clear" w:color="auto" w:fill="CCEEFF"/>
            <w:vAlign w:val="bottom"/>
            <w:hideMark/>
          </w:tcPr>
          <w:p w14:paraId="6FF4B3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842BD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92C8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1BDD3C"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80332E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C53F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1B71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D1A842"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C30CE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7AA5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1BCDD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B4F90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C1D9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CC5F0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9F3C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D4F565"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FD71C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6C523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9A85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3862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3EB5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C00B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7689E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958298"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BBFB7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F3FD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F48F8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6D0AFD"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B4B416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1927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FF93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D325E1"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661046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F1B65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ECC4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396D5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9252663" w14:textId="77777777" w:rsidR="00000000" w:rsidRDefault="001826C1">
            <w:pPr>
              <w:rPr>
                <w:rFonts w:eastAsia="Times New Roman"/>
                <w:sz w:val="20"/>
                <w:szCs w:val="20"/>
              </w:rPr>
            </w:pPr>
            <w:r>
              <w:rPr>
                <w:rFonts w:eastAsia="Times New Roman"/>
                <w:sz w:val="20"/>
                <w:szCs w:val="20"/>
              </w:rPr>
              <w:t> </w:t>
            </w:r>
          </w:p>
        </w:tc>
      </w:tr>
      <w:tr w:rsidR="001826C1" w14:paraId="42BC7737" w14:textId="77777777">
        <w:tc>
          <w:tcPr>
            <w:tcW w:w="0" w:type="auto"/>
            <w:shd w:val="clear" w:color="auto" w:fill="FFFFFF"/>
            <w:vAlign w:val="bottom"/>
            <w:hideMark/>
          </w:tcPr>
          <w:p w14:paraId="7E3D6C46" w14:textId="77777777" w:rsidR="00000000" w:rsidRDefault="001826C1">
            <w:pPr>
              <w:rPr>
                <w:rFonts w:eastAsia="Times New Roman"/>
                <w:sz w:val="20"/>
                <w:szCs w:val="20"/>
              </w:rPr>
            </w:pPr>
            <w:r>
              <w:rPr>
                <w:rFonts w:eastAsia="Times New Roman"/>
                <w:sz w:val="20"/>
                <w:szCs w:val="20"/>
              </w:rPr>
              <w:t>Balance - January 1, 2019</w:t>
            </w:r>
          </w:p>
        </w:tc>
        <w:tc>
          <w:tcPr>
            <w:tcW w:w="0" w:type="auto"/>
            <w:shd w:val="clear" w:color="auto" w:fill="FFFFFF"/>
            <w:vAlign w:val="bottom"/>
            <w:hideMark/>
          </w:tcPr>
          <w:p w14:paraId="156FAF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B5DE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2C2D5F" w14:textId="77777777" w:rsidR="00000000" w:rsidRDefault="001826C1">
            <w:pPr>
              <w:jc w:val="right"/>
              <w:rPr>
                <w:rFonts w:eastAsia="Times New Roman"/>
                <w:sz w:val="20"/>
                <w:szCs w:val="20"/>
              </w:rPr>
            </w:pPr>
            <w:r>
              <w:rPr>
                <w:rFonts w:eastAsia="Times New Roman"/>
                <w:sz w:val="20"/>
                <w:szCs w:val="20"/>
              </w:rPr>
              <w:t>2,136,289</w:t>
            </w:r>
          </w:p>
        </w:tc>
        <w:tc>
          <w:tcPr>
            <w:tcW w:w="0" w:type="auto"/>
            <w:shd w:val="clear" w:color="auto" w:fill="FFFFFF"/>
            <w:vAlign w:val="bottom"/>
            <w:hideMark/>
          </w:tcPr>
          <w:p w14:paraId="5DD57B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DE0D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AFD35B"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A4C01E1" w14:textId="77777777" w:rsidR="00000000" w:rsidRDefault="001826C1">
            <w:pPr>
              <w:jc w:val="right"/>
              <w:rPr>
                <w:rFonts w:eastAsia="Times New Roman"/>
                <w:sz w:val="20"/>
                <w:szCs w:val="20"/>
              </w:rPr>
            </w:pPr>
            <w:r>
              <w:rPr>
                <w:rFonts w:eastAsia="Times New Roman"/>
                <w:sz w:val="20"/>
                <w:szCs w:val="20"/>
              </w:rPr>
              <w:t>2,136</w:t>
            </w:r>
          </w:p>
        </w:tc>
        <w:tc>
          <w:tcPr>
            <w:tcW w:w="0" w:type="auto"/>
            <w:shd w:val="clear" w:color="auto" w:fill="FFFFFF"/>
            <w:vAlign w:val="bottom"/>
            <w:hideMark/>
          </w:tcPr>
          <w:p w14:paraId="30F0FA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D7C0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F163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7135F3" w14:textId="77777777" w:rsidR="00000000" w:rsidRDefault="001826C1">
            <w:pPr>
              <w:jc w:val="right"/>
              <w:rPr>
                <w:rFonts w:eastAsia="Times New Roman"/>
                <w:sz w:val="20"/>
                <w:szCs w:val="20"/>
              </w:rPr>
            </w:pPr>
            <w:r>
              <w:rPr>
                <w:rFonts w:eastAsia="Times New Roman"/>
                <w:sz w:val="20"/>
                <w:szCs w:val="20"/>
              </w:rPr>
              <w:t>12,570,557</w:t>
            </w:r>
          </w:p>
        </w:tc>
        <w:tc>
          <w:tcPr>
            <w:tcW w:w="0" w:type="auto"/>
            <w:shd w:val="clear" w:color="auto" w:fill="FFFFFF"/>
            <w:vAlign w:val="bottom"/>
            <w:hideMark/>
          </w:tcPr>
          <w:p w14:paraId="472F71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1EA3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766E2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66DDFDD" w14:textId="77777777" w:rsidR="00000000" w:rsidRDefault="001826C1">
            <w:pPr>
              <w:jc w:val="right"/>
              <w:rPr>
                <w:rFonts w:eastAsia="Times New Roman"/>
                <w:sz w:val="20"/>
                <w:szCs w:val="20"/>
              </w:rPr>
            </w:pPr>
            <w:r>
              <w:rPr>
                <w:rFonts w:eastAsia="Times New Roman"/>
                <w:sz w:val="20"/>
                <w:szCs w:val="20"/>
              </w:rPr>
              <w:t>12,571</w:t>
            </w:r>
          </w:p>
        </w:tc>
        <w:tc>
          <w:tcPr>
            <w:tcW w:w="0" w:type="auto"/>
            <w:shd w:val="clear" w:color="auto" w:fill="FFFFFF"/>
            <w:vAlign w:val="bottom"/>
            <w:hideMark/>
          </w:tcPr>
          <w:p w14:paraId="1031E3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E3F5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54FBF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F53E258" w14:textId="77777777" w:rsidR="00000000" w:rsidRDefault="001826C1">
            <w:pPr>
              <w:jc w:val="right"/>
              <w:rPr>
                <w:rFonts w:eastAsia="Times New Roman"/>
                <w:sz w:val="20"/>
                <w:szCs w:val="20"/>
              </w:rPr>
            </w:pPr>
            <w:r>
              <w:rPr>
                <w:rFonts w:eastAsia="Times New Roman"/>
                <w:sz w:val="20"/>
                <w:szCs w:val="20"/>
              </w:rPr>
              <w:t>65,142,460</w:t>
            </w:r>
          </w:p>
        </w:tc>
        <w:tc>
          <w:tcPr>
            <w:tcW w:w="0" w:type="auto"/>
            <w:shd w:val="clear" w:color="auto" w:fill="FFFFFF"/>
            <w:vAlign w:val="bottom"/>
            <w:hideMark/>
          </w:tcPr>
          <w:p w14:paraId="201EFD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F94F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6E5CF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6F07FA2" w14:textId="77777777" w:rsidR="00000000" w:rsidRDefault="001826C1">
            <w:pPr>
              <w:jc w:val="right"/>
              <w:rPr>
                <w:rFonts w:eastAsia="Times New Roman"/>
                <w:sz w:val="20"/>
                <w:szCs w:val="20"/>
              </w:rPr>
            </w:pPr>
            <w:r>
              <w:rPr>
                <w:rFonts w:eastAsia="Times New Roman"/>
                <w:sz w:val="20"/>
                <w:szCs w:val="20"/>
              </w:rPr>
              <w:t>(24,203,745</w:t>
            </w:r>
          </w:p>
        </w:tc>
        <w:tc>
          <w:tcPr>
            <w:tcW w:w="0" w:type="auto"/>
            <w:shd w:val="clear" w:color="auto" w:fill="FFFFFF"/>
            <w:vAlign w:val="bottom"/>
            <w:hideMark/>
          </w:tcPr>
          <w:p w14:paraId="035D7440"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3415B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5648DD"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2364358" w14:textId="77777777" w:rsidR="00000000" w:rsidRDefault="001826C1">
            <w:pPr>
              <w:jc w:val="right"/>
              <w:rPr>
                <w:rFonts w:eastAsia="Times New Roman"/>
                <w:sz w:val="20"/>
                <w:szCs w:val="20"/>
              </w:rPr>
            </w:pPr>
            <w:r>
              <w:rPr>
                <w:rFonts w:eastAsia="Times New Roman"/>
                <w:sz w:val="20"/>
                <w:szCs w:val="20"/>
              </w:rPr>
              <w:t>(1,421,068</w:t>
            </w:r>
          </w:p>
        </w:tc>
        <w:tc>
          <w:tcPr>
            <w:tcW w:w="0" w:type="auto"/>
            <w:shd w:val="clear" w:color="auto" w:fill="FFFFFF"/>
            <w:vAlign w:val="bottom"/>
            <w:hideMark/>
          </w:tcPr>
          <w:p w14:paraId="16C24097"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534AE7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16856B"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8092075" w14:textId="77777777" w:rsidR="00000000" w:rsidRDefault="001826C1">
            <w:pPr>
              <w:jc w:val="right"/>
              <w:rPr>
                <w:rFonts w:eastAsia="Times New Roman"/>
                <w:sz w:val="20"/>
                <w:szCs w:val="20"/>
              </w:rPr>
            </w:pPr>
            <w:r>
              <w:rPr>
                <w:rFonts w:eastAsia="Times New Roman"/>
                <w:sz w:val="20"/>
                <w:szCs w:val="20"/>
              </w:rPr>
              <w:t>(662,000</w:t>
            </w:r>
          </w:p>
        </w:tc>
        <w:tc>
          <w:tcPr>
            <w:tcW w:w="0" w:type="auto"/>
            <w:shd w:val="clear" w:color="auto" w:fill="FFFFFF"/>
            <w:vAlign w:val="bottom"/>
            <w:hideMark/>
          </w:tcPr>
          <w:p w14:paraId="312EE007"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E5536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626EA0B"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DED8A87" w14:textId="77777777" w:rsidR="00000000" w:rsidRDefault="001826C1">
            <w:pPr>
              <w:jc w:val="right"/>
              <w:rPr>
                <w:rFonts w:eastAsia="Times New Roman"/>
                <w:sz w:val="20"/>
                <w:szCs w:val="20"/>
              </w:rPr>
            </w:pPr>
            <w:r>
              <w:rPr>
                <w:rFonts w:eastAsia="Times New Roman"/>
                <w:sz w:val="20"/>
                <w:szCs w:val="20"/>
              </w:rPr>
              <w:t>38,870,354</w:t>
            </w:r>
          </w:p>
        </w:tc>
        <w:tc>
          <w:tcPr>
            <w:tcW w:w="0" w:type="auto"/>
            <w:shd w:val="clear" w:color="auto" w:fill="FFFFFF"/>
            <w:vAlign w:val="bottom"/>
            <w:hideMark/>
          </w:tcPr>
          <w:p w14:paraId="0CE8316A" w14:textId="77777777" w:rsidR="00000000" w:rsidRDefault="001826C1">
            <w:pPr>
              <w:rPr>
                <w:rFonts w:eastAsia="Times New Roman"/>
                <w:sz w:val="20"/>
                <w:szCs w:val="20"/>
              </w:rPr>
            </w:pPr>
            <w:r>
              <w:rPr>
                <w:rFonts w:eastAsia="Times New Roman"/>
                <w:sz w:val="20"/>
                <w:szCs w:val="20"/>
              </w:rPr>
              <w:t> </w:t>
            </w:r>
          </w:p>
        </w:tc>
      </w:tr>
      <w:tr w:rsidR="001826C1" w14:paraId="64AFE351" w14:textId="77777777">
        <w:tc>
          <w:tcPr>
            <w:tcW w:w="0" w:type="auto"/>
            <w:shd w:val="clear" w:color="auto" w:fill="CCEEFF"/>
            <w:vAlign w:val="bottom"/>
            <w:hideMark/>
          </w:tcPr>
          <w:p w14:paraId="53364C4D" w14:textId="77777777" w:rsidR="00000000" w:rsidRDefault="001826C1">
            <w:pPr>
              <w:rPr>
                <w:rFonts w:eastAsia="Times New Roman"/>
                <w:sz w:val="20"/>
                <w:szCs w:val="20"/>
              </w:rPr>
            </w:pPr>
            <w:r>
              <w:rPr>
                <w:rFonts w:eastAsia="Times New Roman"/>
                <w:sz w:val="20"/>
                <w:szCs w:val="20"/>
              </w:rPr>
              <w:t>Net loss</w:t>
            </w:r>
          </w:p>
        </w:tc>
        <w:tc>
          <w:tcPr>
            <w:tcW w:w="0" w:type="auto"/>
            <w:shd w:val="clear" w:color="auto" w:fill="CCEEFF"/>
            <w:vAlign w:val="bottom"/>
            <w:hideMark/>
          </w:tcPr>
          <w:p w14:paraId="6519FF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60A14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17A80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D9739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741C8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78715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A0025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A85F22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A7D7C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0EA3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7993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BDCD9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91B2A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7FD4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F82FF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05557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0891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B525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6B04B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8A0F3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A70A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5A91F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9DA9B6" w14:textId="77777777" w:rsidR="00000000" w:rsidRDefault="001826C1">
            <w:pPr>
              <w:jc w:val="right"/>
              <w:rPr>
                <w:rFonts w:eastAsia="Times New Roman"/>
                <w:sz w:val="20"/>
                <w:szCs w:val="20"/>
              </w:rPr>
            </w:pPr>
            <w:r>
              <w:rPr>
                <w:rFonts w:eastAsia="Times New Roman"/>
                <w:sz w:val="20"/>
                <w:szCs w:val="20"/>
              </w:rPr>
              <w:t>(871,800</w:t>
            </w:r>
          </w:p>
        </w:tc>
        <w:tc>
          <w:tcPr>
            <w:tcW w:w="0" w:type="auto"/>
            <w:shd w:val="clear" w:color="auto" w:fill="CCEEFF"/>
            <w:vAlign w:val="bottom"/>
            <w:hideMark/>
          </w:tcPr>
          <w:p w14:paraId="348478D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91BD1A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45CF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477B8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15B23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7EA0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F27B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B42F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EF4AF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F453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2C0F5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54F45C" w14:textId="77777777" w:rsidR="00000000" w:rsidRDefault="001826C1">
            <w:pPr>
              <w:jc w:val="right"/>
              <w:rPr>
                <w:rFonts w:eastAsia="Times New Roman"/>
                <w:sz w:val="20"/>
                <w:szCs w:val="20"/>
              </w:rPr>
            </w:pPr>
            <w:r>
              <w:rPr>
                <w:rFonts w:eastAsia="Times New Roman"/>
                <w:sz w:val="20"/>
                <w:szCs w:val="20"/>
              </w:rPr>
              <w:t>(871,800</w:t>
            </w:r>
          </w:p>
        </w:tc>
        <w:tc>
          <w:tcPr>
            <w:tcW w:w="0" w:type="auto"/>
            <w:shd w:val="clear" w:color="auto" w:fill="CCEEFF"/>
            <w:vAlign w:val="bottom"/>
            <w:hideMark/>
          </w:tcPr>
          <w:p w14:paraId="062F6E87" w14:textId="77777777" w:rsidR="00000000" w:rsidRDefault="001826C1">
            <w:pPr>
              <w:rPr>
                <w:rFonts w:eastAsia="Times New Roman"/>
                <w:sz w:val="20"/>
                <w:szCs w:val="20"/>
              </w:rPr>
            </w:pPr>
            <w:r>
              <w:rPr>
                <w:rFonts w:eastAsia="Times New Roman"/>
                <w:sz w:val="20"/>
                <w:szCs w:val="20"/>
              </w:rPr>
              <w:t>)</w:t>
            </w:r>
          </w:p>
        </w:tc>
      </w:tr>
      <w:tr w:rsidR="001826C1" w14:paraId="39054177" w14:textId="77777777">
        <w:tc>
          <w:tcPr>
            <w:tcW w:w="0" w:type="auto"/>
            <w:shd w:val="clear" w:color="auto" w:fill="FFFFFF"/>
            <w:vAlign w:val="bottom"/>
            <w:hideMark/>
          </w:tcPr>
          <w:p w14:paraId="4AB0960F" w14:textId="77777777" w:rsidR="00000000" w:rsidRDefault="001826C1">
            <w:pPr>
              <w:rPr>
                <w:rFonts w:eastAsia="Times New Roman"/>
                <w:sz w:val="20"/>
                <w:szCs w:val="20"/>
              </w:rPr>
            </w:pPr>
            <w:r>
              <w:rPr>
                <w:rFonts w:eastAsia="Times New Roman"/>
                <w:sz w:val="20"/>
                <w:szCs w:val="20"/>
              </w:rPr>
              <w:t>Foreign currency translation adjustment</w:t>
            </w:r>
          </w:p>
        </w:tc>
        <w:tc>
          <w:tcPr>
            <w:tcW w:w="0" w:type="auto"/>
            <w:shd w:val="clear" w:color="auto" w:fill="FFFFFF"/>
            <w:vAlign w:val="bottom"/>
            <w:hideMark/>
          </w:tcPr>
          <w:p w14:paraId="73798C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FE96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F1EC5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10601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7966E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6DE8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752B3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3087A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4336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9A7AB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629E5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76049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E1C68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89556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9EF52A"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F3019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4C94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EE03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1B8FD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D6961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D7E34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3633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500AC7"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BA44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E170B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ADA3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6FC7FB" w14:textId="77777777" w:rsidR="00000000" w:rsidRDefault="001826C1">
            <w:pPr>
              <w:jc w:val="right"/>
              <w:rPr>
                <w:rFonts w:eastAsia="Times New Roman"/>
                <w:sz w:val="20"/>
                <w:szCs w:val="20"/>
              </w:rPr>
            </w:pPr>
            <w:r>
              <w:rPr>
                <w:rFonts w:eastAsia="Times New Roman"/>
                <w:sz w:val="20"/>
                <w:szCs w:val="20"/>
              </w:rPr>
              <w:t>578,054</w:t>
            </w:r>
          </w:p>
        </w:tc>
        <w:tc>
          <w:tcPr>
            <w:tcW w:w="0" w:type="auto"/>
            <w:shd w:val="clear" w:color="auto" w:fill="FFFFFF"/>
            <w:vAlign w:val="bottom"/>
            <w:hideMark/>
          </w:tcPr>
          <w:p w14:paraId="2857A9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17DBC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64D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D5340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F398C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E4E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E4A8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2C16E3" w14:textId="77777777" w:rsidR="00000000" w:rsidRDefault="001826C1">
            <w:pPr>
              <w:jc w:val="right"/>
              <w:rPr>
                <w:rFonts w:eastAsia="Times New Roman"/>
                <w:sz w:val="20"/>
                <w:szCs w:val="20"/>
              </w:rPr>
            </w:pPr>
            <w:r>
              <w:rPr>
                <w:rFonts w:eastAsia="Times New Roman"/>
                <w:sz w:val="20"/>
                <w:szCs w:val="20"/>
              </w:rPr>
              <w:t>578,054</w:t>
            </w:r>
          </w:p>
        </w:tc>
        <w:tc>
          <w:tcPr>
            <w:tcW w:w="0" w:type="auto"/>
            <w:shd w:val="clear" w:color="auto" w:fill="FFFFFF"/>
            <w:vAlign w:val="bottom"/>
            <w:hideMark/>
          </w:tcPr>
          <w:p w14:paraId="3176E393" w14:textId="77777777" w:rsidR="00000000" w:rsidRDefault="001826C1">
            <w:pPr>
              <w:rPr>
                <w:rFonts w:eastAsia="Times New Roman"/>
                <w:sz w:val="20"/>
                <w:szCs w:val="20"/>
              </w:rPr>
            </w:pPr>
            <w:r>
              <w:rPr>
                <w:rFonts w:eastAsia="Times New Roman"/>
                <w:sz w:val="20"/>
                <w:szCs w:val="20"/>
              </w:rPr>
              <w:t> </w:t>
            </w:r>
          </w:p>
        </w:tc>
      </w:tr>
      <w:tr w:rsidR="001826C1" w14:paraId="58FAB490" w14:textId="77777777">
        <w:tc>
          <w:tcPr>
            <w:tcW w:w="0" w:type="auto"/>
            <w:shd w:val="clear" w:color="auto" w:fill="CCEEFF"/>
            <w:vAlign w:val="bottom"/>
            <w:hideMark/>
          </w:tcPr>
          <w:p w14:paraId="19AD3B83" w14:textId="77777777" w:rsidR="00000000" w:rsidRDefault="001826C1">
            <w:pPr>
              <w:rPr>
                <w:rFonts w:eastAsia="Times New Roman"/>
                <w:sz w:val="20"/>
                <w:szCs w:val="20"/>
              </w:rPr>
            </w:pPr>
            <w:r>
              <w:rPr>
                <w:rFonts w:eastAsia="Times New Roman"/>
                <w:sz w:val="20"/>
                <w:szCs w:val="20"/>
              </w:rPr>
              <w:t>Issuance of stock under the equity incentive plan</w:t>
            </w:r>
          </w:p>
        </w:tc>
        <w:tc>
          <w:tcPr>
            <w:tcW w:w="0" w:type="auto"/>
            <w:shd w:val="clear" w:color="auto" w:fill="CCEEFF"/>
            <w:vAlign w:val="bottom"/>
            <w:hideMark/>
          </w:tcPr>
          <w:p w14:paraId="25D0DC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327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F28B23" w14:textId="77777777" w:rsidR="00000000" w:rsidRDefault="001826C1">
            <w:pPr>
              <w:jc w:val="right"/>
              <w:rPr>
                <w:rFonts w:eastAsia="Times New Roman"/>
                <w:sz w:val="20"/>
                <w:szCs w:val="20"/>
              </w:rPr>
            </w:pPr>
            <w:r>
              <w:rPr>
                <w:rFonts w:eastAsia="Times New Roman"/>
                <w:sz w:val="20"/>
                <w:szCs w:val="20"/>
              </w:rPr>
              <w:t>30,006</w:t>
            </w:r>
          </w:p>
        </w:tc>
        <w:tc>
          <w:tcPr>
            <w:tcW w:w="0" w:type="auto"/>
            <w:shd w:val="clear" w:color="auto" w:fill="CCEEFF"/>
            <w:vAlign w:val="bottom"/>
            <w:hideMark/>
          </w:tcPr>
          <w:p w14:paraId="52D0BAD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9CD77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03F3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A584A8" w14:textId="77777777" w:rsidR="00000000" w:rsidRDefault="001826C1">
            <w:pPr>
              <w:jc w:val="right"/>
              <w:rPr>
                <w:rFonts w:eastAsia="Times New Roman"/>
                <w:sz w:val="20"/>
                <w:szCs w:val="20"/>
              </w:rPr>
            </w:pPr>
            <w:r>
              <w:rPr>
                <w:rFonts w:eastAsia="Times New Roman"/>
                <w:sz w:val="20"/>
                <w:szCs w:val="20"/>
              </w:rPr>
              <w:t>30</w:t>
            </w:r>
          </w:p>
        </w:tc>
        <w:tc>
          <w:tcPr>
            <w:tcW w:w="0" w:type="auto"/>
            <w:shd w:val="clear" w:color="auto" w:fill="CCEEFF"/>
            <w:vAlign w:val="bottom"/>
            <w:hideMark/>
          </w:tcPr>
          <w:p w14:paraId="6ADF0A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AF53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1543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D4F505" w14:textId="77777777" w:rsidR="00000000" w:rsidRDefault="001826C1">
            <w:pPr>
              <w:jc w:val="right"/>
              <w:rPr>
                <w:rFonts w:eastAsia="Times New Roman"/>
                <w:sz w:val="20"/>
                <w:szCs w:val="20"/>
              </w:rPr>
            </w:pPr>
            <w:r>
              <w:rPr>
                <w:rFonts w:eastAsia="Times New Roman"/>
                <w:sz w:val="20"/>
                <w:szCs w:val="20"/>
              </w:rPr>
              <w:t>407,928</w:t>
            </w:r>
          </w:p>
        </w:tc>
        <w:tc>
          <w:tcPr>
            <w:tcW w:w="0" w:type="auto"/>
            <w:shd w:val="clear" w:color="auto" w:fill="CCEEFF"/>
            <w:vAlign w:val="bottom"/>
            <w:hideMark/>
          </w:tcPr>
          <w:p w14:paraId="3CC873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0F9F4B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2E70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96B64D" w14:textId="77777777" w:rsidR="00000000" w:rsidRDefault="001826C1">
            <w:pPr>
              <w:jc w:val="right"/>
              <w:rPr>
                <w:rFonts w:eastAsia="Times New Roman"/>
                <w:sz w:val="20"/>
                <w:szCs w:val="20"/>
              </w:rPr>
            </w:pPr>
            <w:r>
              <w:rPr>
                <w:rFonts w:eastAsia="Times New Roman"/>
                <w:sz w:val="20"/>
                <w:szCs w:val="20"/>
              </w:rPr>
              <w:t>408</w:t>
            </w:r>
          </w:p>
        </w:tc>
        <w:tc>
          <w:tcPr>
            <w:tcW w:w="0" w:type="auto"/>
            <w:shd w:val="clear" w:color="auto" w:fill="CCEEFF"/>
            <w:vAlign w:val="bottom"/>
            <w:hideMark/>
          </w:tcPr>
          <w:p w14:paraId="40DC85A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6FF73A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0421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8A3F01" w14:textId="77777777" w:rsidR="00000000" w:rsidRDefault="001826C1">
            <w:pPr>
              <w:jc w:val="right"/>
              <w:rPr>
                <w:rFonts w:eastAsia="Times New Roman"/>
                <w:sz w:val="20"/>
                <w:szCs w:val="20"/>
              </w:rPr>
            </w:pPr>
            <w:r>
              <w:rPr>
                <w:rFonts w:eastAsia="Times New Roman"/>
                <w:sz w:val="20"/>
                <w:szCs w:val="20"/>
              </w:rPr>
              <w:t>(438</w:t>
            </w:r>
          </w:p>
        </w:tc>
        <w:tc>
          <w:tcPr>
            <w:tcW w:w="0" w:type="auto"/>
            <w:shd w:val="clear" w:color="auto" w:fill="CCEEFF"/>
            <w:vAlign w:val="bottom"/>
            <w:hideMark/>
          </w:tcPr>
          <w:p w14:paraId="409FE168"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09716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4D675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81C6B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8B287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FD36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C74C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B8665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73AB0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9703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7F7D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10036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060A0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EA5D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15050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06FC17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A5D510A" w14:textId="77777777" w:rsidR="00000000" w:rsidRDefault="001826C1">
            <w:pPr>
              <w:rPr>
                <w:rFonts w:eastAsia="Times New Roman"/>
                <w:sz w:val="20"/>
                <w:szCs w:val="20"/>
              </w:rPr>
            </w:pPr>
            <w:r>
              <w:rPr>
                <w:rFonts w:eastAsia="Times New Roman"/>
                <w:sz w:val="20"/>
                <w:szCs w:val="20"/>
              </w:rPr>
              <w:t> </w:t>
            </w:r>
          </w:p>
        </w:tc>
      </w:tr>
      <w:tr w:rsidR="001826C1" w14:paraId="7DCED76F" w14:textId="77777777">
        <w:tc>
          <w:tcPr>
            <w:tcW w:w="0" w:type="auto"/>
            <w:shd w:val="clear" w:color="auto" w:fill="FFFFFF"/>
            <w:vAlign w:val="bottom"/>
            <w:hideMark/>
          </w:tcPr>
          <w:p w14:paraId="24EDE08A" w14:textId="77777777" w:rsidR="00000000" w:rsidRDefault="001826C1">
            <w:pPr>
              <w:rPr>
                <w:rFonts w:eastAsia="Times New Roman"/>
                <w:sz w:val="20"/>
                <w:szCs w:val="20"/>
              </w:rPr>
            </w:pPr>
            <w:r>
              <w:rPr>
                <w:rFonts w:eastAsia="Times New Roman"/>
                <w:sz w:val="20"/>
                <w:szCs w:val="20"/>
              </w:rPr>
              <w:t>Issuance of preferred stock, net of fees and expenses</w:t>
            </w:r>
          </w:p>
        </w:tc>
        <w:tc>
          <w:tcPr>
            <w:tcW w:w="0" w:type="auto"/>
            <w:shd w:val="clear" w:color="auto" w:fill="FFFFFF"/>
            <w:vAlign w:val="bottom"/>
            <w:hideMark/>
          </w:tcPr>
          <w:p w14:paraId="54CBDB0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9DC3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61F54B" w14:textId="77777777" w:rsidR="00000000" w:rsidRDefault="001826C1">
            <w:pPr>
              <w:jc w:val="right"/>
              <w:rPr>
                <w:rFonts w:eastAsia="Times New Roman"/>
                <w:sz w:val="20"/>
                <w:szCs w:val="20"/>
              </w:rPr>
            </w:pPr>
            <w:r>
              <w:rPr>
                <w:rFonts w:eastAsia="Times New Roman"/>
                <w:sz w:val="20"/>
                <w:szCs w:val="20"/>
              </w:rPr>
              <w:t>373,030</w:t>
            </w:r>
          </w:p>
        </w:tc>
        <w:tc>
          <w:tcPr>
            <w:tcW w:w="0" w:type="auto"/>
            <w:shd w:val="clear" w:color="auto" w:fill="FFFFFF"/>
            <w:vAlign w:val="bottom"/>
            <w:hideMark/>
          </w:tcPr>
          <w:p w14:paraId="6F0C18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1055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9F5B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93E495" w14:textId="77777777" w:rsidR="00000000" w:rsidRDefault="001826C1">
            <w:pPr>
              <w:jc w:val="right"/>
              <w:rPr>
                <w:rFonts w:eastAsia="Times New Roman"/>
                <w:sz w:val="20"/>
                <w:szCs w:val="20"/>
              </w:rPr>
            </w:pPr>
            <w:r>
              <w:rPr>
                <w:rFonts w:eastAsia="Times New Roman"/>
                <w:sz w:val="20"/>
                <w:szCs w:val="20"/>
              </w:rPr>
              <w:t>373</w:t>
            </w:r>
          </w:p>
        </w:tc>
        <w:tc>
          <w:tcPr>
            <w:tcW w:w="0" w:type="auto"/>
            <w:shd w:val="clear" w:color="auto" w:fill="FFFFFF"/>
            <w:vAlign w:val="bottom"/>
            <w:hideMark/>
          </w:tcPr>
          <w:p w14:paraId="3BB503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A64156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95F1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682AB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A3B91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53B3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101D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42D8A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87DE85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47268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9CCE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AF8699" w14:textId="77777777" w:rsidR="00000000" w:rsidRDefault="001826C1">
            <w:pPr>
              <w:jc w:val="right"/>
              <w:rPr>
                <w:rFonts w:eastAsia="Times New Roman"/>
                <w:sz w:val="20"/>
                <w:szCs w:val="20"/>
              </w:rPr>
            </w:pPr>
            <w:r>
              <w:rPr>
                <w:rFonts w:eastAsia="Times New Roman"/>
                <w:sz w:val="20"/>
                <w:szCs w:val="20"/>
              </w:rPr>
              <w:t>9,585,769</w:t>
            </w:r>
          </w:p>
        </w:tc>
        <w:tc>
          <w:tcPr>
            <w:tcW w:w="0" w:type="auto"/>
            <w:shd w:val="clear" w:color="auto" w:fill="FFFFFF"/>
            <w:vAlign w:val="bottom"/>
            <w:hideMark/>
          </w:tcPr>
          <w:p w14:paraId="03CB777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B21E6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45A5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F35C3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C2456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2408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6583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84603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46AF9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015B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165B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BC436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F726B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9330B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BFE7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275E24" w14:textId="77777777" w:rsidR="00000000" w:rsidRDefault="001826C1">
            <w:pPr>
              <w:jc w:val="right"/>
              <w:rPr>
                <w:rFonts w:eastAsia="Times New Roman"/>
                <w:sz w:val="20"/>
                <w:szCs w:val="20"/>
              </w:rPr>
            </w:pPr>
            <w:r>
              <w:rPr>
                <w:rFonts w:eastAsia="Times New Roman"/>
                <w:sz w:val="20"/>
                <w:szCs w:val="20"/>
              </w:rPr>
              <w:t>9,586,142</w:t>
            </w:r>
          </w:p>
        </w:tc>
        <w:tc>
          <w:tcPr>
            <w:tcW w:w="0" w:type="auto"/>
            <w:shd w:val="clear" w:color="auto" w:fill="FFFFFF"/>
            <w:vAlign w:val="bottom"/>
            <w:hideMark/>
          </w:tcPr>
          <w:p w14:paraId="4A536ECF" w14:textId="77777777" w:rsidR="00000000" w:rsidRDefault="001826C1">
            <w:pPr>
              <w:rPr>
                <w:rFonts w:eastAsia="Times New Roman"/>
                <w:sz w:val="20"/>
                <w:szCs w:val="20"/>
              </w:rPr>
            </w:pPr>
            <w:r>
              <w:rPr>
                <w:rFonts w:eastAsia="Times New Roman"/>
                <w:sz w:val="20"/>
                <w:szCs w:val="20"/>
              </w:rPr>
              <w:t> </w:t>
            </w:r>
          </w:p>
        </w:tc>
      </w:tr>
      <w:tr w:rsidR="001826C1" w14:paraId="71857D46" w14:textId="77777777">
        <w:tc>
          <w:tcPr>
            <w:tcW w:w="0" w:type="auto"/>
            <w:shd w:val="clear" w:color="auto" w:fill="CCEEFF"/>
            <w:vAlign w:val="bottom"/>
            <w:hideMark/>
          </w:tcPr>
          <w:p w14:paraId="032BAE2C" w14:textId="77777777" w:rsidR="00000000" w:rsidRDefault="001826C1">
            <w:pPr>
              <w:rPr>
                <w:rFonts w:eastAsia="Times New Roman"/>
                <w:sz w:val="20"/>
                <w:szCs w:val="20"/>
              </w:rPr>
            </w:pPr>
            <w:r>
              <w:rPr>
                <w:rFonts w:eastAsia="Times New Roman"/>
                <w:sz w:val="20"/>
                <w:szCs w:val="20"/>
              </w:rPr>
              <w:t xml:space="preserve">Stock-based </w:t>
            </w:r>
            <w:r>
              <w:rPr>
                <w:rFonts w:eastAsia="Times New Roman"/>
                <w:sz w:val="20"/>
                <w:szCs w:val="20"/>
              </w:rPr>
              <w:t>compensation, net of cash settlements</w:t>
            </w:r>
          </w:p>
        </w:tc>
        <w:tc>
          <w:tcPr>
            <w:tcW w:w="0" w:type="auto"/>
            <w:shd w:val="clear" w:color="auto" w:fill="CCEEFF"/>
            <w:vAlign w:val="bottom"/>
            <w:hideMark/>
          </w:tcPr>
          <w:p w14:paraId="3DC570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74FB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CF187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7E9FCF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9AA65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EC0E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01AFD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7C36FE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A885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08DE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A748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D6488C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E0F7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8B05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5AB8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EA1A81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B968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5DB4B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E634A7" w14:textId="77777777" w:rsidR="00000000" w:rsidRDefault="001826C1">
            <w:pPr>
              <w:jc w:val="right"/>
              <w:rPr>
                <w:rFonts w:eastAsia="Times New Roman"/>
                <w:sz w:val="20"/>
                <w:szCs w:val="20"/>
              </w:rPr>
            </w:pPr>
            <w:r>
              <w:rPr>
                <w:rFonts w:eastAsia="Times New Roman"/>
                <w:sz w:val="20"/>
                <w:szCs w:val="20"/>
              </w:rPr>
              <w:t>1,920,533</w:t>
            </w:r>
          </w:p>
        </w:tc>
        <w:tc>
          <w:tcPr>
            <w:tcW w:w="0" w:type="auto"/>
            <w:shd w:val="clear" w:color="auto" w:fill="CCEEFF"/>
            <w:vAlign w:val="bottom"/>
            <w:hideMark/>
          </w:tcPr>
          <w:p w14:paraId="227EC1A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845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FB191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FEBA8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045F2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7BD4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9FA34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47965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F6030D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EBE1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102A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44641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FC068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68509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E7D7E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5314E8" w14:textId="77777777" w:rsidR="00000000" w:rsidRDefault="001826C1">
            <w:pPr>
              <w:jc w:val="right"/>
              <w:rPr>
                <w:rFonts w:eastAsia="Times New Roman"/>
                <w:sz w:val="20"/>
                <w:szCs w:val="20"/>
              </w:rPr>
            </w:pPr>
            <w:r>
              <w:rPr>
                <w:rFonts w:eastAsia="Times New Roman"/>
                <w:sz w:val="20"/>
                <w:szCs w:val="20"/>
              </w:rPr>
              <w:t>1,920,533</w:t>
            </w:r>
          </w:p>
        </w:tc>
        <w:tc>
          <w:tcPr>
            <w:tcW w:w="0" w:type="auto"/>
            <w:shd w:val="clear" w:color="auto" w:fill="CCEEFF"/>
            <w:vAlign w:val="bottom"/>
            <w:hideMark/>
          </w:tcPr>
          <w:p w14:paraId="6E55ED82" w14:textId="77777777" w:rsidR="00000000" w:rsidRDefault="001826C1">
            <w:pPr>
              <w:rPr>
                <w:rFonts w:eastAsia="Times New Roman"/>
                <w:sz w:val="20"/>
                <w:szCs w:val="20"/>
              </w:rPr>
            </w:pPr>
            <w:r>
              <w:rPr>
                <w:rFonts w:eastAsia="Times New Roman"/>
                <w:sz w:val="20"/>
                <w:szCs w:val="20"/>
              </w:rPr>
              <w:t> </w:t>
            </w:r>
          </w:p>
        </w:tc>
      </w:tr>
      <w:tr w:rsidR="001826C1" w14:paraId="68017562" w14:textId="77777777">
        <w:tc>
          <w:tcPr>
            <w:tcW w:w="0" w:type="auto"/>
            <w:shd w:val="clear" w:color="auto" w:fill="FFFFFF"/>
            <w:vAlign w:val="bottom"/>
            <w:hideMark/>
          </w:tcPr>
          <w:p w14:paraId="2923D9BF" w14:textId="77777777" w:rsidR="00000000" w:rsidRDefault="001826C1">
            <w:pPr>
              <w:rPr>
                <w:rFonts w:eastAsia="Times New Roman"/>
                <w:sz w:val="20"/>
                <w:szCs w:val="20"/>
              </w:rPr>
            </w:pPr>
            <w:r>
              <w:rPr>
                <w:rFonts w:eastAsia="Times New Roman"/>
                <w:sz w:val="20"/>
                <w:szCs w:val="20"/>
              </w:rPr>
              <w:t>Tax withholding obligations on stock issued to employees</w:t>
            </w:r>
          </w:p>
        </w:tc>
        <w:tc>
          <w:tcPr>
            <w:tcW w:w="0" w:type="auto"/>
            <w:shd w:val="clear" w:color="auto" w:fill="FFFFFF"/>
            <w:vAlign w:val="bottom"/>
            <w:hideMark/>
          </w:tcPr>
          <w:p w14:paraId="5F653CD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DBF6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95D3C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CEA63B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FF54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5756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9AA81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12EC8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BBA5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D4A8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58C53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0921E2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AA1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2C80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3CB06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047682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72B39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60C6D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B983F9" w14:textId="77777777" w:rsidR="00000000" w:rsidRDefault="001826C1">
            <w:pPr>
              <w:jc w:val="right"/>
              <w:rPr>
                <w:rFonts w:eastAsia="Times New Roman"/>
                <w:sz w:val="20"/>
                <w:szCs w:val="20"/>
              </w:rPr>
            </w:pPr>
            <w:r>
              <w:rPr>
                <w:rFonts w:eastAsia="Times New Roman"/>
                <w:sz w:val="20"/>
                <w:szCs w:val="20"/>
              </w:rPr>
              <w:t>(858,804</w:t>
            </w:r>
          </w:p>
        </w:tc>
        <w:tc>
          <w:tcPr>
            <w:tcW w:w="0" w:type="auto"/>
            <w:shd w:val="clear" w:color="auto" w:fill="FFFFFF"/>
            <w:vAlign w:val="bottom"/>
            <w:hideMark/>
          </w:tcPr>
          <w:p w14:paraId="500894B7"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743DFF3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7550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A1F99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4F0E0F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F20AF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9B6CE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AE15E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58B81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FCC6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69B80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C53377"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D5437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D080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DFAB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C66CBC" w14:textId="77777777" w:rsidR="00000000" w:rsidRDefault="001826C1">
            <w:pPr>
              <w:jc w:val="right"/>
              <w:rPr>
                <w:rFonts w:eastAsia="Times New Roman"/>
                <w:sz w:val="20"/>
                <w:szCs w:val="20"/>
              </w:rPr>
            </w:pPr>
            <w:r>
              <w:rPr>
                <w:rFonts w:eastAsia="Times New Roman"/>
                <w:sz w:val="20"/>
                <w:szCs w:val="20"/>
              </w:rPr>
              <w:t>(858,804</w:t>
            </w:r>
          </w:p>
        </w:tc>
        <w:tc>
          <w:tcPr>
            <w:tcW w:w="0" w:type="auto"/>
            <w:shd w:val="clear" w:color="auto" w:fill="FFFFFF"/>
            <w:vAlign w:val="bottom"/>
            <w:hideMark/>
          </w:tcPr>
          <w:p w14:paraId="354660EF" w14:textId="77777777" w:rsidR="00000000" w:rsidRDefault="001826C1">
            <w:pPr>
              <w:rPr>
                <w:rFonts w:eastAsia="Times New Roman"/>
                <w:sz w:val="20"/>
                <w:szCs w:val="20"/>
              </w:rPr>
            </w:pPr>
            <w:r>
              <w:rPr>
                <w:rFonts w:eastAsia="Times New Roman"/>
                <w:sz w:val="20"/>
                <w:szCs w:val="20"/>
              </w:rPr>
              <w:t>)</w:t>
            </w:r>
          </w:p>
        </w:tc>
      </w:tr>
      <w:tr w:rsidR="001826C1" w14:paraId="4C49FF30" w14:textId="77777777">
        <w:tc>
          <w:tcPr>
            <w:tcW w:w="0" w:type="auto"/>
            <w:shd w:val="clear" w:color="auto" w:fill="CCEEFF"/>
            <w:vAlign w:val="bottom"/>
            <w:hideMark/>
          </w:tcPr>
          <w:p w14:paraId="1B011229" w14:textId="77777777" w:rsidR="00000000" w:rsidRDefault="001826C1">
            <w:pPr>
              <w:rPr>
                <w:rFonts w:eastAsia="Times New Roman"/>
                <w:sz w:val="20"/>
                <w:szCs w:val="20"/>
              </w:rPr>
            </w:pPr>
            <w:r>
              <w:rPr>
                <w:rFonts w:eastAsia="Times New Roman"/>
                <w:sz w:val="20"/>
                <w:szCs w:val="20"/>
              </w:rPr>
              <w:t>Preferred stock dividends</w:t>
            </w:r>
          </w:p>
        </w:tc>
        <w:tc>
          <w:tcPr>
            <w:tcW w:w="0" w:type="auto"/>
            <w:shd w:val="clear" w:color="auto" w:fill="CCEEFF"/>
            <w:vAlign w:val="bottom"/>
            <w:hideMark/>
          </w:tcPr>
          <w:p w14:paraId="1322756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BFEC75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31FCB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0B7F2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F086F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5772D3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0D7AC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82B22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DDCAD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CBAA5D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F78205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E7E56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CFB18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DD9F52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D9F086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91312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A7FEA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6E1DBA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B5A243" w14:textId="77777777" w:rsidR="00000000" w:rsidRDefault="001826C1">
            <w:pPr>
              <w:jc w:val="right"/>
              <w:rPr>
                <w:rFonts w:eastAsia="Times New Roman"/>
                <w:sz w:val="20"/>
                <w:szCs w:val="20"/>
              </w:rPr>
            </w:pPr>
            <w:r>
              <w:rPr>
                <w:rFonts w:eastAsia="Times New Roman"/>
                <w:sz w:val="20"/>
                <w:szCs w:val="20"/>
              </w:rPr>
              <w:t>(6,386,154</w:t>
            </w:r>
          </w:p>
        </w:tc>
        <w:tc>
          <w:tcPr>
            <w:tcW w:w="0" w:type="auto"/>
            <w:shd w:val="clear" w:color="auto" w:fill="CCEEFF"/>
            <w:vAlign w:val="bottom"/>
            <w:hideMark/>
          </w:tcPr>
          <w:p w14:paraId="401ECE83"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8E5603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2A8012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412EC7"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9AC5A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1B311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36EC9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2011CA"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957222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760E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DE7C5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55662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A3BED3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08EA3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0D3A0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B774141" w14:textId="77777777" w:rsidR="00000000" w:rsidRDefault="001826C1">
            <w:pPr>
              <w:jc w:val="right"/>
              <w:rPr>
                <w:rFonts w:eastAsia="Times New Roman"/>
                <w:sz w:val="20"/>
                <w:szCs w:val="20"/>
              </w:rPr>
            </w:pPr>
            <w:r>
              <w:rPr>
                <w:rFonts w:eastAsia="Times New Roman"/>
                <w:sz w:val="20"/>
                <w:szCs w:val="20"/>
              </w:rPr>
              <w:t>(6,386,154</w:t>
            </w:r>
          </w:p>
        </w:tc>
        <w:tc>
          <w:tcPr>
            <w:tcW w:w="0" w:type="auto"/>
            <w:shd w:val="clear" w:color="auto" w:fill="CCEEFF"/>
            <w:vAlign w:val="bottom"/>
            <w:hideMark/>
          </w:tcPr>
          <w:p w14:paraId="290F5559" w14:textId="77777777" w:rsidR="00000000" w:rsidRDefault="001826C1">
            <w:pPr>
              <w:rPr>
                <w:rFonts w:eastAsia="Times New Roman"/>
                <w:sz w:val="20"/>
                <w:szCs w:val="20"/>
              </w:rPr>
            </w:pPr>
            <w:r>
              <w:rPr>
                <w:rFonts w:eastAsia="Times New Roman"/>
                <w:sz w:val="20"/>
                <w:szCs w:val="20"/>
              </w:rPr>
              <w:t>)</w:t>
            </w:r>
          </w:p>
        </w:tc>
      </w:tr>
      <w:tr w:rsidR="001826C1" w14:paraId="0F4AA8A2" w14:textId="77777777">
        <w:tc>
          <w:tcPr>
            <w:tcW w:w="0" w:type="auto"/>
            <w:shd w:val="clear" w:color="auto" w:fill="FFFFFF"/>
            <w:vAlign w:val="bottom"/>
            <w:hideMark/>
          </w:tcPr>
          <w:p w14:paraId="4DCFB5B2" w14:textId="77777777" w:rsidR="00000000" w:rsidRDefault="001826C1">
            <w:pPr>
              <w:rPr>
                <w:rFonts w:eastAsia="Times New Roman"/>
                <w:sz w:val="20"/>
                <w:szCs w:val="20"/>
              </w:rPr>
            </w:pPr>
            <w:r>
              <w:rPr>
                <w:rFonts w:eastAsia="Times New Roman"/>
                <w:sz w:val="20"/>
                <w:szCs w:val="20"/>
              </w:rPr>
              <w:t>Balance - December 31, 2019</w:t>
            </w:r>
          </w:p>
        </w:tc>
        <w:tc>
          <w:tcPr>
            <w:tcW w:w="0" w:type="auto"/>
            <w:shd w:val="clear" w:color="auto" w:fill="FFFFFF"/>
            <w:vAlign w:val="bottom"/>
            <w:hideMark/>
          </w:tcPr>
          <w:p w14:paraId="347A3EA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0C2C0CB"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A6B1F0F" w14:textId="77777777" w:rsidR="00000000" w:rsidRDefault="001826C1">
            <w:pPr>
              <w:jc w:val="right"/>
              <w:rPr>
                <w:rFonts w:eastAsia="Times New Roman"/>
                <w:sz w:val="20"/>
                <w:szCs w:val="20"/>
              </w:rPr>
            </w:pPr>
            <w:r>
              <w:rPr>
                <w:rFonts w:eastAsia="Times New Roman"/>
                <w:sz w:val="20"/>
                <w:szCs w:val="20"/>
              </w:rPr>
              <w:t>2,539,325</w:t>
            </w:r>
          </w:p>
        </w:tc>
        <w:tc>
          <w:tcPr>
            <w:tcW w:w="0" w:type="auto"/>
            <w:shd w:val="clear" w:color="auto" w:fill="FFFFFF"/>
            <w:vAlign w:val="bottom"/>
            <w:hideMark/>
          </w:tcPr>
          <w:p w14:paraId="5A9371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6A507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A9E0C7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C51419E" w14:textId="77777777" w:rsidR="00000000" w:rsidRDefault="001826C1">
            <w:pPr>
              <w:jc w:val="right"/>
              <w:rPr>
                <w:rFonts w:eastAsia="Times New Roman"/>
                <w:sz w:val="20"/>
                <w:szCs w:val="20"/>
              </w:rPr>
            </w:pPr>
            <w:r>
              <w:rPr>
                <w:rFonts w:eastAsia="Times New Roman"/>
                <w:sz w:val="20"/>
                <w:szCs w:val="20"/>
              </w:rPr>
              <w:t>2,539</w:t>
            </w:r>
          </w:p>
        </w:tc>
        <w:tc>
          <w:tcPr>
            <w:tcW w:w="0" w:type="auto"/>
            <w:shd w:val="clear" w:color="auto" w:fill="FFFFFF"/>
            <w:vAlign w:val="bottom"/>
            <w:hideMark/>
          </w:tcPr>
          <w:p w14:paraId="344F251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4DA86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D42969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E970B06" w14:textId="77777777" w:rsidR="00000000" w:rsidRDefault="001826C1">
            <w:pPr>
              <w:jc w:val="right"/>
              <w:rPr>
                <w:rFonts w:eastAsia="Times New Roman"/>
                <w:sz w:val="20"/>
                <w:szCs w:val="20"/>
              </w:rPr>
            </w:pPr>
            <w:r>
              <w:rPr>
                <w:rFonts w:eastAsia="Times New Roman"/>
                <w:sz w:val="20"/>
                <w:szCs w:val="20"/>
              </w:rPr>
              <w:t>12,978,485</w:t>
            </w:r>
          </w:p>
        </w:tc>
        <w:tc>
          <w:tcPr>
            <w:tcW w:w="0" w:type="auto"/>
            <w:shd w:val="clear" w:color="auto" w:fill="FFFFFF"/>
            <w:vAlign w:val="bottom"/>
            <w:hideMark/>
          </w:tcPr>
          <w:p w14:paraId="538EB08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82D7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E9463E7"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DC96791" w14:textId="77777777" w:rsidR="00000000" w:rsidRDefault="001826C1">
            <w:pPr>
              <w:jc w:val="right"/>
              <w:rPr>
                <w:rFonts w:eastAsia="Times New Roman"/>
                <w:sz w:val="20"/>
                <w:szCs w:val="20"/>
              </w:rPr>
            </w:pPr>
            <w:r>
              <w:rPr>
                <w:rFonts w:eastAsia="Times New Roman"/>
                <w:sz w:val="20"/>
                <w:szCs w:val="20"/>
              </w:rPr>
              <w:t>12,979</w:t>
            </w:r>
          </w:p>
        </w:tc>
        <w:tc>
          <w:tcPr>
            <w:tcW w:w="0" w:type="auto"/>
            <w:shd w:val="clear" w:color="auto" w:fill="FFFFFF"/>
            <w:vAlign w:val="bottom"/>
            <w:hideMark/>
          </w:tcPr>
          <w:p w14:paraId="2296E6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1807B2"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EEBE1E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A4705A7" w14:textId="77777777" w:rsidR="00000000" w:rsidRDefault="001826C1">
            <w:pPr>
              <w:jc w:val="right"/>
              <w:rPr>
                <w:rFonts w:eastAsia="Times New Roman"/>
                <w:sz w:val="20"/>
                <w:szCs w:val="20"/>
              </w:rPr>
            </w:pPr>
            <w:r>
              <w:rPr>
                <w:rFonts w:eastAsia="Times New Roman"/>
                <w:sz w:val="20"/>
                <w:szCs w:val="20"/>
              </w:rPr>
              <w:t>69,403,366</w:t>
            </w:r>
          </w:p>
        </w:tc>
        <w:tc>
          <w:tcPr>
            <w:tcW w:w="0" w:type="auto"/>
            <w:shd w:val="clear" w:color="auto" w:fill="FFFFFF"/>
            <w:vAlign w:val="bottom"/>
            <w:hideMark/>
          </w:tcPr>
          <w:p w14:paraId="11B0DF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7E6A8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1C90872"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855C39F" w14:textId="77777777" w:rsidR="00000000" w:rsidRDefault="001826C1">
            <w:pPr>
              <w:jc w:val="right"/>
              <w:rPr>
                <w:rFonts w:eastAsia="Times New Roman"/>
                <w:sz w:val="20"/>
                <w:szCs w:val="20"/>
              </w:rPr>
            </w:pPr>
            <w:r>
              <w:rPr>
                <w:rFonts w:eastAsia="Times New Roman"/>
                <w:sz w:val="20"/>
                <w:szCs w:val="20"/>
              </w:rPr>
              <w:t>(25,075,545</w:t>
            </w:r>
          </w:p>
        </w:tc>
        <w:tc>
          <w:tcPr>
            <w:tcW w:w="0" w:type="auto"/>
            <w:shd w:val="clear" w:color="auto" w:fill="FFFFFF"/>
            <w:vAlign w:val="bottom"/>
            <w:hideMark/>
          </w:tcPr>
          <w:p w14:paraId="3D3E8C2B"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3942C8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67E22C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007C717" w14:textId="77777777" w:rsidR="00000000" w:rsidRDefault="001826C1">
            <w:pPr>
              <w:jc w:val="right"/>
              <w:rPr>
                <w:rFonts w:eastAsia="Times New Roman"/>
                <w:sz w:val="20"/>
                <w:szCs w:val="20"/>
              </w:rPr>
            </w:pPr>
            <w:r>
              <w:rPr>
                <w:rFonts w:eastAsia="Times New Roman"/>
                <w:sz w:val="20"/>
                <w:szCs w:val="20"/>
              </w:rPr>
              <w:t>(843,014</w:t>
            </w:r>
          </w:p>
        </w:tc>
        <w:tc>
          <w:tcPr>
            <w:tcW w:w="0" w:type="auto"/>
            <w:shd w:val="clear" w:color="auto" w:fill="FFFFFF"/>
            <w:vAlign w:val="bottom"/>
            <w:hideMark/>
          </w:tcPr>
          <w:p w14:paraId="356D7EB2"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4A23520"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DDCEAE3"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F2BCD46" w14:textId="77777777" w:rsidR="00000000" w:rsidRDefault="001826C1">
            <w:pPr>
              <w:jc w:val="right"/>
              <w:rPr>
                <w:rFonts w:eastAsia="Times New Roman"/>
                <w:sz w:val="20"/>
                <w:szCs w:val="20"/>
              </w:rPr>
            </w:pPr>
            <w:r>
              <w:rPr>
                <w:rFonts w:eastAsia="Times New Roman"/>
                <w:sz w:val="20"/>
                <w:szCs w:val="20"/>
              </w:rPr>
              <w:t>(662,000</w:t>
            </w:r>
          </w:p>
        </w:tc>
        <w:tc>
          <w:tcPr>
            <w:tcW w:w="0" w:type="auto"/>
            <w:shd w:val="clear" w:color="auto" w:fill="FFFFFF"/>
            <w:vAlign w:val="bottom"/>
            <w:hideMark/>
          </w:tcPr>
          <w:p w14:paraId="0E6EC2DC"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A362FE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BD7F9A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79020A7" w14:textId="77777777" w:rsidR="00000000" w:rsidRDefault="001826C1">
            <w:pPr>
              <w:jc w:val="right"/>
              <w:rPr>
                <w:rFonts w:eastAsia="Times New Roman"/>
                <w:sz w:val="20"/>
                <w:szCs w:val="20"/>
              </w:rPr>
            </w:pPr>
            <w:r>
              <w:rPr>
                <w:rFonts w:eastAsia="Times New Roman"/>
                <w:sz w:val="20"/>
                <w:szCs w:val="20"/>
              </w:rPr>
              <w:t>42,838,325</w:t>
            </w:r>
          </w:p>
        </w:tc>
        <w:tc>
          <w:tcPr>
            <w:tcW w:w="0" w:type="auto"/>
            <w:shd w:val="clear" w:color="auto" w:fill="FFFFFF"/>
            <w:vAlign w:val="bottom"/>
            <w:hideMark/>
          </w:tcPr>
          <w:p w14:paraId="7F4182FA" w14:textId="77777777" w:rsidR="00000000" w:rsidRDefault="001826C1">
            <w:pPr>
              <w:rPr>
                <w:rFonts w:eastAsia="Times New Roman"/>
                <w:sz w:val="20"/>
                <w:szCs w:val="20"/>
              </w:rPr>
            </w:pPr>
            <w:r>
              <w:rPr>
                <w:rFonts w:eastAsia="Times New Roman"/>
                <w:sz w:val="20"/>
                <w:szCs w:val="20"/>
              </w:rPr>
              <w:t> </w:t>
            </w:r>
          </w:p>
        </w:tc>
      </w:tr>
    </w:tbl>
    <w:p w14:paraId="3E341369" w14:textId="77777777" w:rsidR="00000000" w:rsidRDefault="001826C1">
      <w:pPr>
        <w:pStyle w:val="a3"/>
        <w:spacing w:before="0" w:beforeAutospacing="0" w:after="0" w:afterAutospacing="0"/>
        <w:rPr>
          <w:sz w:val="20"/>
          <w:szCs w:val="20"/>
        </w:rPr>
      </w:pPr>
      <w:r>
        <w:rPr>
          <w:sz w:val="20"/>
          <w:szCs w:val="20"/>
        </w:rPr>
        <w:t> </w:t>
      </w:r>
    </w:p>
    <w:p w14:paraId="6ED984B3" w14:textId="77777777" w:rsidR="00000000" w:rsidRDefault="001826C1">
      <w:pPr>
        <w:pStyle w:val="a3"/>
        <w:spacing w:before="0" w:beforeAutospacing="0" w:after="0" w:afterAutospacing="0"/>
        <w:rPr>
          <w:sz w:val="20"/>
          <w:szCs w:val="20"/>
        </w:rPr>
      </w:pPr>
      <w:r>
        <w:rPr>
          <w:sz w:val="20"/>
          <w:szCs w:val="20"/>
        </w:rPr>
        <w:t xml:space="preserve">For </w:t>
      </w:r>
      <w:r>
        <w:rPr>
          <w:sz w:val="20"/>
          <w:szCs w:val="20"/>
        </w:rPr>
        <w:t>all periods presented, the preferred stock dividends were paid monthly at the rate of $2.75 per share per annum.</w:t>
      </w:r>
    </w:p>
    <w:p w14:paraId="29C4B3E6" w14:textId="77777777" w:rsidR="00000000" w:rsidRDefault="001826C1">
      <w:pPr>
        <w:pStyle w:val="a3"/>
        <w:spacing w:before="0" w:beforeAutospacing="0" w:after="0" w:afterAutospacing="0"/>
        <w:rPr>
          <w:sz w:val="20"/>
          <w:szCs w:val="20"/>
        </w:rPr>
      </w:pPr>
      <w:r>
        <w:rPr>
          <w:sz w:val="20"/>
          <w:szCs w:val="20"/>
        </w:rPr>
        <w:t> </w:t>
      </w:r>
    </w:p>
    <w:p w14:paraId="7A36558B" w14:textId="77777777" w:rsidR="00000000" w:rsidRDefault="001826C1">
      <w:pPr>
        <w:pStyle w:val="a3"/>
        <w:spacing w:before="0" w:beforeAutospacing="0" w:after="0" w:afterAutospacing="0"/>
        <w:rPr>
          <w:sz w:val="20"/>
          <w:szCs w:val="20"/>
        </w:rPr>
      </w:pPr>
      <w:r>
        <w:rPr>
          <w:sz w:val="20"/>
          <w:szCs w:val="20"/>
        </w:rPr>
        <w:t>See notes to consolidated financial statements.</w:t>
      </w:r>
    </w:p>
    <w:p w14:paraId="117CB148"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836F5DE" w14:textId="77777777">
        <w:trPr>
          <w:divId w:val="460609707"/>
        </w:trPr>
        <w:tc>
          <w:tcPr>
            <w:tcW w:w="5000" w:type="pct"/>
            <w:hideMark/>
          </w:tcPr>
          <w:p w14:paraId="77A9CD54"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6513C7CE" w14:textId="77777777">
        <w:tc>
          <w:tcPr>
            <w:tcW w:w="5000" w:type="pct"/>
            <w:hideMark/>
          </w:tcPr>
          <w:p w14:paraId="7F832448" w14:textId="77777777" w:rsidR="00000000" w:rsidRDefault="001826C1">
            <w:pPr>
              <w:jc w:val="center"/>
              <w:rPr>
                <w:rFonts w:eastAsia="Times New Roman"/>
                <w:sz w:val="20"/>
                <w:szCs w:val="20"/>
              </w:rPr>
            </w:pPr>
            <w:r>
              <w:rPr>
                <w:rFonts w:eastAsia="Times New Roman"/>
                <w:sz w:val="20"/>
                <w:szCs w:val="20"/>
              </w:rPr>
              <w:t> </w:t>
            </w:r>
          </w:p>
        </w:tc>
      </w:tr>
    </w:tbl>
    <w:p w14:paraId="42E5082C" w14:textId="77777777" w:rsidR="00000000" w:rsidRDefault="001826C1">
      <w:pPr>
        <w:pStyle w:val="a3"/>
        <w:spacing w:before="0" w:beforeAutospacing="0" w:after="0" w:afterAutospacing="0"/>
        <w:rPr>
          <w:sz w:val="20"/>
          <w:szCs w:val="20"/>
        </w:rPr>
      </w:pPr>
      <w:r>
        <w:rPr>
          <w:b/>
          <w:bCs/>
          <w:sz w:val="20"/>
          <w:szCs w:val="20"/>
        </w:rPr>
        <w:t> </w:t>
      </w:r>
    </w:p>
    <w:p w14:paraId="67774DC2" w14:textId="77777777" w:rsidR="00000000" w:rsidRDefault="001826C1">
      <w:pPr>
        <w:pStyle w:val="a3"/>
        <w:spacing w:before="0" w:beforeAutospacing="0" w:after="0" w:afterAutospacing="0"/>
        <w:jc w:val="center"/>
        <w:rPr>
          <w:sz w:val="20"/>
          <w:szCs w:val="20"/>
        </w:rPr>
      </w:pPr>
      <w:r>
        <w:rPr>
          <w:b/>
          <w:bCs/>
          <w:sz w:val="20"/>
          <w:szCs w:val="20"/>
        </w:rPr>
        <w:t>MTBC, INC.</w:t>
      </w:r>
    </w:p>
    <w:p w14:paraId="66EEFA25" w14:textId="77777777" w:rsidR="00000000" w:rsidRDefault="001826C1">
      <w:pPr>
        <w:pStyle w:val="a3"/>
        <w:spacing w:before="0" w:beforeAutospacing="0" w:after="0" w:afterAutospacing="0"/>
        <w:jc w:val="center"/>
        <w:rPr>
          <w:sz w:val="20"/>
          <w:szCs w:val="20"/>
        </w:rPr>
      </w:pPr>
      <w:bookmarkStart w:id="30" w:name="a_029"/>
      <w:bookmarkEnd w:id="30"/>
      <w:r>
        <w:rPr>
          <w:b/>
          <w:bCs/>
          <w:sz w:val="20"/>
          <w:szCs w:val="20"/>
        </w:rPr>
        <w:t>CONSOLIDATED STATEMENTS OF CASH FLOWS</w:t>
      </w:r>
    </w:p>
    <w:p w14:paraId="78FF4224" w14:textId="77777777" w:rsidR="00000000" w:rsidRDefault="001826C1">
      <w:pPr>
        <w:pStyle w:val="a3"/>
        <w:pBdr>
          <w:bottom w:val="single" w:sz="12" w:space="0" w:color="000000"/>
        </w:pBdr>
        <w:spacing w:before="0" w:beforeAutospacing="0" w:after="0" w:afterAutospacing="0"/>
        <w:jc w:val="center"/>
        <w:rPr>
          <w:sz w:val="20"/>
          <w:szCs w:val="20"/>
        </w:rPr>
      </w:pPr>
      <w:r>
        <w:rPr>
          <w:b/>
          <w:bCs/>
          <w:sz w:val="20"/>
          <w:szCs w:val="20"/>
        </w:rPr>
        <w:t xml:space="preserve">FOR </w:t>
      </w:r>
      <w:r>
        <w:rPr>
          <w:b/>
          <w:bCs/>
          <w:sz w:val="20"/>
          <w:szCs w:val="20"/>
        </w:rPr>
        <w:t>THE YEARS ENDED DECEMBER 31, 2019 AND 2018</w:t>
      </w:r>
    </w:p>
    <w:p w14:paraId="73996413" w14:textId="77777777" w:rsidR="00000000" w:rsidRDefault="001826C1">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643"/>
        <w:gridCol w:w="161"/>
        <w:gridCol w:w="100"/>
        <w:gridCol w:w="992"/>
        <w:gridCol w:w="78"/>
        <w:gridCol w:w="161"/>
        <w:gridCol w:w="100"/>
        <w:gridCol w:w="992"/>
        <w:gridCol w:w="79"/>
      </w:tblGrid>
      <w:tr w:rsidR="00000000" w14:paraId="3F4A50D8" w14:textId="77777777">
        <w:tc>
          <w:tcPr>
            <w:tcW w:w="0" w:type="auto"/>
            <w:vAlign w:val="bottom"/>
            <w:hideMark/>
          </w:tcPr>
          <w:p w14:paraId="5EA116A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4EDDD5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451AEBF"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1CA9A231"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2BFEC3F"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7D6FA71"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5D527473" w14:textId="77777777" w:rsidR="00000000" w:rsidRDefault="001826C1">
            <w:pPr>
              <w:rPr>
                <w:rFonts w:eastAsia="Times New Roman"/>
                <w:b/>
                <w:bCs/>
                <w:sz w:val="20"/>
                <w:szCs w:val="20"/>
              </w:rPr>
            </w:pPr>
            <w:r>
              <w:rPr>
                <w:rFonts w:eastAsia="Times New Roman"/>
                <w:b/>
                <w:bCs/>
                <w:sz w:val="20"/>
                <w:szCs w:val="20"/>
              </w:rPr>
              <w:t> </w:t>
            </w:r>
          </w:p>
        </w:tc>
      </w:tr>
      <w:tr w:rsidR="00000000" w14:paraId="19D7A003" w14:textId="77777777">
        <w:tc>
          <w:tcPr>
            <w:tcW w:w="0" w:type="auto"/>
            <w:shd w:val="clear" w:color="auto" w:fill="CCEEFF"/>
            <w:vAlign w:val="bottom"/>
            <w:hideMark/>
          </w:tcPr>
          <w:p w14:paraId="210C4BFB" w14:textId="77777777" w:rsidR="00000000" w:rsidRDefault="001826C1">
            <w:pPr>
              <w:rPr>
                <w:rFonts w:eastAsia="Times New Roman"/>
                <w:sz w:val="20"/>
                <w:szCs w:val="20"/>
              </w:rPr>
            </w:pPr>
            <w:r>
              <w:rPr>
                <w:rFonts w:eastAsia="Times New Roman"/>
                <w:sz w:val="20"/>
                <w:szCs w:val="20"/>
              </w:rPr>
              <w:t xml:space="preserve">OPERATING ACTIVITIES: </w:t>
            </w:r>
          </w:p>
        </w:tc>
        <w:tc>
          <w:tcPr>
            <w:tcW w:w="0" w:type="auto"/>
            <w:shd w:val="clear" w:color="auto" w:fill="CCEEFF"/>
            <w:vAlign w:val="bottom"/>
            <w:hideMark/>
          </w:tcPr>
          <w:p w14:paraId="6FCBAA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6EA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A0B73C"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AA219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A96C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A930D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AC30D5C"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7E43BD1" w14:textId="77777777" w:rsidR="00000000" w:rsidRDefault="001826C1">
            <w:pPr>
              <w:rPr>
                <w:rFonts w:eastAsia="Times New Roman"/>
                <w:sz w:val="20"/>
                <w:szCs w:val="20"/>
              </w:rPr>
            </w:pPr>
            <w:r>
              <w:rPr>
                <w:rFonts w:eastAsia="Times New Roman"/>
                <w:sz w:val="20"/>
                <w:szCs w:val="20"/>
              </w:rPr>
              <w:t> </w:t>
            </w:r>
          </w:p>
        </w:tc>
      </w:tr>
      <w:tr w:rsidR="00000000" w14:paraId="6E5A8837" w14:textId="77777777">
        <w:tc>
          <w:tcPr>
            <w:tcW w:w="3400" w:type="pct"/>
            <w:shd w:val="clear" w:color="auto" w:fill="FFFFFF"/>
            <w:tcMar>
              <w:top w:w="0" w:type="dxa"/>
              <w:left w:w="200" w:type="dxa"/>
              <w:bottom w:w="0" w:type="dxa"/>
              <w:right w:w="0" w:type="dxa"/>
            </w:tcMar>
            <w:vAlign w:val="bottom"/>
            <w:hideMark/>
          </w:tcPr>
          <w:p w14:paraId="002259D4" w14:textId="77777777" w:rsidR="00000000" w:rsidRDefault="001826C1">
            <w:pPr>
              <w:rPr>
                <w:rFonts w:eastAsia="Times New Roman"/>
                <w:sz w:val="20"/>
                <w:szCs w:val="20"/>
              </w:rPr>
            </w:pPr>
            <w:r>
              <w:rPr>
                <w:rFonts w:eastAsia="Times New Roman"/>
                <w:sz w:val="20"/>
                <w:szCs w:val="20"/>
              </w:rPr>
              <w:t xml:space="preserve">Net loss </w:t>
            </w:r>
          </w:p>
        </w:tc>
        <w:tc>
          <w:tcPr>
            <w:tcW w:w="100" w:type="pct"/>
            <w:shd w:val="clear" w:color="auto" w:fill="FFFFFF"/>
            <w:vAlign w:val="bottom"/>
            <w:hideMark/>
          </w:tcPr>
          <w:p w14:paraId="40DCB91C" w14:textId="77777777" w:rsidR="00000000" w:rsidRDefault="001826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6EB64F9F" w14:textId="77777777" w:rsidR="00000000" w:rsidRDefault="001826C1">
            <w:pPr>
              <w:rPr>
                <w:rFonts w:eastAsia="Times New Roman"/>
                <w:sz w:val="20"/>
                <w:szCs w:val="20"/>
              </w:rPr>
            </w:pPr>
            <w:r>
              <w:rPr>
                <w:rFonts w:eastAsia="Times New Roman"/>
                <w:sz w:val="20"/>
                <w:szCs w:val="20"/>
              </w:rPr>
              <w:t>$</w:t>
            </w:r>
          </w:p>
        </w:tc>
        <w:tc>
          <w:tcPr>
            <w:tcW w:w="600" w:type="pct"/>
            <w:shd w:val="clear" w:color="auto" w:fill="FFFFFF"/>
            <w:vAlign w:val="bottom"/>
            <w:hideMark/>
          </w:tcPr>
          <w:p w14:paraId="631976ED" w14:textId="77777777" w:rsidR="00000000" w:rsidRDefault="001826C1">
            <w:pPr>
              <w:jc w:val="right"/>
              <w:rPr>
                <w:rFonts w:eastAsia="Times New Roman"/>
                <w:sz w:val="20"/>
                <w:szCs w:val="20"/>
              </w:rPr>
            </w:pPr>
            <w:r>
              <w:rPr>
                <w:rFonts w:eastAsia="Times New Roman"/>
                <w:sz w:val="20"/>
                <w:szCs w:val="20"/>
              </w:rPr>
              <w:t>(871,800</w:t>
            </w:r>
          </w:p>
        </w:tc>
        <w:tc>
          <w:tcPr>
            <w:tcW w:w="50" w:type="pct"/>
            <w:shd w:val="clear" w:color="auto" w:fill="FFFFFF"/>
            <w:vAlign w:val="bottom"/>
            <w:hideMark/>
          </w:tcPr>
          <w:p w14:paraId="62F45F27" w14:textId="77777777" w:rsidR="00000000" w:rsidRDefault="001826C1">
            <w:pPr>
              <w:rPr>
                <w:rFonts w:eastAsia="Times New Roman"/>
                <w:sz w:val="20"/>
                <w:szCs w:val="20"/>
              </w:rPr>
            </w:pPr>
            <w:r>
              <w:rPr>
                <w:rFonts w:eastAsia="Times New Roman"/>
                <w:sz w:val="20"/>
                <w:szCs w:val="20"/>
              </w:rPr>
              <w:t>)</w:t>
            </w:r>
          </w:p>
        </w:tc>
        <w:tc>
          <w:tcPr>
            <w:tcW w:w="100" w:type="pct"/>
            <w:shd w:val="clear" w:color="auto" w:fill="FFFFFF"/>
            <w:vAlign w:val="bottom"/>
            <w:hideMark/>
          </w:tcPr>
          <w:p w14:paraId="53F33B13" w14:textId="77777777" w:rsidR="00000000" w:rsidRDefault="001826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352E34ED" w14:textId="77777777" w:rsidR="00000000" w:rsidRDefault="001826C1">
            <w:pPr>
              <w:rPr>
                <w:rFonts w:eastAsia="Times New Roman"/>
                <w:sz w:val="20"/>
                <w:szCs w:val="20"/>
              </w:rPr>
            </w:pPr>
            <w:r>
              <w:rPr>
                <w:rFonts w:eastAsia="Times New Roman"/>
                <w:sz w:val="20"/>
                <w:szCs w:val="20"/>
              </w:rPr>
              <w:t>$</w:t>
            </w:r>
          </w:p>
        </w:tc>
        <w:tc>
          <w:tcPr>
            <w:tcW w:w="600" w:type="pct"/>
            <w:shd w:val="clear" w:color="auto" w:fill="FFFFFF"/>
            <w:vAlign w:val="bottom"/>
            <w:hideMark/>
          </w:tcPr>
          <w:p w14:paraId="48B12696" w14:textId="77777777" w:rsidR="00000000" w:rsidRDefault="001826C1">
            <w:pPr>
              <w:jc w:val="right"/>
              <w:rPr>
                <w:rFonts w:eastAsia="Times New Roman"/>
                <w:sz w:val="20"/>
                <w:szCs w:val="20"/>
              </w:rPr>
            </w:pPr>
            <w:r>
              <w:rPr>
                <w:rFonts w:eastAsia="Times New Roman"/>
                <w:sz w:val="20"/>
                <w:szCs w:val="20"/>
              </w:rPr>
              <w:t>(2,138,480</w:t>
            </w:r>
          </w:p>
        </w:tc>
        <w:tc>
          <w:tcPr>
            <w:tcW w:w="50" w:type="pct"/>
            <w:shd w:val="clear" w:color="auto" w:fill="FFFFFF"/>
            <w:vAlign w:val="bottom"/>
            <w:hideMark/>
          </w:tcPr>
          <w:p w14:paraId="4F223510" w14:textId="77777777" w:rsidR="00000000" w:rsidRDefault="001826C1">
            <w:pPr>
              <w:rPr>
                <w:rFonts w:eastAsia="Times New Roman"/>
                <w:sz w:val="20"/>
                <w:szCs w:val="20"/>
              </w:rPr>
            </w:pPr>
            <w:r>
              <w:rPr>
                <w:rFonts w:eastAsia="Times New Roman"/>
                <w:sz w:val="20"/>
                <w:szCs w:val="20"/>
              </w:rPr>
              <w:t>)</w:t>
            </w:r>
          </w:p>
        </w:tc>
      </w:tr>
      <w:tr w:rsidR="00000000" w14:paraId="38346B88" w14:textId="77777777">
        <w:tc>
          <w:tcPr>
            <w:tcW w:w="0" w:type="auto"/>
            <w:shd w:val="clear" w:color="auto" w:fill="CCEEFF"/>
            <w:tcMar>
              <w:top w:w="0" w:type="dxa"/>
              <w:left w:w="200" w:type="dxa"/>
              <w:bottom w:w="0" w:type="dxa"/>
              <w:right w:w="0" w:type="dxa"/>
            </w:tcMar>
            <w:vAlign w:val="bottom"/>
            <w:hideMark/>
          </w:tcPr>
          <w:p w14:paraId="2228AB48" w14:textId="77777777" w:rsidR="00000000" w:rsidRDefault="001826C1">
            <w:pPr>
              <w:rPr>
                <w:rFonts w:eastAsia="Times New Roman"/>
                <w:sz w:val="20"/>
                <w:szCs w:val="20"/>
              </w:rPr>
            </w:pPr>
            <w:r>
              <w:rPr>
                <w:rFonts w:eastAsia="Times New Roman"/>
                <w:sz w:val="20"/>
                <w:szCs w:val="20"/>
              </w:rPr>
              <w:t xml:space="preserve">Adjustments to reconcile net loss to net cash provided by operating activities: </w:t>
            </w:r>
          </w:p>
        </w:tc>
        <w:tc>
          <w:tcPr>
            <w:tcW w:w="0" w:type="auto"/>
            <w:shd w:val="clear" w:color="auto" w:fill="CCEEFF"/>
            <w:vAlign w:val="bottom"/>
            <w:hideMark/>
          </w:tcPr>
          <w:p w14:paraId="0D3FA2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37BB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15EA3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9C669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C4EF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25C0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4CFF56"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0EC66E6" w14:textId="77777777" w:rsidR="00000000" w:rsidRDefault="001826C1">
            <w:pPr>
              <w:rPr>
                <w:rFonts w:eastAsia="Times New Roman"/>
                <w:sz w:val="20"/>
                <w:szCs w:val="20"/>
              </w:rPr>
            </w:pPr>
            <w:r>
              <w:rPr>
                <w:rFonts w:eastAsia="Times New Roman"/>
                <w:sz w:val="20"/>
                <w:szCs w:val="20"/>
              </w:rPr>
              <w:t> </w:t>
            </w:r>
          </w:p>
        </w:tc>
      </w:tr>
      <w:tr w:rsidR="00000000" w14:paraId="5846B37E" w14:textId="77777777">
        <w:tc>
          <w:tcPr>
            <w:tcW w:w="0" w:type="auto"/>
            <w:shd w:val="clear" w:color="auto" w:fill="FFFFFF"/>
            <w:tcMar>
              <w:top w:w="0" w:type="dxa"/>
              <w:left w:w="400" w:type="dxa"/>
              <w:bottom w:w="0" w:type="dxa"/>
              <w:right w:w="0" w:type="dxa"/>
            </w:tcMar>
            <w:vAlign w:val="bottom"/>
            <w:hideMark/>
          </w:tcPr>
          <w:p w14:paraId="4E0E227D" w14:textId="77777777" w:rsidR="00000000" w:rsidRDefault="001826C1">
            <w:pPr>
              <w:rPr>
                <w:rFonts w:eastAsia="Times New Roman"/>
                <w:sz w:val="20"/>
                <w:szCs w:val="20"/>
              </w:rPr>
            </w:pPr>
            <w:r>
              <w:rPr>
                <w:rFonts w:eastAsia="Times New Roman"/>
                <w:sz w:val="20"/>
                <w:szCs w:val="20"/>
              </w:rPr>
              <w:t xml:space="preserve">Depreciation and amortization </w:t>
            </w:r>
          </w:p>
        </w:tc>
        <w:tc>
          <w:tcPr>
            <w:tcW w:w="0" w:type="auto"/>
            <w:shd w:val="clear" w:color="auto" w:fill="FFFFFF"/>
            <w:vAlign w:val="bottom"/>
            <w:hideMark/>
          </w:tcPr>
          <w:p w14:paraId="0F4DE65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8A2B5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AC6D22" w14:textId="77777777" w:rsidR="00000000" w:rsidRDefault="001826C1">
            <w:pPr>
              <w:jc w:val="right"/>
              <w:rPr>
                <w:rFonts w:eastAsia="Times New Roman"/>
                <w:sz w:val="20"/>
                <w:szCs w:val="20"/>
              </w:rPr>
            </w:pPr>
            <w:r>
              <w:rPr>
                <w:rFonts w:eastAsia="Times New Roman"/>
                <w:sz w:val="20"/>
                <w:szCs w:val="20"/>
              </w:rPr>
              <w:t>3,070,497</w:t>
            </w:r>
          </w:p>
        </w:tc>
        <w:tc>
          <w:tcPr>
            <w:tcW w:w="0" w:type="auto"/>
            <w:shd w:val="clear" w:color="auto" w:fill="FFFFFF"/>
            <w:vAlign w:val="bottom"/>
            <w:hideMark/>
          </w:tcPr>
          <w:p w14:paraId="2EE39FB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7345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2C59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6E1331" w14:textId="77777777" w:rsidR="00000000" w:rsidRDefault="001826C1">
            <w:pPr>
              <w:jc w:val="right"/>
              <w:rPr>
                <w:rFonts w:eastAsia="Times New Roman"/>
                <w:sz w:val="20"/>
                <w:szCs w:val="20"/>
              </w:rPr>
            </w:pPr>
            <w:r>
              <w:rPr>
                <w:rFonts w:eastAsia="Times New Roman"/>
                <w:sz w:val="20"/>
                <w:szCs w:val="20"/>
              </w:rPr>
              <w:t>2,913,866</w:t>
            </w:r>
          </w:p>
        </w:tc>
        <w:tc>
          <w:tcPr>
            <w:tcW w:w="0" w:type="auto"/>
            <w:shd w:val="clear" w:color="auto" w:fill="FFFFFF"/>
            <w:vAlign w:val="bottom"/>
            <w:hideMark/>
          </w:tcPr>
          <w:p w14:paraId="23E30BC1" w14:textId="77777777" w:rsidR="00000000" w:rsidRDefault="001826C1">
            <w:pPr>
              <w:rPr>
                <w:rFonts w:eastAsia="Times New Roman"/>
                <w:sz w:val="20"/>
                <w:szCs w:val="20"/>
              </w:rPr>
            </w:pPr>
            <w:r>
              <w:rPr>
                <w:rFonts w:eastAsia="Times New Roman"/>
                <w:sz w:val="20"/>
                <w:szCs w:val="20"/>
              </w:rPr>
              <w:t> </w:t>
            </w:r>
          </w:p>
        </w:tc>
      </w:tr>
      <w:tr w:rsidR="00000000" w14:paraId="6DC1AC7B" w14:textId="77777777">
        <w:tc>
          <w:tcPr>
            <w:tcW w:w="0" w:type="auto"/>
            <w:shd w:val="clear" w:color="auto" w:fill="CCEEFF"/>
            <w:tcMar>
              <w:top w:w="0" w:type="dxa"/>
              <w:left w:w="400" w:type="dxa"/>
              <w:bottom w:w="0" w:type="dxa"/>
              <w:right w:w="0" w:type="dxa"/>
            </w:tcMar>
            <w:vAlign w:val="bottom"/>
            <w:hideMark/>
          </w:tcPr>
          <w:p w14:paraId="2B60D472" w14:textId="77777777" w:rsidR="00000000" w:rsidRDefault="001826C1">
            <w:pPr>
              <w:rPr>
                <w:rFonts w:eastAsia="Times New Roman"/>
                <w:sz w:val="20"/>
                <w:szCs w:val="20"/>
              </w:rPr>
            </w:pPr>
            <w:r>
              <w:rPr>
                <w:rFonts w:eastAsia="Times New Roman"/>
                <w:sz w:val="20"/>
                <w:szCs w:val="20"/>
              </w:rPr>
              <w:t xml:space="preserve">Deferred rent </w:t>
            </w:r>
          </w:p>
        </w:tc>
        <w:tc>
          <w:tcPr>
            <w:tcW w:w="0" w:type="auto"/>
            <w:shd w:val="clear" w:color="auto" w:fill="CCEEFF"/>
            <w:vAlign w:val="bottom"/>
            <w:hideMark/>
          </w:tcPr>
          <w:p w14:paraId="3CC2F3E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14B52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7540E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C4895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A3A0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413E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015AFD" w14:textId="77777777" w:rsidR="00000000" w:rsidRDefault="001826C1">
            <w:pPr>
              <w:jc w:val="right"/>
              <w:rPr>
                <w:rFonts w:eastAsia="Times New Roman"/>
                <w:sz w:val="20"/>
                <w:szCs w:val="20"/>
              </w:rPr>
            </w:pPr>
            <w:r>
              <w:rPr>
                <w:rFonts w:eastAsia="Times New Roman"/>
                <w:sz w:val="20"/>
                <w:szCs w:val="20"/>
              </w:rPr>
              <w:t>(61,058</w:t>
            </w:r>
          </w:p>
        </w:tc>
        <w:tc>
          <w:tcPr>
            <w:tcW w:w="0" w:type="auto"/>
            <w:shd w:val="clear" w:color="auto" w:fill="CCEEFF"/>
            <w:vAlign w:val="bottom"/>
            <w:hideMark/>
          </w:tcPr>
          <w:p w14:paraId="2C0C450C" w14:textId="77777777" w:rsidR="00000000" w:rsidRDefault="001826C1">
            <w:pPr>
              <w:rPr>
                <w:rFonts w:eastAsia="Times New Roman"/>
                <w:sz w:val="20"/>
                <w:szCs w:val="20"/>
              </w:rPr>
            </w:pPr>
            <w:r>
              <w:rPr>
                <w:rFonts w:eastAsia="Times New Roman"/>
                <w:sz w:val="20"/>
                <w:szCs w:val="20"/>
              </w:rPr>
              <w:t>)</w:t>
            </w:r>
          </w:p>
        </w:tc>
      </w:tr>
      <w:tr w:rsidR="00000000" w14:paraId="2CE81FBA" w14:textId="77777777">
        <w:tc>
          <w:tcPr>
            <w:tcW w:w="0" w:type="auto"/>
            <w:shd w:val="clear" w:color="auto" w:fill="FFFFFF"/>
            <w:tcMar>
              <w:top w:w="0" w:type="dxa"/>
              <w:left w:w="400" w:type="dxa"/>
              <w:bottom w:w="0" w:type="dxa"/>
              <w:right w:w="0" w:type="dxa"/>
            </w:tcMar>
            <w:vAlign w:val="bottom"/>
            <w:hideMark/>
          </w:tcPr>
          <w:p w14:paraId="3A02EF32" w14:textId="77777777" w:rsidR="00000000" w:rsidRDefault="001826C1">
            <w:pPr>
              <w:rPr>
                <w:rFonts w:eastAsia="Times New Roman"/>
                <w:sz w:val="20"/>
                <w:szCs w:val="20"/>
              </w:rPr>
            </w:pPr>
            <w:r>
              <w:rPr>
                <w:rFonts w:eastAsia="Times New Roman"/>
                <w:sz w:val="20"/>
                <w:szCs w:val="20"/>
              </w:rPr>
              <w:t xml:space="preserve">Lease amortization </w:t>
            </w:r>
          </w:p>
        </w:tc>
        <w:tc>
          <w:tcPr>
            <w:tcW w:w="0" w:type="auto"/>
            <w:shd w:val="clear" w:color="auto" w:fill="FFFFFF"/>
            <w:vAlign w:val="bottom"/>
            <w:hideMark/>
          </w:tcPr>
          <w:p w14:paraId="1D9F20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BAA8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E3CC88" w14:textId="77777777" w:rsidR="00000000" w:rsidRDefault="001826C1">
            <w:pPr>
              <w:jc w:val="right"/>
              <w:rPr>
                <w:rFonts w:eastAsia="Times New Roman"/>
                <w:sz w:val="20"/>
                <w:szCs w:val="20"/>
              </w:rPr>
            </w:pPr>
            <w:r>
              <w:rPr>
                <w:rFonts w:eastAsia="Times New Roman"/>
                <w:sz w:val="20"/>
                <w:szCs w:val="20"/>
              </w:rPr>
              <w:t>1,888,443</w:t>
            </w:r>
          </w:p>
        </w:tc>
        <w:tc>
          <w:tcPr>
            <w:tcW w:w="0" w:type="auto"/>
            <w:shd w:val="clear" w:color="auto" w:fill="FFFFFF"/>
            <w:vAlign w:val="bottom"/>
            <w:hideMark/>
          </w:tcPr>
          <w:p w14:paraId="012A3F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C4473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C5F8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1A520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7C8C987" w14:textId="77777777" w:rsidR="00000000" w:rsidRDefault="001826C1">
            <w:pPr>
              <w:rPr>
                <w:rFonts w:eastAsia="Times New Roman"/>
                <w:sz w:val="20"/>
                <w:szCs w:val="20"/>
              </w:rPr>
            </w:pPr>
            <w:r>
              <w:rPr>
                <w:rFonts w:eastAsia="Times New Roman"/>
                <w:sz w:val="20"/>
                <w:szCs w:val="20"/>
              </w:rPr>
              <w:t> </w:t>
            </w:r>
          </w:p>
        </w:tc>
      </w:tr>
      <w:tr w:rsidR="00000000" w14:paraId="3EA2CFEB" w14:textId="77777777">
        <w:tc>
          <w:tcPr>
            <w:tcW w:w="0" w:type="auto"/>
            <w:shd w:val="clear" w:color="auto" w:fill="CCEEFF"/>
            <w:tcMar>
              <w:top w:w="0" w:type="dxa"/>
              <w:left w:w="400" w:type="dxa"/>
              <w:bottom w:w="0" w:type="dxa"/>
              <w:right w:w="0" w:type="dxa"/>
            </w:tcMar>
            <w:vAlign w:val="bottom"/>
            <w:hideMark/>
          </w:tcPr>
          <w:p w14:paraId="6015FAAF" w14:textId="77777777" w:rsidR="00000000" w:rsidRDefault="001826C1">
            <w:pPr>
              <w:rPr>
                <w:rFonts w:eastAsia="Times New Roman"/>
                <w:sz w:val="20"/>
                <w:szCs w:val="20"/>
              </w:rPr>
            </w:pPr>
            <w:r>
              <w:rPr>
                <w:rFonts w:eastAsia="Times New Roman"/>
                <w:sz w:val="20"/>
                <w:szCs w:val="20"/>
              </w:rPr>
              <w:t xml:space="preserve">Deferred revenue </w:t>
            </w:r>
          </w:p>
        </w:tc>
        <w:tc>
          <w:tcPr>
            <w:tcW w:w="0" w:type="auto"/>
            <w:shd w:val="clear" w:color="auto" w:fill="CCEEFF"/>
            <w:vAlign w:val="bottom"/>
            <w:hideMark/>
          </w:tcPr>
          <w:p w14:paraId="463EFC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74BC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E7CFCFE" w14:textId="77777777" w:rsidR="00000000" w:rsidRDefault="001826C1">
            <w:pPr>
              <w:jc w:val="right"/>
              <w:rPr>
                <w:rFonts w:eastAsia="Times New Roman"/>
                <w:sz w:val="20"/>
                <w:szCs w:val="20"/>
              </w:rPr>
            </w:pPr>
            <w:r>
              <w:rPr>
                <w:rFonts w:eastAsia="Times New Roman"/>
                <w:sz w:val="20"/>
                <w:szCs w:val="20"/>
              </w:rPr>
              <w:t>(5,282</w:t>
            </w:r>
          </w:p>
        </w:tc>
        <w:tc>
          <w:tcPr>
            <w:tcW w:w="0" w:type="auto"/>
            <w:shd w:val="clear" w:color="auto" w:fill="CCEEFF"/>
            <w:vAlign w:val="bottom"/>
            <w:hideMark/>
          </w:tcPr>
          <w:p w14:paraId="6C02460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E449B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0424D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060FFD" w14:textId="77777777" w:rsidR="00000000" w:rsidRDefault="001826C1">
            <w:pPr>
              <w:jc w:val="right"/>
              <w:rPr>
                <w:rFonts w:eastAsia="Times New Roman"/>
                <w:sz w:val="20"/>
                <w:szCs w:val="20"/>
              </w:rPr>
            </w:pPr>
            <w:r>
              <w:rPr>
                <w:rFonts w:eastAsia="Times New Roman"/>
                <w:sz w:val="20"/>
                <w:szCs w:val="20"/>
              </w:rPr>
              <w:t>(46,415</w:t>
            </w:r>
          </w:p>
        </w:tc>
        <w:tc>
          <w:tcPr>
            <w:tcW w:w="0" w:type="auto"/>
            <w:shd w:val="clear" w:color="auto" w:fill="CCEEFF"/>
            <w:vAlign w:val="bottom"/>
            <w:hideMark/>
          </w:tcPr>
          <w:p w14:paraId="36A04C7B" w14:textId="77777777" w:rsidR="00000000" w:rsidRDefault="001826C1">
            <w:pPr>
              <w:rPr>
                <w:rFonts w:eastAsia="Times New Roman"/>
                <w:sz w:val="20"/>
                <w:szCs w:val="20"/>
              </w:rPr>
            </w:pPr>
            <w:r>
              <w:rPr>
                <w:rFonts w:eastAsia="Times New Roman"/>
                <w:sz w:val="20"/>
                <w:szCs w:val="20"/>
              </w:rPr>
              <w:t>)</w:t>
            </w:r>
          </w:p>
        </w:tc>
      </w:tr>
      <w:tr w:rsidR="00000000" w14:paraId="04DA5B44" w14:textId="77777777">
        <w:tc>
          <w:tcPr>
            <w:tcW w:w="0" w:type="auto"/>
            <w:shd w:val="clear" w:color="auto" w:fill="FFFFFF"/>
            <w:tcMar>
              <w:top w:w="0" w:type="dxa"/>
              <w:left w:w="400" w:type="dxa"/>
              <w:bottom w:w="0" w:type="dxa"/>
              <w:right w:w="0" w:type="dxa"/>
            </w:tcMar>
            <w:vAlign w:val="bottom"/>
            <w:hideMark/>
          </w:tcPr>
          <w:p w14:paraId="070F3DEC" w14:textId="77777777" w:rsidR="00000000" w:rsidRDefault="001826C1">
            <w:pPr>
              <w:rPr>
                <w:rFonts w:eastAsia="Times New Roman"/>
                <w:sz w:val="20"/>
                <w:szCs w:val="20"/>
              </w:rPr>
            </w:pPr>
            <w:r>
              <w:rPr>
                <w:rFonts w:eastAsia="Times New Roman"/>
                <w:sz w:val="20"/>
                <w:szCs w:val="20"/>
              </w:rPr>
              <w:t xml:space="preserve">Provision for doubtful accounts </w:t>
            </w:r>
          </w:p>
        </w:tc>
        <w:tc>
          <w:tcPr>
            <w:tcW w:w="0" w:type="auto"/>
            <w:shd w:val="clear" w:color="auto" w:fill="FFFFFF"/>
            <w:vAlign w:val="bottom"/>
            <w:hideMark/>
          </w:tcPr>
          <w:p w14:paraId="6EC7282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5C3A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3B6FB3" w14:textId="77777777" w:rsidR="00000000" w:rsidRDefault="001826C1">
            <w:pPr>
              <w:jc w:val="right"/>
              <w:rPr>
                <w:rFonts w:eastAsia="Times New Roman"/>
                <w:sz w:val="20"/>
                <w:szCs w:val="20"/>
              </w:rPr>
            </w:pPr>
            <w:r>
              <w:rPr>
                <w:rFonts w:eastAsia="Times New Roman"/>
                <w:sz w:val="20"/>
                <w:szCs w:val="20"/>
              </w:rPr>
              <w:t>118,429</w:t>
            </w:r>
          </w:p>
        </w:tc>
        <w:tc>
          <w:tcPr>
            <w:tcW w:w="0" w:type="auto"/>
            <w:shd w:val="clear" w:color="auto" w:fill="FFFFFF"/>
            <w:vAlign w:val="bottom"/>
            <w:hideMark/>
          </w:tcPr>
          <w:p w14:paraId="0D38ED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0238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47D4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B989AA" w14:textId="77777777" w:rsidR="00000000" w:rsidRDefault="001826C1">
            <w:pPr>
              <w:jc w:val="right"/>
              <w:rPr>
                <w:rFonts w:eastAsia="Times New Roman"/>
                <w:sz w:val="20"/>
                <w:szCs w:val="20"/>
              </w:rPr>
            </w:pPr>
            <w:r>
              <w:rPr>
                <w:rFonts w:eastAsia="Times New Roman"/>
                <w:sz w:val="20"/>
                <w:szCs w:val="20"/>
              </w:rPr>
              <w:t>723,611</w:t>
            </w:r>
          </w:p>
        </w:tc>
        <w:tc>
          <w:tcPr>
            <w:tcW w:w="0" w:type="auto"/>
            <w:shd w:val="clear" w:color="auto" w:fill="FFFFFF"/>
            <w:vAlign w:val="bottom"/>
            <w:hideMark/>
          </w:tcPr>
          <w:p w14:paraId="4AE31646" w14:textId="77777777" w:rsidR="00000000" w:rsidRDefault="001826C1">
            <w:pPr>
              <w:rPr>
                <w:rFonts w:eastAsia="Times New Roman"/>
                <w:sz w:val="20"/>
                <w:szCs w:val="20"/>
              </w:rPr>
            </w:pPr>
            <w:r>
              <w:rPr>
                <w:rFonts w:eastAsia="Times New Roman"/>
                <w:sz w:val="20"/>
                <w:szCs w:val="20"/>
              </w:rPr>
              <w:t> </w:t>
            </w:r>
          </w:p>
        </w:tc>
      </w:tr>
      <w:tr w:rsidR="00000000" w14:paraId="4D2493A1" w14:textId="77777777">
        <w:tc>
          <w:tcPr>
            <w:tcW w:w="0" w:type="auto"/>
            <w:shd w:val="clear" w:color="auto" w:fill="CCEEFF"/>
            <w:tcMar>
              <w:top w:w="0" w:type="dxa"/>
              <w:left w:w="400" w:type="dxa"/>
              <w:bottom w:w="0" w:type="dxa"/>
              <w:right w:w="0" w:type="dxa"/>
            </w:tcMar>
            <w:vAlign w:val="bottom"/>
            <w:hideMark/>
          </w:tcPr>
          <w:p w14:paraId="47EBFF64" w14:textId="77777777" w:rsidR="00000000" w:rsidRDefault="001826C1">
            <w:pPr>
              <w:rPr>
                <w:rFonts w:eastAsia="Times New Roman"/>
                <w:sz w:val="20"/>
                <w:szCs w:val="20"/>
              </w:rPr>
            </w:pPr>
            <w:r>
              <w:rPr>
                <w:rFonts w:eastAsia="Times New Roman"/>
                <w:sz w:val="20"/>
                <w:szCs w:val="20"/>
              </w:rPr>
              <w:t xml:space="preserve">Provision (benefit) for deferred income taxes </w:t>
            </w:r>
          </w:p>
        </w:tc>
        <w:tc>
          <w:tcPr>
            <w:tcW w:w="0" w:type="auto"/>
            <w:shd w:val="clear" w:color="auto" w:fill="CCEEFF"/>
            <w:vAlign w:val="bottom"/>
            <w:hideMark/>
          </w:tcPr>
          <w:p w14:paraId="43B1884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C6DE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5FC8D" w14:textId="77777777" w:rsidR="00000000" w:rsidRDefault="001826C1">
            <w:pPr>
              <w:jc w:val="right"/>
              <w:rPr>
                <w:rFonts w:eastAsia="Times New Roman"/>
                <w:sz w:val="20"/>
                <w:szCs w:val="20"/>
              </w:rPr>
            </w:pPr>
            <w:r>
              <w:rPr>
                <w:rFonts w:eastAsia="Times New Roman"/>
                <w:sz w:val="20"/>
                <w:szCs w:val="20"/>
              </w:rPr>
              <w:t>80,166</w:t>
            </w:r>
          </w:p>
        </w:tc>
        <w:tc>
          <w:tcPr>
            <w:tcW w:w="0" w:type="auto"/>
            <w:shd w:val="clear" w:color="auto" w:fill="CCEEFF"/>
            <w:vAlign w:val="bottom"/>
            <w:hideMark/>
          </w:tcPr>
          <w:p w14:paraId="4BF67A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C278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F80E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0516CA5" w14:textId="77777777" w:rsidR="00000000" w:rsidRDefault="001826C1">
            <w:pPr>
              <w:jc w:val="right"/>
              <w:rPr>
                <w:rFonts w:eastAsia="Times New Roman"/>
                <w:sz w:val="20"/>
                <w:szCs w:val="20"/>
              </w:rPr>
            </w:pPr>
            <w:r>
              <w:rPr>
                <w:rFonts w:eastAsia="Times New Roman"/>
                <w:sz w:val="20"/>
                <w:szCs w:val="20"/>
              </w:rPr>
              <w:t>(207,726</w:t>
            </w:r>
          </w:p>
        </w:tc>
        <w:tc>
          <w:tcPr>
            <w:tcW w:w="0" w:type="auto"/>
            <w:shd w:val="clear" w:color="auto" w:fill="CCEEFF"/>
            <w:vAlign w:val="bottom"/>
            <w:hideMark/>
          </w:tcPr>
          <w:p w14:paraId="5EC1D566" w14:textId="77777777" w:rsidR="00000000" w:rsidRDefault="001826C1">
            <w:pPr>
              <w:rPr>
                <w:rFonts w:eastAsia="Times New Roman"/>
                <w:sz w:val="20"/>
                <w:szCs w:val="20"/>
              </w:rPr>
            </w:pPr>
            <w:r>
              <w:rPr>
                <w:rFonts w:eastAsia="Times New Roman"/>
                <w:sz w:val="20"/>
                <w:szCs w:val="20"/>
              </w:rPr>
              <w:t>)</w:t>
            </w:r>
          </w:p>
        </w:tc>
      </w:tr>
      <w:tr w:rsidR="00000000" w14:paraId="54E6C60D" w14:textId="77777777">
        <w:tc>
          <w:tcPr>
            <w:tcW w:w="0" w:type="auto"/>
            <w:shd w:val="clear" w:color="auto" w:fill="FFFFFF"/>
            <w:tcMar>
              <w:top w:w="0" w:type="dxa"/>
              <w:left w:w="400" w:type="dxa"/>
              <w:bottom w:w="0" w:type="dxa"/>
              <w:right w:w="0" w:type="dxa"/>
            </w:tcMar>
            <w:vAlign w:val="bottom"/>
            <w:hideMark/>
          </w:tcPr>
          <w:p w14:paraId="0F405EB5" w14:textId="77777777" w:rsidR="00000000" w:rsidRDefault="001826C1">
            <w:pPr>
              <w:rPr>
                <w:rFonts w:eastAsia="Times New Roman"/>
                <w:sz w:val="20"/>
                <w:szCs w:val="20"/>
              </w:rPr>
            </w:pPr>
            <w:r>
              <w:rPr>
                <w:rFonts w:eastAsia="Times New Roman"/>
                <w:sz w:val="20"/>
                <w:szCs w:val="20"/>
              </w:rPr>
              <w:t xml:space="preserve">Foreign exchange loss (gain) </w:t>
            </w:r>
          </w:p>
        </w:tc>
        <w:tc>
          <w:tcPr>
            <w:tcW w:w="0" w:type="auto"/>
            <w:shd w:val="clear" w:color="auto" w:fill="FFFFFF"/>
            <w:vAlign w:val="bottom"/>
            <w:hideMark/>
          </w:tcPr>
          <w:p w14:paraId="337E09B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4781A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45CB25" w14:textId="77777777" w:rsidR="00000000" w:rsidRDefault="001826C1">
            <w:pPr>
              <w:jc w:val="right"/>
              <w:rPr>
                <w:rFonts w:eastAsia="Times New Roman"/>
                <w:sz w:val="20"/>
                <w:szCs w:val="20"/>
              </w:rPr>
            </w:pPr>
            <w:r>
              <w:rPr>
                <w:rFonts w:eastAsia="Times New Roman"/>
                <w:sz w:val="20"/>
                <w:szCs w:val="20"/>
              </w:rPr>
              <w:t>827,121</w:t>
            </w:r>
          </w:p>
        </w:tc>
        <w:tc>
          <w:tcPr>
            <w:tcW w:w="0" w:type="auto"/>
            <w:shd w:val="clear" w:color="auto" w:fill="FFFFFF"/>
            <w:vAlign w:val="bottom"/>
            <w:hideMark/>
          </w:tcPr>
          <w:p w14:paraId="478F1E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8C9A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FE84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1C70FD" w14:textId="77777777" w:rsidR="00000000" w:rsidRDefault="001826C1">
            <w:pPr>
              <w:jc w:val="right"/>
              <w:rPr>
                <w:rFonts w:eastAsia="Times New Roman"/>
                <w:sz w:val="20"/>
                <w:szCs w:val="20"/>
              </w:rPr>
            </w:pPr>
            <w:r>
              <w:rPr>
                <w:rFonts w:eastAsia="Times New Roman"/>
                <w:sz w:val="20"/>
                <w:szCs w:val="20"/>
              </w:rPr>
              <w:t>(434,806</w:t>
            </w:r>
          </w:p>
        </w:tc>
        <w:tc>
          <w:tcPr>
            <w:tcW w:w="0" w:type="auto"/>
            <w:shd w:val="clear" w:color="auto" w:fill="FFFFFF"/>
            <w:vAlign w:val="bottom"/>
            <w:hideMark/>
          </w:tcPr>
          <w:p w14:paraId="05276F55" w14:textId="77777777" w:rsidR="00000000" w:rsidRDefault="001826C1">
            <w:pPr>
              <w:rPr>
                <w:rFonts w:eastAsia="Times New Roman"/>
                <w:sz w:val="20"/>
                <w:szCs w:val="20"/>
              </w:rPr>
            </w:pPr>
            <w:r>
              <w:rPr>
                <w:rFonts w:eastAsia="Times New Roman"/>
                <w:sz w:val="20"/>
                <w:szCs w:val="20"/>
              </w:rPr>
              <w:t>)</w:t>
            </w:r>
          </w:p>
        </w:tc>
      </w:tr>
      <w:tr w:rsidR="00000000" w14:paraId="4C45A096" w14:textId="77777777">
        <w:tc>
          <w:tcPr>
            <w:tcW w:w="0" w:type="auto"/>
            <w:shd w:val="clear" w:color="auto" w:fill="CCEEFF"/>
            <w:tcMar>
              <w:top w:w="0" w:type="dxa"/>
              <w:left w:w="400" w:type="dxa"/>
              <w:bottom w:w="0" w:type="dxa"/>
              <w:right w:w="0" w:type="dxa"/>
            </w:tcMar>
            <w:vAlign w:val="bottom"/>
            <w:hideMark/>
          </w:tcPr>
          <w:p w14:paraId="3448C713" w14:textId="77777777" w:rsidR="00000000" w:rsidRDefault="001826C1">
            <w:pPr>
              <w:rPr>
                <w:rFonts w:eastAsia="Times New Roman"/>
                <w:sz w:val="20"/>
                <w:szCs w:val="20"/>
              </w:rPr>
            </w:pPr>
            <w:r>
              <w:rPr>
                <w:rFonts w:eastAsia="Times New Roman"/>
                <w:sz w:val="20"/>
                <w:szCs w:val="20"/>
              </w:rPr>
              <w:t xml:space="preserve">Interest accretion </w:t>
            </w:r>
          </w:p>
        </w:tc>
        <w:tc>
          <w:tcPr>
            <w:tcW w:w="0" w:type="auto"/>
            <w:shd w:val="clear" w:color="auto" w:fill="CCEEFF"/>
            <w:vAlign w:val="bottom"/>
            <w:hideMark/>
          </w:tcPr>
          <w:p w14:paraId="670A02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0A6B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1B246" w14:textId="77777777" w:rsidR="00000000" w:rsidRDefault="001826C1">
            <w:pPr>
              <w:jc w:val="right"/>
              <w:rPr>
                <w:rFonts w:eastAsia="Times New Roman"/>
                <w:sz w:val="20"/>
                <w:szCs w:val="20"/>
              </w:rPr>
            </w:pPr>
            <w:r>
              <w:rPr>
                <w:rFonts w:eastAsia="Times New Roman"/>
                <w:sz w:val="20"/>
                <w:szCs w:val="20"/>
              </w:rPr>
              <w:t>497,598</w:t>
            </w:r>
          </w:p>
        </w:tc>
        <w:tc>
          <w:tcPr>
            <w:tcW w:w="0" w:type="auto"/>
            <w:shd w:val="clear" w:color="auto" w:fill="CCEEFF"/>
            <w:vAlign w:val="bottom"/>
            <w:hideMark/>
          </w:tcPr>
          <w:p w14:paraId="7FB10C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4811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DB9A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B6993F" w14:textId="77777777" w:rsidR="00000000" w:rsidRDefault="001826C1">
            <w:pPr>
              <w:jc w:val="right"/>
              <w:rPr>
                <w:rFonts w:eastAsia="Times New Roman"/>
                <w:sz w:val="20"/>
                <w:szCs w:val="20"/>
              </w:rPr>
            </w:pPr>
            <w:r>
              <w:rPr>
                <w:rFonts w:eastAsia="Times New Roman"/>
                <w:sz w:val="20"/>
                <w:szCs w:val="20"/>
              </w:rPr>
              <w:t>191,065</w:t>
            </w:r>
          </w:p>
        </w:tc>
        <w:tc>
          <w:tcPr>
            <w:tcW w:w="0" w:type="auto"/>
            <w:shd w:val="clear" w:color="auto" w:fill="CCEEFF"/>
            <w:vAlign w:val="bottom"/>
            <w:hideMark/>
          </w:tcPr>
          <w:p w14:paraId="4C21EB1D" w14:textId="77777777" w:rsidR="00000000" w:rsidRDefault="001826C1">
            <w:pPr>
              <w:rPr>
                <w:rFonts w:eastAsia="Times New Roman"/>
                <w:sz w:val="20"/>
                <w:szCs w:val="20"/>
              </w:rPr>
            </w:pPr>
            <w:r>
              <w:rPr>
                <w:rFonts w:eastAsia="Times New Roman"/>
                <w:sz w:val="20"/>
                <w:szCs w:val="20"/>
              </w:rPr>
              <w:t> </w:t>
            </w:r>
          </w:p>
        </w:tc>
      </w:tr>
      <w:tr w:rsidR="00000000" w14:paraId="2E1DC664" w14:textId="77777777">
        <w:tc>
          <w:tcPr>
            <w:tcW w:w="0" w:type="auto"/>
            <w:shd w:val="clear" w:color="auto" w:fill="FFFFFF"/>
            <w:tcMar>
              <w:top w:w="0" w:type="dxa"/>
              <w:left w:w="400" w:type="dxa"/>
              <w:bottom w:w="0" w:type="dxa"/>
              <w:right w:w="0" w:type="dxa"/>
            </w:tcMar>
            <w:vAlign w:val="bottom"/>
            <w:hideMark/>
          </w:tcPr>
          <w:p w14:paraId="262E674C" w14:textId="77777777" w:rsidR="00000000" w:rsidRDefault="001826C1">
            <w:pPr>
              <w:rPr>
                <w:rFonts w:eastAsia="Times New Roman"/>
                <w:sz w:val="20"/>
                <w:szCs w:val="20"/>
              </w:rPr>
            </w:pPr>
            <w:r>
              <w:rPr>
                <w:rFonts w:eastAsia="Times New Roman"/>
                <w:sz w:val="20"/>
                <w:szCs w:val="20"/>
              </w:rPr>
              <w:t xml:space="preserve">Gain on sale of assets </w:t>
            </w:r>
          </w:p>
        </w:tc>
        <w:tc>
          <w:tcPr>
            <w:tcW w:w="0" w:type="auto"/>
            <w:shd w:val="clear" w:color="auto" w:fill="FFFFFF"/>
            <w:vAlign w:val="bottom"/>
            <w:hideMark/>
          </w:tcPr>
          <w:p w14:paraId="5D3D89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BFABA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2865FC" w14:textId="77777777" w:rsidR="00000000" w:rsidRDefault="001826C1">
            <w:pPr>
              <w:jc w:val="right"/>
              <w:rPr>
                <w:rFonts w:eastAsia="Times New Roman"/>
                <w:sz w:val="20"/>
                <w:szCs w:val="20"/>
              </w:rPr>
            </w:pPr>
            <w:r>
              <w:rPr>
                <w:rFonts w:eastAsia="Times New Roman"/>
                <w:sz w:val="20"/>
                <w:szCs w:val="20"/>
              </w:rPr>
              <w:t>(38,388</w:t>
            </w:r>
          </w:p>
        </w:tc>
        <w:tc>
          <w:tcPr>
            <w:tcW w:w="0" w:type="auto"/>
            <w:shd w:val="clear" w:color="auto" w:fill="FFFFFF"/>
            <w:vAlign w:val="bottom"/>
            <w:hideMark/>
          </w:tcPr>
          <w:p w14:paraId="28DD18E4"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51099F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EFE80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A651E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5A1E012" w14:textId="77777777" w:rsidR="00000000" w:rsidRDefault="001826C1">
            <w:pPr>
              <w:rPr>
                <w:rFonts w:eastAsia="Times New Roman"/>
                <w:sz w:val="20"/>
                <w:szCs w:val="20"/>
              </w:rPr>
            </w:pPr>
            <w:r>
              <w:rPr>
                <w:rFonts w:eastAsia="Times New Roman"/>
                <w:sz w:val="20"/>
                <w:szCs w:val="20"/>
              </w:rPr>
              <w:t> </w:t>
            </w:r>
          </w:p>
        </w:tc>
      </w:tr>
      <w:tr w:rsidR="00000000" w14:paraId="7FAB0E91" w14:textId="77777777">
        <w:tc>
          <w:tcPr>
            <w:tcW w:w="0" w:type="auto"/>
            <w:shd w:val="clear" w:color="auto" w:fill="CCEEFF"/>
            <w:tcMar>
              <w:top w:w="0" w:type="dxa"/>
              <w:left w:w="400" w:type="dxa"/>
              <w:bottom w:w="0" w:type="dxa"/>
              <w:right w:w="0" w:type="dxa"/>
            </w:tcMar>
            <w:vAlign w:val="bottom"/>
            <w:hideMark/>
          </w:tcPr>
          <w:p w14:paraId="4750B87A" w14:textId="77777777" w:rsidR="00000000" w:rsidRDefault="001826C1">
            <w:pPr>
              <w:rPr>
                <w:rFonts w:eastAsia="Times New Roman"/>
                <w:sz w:val="20"/>
                <w:szCs w:val="20"/>
              </w:rPr>
            </w:pPr>
            <w:r>
              <w:rPr>
                <w:rFonts w:eastAsia="Times New Roman"/>
                <w:sz w:val="20"/>
                <w:szCs w:val="20"/>
              </w:rPr>
              <w:t xml:space="preserve">Stock-based compensation expense </w:t>
            </w:r>
          </w:p>
        </w:tc>
        <w:tc>
          <w:tcPr>
            <w:tcW w:w="0" w:type="auto"/>
            <w:shd w:val="clear" w:color="auto" w:fill="CCEEFF"/>
            <w:vAlign w:val="bottom"/>
            <w:hideMark/>
          </w:tcPr>
          <w:p w14:paraId="7EC20B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3ECA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F2C8E3" w14:textId="77777777" w:rsidR="00000000" w:rsidRDefault="001826C1">
            <w:pPr>
              <w:jc w:val="right"/>
              <w:rPr>
                <w:rFonts w:eastAsia="Times New Roman"/>
                <w:sz w:val="20"/>
                <w:szCs w:val="20"/>
              </w:rPr>
            </w:pPr>
            <w:r>
              <w:rPr>
                <w:rFonts w:eastAsia="Times New Roman"/>
                <w:sz w:val="20"/>
                <w:szCs w:val="20"/>
              </w:rPr>
              <w:t>3,215,661</w:t>
            </w:r>
          </w:p>
        </w:tc>
        <w:tc>
          <w:tcPr>
            <w:tcW w:w="0" w:type="auto"/>
            <w:shd w:val="clear" w:color="auto" w:fill="CCEEFF"/>
            <w:vAlign w:val="bottom"/>
            <w:hideMark/>
          </w:tcPr>
          <w:p w14:paraId="7111652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63A9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5DC27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F95180" w14:textId="77777777" w:rsidR="00000000" w:rsidRDefault="001826C1">
            <w:pPr>
              <w:jc w:val="right"/>
              <w:rPr>
                <w:rFonts w:eastAsia="Times New Roman"/>
                <w:sz w:val="20"/>
                <w:szCs w:val="20"/>
              </w:rPr>
            </w:pPr>
            <w:r>
              <w:rPr>
                <w:rFonts w:eastAsia="Times New Roman"/>
                <w:sz w:val="20"/>
                <w:szCs w:val="20"/>
              </w:rPr>
              <w:t>2,463,599</w:t>
            </w:r>
          </w:p>
        </w:tc>
        <w:tc>
          <w:tcPr>
            <w:tcW w:w="0" w:type="auto"/>
            <w:shd w:val="clear" w:color="auto" w:fill="CCEEFF"/>
            <w:vAlign w:val="bottom"/>
            <w:hideMark/>
          </w:tcPr>
          <w:p w14:paraId="4BB87D48" w14:textId="77777777" w:rsidR="00000000" w:rsidRDefault="001826C1">
            <w:pPr>
              <w:rPr>
                <w:rFonts w:eastAsia="Times New Roman"/>
                <w:sz w:val="20"/>
                <w:szCs w:val="20"/>
              </w:rPr>
            </w:pPr>
            <w:r>
              <w:rPr>
                <w:rFonts w:eastAsia="Times New Roman"/>
                <w:sz w:val="20"/>
                <w:szCs w:val="20"/>
              </w:rPr>
              <w:t> </w:t>
            </w:r>
          </w:p>
        </w:tc>
      </w:tr>
      <w:tr w:rsidR="00000000" w14:paraId="671CDF5A" w14:textId="77777777">
        <w:tc>
          <w:tcPr>
            <w:tcW w:w="0" w:type="auto"/>
            <w:shd w:val="clear" w:color="auto" w:fill="FFFFFF"/>
            <w:tcMar>
              <w:top w:w="0" w:type="dxa"/>
              <w:left w:w="400" w:type="dxa"/>
              <w:bottom w:w="0" w:type="dxa"/>
              <w:right w:w="0" w:type="dxa"/>
            </w:tcMar>
            <w:vAlign w:val="bottom"/>
            <w:hideMark/>
          </w:tcPr>
          <w:p w14:paraId="605AC197" w14:textId="77777777" w:rsidR="00000000" w:rsidRDefault="001826C1">
            <w:pPr>
              <w:rPr>
                <w:rFonts w:eastAsia="Times New Roman"/>
                <w:sz w:val="20"/>
                <w:szCs w:val="20"/>
              </w:rPr>
            </w:pPr>
            <w:r>
              <w:rPr>
                <w:rFonts w:eastAsia="Times New Roman"/>
                <w:sz w:val="20"/>
                <w:szCs w:val="20"/>
              </w:rPr>
              <w:t xml:space="preserve">Change in contingent consideration </w:t>
            </w:r>
          </w:p>
        </w:tc>
        <w:tc>
          <w:tcPr>
            <w:tcW w:w="0" w:type="auto"/>
            <w:shd w:val="clear" w:color="auto" w:fill="FFFFFF"/>
            <w:vAlign w:val="bottom"/>
            <w:hideMark/>
          </w:tcPr>
          <w:p w14:paraId="14C1B3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1E28B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0C9886" w14:textId="77777777" w:rsidR="00000000" w:rsidRDefault="001826C1">
            <w:pPr>
              <w:jc w:val="right"/>
              <w:rPr>
                <w:rFonts w:eastAsia="Times New Roman"/>
                <w:sz w:val="20"/>
                <w:szCs w:val="20"/>
              </w:rPr>
            </w:pPr>
            <w:r>
              <w:rPr>
                <w:rFonts w:eastAsia="Times New Roman"/>
                <w:sz w:val="20"/>
                <w:szCs w:val="20"/>
              </w:rPr>
              <w:t>(343,768</w:t>
            </w:r>
          </w:p>
        </w:tc>
        <w:tc>
          <w:tcPr>
            <w:tcW w:w="0" w:type="auto"/>
            <w:shd w:val="clear" w:color="auto" w:fill="FFFFFF"/>
            <w:vAlign w:val="bottom"/>
            <w:hideMark/>
          </w:tcPr>
          <w:p w14:paraId="34440E5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1E617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2A61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EFB2B4" w14:textId="77777777" w:rsidR="00000000" w:rsidRDefault="001826C1">
            <w:pPr>
              <w:jc w:val="right"/>
              <w:rPr>
                <w:rFonts w:eastAsia="Times New Roman"/>
                <w:sz w:val="20"/>
                <w:szCs w:val="20"/>
              </w:rPr>
            </w:pPr>
            <w:r>
              <w:rPr>
                <w:rFonts w:eastAsia="Times New Roman"/>
                <w:sz w:val="20"/>
                <w:szCs w:val="20"/>
              </w:rPr>
              <w:t>73,271</w:t>
            </w:r>
          </w:p>
        </w:tc>
        <w:tc>
          <w:tcPr>
            <w:tcW w:w="0" w:type="auto"/>
            <w:shd w:val="clear" w:color="auto" w:fill="FFFFFF"/>
            <w:vAlign w:val="bottom"/>
            <w:hideMark/>
          </w:tcPr>
          <w:p w14:paraId="65A78818" w14:textId="77777777" w:rsidR="00000000" w:rsidRDefault="001826C1">
            <w:pPr>
              <w:rPr>
                <w:rFonts w:eastAsia="Times New Roman"/>
                <w:sz w:val="20"/>
                <w:szCs w:val="20"/>
              </w:rPr>
            </w:pPr>
            <w:r>
              <w:rPr>
                <w:rFonts w:eastAsia="Times New Roman"/>
                <w:sz w:val="20"/>
                <w:szCs w:val="20"/>
              </w:rPr>
              <w:t> </w:t>
            </w:r>
          </w:p>
        </w:tc>
      </w:tr>
      <w:tr w:rsidR="00000000" w14:paraId="473FA6FA" w14:textId="77777777">
        <w:tc>
          <w:tcPr>
            <w:tcW w:w="0" w:type="auto"/>
            <w:shd w:val="clear" w:color="auto" w:fill="CCEEFF"/>
            <w:tcMar>
              <w:top w:w="0" w:type="dxa"/>
              <w:left w:w="400" w:type="dxa"/>
              <w:bottom w:w="0" w:type="dxa"/>
              <w:right w:w="0" w:type="dxa"/>
            </w:tcMar>
            <w:vAlign w:val="bottom"/>
            <w:hideMark/>
          </w:tcPr>
          <w:p w14:paraId="59B16958" w14:textId="77777777" w:rsidR="00000000" w:rsidRDefault="001826C1">
            <w:pPr>
              <w:rPr>
                <w:rFonts w:eastAsia="Times New Roman"/>
                <w:sz w:val="20"/>
                <w:szCs w:val="20"/>
              </w:rPr>
            </w:pPr>
            <w:r>
              <w:rPr>
                <w:rFonts w:eastAsia="Times New Roman"/>
                <w:sz w:val="20"/>
                <w:szCs w:val="20"/>
              </w:rPr>
              <w:t xml:space="preserve">Changes in operating assets and liabilities, net of businesses acquired: </w:t>
            </w:r>
          </w:p>
        </w:tc>
        <w:tc>
          <w:tcPr>
            <w:tcW w:w="0" w:type="auto"/>
            <w:shd w:val="clear" w:color="auto" w:fill="CCEEFF"/>
            <w:vAlign w:val="bottom"/>
            <w:hideMark/>
          </w:tcPr>
          <w:p w14:paraId="062333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6E45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681E10"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95609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B39A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B77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C335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49B5CB0" w14:textId="77777777" w:rsidR="00000000" w:rsidRDefault="001826C1">
            <w:pPr>
              <w:rPr>
                <w:rFonts w:eastAsia="Times New Roman"/>
                <w:sz w:val="20"/>
                <w:szCs w:val="20"/>
              </w:rPr>
            </w:pPr>
            <w:r>
              <w:rPr>
                <w:rFonts w:eastAsia="Times New Roman"/>
                <w:sz w:val="20"/>
                <w:szCs w:val="20"/>
              </w:rPr>
              <w:t> </w:t>
            </w:r>
          </w:p>
        </w:tc>
      </w:tr>
      <w:tr w:rsidR="00000000" w14:paraId="6D876B8D" w14:textId="77777777">
        <w:tc>
          <w:tcPr>
            <w:tcW w:w="0" w:type="auto"/>
            <w:shd w:val="clear" w:color="auto" w:fill="FFFFFF"/>
            <w:tcMar>
              <w:top w:w="0" w:type="dxa"/>
              <w:left w:w="600" w:type="dxa"/>
              <w:bottom w:w="0" w:type="dxa"/>
              <w:right w:w="0" w:type="dxa"/>
            </w:tcMar>
            <w:vAlign w:val="bottom"/>
            <w:hideMark/>
          </w:tcPr>
          <w:p w14:paraId="6FF592E5" w14:textId="77777777" w:rsidR="00000000" w:rsidRDefault="001826C1">
            <w:pPr>
              <w:rPr>
                <w:rFonts w:eastAsia="Times New Roman"/>
                <w:sz w:val="20"/>
                <w:szCs w:val="20"/>
              </w:rPr>
            </w:pPr>
            <w:r>
              <w:rPr>
                <w:rFonts w:eastAsia="Times New Roman"/>
                <w:sz w:val="20"/>
                <w:szCs w:val="20"/>
              </w:rPr>
              <w:t xml:space="preserve">Accounts receivable </w:t>
            </w:r>
          </w:p>
        </w:tc>
        <w:tc>
          <w:tcPr>
            <w:tcW w:w="0" w:type="auto"/>
            <w:shd w:val="clear" w:color="auto" w:fill="FFFFFF"/>
            <w:vAlign w:val="bottom"/>
            <w:hideMark/>
          </w:tcPr>
          <w:p w14:paraId="3B113F5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B8F3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6E0CF1" w14:textId="77777777" w:rsidR="00000000" w:rsidRDefault="001826C1">
            <w:pPr>
              <w:jc w:val="right"/>
              <w:rPr>
                <w:rFonts w:eastAsia="Times New Roman"/>
                <w:sz w:val="20"/>
                <w:szCs w:val="20"/>
              </w:rPr>
            </w:pPr>
            <w:r>
              <w:rPr>
                <w:rFonts w:eastAsia="Times New Roman"/>
                <w:sz w:val="20"/>
                <w:szCs w:val="20"/>
              </w:rPr>
              <w:t>765,079</w:t>
            </w:r>
          </w:p>
        </w:tc>
        <w:tc>
          <w:tcPr>
            <w:tcW w:w="0" w:type="auto"/>
            <w:shd w:val="clear" w:color="auto" w:fill="FFFFFF"/>
            <w:vAlign w:val="bottom"/>
            <w:hideMark/>
          </w:tcPr>
          <w:p w14:paraId="39F32A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B73B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06CD5D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558E3F" w14:textId="77777777" w:rsidR="00000000" w:rsidRDefault="001826C1">
            <w:pPr>
              <w:jc w:val="right"/>
              <w:rPr>
                <w:rFonts w:eastAsia="Times New Roman"/>
                <w:sz w:val="20"/>
                <w:szCs w:val="20"/>
              </w:rPr>
            </w:pPr>
            <w:r>
              <w:rPr>
                <w:rFonts w:eastAsia="Times New Roman"/>
                <w:sz w:val="20"/>
                <w:szCs w:val="20"/>
              </w:rPr>
              <w:t>1,479,297</w:t>
            </w:r>
          </w:p>
        </w:tc>
        <w:tc>
          <w:tcPr>
            <w:tcW w:w="0" w:type="auto"/>
            <w:shd w:val="clear" w:color="auto" w:fill="FFFFFF"/>
            <w:vAlign w:val="bottom"/>
            <w:hideMark/>
          </w:tcPr>
          <w:p w14:paraId="3F3EF69B" w14:textId="77777777" w:rsidR="00000000" w:rsidRDefault="001826C1">
            <w:pPr>
              <w:rPr>
                <w:rFonts w:eastAsia="Times New Roman"/>
                <w:sz w:val="20"/>
                <w:szCs w:val="20"/>
              </w:rPr>
            </w:pPr>
            <w:r>
              <w:rPr>
                <w:rFonts w:eastAsia="Times New Roman"/>
                <w:sz w:val="20"/>
                <w:szCs w:val="20"/>
              </w:rPr>
              <w:t> </w:t>
            </w:r>
          </w:p>
        </w:tc>
      </w:tr>
      <w:tr w:rsidR="00000000" w14:paraId="4D3E0E66" w14:textId="77777777">
        <w:tc>
          <w:tcPr>
            <w:tcW w:w="0" w:type="auto"/>
            <w:shd w:val="clear" w:color="auto" w:fill="CCEEFF"/>
            <w:tcMar>
              <w:top w:w="0" w:type="dxa"/>
              <w:left w:w="600" w:type="dxa"/>
              <w:bottom w:w="0" w:type="dxa"/>
              <w:right w:w="0" w:type="dxa"/>
            </w:tcMar>
            <w:vAlign w:val="bottom"/>
            <w:hideMark/>
          </w:tcPr>
          <w:p w14:paraId="7F35F8DB" w14:textId="77777777" w:rsidR="00000000" w:rsidRDefault="001826C1">
            <w:pPr>
              <w:rPr>
                <w:rFonts w:eastAsia="Times New Roman"/>
                <w:sz w:val="20"/>
                <w:szCs w:val="20"/>
              </w:rPr>
            </w:pPr>
            <w:r>
              <w:rPr>
                <w:rFonts w:eastAsia="Times New Roman"/>
                <w:sz w:val="20"/>
                <w:szCs w:val="20"/>
              </w:rPr>
              <w:t xml:space="preserve">Contract asset </w:t>
            </w:r>
          </w:p>
        </w:tc>
        <w:tc>
          <w:tcPr>
            <w:tcW w:w="0" w:type="auto"/>
            <w:shd w:val="clear" w:color="auto" w:fill="CCEEFF"/>
            <w:vAlign w:val="bottom"/>
            <w:hideMark/>
          </w:tcPr>
          <w:p w14:paraId="5498D47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1C54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DB74E8" w14:textId="77777777" w:rsidR="00000000" w:rsidRDefault="001826C1">
            <w:pPr>
              <w:jc w:val="right"/>
              <w:rPr>
                <w:rFonts w:eastAsia="Times New Roman"/>
                <w:sz w:val="20"/>
                <w:szCs w:val="20"/>
              </w:rPr>
            </w:pPr>
            <w:r>
              <w:rPr>
                <w:rFonts w:eastAsia="Times New Roman"/>
                <w:sz w:val="20"/>
                <w:szCs w:val="20"/>
              </w:rPr>
              <w:t>362,466</w:t>
            </w:r>
          </w:p>
        </w:tc>
        <w:tc>
          <w:tcPr>
            <w:tcW w:w="0" w:type="auto"/>
            <w:shd w:val="clear" w:color="auto" w:fill="CCEEFF"/>
            <w:vAlign w:val="bottom"/>
            <w:hideMark/>
          </w:tcPr>
          <w:p w14:paraId="092094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F5FF4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5030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606354" w14:textId="77777777" w:rsidR="00000000" w:rsidRDefault="001826C1">
            <w:pPr>
              <w:jc w:val="right"/>
              <w:rPr>
                <w:rFonts w:eastAsia="Times New Roman"/>
                <w:sz w:val="20"/>
                <w:szCs w:val="20"/>
              </w:rPr>
            </w:pPr>
            <w:r>
              <w:rPr>
                <w:rFonts w:eastAsia="Times New Roman"/>
                <w:sz w:val="20"/>
                <w:szCs w:val="20"/>
              </w:rPr>
              <w:t>(404,598</w:t>
            </w:r>
          </w:p>
        </w:tc>
        <w:tc>
          <w:tcPr>
            <w:tcW w:w="0" w:type="auto"/>
            <w:shd w:val="clear" w:color="auto" w:fill="CCEEFF"/>
            <w:vAlign w:val="bottom"/>
            <w:hideMark/>
          </w:tcPr>
          <w:p w14:paraId="4CCF7165" w14:textId="77777777" w:rsidR="00000000" w:rsidRDefault="001826C1">
            <w:pPr>
              <w:rPr>
                <w:rFonts w:eastAsia="Times New Roman"/>
                <w:sz w:val="20"/>
                <w:szCs w:val="20"/>
              </w:rPr>
            </w:pPr>
            <w:r>
              <w:rPr>
                <w:rFonts w:eastAsia="Times New Roman"/>
                <w:sz w:val="20"/>
                <w:szCs w:val="20"/>
              </w:rPr>
              <w:t>)</w:t>
            </w:r>
          </w:p>
        </w:tc>
      </w:tr>
      <w:tr w:rsidR="00000000" w14:paraId="42EAE504" w14:textId="77777777">
        <w:tc>
          <w:tcPr>
            <w:tcW w:w="0" w:type="auto"/>
            <w:shd w:val="clear" w:color="auto" w:fill="FFFFFF"/>
            <w:tcMar>
              <w:top w:w="0" w:type="dxa"/>
              <w:left w:w="600" w:type="dxa"/>
              <w:bottom w:w="0" w:type="dxa"/>
              <w:right w:w="0" w:type="dxa"/>
            </w:tcMar>
            <w:vAlign w:val="bottom"/>
            <w:hideMark/>
          </w:tcPr>
          <w:p w14:paraId="60BB4FAC" w14:textId="77777777" w:rsidR="00000000" w:rsidRDefault="001826C1">
            <w:pPr>
              <w:rPr>
                <w:rFonts w:eastAsia="Times New Roman"/>
                <w:sz w:val="20"/>
                <w:szCs w:val="20"/>
              </w:rPr>
            </w:pPr>
            <w:r>
              <w:rPr>
                <w:rFonts w:eastAsia="Times New Roman"/>
                <w:sz w:val="20"/>
                <w:szCs w:val="20"/>
              </w:rPr>
              <w:t xml:space="preserve">Inventory </w:t>
            </w:r>
          </w:p>
        </w:tc>
        <w:tc>
          <w:tcPr>
            <w:tcW w:w="0" w:type="auto"/>
            <w:shd w:val="clear" w:color="auto" w:fill="FFFFFF"/>
            <w:vAlign w:val="bottom"/>
            <w:hideMark/>
          </w:tcPr>
          <w:p w14:paraId="0CEC538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4E08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A67DB8" w14:textId="77777777" w:rsidR="00000000" w:rsidRDefault="001826C1">
            <w:pPr>
              <w:jc w:val="right"/>
              <w:rPr>
                <w:rFonts w:eastAsia="Times New Roman"/>
                <w:sz w:val="20"/>
                <w:szCs w:val="20"/>
              </w:rPr>
            </w:pPr>
            <w:r>
              <w:rPr>
                <w:rFonts w:eastAsia="Times New Roman"/>
                <w:sz w:val="20"/>
                <w:szCs w:val="20"/>
              </w:rPr>
              <w:t>(46,651</w:t>
            </w:r>
          </w:p>
        </w:tc>
        <w:tc>
          <w:tcPr>
            <w:tcW w:w="0" w:type="auto"/>
            <w:shd w:val="clear" w:color="auto" w:fill="FFFFFF"/>
            <w:vAlign w:val="bottom"/>
            <w:hideMark/>
          </w:tcPr>
          <w:p w14:paraId="5331A4D4"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28D40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F2D5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7DBD0" w14:textId="77777777" w:rsidR="00000000" w:rsidRDefault="001826C1">
            <w:pPr>
              <w:jc w:val="right"/>
              <w:rPr>
                <w:rFonts w:eastAsia="Times New Roman"/>
                <w:sz w:val="20"/>
                <w:szCs w:val="20"/>
              </w:rPr>
            </w:pPr>
            <w:r>
              <w:rPr>
                <w:rFonts w:eastAsia="Times New Roman"/>
                <w:sz w:val="20"/>
                <w:szCs w:val="20"/>
              </w:rPr>
              <w:t>(137,159</w:t>
            </w:r>
          </w:p>
        </w:tc>
        <w:tc>
          <w:tcPr>
            <w:tcW w:w="0" w:type="auto"/>
            <w:shd w:val="clear" w:color="auto" w:fill="FFFFFF"/>
            <w:vAlign w:val="bottom"/>
            <w:hideMark/>
          </w:tcPr>
          <w:p w14:paraId="2CB8A6FC" w14:textId="77777777" w:rsidR="00000000" w:rsidRDefault="001826C1">
            <w:pPr>
              <w:rPr>
                <w:rFonts w:eastAsia="Times New Roman"/>
                <w:sz w:val="20"/>
                <w:szCs w:val="20"/>
              </w:rPr>
            </w:pPr>
            <w:r>
              <w:rPr>
                <w:rFonts w:eastAsia="Times New Roman"/>
                <w:sz w:val="20"/>
                <w:szCs w:val="20"/>
              </w:rPr>
              <w:t>)</w:t>
            </w:r>
          </w:p>
        </w:tc>
      </w:tr>
      <w:tr w:rsidR="00000000" w14:paraId="5A15697E" w14:textId="77777777">
        <w:tc>
          <w:tcPr>
            <w:tcW w:w="0" w:type="auto"/>
            <w:shd w:val="clear" w:color="auto" w:fill="CCEEFF"/>
            <w:tcMar>
              <w:top w:w="0" w:type="dxa"/>
              <w:left w:w="600" w:type="dxa"/>
              <w:bottom w:w="0" w:type="dxa"/>
              <w:right w:w="0" w:type="dxa"/>
            </w:tcMar>
            <w:vAlign w:val="bottom"/>
            <w:hideMark/>
          </w:tcPr>
          <w:p w14:paraId="4860B1A1" w14:textId="77777777" w:rsidR="00000000" w:rsidRDefault="001826C1">
            <w:pPr>
              <w:rPr>
                <w:rFonts w:eastAsia="Times New Roman"/>
                <w:sz w:val="20"/>
                <w:szCs w:val="20"/>
              </w:rPr>
            </w:pPr>
            <w:r>
              <w:rPr>
                <w:rFonts w:eastAsia="Times New Roman"/>
                <w:sz w:val="20"/>
                <w:szCs w:val="20"/>
              </w:rPr>
              <w:t xml:space="preserve">Other assets </w:t>
            </w:r>
          </w:p>
        </w:tc>
        <w:tc>
          <w:tcPr>
            <w:tcW w:w="0" w:type="auto"/>
            <w:shd w:val="clear" w:color="auto" w:fill="CCEEFF"/>
            <w:vAlign w:val="bottom"/>
            <w:hideMark/>
          </w:tcPr>
          <w:p w14:paraId="408B4B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EB8B4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4BCD27" w14:textId="77777777" w:rsidR="00000000" w:rsidRDefault="001826C1">
            <w:pPr>
              <w:jc w:val="right"/>
              <w:rPr>
                <w:rFonts w:eastAsia="Times New Roman"/>
                <w:sz w:val="20"/>
                <w:szCs w:val="20"/>
              </w:rPr>
            </w:pPr>
            <w:r>
              <w:rPr>
                <w:rFonts w:eastAsia="Times New Roman"/>
                <w:sz w:val="20"/>
                <w:szCs w:val="20"/>
              </w:rPr>
              <w:t>(529,345</w:t>
            </w:r>
          </w:p>
        </w:tc>
        <w:tc>
          <w:tcPr>
            <w:tcW w:w="0" w:type="auto"/>
            <w:shd w:val="clear" w:color="auto" w:fill="CCEEFF"/>
            <w:vAlign w:val="bottom"/>
            <w:hideMark/>
          </w:tcPr>
          <w:p w14:paraId="6C0A5C9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48FA7D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77F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4052A1" w14:textId="77777777" w:rsidR="00000000" w:rsidRDefault="001826C1">
            <w:pPr>
              <w:jc w:val="right"/>
              <w:rPr>
                <w:rFonts w:eastAsia="Times New Roman"/>
                <w:sz w:val="20"/>
                <w:szCs w:val="20"/>
              </w:rPr>
            </w:pPr>
            <w:r>
              <w:rPr>
                <w:rFonts w:eastAsia="Times New Roman"/>
                <w:sz w:val="20"/>
                <w:szCs w:val="20"/>
              </w:rPr>
              <w:t>248,347</w:t>
            </w:r>
          </w:p>
        </w:tc>
        <w:tc>
          <w:tcPr>
            <w:tcW w:w="0" w:type="auto"/>
            <w:shd w:val="clear" w:color="auto" w:fill="CCEEFF"/>
            <w:vAlign w:val="bottom"/>
            <w:hideMark/>
          </w:tcPr>
          <w:p w14:paraId="12AEE1B4" w14:textId="77777777" w:rsidR="00000000" w:rsidRDefault="001826C1">
            <w:pPr>
              <w:rPr>
                <w:rFonts w:eastAsia="Times New Roman"/>
                <w:sz w:val="20"/>
                <w:szCs w:val="20"/>
              </w:rPr>
            </w:pPr>
            <w:r>
              <w:rPr>
                <w:rFonts w:eastAsia="Times New Roman"/>
                <w:sz w:val="20"/>
                <w:szCs w:val="20"/>
              </w:rPr>
              <w:t> </w:t>
            </w:r>
          </w:p>
        </w:tc>
      </w:tr>
      <w:tr w:rsidR="00000000" w14:paraId="04787515" w14:textId="77777777">
        <w:tc>
          <w:tcPr>
            <w:tcW w:w="0" w:type="auto"/>
            <w:shd w:val="clear" w:color="auto" w:fill="FFFFFF"/>
            <w:tcMar>
              <w:top w:w="0" w:type="dxa"/>
              <w:left w:w="600" w:type="dxa"/>
              <w:bottom w:w="30" w:type="dxa"/>
              <w:right w:w="0" w:type="dxa"/>
            </w:tcMar>
            <w:vAlign w:val="bottom"/>
            <w:hideMark/>
          </w:tcPr>
          <w:p w14:paraId="027CDBF9" w14:textId="77777777" w:rsidR="00000000" w:rsidRDefault="001826C1">
            <w:pPr>
              <w:rPr>
                <w:rFonts w:eastAsia="Times New Roman"/>
                <w:sz w:val="20"/>
                <w:szCs w:val="20"/>
              </w:rPr>
            </w:pPr>
            <w:r>
              <w:rPr>
                <w:rFonts w:eastAsia="Times New Roman"/>
                <w:sz w:val="20"/>
                <w:szCs w:val="20"/>
              </w:rPr>
              <w:t xml:space="preserve">Accounts payable and other liabilities </w:t>
            </w:r>
          </w:p>
        </w:tc>
        <w:tc>
          <w:tcPr>
            <w:tcW w:w="0" w:type="auto"/>
            <w:shd w:val="clear" w:color="auto" w:fill="FFFFFF"/>
            <w:tcMar>
              <w:top w:w="0" w:type="dxa"/>
              <w:left w:w="0" w:type="dxa"/>
              <w:bottom w:w="30" w:type="dxa"/>
              <w:right w:w="0" w:type="dxa"/>
            </w:tcMar>
            <w:vAlign w:val="bottom"/>
            <w:hideMark/>
          </w:tcPr>
          <w:p w14:paraId="0B0F80B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CCA2BE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303F117" w14:textId="77777777" w:rsidR="00000000" w:rsidRDefault="001826C1">
            <w:pPr>
              <w:jc w:val="right"/>
              <w:rPr>
                <w:rFonts w:eastAsia="Times New Roman"/>
                <w:sz w:val="20"/>
                <w:szCs w:val="20"/>
              </w:rPr>
            </w:pPr>
            <w:r>
              <w:rPr>
                <w:rFonts w:eastAsia="Times New Roman"/>
                <w:sz w:val="20"/>
                <w:szCs w:val="20"/>
              </w:rPr>
              <w:t>(1,372,239</w:t>
            </w:r>
          </w:p>
        </w:tc>
        <w:tc>
          <w:tcPr>
            <w:tcW w:w="0" w:type="auto"/>
            <w:shd w:val="clear" w:color="auto" w:fill="FFFFFF"/>
            <w:tcMar>
              <w:top w:w="0" w:type="dxa"/>
              <w:left w:w="0" w:type="dxa"/>
              <w:bottom w:w="30" w:type="dxa"/>
              <w:right w:w="0" w:type="dxa"/>
            </w:tcMar>
            <w:vAlign w:val="bottom"/>
            <w:hideMark/>
          </w:tcPr>
          <w:p w14:paraId="6944CD5B"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F86F94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15A46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51098B" w14:textId="77777777" w:rsidR="00000000" w:rsidRDefault="001826C1">
            <w:pPr>
              <w:jc w:val="right"/>
              <w:rPr>
                <w:rFonts w:eastAsia="Times New Roman"/>
                <w:sz w:val="20"/>
                <w:szCs w:val="20"/>
              </w:rPr>
            </w:pPr>
            <w:r>
              <w:rPr>
                <w:rFonts w:eastAsia="Times New Roman"/>
                <w:sz w:val="20"/>
                <w:szCs w:val="20"/>
              </w:rPr>
              <w:t>2,149,660</w:t>
            </w:r>
          </w:p>
        </w:tc>
        <w:tc>
          <w:tcPr>
            <w:tcW w:w="0" w:type="auto"/>
            <w:shd w:val="clear" w:color="auto" w:fill="FFFFFF"/>
            <w:tcMar>
              <w:top w:w="0" w:type="dxa"/>
              <w:left w:w="0" w:type="dxa"/>
              <w:bottom w:w="30" w:type="dxa"/>
              <w:right w:w="0" w:type="dxa"/>
            </w:tcMar>
            <w:vAlign w:val="bottom"/>
            <w:hideMark/>
          </w:tcPr>
          <w:p w14:paraId="1CE7D238" w14:textId="77777777" w:rsidR="00000000" w:rsidRDefault="001826C1">
            <w:pPr>
              <w:rPr>
                <w:rFonts w:eastAsia="Times New Roman"/>
                <w:sz w:val="20"/>
                <w:szCs w:val="20"/>
              </w:rPr>
            </w:pPr>
            <w:r>
              <w:rPr>
                <w:rFonts w:eastAsia="Times New Roman"/>
                <w:sz w:val="20"/>
                <w:szCs w:val="20"/>
              </w:rPr>
              <w:t> </w:t>
            </w:r>
          </w:p>
        </w:tc>
      </w:tr>
      <w:tr w:rsidR="00000000" w14:paraId="20321413" w14:textId="77777777">
        <w:tc>
          <w:tcPr>
            <w:tcW w:w="0" w:type="auto"/>
            <w:shd w:val="clear" w:color="auto" w:fill="CCEEFF"/>
            <w:tcMar>
              <w:top w:w="0" w:type="dxa"/>
              <w:left w:w="800" w:type="dxa"/>
              <w:bottom w:w="30" w:type="dxa"/>
              <w:right w:w="0" w:type="dxa"/>
            </w:tcMar>
            <w:vAlign w:val="bottom"/>
            <w:hideMark/>
          </w:tcPr>
          <w:p w14:paraId="1C30513A" w14:textId="77777777" w:rsidR="00000000" w:rsidRDefault="001826C1">
            <w:pPr>
              <w:rPr>
                <w:rFonts w:eastAsia="Times New Roman"/>
                <w:sz w:val="20"/>
                <w:szCs w:val="20"/>
              </w:rPr>
            </w:pPr>
            <w:r>
              <w:rPr>
                <w:rFonts w:eastAsia="Times New Roman"/>
                <w:sz w:val="20"/>
                <w:szCs w:val="20"/>
              </w:rPr>
              <w:t xml:space="preserve">Net cash provided by operating activities </w:t>
            </w:r>
          </w:p>
        </w:tc>
        <w:tc>
          <w:tcPr>
            <w:tcW w:w="0" w:type="auto"/>
            <w:shd w:val="clear" w:color="auto" w:fill="CCEEFF"/>
            <w:tcMar>
              <w:top w:w="0" w:type="dxa"/>
              <w:left w:w="0" w:type="dxa"/>
              <w:bottom w:w="30" w:type="dxa"/>
              <w:right w:w="0" w:type="dxa"/>
            </w:tcMar>
            <w:vAlign w:val="bottom"/>
            <w:hideMark/>
          </w:tcPr>
          <w:p w14:paraId="04A8EEC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DE370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AF1F619" w14:textId="77777777" w:rsidR="00000000" w:rsidRDefault="001826C1">
            <w:pPr>
              <w:jc w:val="right"/>
              <w:rPr>
                <w:rFonts w:eastAsia="Times New Roman"/>
                <w:sz w:val="20"/>
                <w:szCs w:val="20"/>
              </w:rPr>
            </w:pPr>
            <w:r>
              <w:rPr>
                <w:rFonts w:eastAsia="Times New Roman"/>
                <w:sz w:val="20"/>
                <w:szCs w:val="20"/>
              </w:rPr>
              <w:t>7,617,987</w:t>
            </w:r>
          </w:p>
        </w:tc>
        <w:tc>
          <w:tcPr>
            <w:tcW w:w="0" w:type="auto"/>
            <w:shd w:val="clear" w:color="auto" w:fill="CCEEFF"/>
            <w:tcMar>
              <w:top w:w="0" w:type="dxa"/>
              <w:left w:w="0" w:type="dxa"/>
              <w:bottom w:w="30" w:type="dxa"/>
              <w:right w:w="0" w:type="dxa"/>
            </w:tcMar>
            <w:vAlign w:val="bottom"/>
            <w:hideMark/>
          </w:tcPr>
          <w:p w14:paraId="5F7B0A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E4DCBA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8A9DA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5CE3322" w14:textId="77777777" w:rsidR="00000000" w:rsidRDefault="001826C1">
            <w:pPr>
              <w:jc w:val="right"/>
              <w:rPr>
                <w:rFonts w:eastAsia="Times New Roman"/>
                <w:sz w:val="20"/>
                <w:szCs w:val="20"/>
              </w:rPr>
            </w:pPr>
            <w:r>
              <w:rPr>
                <w:rFonts w:eastAsia="Times New Roman"/>
                <w:sz w:val="20"/>
                <w:szCs w:val="20"/>
              </w:rPr>
              <w:t>6,812,474</w:t>
            </w:r>
          </w:p>
        </w:tc>
        <w:tc>
          <w:tcPr>
            <w:tcW w:w="0" w:type="auto"/>
            <w:shd w:val="clear" w:color="auto" w:fill="CCEEFF"/>
            <w:tcMar>
              <w:top w:w="0" w:type="dxa"/>
              <w:left w:w="0" w:type="dxa"/>
              <w:bottom w:w="30" w:type="dxa"/>
              <w:right w:w="0" w:type="dxa"/>
            </w:tcMar>
            <w:vAlign w:val="bottom"/>
            <w:hideMark/>
          </w:tcPr>
          <w:p w14:paraId="428C6CAD" w14:textId="77777777" w:rsidR="00000000" w:rsidRDefault="001826C1">
            <w:pPr>
              <w:rPr>
                <w:rFonts w:eastAsia="Times New Roman"/>
                <w:sz w:val="20"/>
                <w:szCs w:val="20"/>
              </w:rPr>
            </w:pPr>
            <w:r>
              <w:rPr>
                <w:rFonts w:eastAsia="Times New Roman"/>
                <w:sz w:val="20"/>
                <w:szCs w:val="20"/>
              </w:rPr>
              <w:t> </w:t>
            </w:r>
          </w:p>
        </w:tc>
      </w:tr>
      <w:tr w:rsidR="00000000" w14:paraId="4122615B" w14:textId="77777777">
        <w:tc>
          <w:tcPr>
            <w:tcW w:w="0" w:type="auto"/>
            <w:shd w:val="clear" w:color="auto" w:fill="FFFFFF"/>
            <w:tcMar>
              <w:top w:w="0" w:type="dxa"/>
              <w:left w:w="200" w:type="dxa"/>
              <w:bottom w:w="0" w:type="dxa"/>
              <w:right w:w="0" w:type="dxa"/>
            </w:tcMar>
            <w:vAlign w:val="bottom"/>
            <w:hideMark/>
          </w:tcPr>
          <w:p w14:paraId="3C38CD9B" w14:textId="77777777" w:rsidR="00000000" w:rsidRDefault="001826C1">
            <w:pPr>
              <w:rPr>
                <w:rFonts w:eastAsia="Times New Roman"/>
                <w:sz w:val="20"/>
                <w:szCs w:val="20"/>
              </w:rPr>
            </w:pPr>
            <w:r>
              <w:rPr>
                <w:rFonts w:eastAsia="Times New Roman"/>
                <w:sz w:val="20"/>
                <w:szCs w:val="20"/>
              </w:rPr>
              <w:t xml:space="preserve">INVESTING ACTIVITIES: </w:t>
            </w:r>
          </w:p>
        </w:tc>
        <w:tc>
          <w:tcPr>
            <w:tcW w:w="0" w:type="auto"/>
            <w:shd w:val="clear" w:color="auto" w:fill="FFFFFF"/>
            <w:vAlign w:val="bottom"/>
            <w:hideMark/>
          </w:tcPr>
          <w:p w14:paraId="6A348F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79781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8007DF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5EE545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254F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59D5E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6F866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F844A46" w14:textId="77777777" w:rsidR="00000000" w:rsidRDefault="001826C1">
            <w:pPr>
              <w:rPr>
                <w:rFonts w:eastAsia="Times New Roman"/>
                <w:sz w:val="20"/>
                <w:szCs w:val="20"/>
              </w:rPr>
            </w:pPr>
            <w:r>
              <w:rPr>
                <w:rFonts w:eastAsia="Times New Roman"/>
                <w:sz w:val="20"/>
                <w:szCs w:val="20"/>
              </w:rPr>
              <w:t> </w:t>
            </w:r>
          </w:p>
        </w:tc>
      </w:tr>
      <w:tr w:rsidR="00000000" w14:paraId="1807E260" w14:textId="77777777">
        <w:tc>
          <w:tcPr>
            <w:tcW w:w="0" w:type="auto"/>
            <w:shd w:val="clear" w:color="auto" w:fill="CCEEFF"/>
            <w:tcMar>
              <w:top w:w="0" w:type="dxa"/>
              <w:left w:w="400" w:type="dxa"/>
              <w:bottom w:w="0" w:type="dxa"/>
              <w:right w:w="0" w:type="dxa"/>
            </w:tcMar>
            <w:vAlign w:val="bottom"/>
            <w:hideMark/>
          </w:tcPr>
          <w:p w14:paraId="5EFDB8B2" w14:textId="77777777" w:rsidR="00000000" w:rsidRDefault="001826C1">
            <w:pPr>
              <w:rPr>
                <w:rFonts w:eastAsia="Times New Roman"/>
                <w:sz w:val="20"/>
                <w:szCs w:val="20"/>
              </w:rPr>
            </w:pPr>
            <w:r>
              <w:rPr>
                <w:rFonts w:eastAsia="Times New Roman"/>
                <w:sz w:val="20"/>
                <w:szCs w:val="20"/>
              </w:rPr>
              <w:t xml:space="preserve">Capital expenditures and capitalized software, net </w:t>
            </w:r>
          </w:p>
        </w:tc>
        <w:tc>
          <w:tcPr>
            <w:tcW w:w="0" w:type="auto"/>
            <w:shd w:val="clear" w:color="auto" w:fill="CCEEFF"/>
            <w:vAlign w:val="bottom"/>
            <w:hideMark/>
          </w:tcPr>
          <w:p w14:paraId="46A3804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7DB2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2A89D9" w14:textId="77777777" w:rsidR="00000000" w:rsidRDefault="001826C1">
            <w:pPr>
              <w:jc w:val="right"/>
              <w:rPr>
                <w:rFonts w:eastAsia="Times New Roman"/>
                <w:sz w:val="20"/>
                <w:szCs w:val="20"/>
              </w:rPr>
            </w:pPr>
            <w:r>
              <w:rPr>
                <w:rFonts w:eastAsia="Times New Roman"/>
                <w:sz w:val="20"/>
                <w:szCs w:val="20"/>
              </w:rPr>
              <w:t>(2,558,159</w:t>
            </w:r>
          </w:p>
        </w:tc>
        <w:tc>
          <w:tcPr>
            <w:tcW w:w="0" w:type="auto"/>
            <w:shd w:val="clear" w:color="auto" w:fill="CCEEFF"/>
            <w:vAlign w:val="bottom"/>
            <w:hideMark/>
          </w:tcPr>
          <w:p w14:paraId="18F7279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CB5C86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D70D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239882" w14:textId="77777777" w:rsidR="00000000" w:rsidRDefault="001826C1">
            <w:pPr>
              <w:jc w:val="right"/>
              <w:rPr>
                <w:rFonts w:eastAsia="Times New Roman"/>
                <w:sz w:val="20"/>
                <w:szCs w:val="20"/>
              </w:rPr>
            </w:pPr>
            <w:r>
              <w:rPr>
                <w:rFonts w:eastAsia="Times New Roman"/>
                <w:sz w:val="20"/>
                <w:szCs w:val="20"/>
              </w:rPr>
              <w:t>(1,028,249</w:t>
            </w:r>
          </w:p>
        </w:tc>
        <w:tc>
          <w:tcPr>
            <w:tcW w:w="0" w:type="auto"/>
            <w:shd w:val="clear" w:color="auto" w:fill="CCEEFF"/>
            <w:vAlign w:val="bottom"/>
            <w:hideMark/>
          </w:tcPr>
          <w:p w14:paraId="359E614F" w14:textId="77777777" w:rsidR="00000000" w:rsidRDefault="001826C1">
            <w:pPr>
              <w:rPr>
                <w:rFonts w:eastAsia="Times New Roman"/>
                <w:sz w:val="20"/>
                <w:szCs w:val="20"/>
              </w:rPr>
            </w:pPr>
            <w:r>
              <w:rPr>
                <w:rFonts w:eastAsia="Times New Roman"/>
                <w:sz w:val="20"/>
                <w:szCs w:val="20"/>
              </w:rPr>
              <w:t>)</w:t>
            </w:r>
          </w:p>
        </w:tc>
      </w:tr>
      <w:tr w:rsidR="00000000" w14:paraId="3A164EC4" w14:textId="77777777">
        <w:tc>
          <w:tcPr>
            <w:tcW w:w="0" w:type="auto"/>
            <w:shd w:val="clear" w:color="auto" w:fill="FFFFFF"/>
            <w:tcMar>
              <w:top w:w="0" w:type="dxa"/>
              <w:left w:w="400" w:type="dxa"/>
              <w:bottom w:w="30" w:type="dxa"/>
              <w:right w:w="0" w:type="dxa"/>
            </w:tcMar>
            <w:vAlign w:val="bottom"/>
            <w:hideMark/>
          </w:tcPr>
          <w:p w14:paraId="01844C14" w14:textId="77777777" w:rsidR="00000000" w:rsidRDefault="001826C1">
            <w:pPr>
              <w:rPr>
                <w:rFonts w:eastAsia="Times New Roman"/>
                <w:sz w:val="20"/>
                <w:szCs w:val="20"/>
              </w:rPr>
            </w:pPr>
            <w:r>
              <w:rPr>
                <w:rFonts w:eastAsia="Times New Roman"/>
                <w:sz w:val="20"/>
                <w:szCs w:val="20"/>
              </w:rPr>
              <w:t xml:space="preserve">Cash paid for acquisitions </w:t>
            </w:r>
          </w:p>
        </w:tc>
        <w:tc>
          <w:tcPr>
            <w:tcW w:w="0" w:type="auto"/>
            <w:shd w:val="clear" w:color="auto" w:fill="FFFFFF"/>
            <w:tcMar>
              <w:top w:w="0" w:type="dxa"/>
              <w:left w:w="0" w:type="dxa"/>
              <w:bottom w:w="30" w:type="dxa"/>
              <w:right w:w="0" w:type="dxa"/>
            </w:tcMar>
            <w:vAlign w:val="bottom"/>
            <w:hideMark/>
          </w:tcPr>
          <w:p w14:paraId="4B674E8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53C011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A0273D8" w14:textId="77777777" w:rsidR="00000000" w:rsidRDefault="001826C1">
            <w:pPr>
              <w:jc w:val="right"/>
              <w:rPr>
                <w:rFonts w:eastAsia="Times New Roman"/>
                <w:sz w:val="20"/>
                <w:szCs w:val="20"/>
              </w:rPr>
            </w:pPr>
            <w:r>
              <w:rPr>
                <w:rFonts w:eastAsia="Times New Roman"/>
                <w:sz w:val="20"/>
                <w:szCs w:val="20"/>
              </w:rPr>
              <w:t>(1,600,000</w:t>
            </w:r>
          </w:p>
        </w:tc>
        <w:tc>
          <w:tcPr>
            <w:tcW w:w="0" w:type="auto"/>
            <w:shd w:val="clear" w:color="auto" w:fill="FFFFFF"/>
            <w:tcMar>
              <w:top w:w="0" w:type="dxa"/>
              <w:left w:w="0" w:type="dxa"/>
              <w:bottom w:w="30" w:type="dxa"/>
              <w:right w:w="0" w:type="dxa"/>
            </w:tcMar>
            <w:vAlign w:val="bottom"/>
            <w:hideMark/>
          </w:tcPr>
          <w:p w14:paraId="4B2310EA"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B4CCD2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C6648F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B096393" w14:textId="77777777" w:rsidR="00000000" w:rsidRDefault="001826C1">
            <w:pPr>
              <w:jc w:val="right"/>
              <w:rPr>
                <w:rFonts w:eastAsia="Times New Roman"/>
                <w:sz w:val="20"/>
                <w:szCs w:val="20"/>
              </w:rPr>
            </w:pPr>
            <w:r>
              <w:rPr>
                <w:rFonts w:eastAsia="Times New Roman"/>
                <w:sz w:val="20"/>
                <w:szCs w:val="20"/>
              </w:rPr>
              <w:t>(12,600,000</w:t>
            </w:r>
          </w:p>
        </w:tc>
        <w:tc>
          <w:tcPr>
            <w:tcW w:w="0" w:type="auto"/>
            <w:shd w:val="clear" w:color="auto" w:fill="FFFFFF"/>
            <w:tcMar>
              <w:top w:w="0" w:type="dxa"/>
              <w:left w:w="0" w:type="dxa"/>
              <w:bottom w:w="30" w:type="dxa"/>
              <w:right w:w="0" w:type="dxa"/>
            </w:tcMar>
            <w:vAlign w:val="bottom"/>
            <w:hideMark/>
          </w:tcPr>
          <w:p w14:paraId="223DDB64" w14:textId="77777777" w:rsidR="00000000" w:rsidRDefault="001826C1">
            <w:pPr>
              <w:rPr>
                <w:rFonts w:eastAsia="Times New Roman"/>
                <w:sz w:val="20"/>
                <w:szCs w:val="20"/>
              </w:rPr>
            </w:pPr>
            <w:r>
              <w:rPr>
                <w:rFonts w:eastAsia="Times New Roman"/>
                <w:sz w:val="20"/>
                <w:szCs w:val="20"/>
              </w:rPr>
              <w:t>)</w:t>
            </w:r>
          </w:p>
        </w:tc>
      </w:tr>
      <w:tr w:rsidR="00000000" w14:paraId="727E65CA" w14:textId="77777777">
        <w:tc>
          <w:tcPr>
            <w:tcW w:w="0" w:type="auto"/>
            <w:shd w:val="clear" w:color="auto" w:fill="CCEEFF"/>
            <w:tcMar>
              <w:top w:w="0" w:type="dxa"/>
              <w:left w:w="800" w:type="dxa"/>
              <w:bottom w:w="30" w:type="dxa"/>
              <w:right w:w="0" w:type="dxa"/>
            </w:tcMar>
            <w:vAlign w:val="bottom"/>
            <w:hideMark/>
          </w:tcPr>
          <w:p w14:paraId="04D87AF7" w14:textId="77777777" w:rsidR="00000000" w:rsidRDefault="001826C1">
            <w:pPr>
              <w:rPr>
                <w:rFonts w:eastAsia="Times New Roman"/>
                <w:sz w:val="20"/>
                <w:szCs w:val="20"/>
              </w:rPr>
            </w:pPr>
            <w:r>
              <w:rPr>
                <w:rFonts w:eastAsia="Times New Roman"/>
                <w:sz w:val="20"/>
                <w:szCs w:val="20"/>
              </w:rPr>
              <w:t xml:space="preserve">Net cash used in investing activities </w:t>
            </w:r>
          </w:p>
        </w:tc>
        <w:tc>
          <w:tcPr>
            <w:tcW w:w="0" w:type="auto"/>
            <w:shd w:val="clear" w:color="auto" w:fill="CCEEFF"/>
            <w:tcMar>
              <w:top w:w="0" w:type="dxa"/>
              <w:left w:w="0" w:type="dxa"/>
              <w:bottom w:w="30" w:type="dxa"/>
              <w:right w:w="0" w:type="dxa"/>
            </w:tcMar>
            <w:vAlign w:val="bottom"/>
            <w:hideMark/>
          </w:tcPr>
          <w:p w14:paraId="7FF20D5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3F620D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455A88D" w14:textId="77777777" w:rsidR="00000000" w:rsidRDefault="001826C1">
            <w:pPr>
              <w:jc w:val="right"/>
              <w:rPr>
                <w:rFonts w:eastAsia="Times New Roman"/>
                <w:sz w:val="20"/>
                <w:szCs w:val="20"/>
              </w:rPr>
            </w:pPr>
            <w:r>
              <w:rPr>
                <w:rFonts w:eastAsia="Times New Roman"/>
                <w:sz w:val="20"/>
                <w:szCs w:val="20"/>
              </w:rPr>
              <w:t>(4,158,159</w:t>
            </w:r>
          </w:p>
        </w:tc>
        <w:tc>
          <w:tcPr>
            <w:tcW w:w="0" w:type="auto"/>
            <w:shd w:val="clear" w:color="auto" w:fill="CCEEFF"/>
            <w:tcMar>
              <w:top w:w="0" w:type="dxa"/>
              <w:left w:w="0" w:type="dxa"/>
              <w:bottom w:w="30" w:type="dxa"/>
              <w:right w:w="0" w:type="dxa"/>
            </w:tcMar>
            <w:vAlign w:val="bottom"/>
            <w:hideMark/>
          </w:tcPr>
          <w:p w14:paraId="352FECA9"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A96D52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77C172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901E49" w14:textId="77777777" w:rsidR="00000000" w:rsidRDefault="001826C1">
            <w:pPr>
              <w:jc w:val="right"/>
              <w:rPr>
                <w:rFonts w:eastAsia="Times New Roman"/>
                <w:sz w:val="20"/>
                <w:szCs w:val="20"/>
              </w:rPr>
            </w:pPr>
            <w:r>
              <w:rPr>
                <w:rFonts w:eastAsia="Times New Roman"/>
                <w:sz w:val="20"/>
                <w:szCs w:val="20"/>
              </w:rPr>
              <w:t>(13,628,249</w:t>
            </w:r>
          </w:p>
        </w:tc>
        <w:tc>
          <w:tcPr>
            <w:tcW w:w="0" w:type="auto"/>
            <w:shd w:val="clear" w:color="auto" w:fill="CCEEFF"/>
            <w:tcMar>
              <w:top w:w="0" w:type="dxa"/>
              <w:left w:w="0" w:type="dxa"/>
              <w:bottom w:w="30" w:type="dxa"/>
              <w:right w:w="0" w:type="dxa"/>
            </w:tcMar>
            <w:vAlign w:val="bottom"/>
            <w:hideMark/>
          </w:tcPr>
          <w:p w14:paraId="09E6B36F" w14:textId="77777777" w:rsidR="00000000" w:rsidRDefault="001826C1">
            <w:pPr>
              <w:rPr>
                <w:rFonts w:eastAsia="Times New Roman"/>
                <w:sz w:val="20"/>
                <w:szCs w:val="20"/>
              </w:rPr>
            </w:pPr>
            <w:r>
              <w:rPr>
                <w:rFonts w:eastAsia="Times New Roman"/>
                <w:sz w:val="20"/>
                <w:szCs w:val="20"/>
              </w:rPr>
              <w:t>)</w:t>
            </w:r>
          </w:p>
        </w:tc>
      </w:tr>
      <w:tr w:rsidR="00000000" w14:paraId="089C263D" w14:textId="77777777">
        <w:tc>
          <w:tcPr>
            <w:tcW w:w="0" w:type="auto"/>
            <w:shd w:val="clear" w:color="auto" w:fill="FFFFFF"/>
            <w:vAlign w:val="bottom"/>
            <w:hideMark/>
          </w:tcPr>
          <w:p w14:paraId="7613E69F" w14:textId="77777777" w:rsidR="00000000" w:rsidRDefault="001826C1">
            <w:pPr>
              <w:rPr>
                <w:rFonts w:eastAsia="Times New Roman"/>
                <w:sz w:val="20"/>
                <w:szCs w:val="20"/>
              </w:rPr>
            </w:pPr>
            <w:r>
              <w:rPr>
                <w:rFonts w:eastAsia="Times New Roman"/>
                <w:sz w:val="20"/>
                <w:szCs w:val="20"/>
              </w:rPr>
              <w:t xml:space="preserve">FINANCING ACTIVITIES: </w:t>
            </w:r>
          </w:p>
        </w:tc>
        <w:tc>
          <w:tcPr>
            <w:tcW w:w="0" w:type="auto"/>
            <w:shd w:val="clear" w:color="auto" w:fill="FFFFFF"/>
            <w:vAlign w:val="bottom"/>
            <w:hideMark/>
          </w:tcPr>
          <w:p w14:paraId="748365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E78B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0E93512"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DA5B1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A3038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CA334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1DBBE0"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7BD6A1A" w14:textId="77777777" w:rsidR="00000000" w:rsidRDefault="001826C1">
            <w:pPr>
              <w:rPr>
                <w:rFonts w:eastAsia="Times New Roman"/>
                <w:sz w:val="20"/>
                <w:szCs w:val="20"/>
              </w:rPr>
            </w:pPr>
            <w:r>
              <w:rPr>
                <w:rFonts w:eastAsia="Times New Roman"/>
                <w:sz w:val="20"/>
                <w:szCs w:val="20"/>
              </w:rPr>
              <w:t> </w:t>
            </w:r>
          </w:p>
        </w:tc>
      </w:tr>
      <w:tr w:rsidR="00000000" w14:paraId="4FE84373" w14:textId="77777777">
        <w:tc>
          <w:tcPr>
            <w:tcW w:w="0" w:type="auto"/>
            <w:shd w:val="clear" w:color="auto" w:fill="CCEEFF"/>
            <w:tcMar>
              <w:top w:w="0" w:type="dxa"/>
              <w:left w:w="200" w:type="dxa"/>
              <w:bottom w:w="0" w:type="dxa"/>
              <w:right w:w="0" w:type="dxa"/>
            </w:tcMar>
            <w:vAlign w:val="bottom"/>
            <w:hideMark/>
          </w:tcPr>
          <w:p w14:paraId="6973ADE0" w14:textId="77777777" w:rsidR="00000000" w:rsidRDefault="001826C1">
            <w:pPr>
              <w:rPr>
                <w:rFonts w:eastAsia="Times New Roman"/>
                <w:sz w:val="20"/>
                <w:szCs w:val="20"/>
              </w:rPr>
            </w:pPr>
            <w:r>
              <w:rPr>
                <w:rFonts w:eastAsia="Times New Roman"/>
                <w:sz w:val="20"/>
                <w:szCs w:val="20"/>
              </w:rPr>
              <w:t xml:space="preserve">Proceeds from issuance of preferred stock, net of fees and expenses </w:t>
            </w:r>
          </w:p>
        </w:tc>
        <w:tc>
          <w:tcPr>
            <w:tcW w:w="0" w:type="auto"/>
            <w:shd w:val="clear" w:color="auto" w:fill="CCEEFF"/>
            <w:vAlign w:val="bottom"/>
            <w:hideMark/>
          </w:tcPr>
          <w:p w14:paraId="15E261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8C970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FA4616" w14:textId="77777777" w:rsidR="00000000" w:rsidRDefault="001826C1">
            <w:pPr>
              <w:jc w:val="right"/>
              <w:rPr>
                <w:rFonts w:eastAsia="Times New Roman"/>
                <w:sz w:val="20"/>
                <w:szCs w:val="20"/>
              </w:rPr>
            </w:pPr>
            <w:r>
              <w:rPr>
                <w:rFonts w:eastAsia="Times New Roman"/>
                <w:sz w:val="20"/>
                <w:szCs w:val="20"/>
              </w:rPr>
              <w:t>9,586,142</w:t>
            </w:r>
          </w:p>
        </w:tc>
        <w:tc>
          <w:tcPr>
            <w:tcW w:w="0" w:type="auto"/>
            <w:shd w:val="clear" w:color="auto" w:fill="CCEEFF"/>
            <w:vAlign w:val="bottom"/>
            <w:hideMark/>
          </w:tcPr>
          <w:p w14:paraId="665FA8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CAC0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4C36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C65E64" w14:textId="77777777" w:rsidR="00000000" w:rsidRDefault="001826C1">
            <w:pPr>
              <w:jc w:val="right"/>
              <w:rPr>
                <w:rFonts w:eastAsia="Times New Roman"/>
                <w:sz w:val="20"/>
                <w:szCs w:val="20"/>
              </w:rPr>
            </w:pPr>
            <w:r>
              <w:rPr>
                <w:rFonts w:eastAsia="Times New Roman"/>
                <w:sz w:val="20"/>
                <w:szCs w:val="20"/>
              </w:rPr>
              <w:t>22,817,566</w:t>
            </w:r>
          </w:p>
        </w:tc>
        <w:tc>
          <w:tcPr>
            <w:tcW w:w="0" w:type="auto"/>
            <w:shd w:val="clear" w:color="auto" w:fill="CCEEFF"/>
            <w:vAlign w:val="bottom"/>
            <w:hideMark/>
          </w:tcPr>
          <w:p w14:paraId="1E201592" w14:textId="77777777" w:rsidR="00000000" w:rsidRDefault="001826C1">
            <w:pPr>
              <w:rPr>
                <w:rFonts w:eastAsia="Times New Roman"/>
                <w:sz w:val="20"/>
                <w:szCs w:val="20"/>
              </w:rPr>
            </w:pPr>
            <w:r>
              <w:rPr>
                <w:rFonts w:eastAsia="Times New Roman"/>
                <w:sz w:val="20"/>
                <w:szCs w:val="20"/>
              </w:rPr>
              <w:t> </w:t>
            </w:r>
          </w:p>
        </w:tc>
      </w:tr>
      <w:tr w:rsidR="00000000" w14:paraId="281DCF69" w14:textId="77777777">
        <w:tc>
          <w:tcPr>
            <w:tcW w:w="0" w:type="auto"/>
            <w:shd w:val="clear" w:color="auto" w:fill="FFFFFF"/>
            <w:tcMar>
              <w:top w:w="0" w:type="dxa"/>
              <w:left w:w="200" w:type="dxa"/>
              <w:bottom w:w="0" w:type="dxa"/>
              <w:right w:w="0" w:type="dxa"/>
            </w:tcMar>
            <w:vAlign w:val="bottom"/>
            <w:hideMark/>
          </w:tcPr>
          <w:p w14:paraId="1C708293" w14:textId="77777777" w:rsidR="00000000" w:rsidRDefault="001826C1">
            <w:pPr>
              <w:rPr>
                <w:rFonts w:eastAsia="Times New Roman"/>
                <w:sz w:val="20"/>
                <w:szCs w:val="20"/>
              </w:rPr>
            </w:pPr>
            <w:r>
              <w:rPr>
                <w:rFonts w:eastAsia="Times New Roman"/>
                <w:sz w:val="20"/>
                <w:szCs w:val="20"/>
              </w:rPr>
              <w:t xml:space="preserve">Preferred stock dividends paid </w:t>
            </w:r>
          </w:p>
        </w:tc>
        <w:tc>
          <w:tcPr>
            <w:tcW w:w="0" w:type="auto"/>
            <w:shd w:val="clear" w:color="auto" w:fill="FFFFFF"/>
            <w:vAlign w:val="bottom"/>
            <w:hideMark/>
          </w:tcPr>
          <w:p w14:paraId="234DF52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C3AC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CC9618" w14:textId="77777777" w:rsidR="00000000" w:rsidRDefault="001826C1">
            <w:pPr>
              <w:jc w:val="right"/>
              <w:rPr>
                <w:rFonts w:eastAsia="Times New Roman"/>
                <w:sz w:val="20"/>
                <w:szCs w:val="20"/>
              </w:rPr>
            </w:pPr>
            <w:r>
              <w:rPr>
                <w:rFonts w:eastAsia="Times New Roman"/>
                <w:sz w:val="20"/>
                <w:szCs w:val="20"/>
              </w:rPr>
              <w:t>(6,109,087</w:t>
            </w:r>
          </w:p>
        </w:tc>
        <w:tc>
          <w:tcPr>
            <w:tcW w:w="0" w:type="auto"/>
            <w:shd w:val="clear" w:color="auto" w:fill="FFFFFF"/>
            <w:vAlign w:val="bottom"/>
            <w:hideMark/>
          </w:tcPr>
          <w:p w14:paraId="5CA70CCE"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FA32A6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9E9D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FA7600" w14:textId="77777777" w:rsidR="00000000" w:rsidRDefault="001826C1">
            <w:pPr>
              <w:jc w:val="right"/>
              <w:rPr>
                <w:rFonts w:eastAsia="Times New Roman"/>
                <w:sz w:val="20"/>
                <w:szCs w:val="20"/>
              </w:rPr>
            </w:pPr>
            <w:r>
              <w:rPr>
                <w:rFonts w:eastAsia="Times New Roman"/>
                <w:sz w:val="20"/>
                <w:szCs w:val="20"/>
              </w:rPr>
              <w:t>(4,102,410</w:t>
            </w:r>
          </w:p>
        </w:tc>
        <w:tc>
          <w:tcPr>
            <w:tcW w:w="0" w:type="auto"/>
            <w:shd w:val="clear" w:color="auto" w:fill="FFFFFF"/>
            <w:vAlign w:val="bottom"/>
            <w:hideMark/>
          </w:tcPr>
          <w:p w14:paraId="6F8DA5C8" w14:textId="77777777" w:rsidR="00000000" w:rsidRDefault="001826C1">
            <w:pPr>
              <w:rPr>
                <w:rFonts w:eastAsia="Times New Roman"/>
                <w:sz w:val="20"/>
                <w:szCs w:val="20"/>
              </w:rPr>
            </w:pPr>
            <w:r>
              <w:rPr>
                <w:rFonts w:eastAsia="Times New Roman"/>
                <w:sz w:val="20"/>
                <w:szCs w:val="20"/>
              </w:rPr>
              <w:t>)</w:t>
            </w:r>
          </w:p>
        </w:tc>
      </w:tr>
      <w:tr w:rsidR="00000000" w14:paraId="2DA7D602" w14:textId="77777777">
        <w:tc>
          <w:tcPr>
            <w:tcW w:w="0" w:type="auto"/>
            <w:shd w:val="clear" w:color="auto" w:fill="CCEEFF"/>
            <w:tcMar>
              <w:top w:w="0" w:type="dxa"/>
              <w:left w:w="200" w:type="dxa"/>
              <w:bottom w:w="0" w:type="dxa"/>
              <w:right w:w="0" w:type="dxa"/>
            </w:tcMar>
            <w:vAlign w:val="bottom"/>
            <w:hideMark/>
          </w:tcPr>
          <w:p w14:paraId="1AAABC66" w14:textId="77777777" w:rsidR="00000000" w:rsidRDefault="001826C1">
            <w:pPr>
              <w:rPr>
                <w:rFonts w:eastAsia="Times New Roman"/>
                <w:sz w:val="20"/>
                <w:szCs w:val="20"/>
              </w:rPr>
            </w:pPr>
            <w:r>
              <w:rPr>
                <w:rFonts w:eastAsia="Times New Roman"/>
                <w:sz w:val="20"/>
                <w:szCs w:val="20"/>
              </w:rPr>
              <w:t xml:space="preserve">Settlement of tax withholding obligations on stock issued to employees </w:t>
            </w:r>
          </w:p>
        </w:tc>
        <w:tc>
          <w:tcPr>
            <w:tcW w:w="0" w:type="auto"/>
            <w:shd w:val="clear" w:color="auto" w:fill="CCEEFF"/>
            <w:vAlign w:val="bottom"/>
            <w:hideMark/>
          </w:tcPr>
          <w:p w14:paraId="230A52F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1CE9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276676" w14:textId="77777777" w:rsidR="00000000" w:rsidRDefault="001826C1">
            <w:pPr>
              <w:jc w:val="right"/>
              <w:rPr>
                <w:rFonts w:eastAsia="Times New Roman"/>
                <w:sz w:val="20"/>
                <w:szCs w:val="20"/>
              </w:rPr>
            </w:pPr>
            <w:r>
              <w:rPr>
                <w:rFonts w:eastAsia="Times New Roman"/>
                <w:sz w:val="20"/>
                <w:szCs w:val="20"/>
              </w:rPr>
              <w:t>(1,391,746</w:t>
            </w:r>
          </w:p>
        </w:tc>
        <w:tc>
          <w:tcPr>
            <w:tcW w:w="0" w:type="auto"/>
            <w:shd w:val="clear" w:color="auto" w:fill="CCEEFF"/>
            <w:vAlign w:val="bottom"/>
            <w:hideMark/>
          </w:tcPr>
          <w:p w14:paraId="0092727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D3D2E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1B4E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AEFE7F" w14:textId="77777777" w:rsidR="00000000" w:rsidRDefault="001826C1">
            <w:pPr>
              <w:jc w:val="right"/>
              <w:rPr>
                <w:rFonts w:eastAsia="Times New Roman"/>
                <w:sz w:val="20"/>
                <w:szCs w:val="20"/>
              </w:rPr>
            </w:pPr>
            <w:r>
              <w:rPr>
                <w:rFonts w:eastAsia="Times New Roman"/>
                <w:sz w:val="20"/>
                <w:szCs w:val="20"/>
              </w:rPr>
              <w:t>(333,007</w:t>
            </w:r>
          </w:p>
        </w:tc>
        <w:tc>
          <w:tcPr>
            <w:tcW w:w="0" w:type="auto"/>
            <w:shd w:val="clear" w:color="auto" w:fill="CCEEFF"/>
            <w:vAlign w:val="bottom"/>
            <w:hideMark/>
          </w:tcPr>
          <w:p w14:paraId="3566390F" w14:textId="77777777" w:rsidR="00000000" w:rsidRDefault="001826C1">
            <w:pPr>
              <w:rPr>
                <w:rFonts w:eastAsia="Times New Roman"/>
                <w:sz w:val="20"/>
                <w:szCs w:val="20"/>
              </w:rPr>
            </w:pPr>
            <w:r>
              <w:rPr>
                <w:rFonts w:eastAsia="Times New Roman"/>
                <w:sz w:val="20"/>
                <w:szCs w:val="20"/>
              </w:rPr>
              <w:t>)</w:t>
            </w:r>
          </w:p>
        </w:tc>
      </w:tr>
      <w:tr w:rsidR="00000000" w14:paraId="10CD1C65" w14:textId="77777777">
        <w:tc>
          <w:tcPr>
            <w:tcW w:w="0" w:type="auto"/>
            <w:shd w:val="clear" w:color="auto" w:fill="FFFFFF"/>
            <w:tcMar>
              <w:top w:w="0" w:type="dxa"/>
              <w:left w:w="200" w:type="dxa"/>
              <w:bottom w:w="0" w:type="dxa"/>
              <w:right w:w="0" w:type="dxa"/>
            </w:tcMar>
            <w:vAlign w:val="bottom"/>
            <w:hideMark/>
          </w:tcPr>
          <w:p w14:paraId="1AC9D13D" w14:textId="77777777" w:rsidR="00000000" w:rsidRDefault="001826C1">
            <w:pPr>
              <w:rPr>
                <w:rFonts w:eastAsia="Times New Roman"/>
                <w:sz w:val="20"/>
                <w:szCs w:val="20"/>
              </w:rPr>
            </w:pPr>
            <w:r>
              <w:rPr>
                <w:rFonts w:eastAsia="Times New Roman"/>
                <w:sz w:val="20"/>
                <w:szCs w:val="20"/>
              </w:rPr>
              <w:t xml:space="preserve">Proceeds from line of credit </w:t>
            </w:r>
          </w:p>
        </w:tc>
        <w:tc>
          <w:tcPr>
            <w:tcW w:w="0" w:type="auto"/>
            <w:shd w:val="clear" w:color="auto" w:fill="FFFFFF"/>
            <w:vAlign w:val="bottom"/>
            <w:hideMark/>
          </w:tcPr>
          <w:p w14:paraId="4B6CC1B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5057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4A261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A532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9D9D7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AE62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05AFE7" w14:textId="77777777" w:rsidR="00000000" w:rsidRDefault="001826C1">
            <w:pPr>
              <w:jc w:val="right"/>
              <w:rPr>
                <w:rFonts w:eastAsia="Times New Roman"/>
                <w:sz w:val="20"/>
                <w:szCs w:val="20"/>
              </w:rPr>
            </w:pPr>
            <w:r>
              <w:rPr>
                <w:rFonts w:eastAsia="Times New Roman"/>
                <w:sz w:val="20"/>
                <w:szCs w:val="20"/>
              </w:rPr>
              <w:t>11,276,862</w:t>
            </w:r>
          </w:p>
        </w:tc>
        <w:tc>
          <w:tcPr>
            <w:tcW w:w="0" w:type="auto"/>
            <w:shd w:val="clear" w:color="auto" w:fill="FFFFFF"/>
            <w:vAlign w:val="bottom"/>
            <w:hideMark/>
          </w:tcPr>
          <w:p w14:paraId="0939FDDF" w14:textId="77777777" w:rsidR="00000000" w:rsidRDefault="001826C1">
            <w:pPr>
              <w:rPr>
                <w:rFonts w:eastAsia="Times New Roman"/>
                <w:sz w:val="20"/>
                <w:szCs w:val="20"/>
              </w:rPr>
            </w:pPr>
            <w:r>
              <w:rPr>
                <w:rFonts w:eastAsia="Times New Roman"/>
                <w:sz w:val="20"/>
                <w:szCs w:val="20"/>
              </w:rPr>
              <w:t> </w:t>
            </w:r>
          </w:p>
        </w:tc>
      </w:tr>
      <w:tr w:rsidR="00000000" w14:paraId="7C7541DE" w14:textId="77777777">
        <w:tc>
          <w:tcPr>
            <w:tcW w:w="0" w:type="auto"/>
            <w:shd w:val="clear" w:color="auto" w:fill="CCEEFF"/>
            <w:tcMar>
              <w:top w:w="0" w:type="dxa"/>
              <w:left w:w="200" w:type="dxa"/>
              <w:bottom w:w="0" w:type="dxa"/>
              <w:right w:w="0" w:type="dxa"/>
            </w:tcMar>
            <w:vAlign w:val="bottom"/>
            <w:hideMark/>
          </w:tcPr>
          <w:p w14:paraId="27C71400" w14:textId="77777777" w:rsidR="00000000" w:rsidRDefault="001826C1">
            <w:pPr>
              <w:rPr>
                <w:rFonts w:eastAsia="Times New Roman"/>
                <w:sz w:val="20"/>
                <w:szCs w:val="20"/>
              </w:rPr>
            </w:pPr>
            <w:r>
              <w:rPr>
                <w:rFonts w:eastAsia="Times New Roman"/>
                <w:sz w:val="20"/>
                <w:szCs w:val="20"/>
              </w:rPr>
              <w:t xml:space="preserve">Repayments of line of credit </w:t>
            </w:r>
          </w:p>
        </w:tc>
        <w:tc>
          <w:tcPr>
            <w:tcW w:w="0" w:type="auto"/>
            <w:shd w:val="clear" w:color="auto" w:fill="CCEEFF"/>
            <w:vAlign w:val="bottom"/>
            <w:hideMark/>
          </w:tcPr>
          <w:p w14:paraId="1B571E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3A71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256EB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8149A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827E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3686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E06DEE" w14:textId="77777777" w:rsidR="00000000" w:rsidRDefault="001826C1">
            <w:pPr>
              <w:jc w:val="right"/>
              <w:rPr>
                <w:rFonts w:eastAsia="Times New Roman"/>
                <w:sz w:val="20"/>
                <w:szCs w:val="20"/>
              </w:rPr>
            </w:pPr>
            <w:r>
              <w:rPr>
                <w:rFonts w:eastAsia="Times New Roman"/>
                <w:sz w:val="20"/>
                <w:szCs w:val="20"/>
              </w:rPr>
              <w:t>(11,276,862</w:t>
            </w:r>
          </w:p>
        </w:tc>
        <w:tc>
          <w:tcPr>
            <w:tcW w:w="0" w:type="auto"/>
            <w:shd w:val="clear" w:color="auto" w:fill="CCEEFF"/>
            <w:vAlign w:val="bottom"/>
            <w:hideMark/>
          </w:tcPr>
          <w:p w14:paraId="08E60C5F" w14:textId="77777777" w:rsidR="00000000" w:rsidRDefault="001826C1">
            <w:pPr>
              <w:rPr>
                <w:rFonts w:eastAsia="Times New Roman"/>
                <w:sz w:val="20"/>
                <w:szCs w:val="20"/>
              </w:rPr>
            </w:pPr>
            <w:r>
              <w:rPr>
                <w:rFonts w:eastAsia="Times New Roman"/>
                <w:sz w:val="20"/>
                <w:szCs w:val="20"/>
              </w:rPr>
              <w:t>)</w:t>
            </w:r>
          </w:p>
        </w:tc>
      </w:tr>
      <w:tr w:rsidR="00000000" w14:paraId="28B3A285" w14:textId="77777777">
        <w:tc>
          <w:tcPr>
            <w:tcW w:w="0" w:type="auto"/>
            <w:shd w:val="clear" w:color="auto" w:fill="FFFFFF"/>
            <w:tcMar>
              <w:top w:w="0" w:type="dxa"/>
              <w:left w:w="200" w:type="dxa"/>
              <w:bottom w:w="0" w:type="dxa"/>
              <w:right w:w="0" w:type="dxa"/>
            </w:tcMar>
            <w:vAlign w:val="bottom"/>
            <w:hideMark/>
          </w:tcPr>
          <w:p w14:paraId="396CEC0B" w14:textId="77777777" w:rsidR="00000000" w:rsidRDefault="001826C1">
            <w:pPr>
              <w:rPr>
                <w:rFonts w:eastAsia="Times New Roman"/>
                <w:sz w:val="20"/>
                <w:szCs w:val="20"/>
              </w:rPr>
            </w:pPr>
            <w:r>
              <w:rPr>
                <w:rFonts w:eastAsia="Times New Roman"/>
                <w:sz w:val="20"/>
                <w:szCs w:val="20"/>
              </w:rPr>
              <w:t xml:space="preserve">Repayments of notes payable, net </w:t>
            </w:r>
          </w:p>
        </w:tc>
        <w:tc>
          <w:tcPr>
            <w:tcW w:w="0" w:type="auto"/>
            <w:shd w:val="clear" w:color="auto" w:fill="FFFFFF"/>
            <w:vAlign w:val="bottom"/>
            <w:hideMark/>
          </w:tcPr>
          <w:p w14:paraId="22A828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20F4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3EFA54" w14:textId="77777777" w:rsidR="00000000" w:rsidRDefault="001826C1">
            <w:pPr>
              <w:jc w:val="right"/>
              <w:rPr>
                <w:rFonts w:eastAsia="Times New Roman"/>
                <w:sz w:val="20"/>
                <w:szCs w:val="20"/>
              </w:rPr>
            </w:pPr>
            <w:r>
              <w:rPr>
                <w:rFonts w:eastAsia="Times New Roman"/>
                <w:sz w:val="20"/>
                <w:szCs w:val="20"/>
              </w:rPr>
              <w:t>(430,444</w:t>
            </w:r>
          </w:p>
        </w:tc>
        <w:tc>
          <w:tcPr>
            <w:tcW w:w="0" w:type="auto"/>
            <w:shd w:val="clear" w:color="auto" w:fill="FFFFFF"/>
            <w:vAlign w:val="bottom"/>
            <w:hideMark/>
          </w:tcPr>
          <w:p w14:paraId="7216220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5625867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A48E8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FC77DB" w14:textId="77777777" w:rsidR="00000000" w:rsidRDefault="001826C1">
            <w:pPr>
              <w:jc w:val="right"/>
              <w:rPr>
                <w:rFonts w:eastAsia="Times New Roman"/>
                <w:sz w:val="20"/>
                <w:szCs w:val="20"/>
              </w:rPr>
            </w:pPr>
            <w:r>
              <w:rPr>
                <w:rFonts w:eastAsia="Times New Roman"/>
                <w:sz w:val="20"/>
                <w:szCs w:val="20"/>
              </w:rPr>
              <w:t>(464,167</w:t>
            </w:r>
          </w:p>
        </w:tc>
        <w:tc>
          <w:tcPr>
            <w:tcW w:w="0" w:type="auto"/>
            <w:shd w:val="clear" w:color="auto" w:fill="FFFFFF"/>
            <w:vAlign w:val="bottom"/>
            <w:hideMark/>
          </w:tcPr>
          <w:p w14:paraId="7F8EE9FE" w14:textId="77777777" w:rsidR="00000000" w:rsidRDefault="001826C1">
            <w:pPr>
              <w:rPr>
                <w:rFonts w:eastAsia="Times New Roman"/>
                <w:sz w:val="20"/>
                <w:szCs w:val="20"/>
              </w:rPr>
            </w:pPr>
            <w:r>
              <w:rPr>
                <w:rFonts w:eastAsia="Times New Roman"/>
                <w:sz w:val="20"/>
                <w:szCs w:val="20"/>
              </w:rPr>
              <w:t>)</w:t>
            </w:r>
          </w:p>
        </w:tc>
      </w:tr>
      <w:tr w:rsidR="00000000" w14:paraId="2AA501A5" w14:textId="77777777">
        <w:tc>
          <w:tcPr>
            <w:tcW w:w="0" w:type="auto"/>
            <w:shd w:val="clear" w:color="auto" w:fill="CCEEFF"/>
            <w:tcMar>
              <w:top w:w="0" w:type="dxa"/>
              <w:left w:w="200" w:type="dxa"/>
              <w:bottom w:w="0" w:type="dxa"/>
              <w:right w:w="0" w:type="dxa"/>
            </w:tcMar>
            <w:vAlign w:val="bottom"/>
            <w:hideMark/>
          </w:tcPr>
          <w:p w14:paraId="0E6E9BDD" w14:textId="77777777" w:rsidR="00000000" w:rsidRDefault="001826C1">
            <w:pPr>
              <w:rPr>
                <w:rFonts w:eastAsia="Times New Roman"/>
                <w:sz w:val="20"/>
                <w:szCs w:val="20"/>
              </w:rPr>
            </w:pPr>
            <w:r>
              <w:rPr>
                <w:rFonts w:eastAsia="Times New Roman"/>
                <w:sz w:val="20"/>
                <w:szCs w:val="20"/>
              </w:rPr>
              <w:t xml:space="preserve">Contingent consideration payments </w:t>
            </w:r>
          </w:p>
        </w:tc>
        <w:tc>
          <w:tcPr>
            <w:tcW w:w="0" w:type="auto"/>
            <w:shd w:val="clear" w:color="auto" w:fill="CCEEFF"/>
            <w:vAlign w:val="bottom"/>
            <w:hideMark/>
          </w:tcPr>
          <w:p w14:paraId="445E35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26A7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F35558" w14:textId="77777777" w:rsidR="00000000" w:rsidRDefault="001826C1">
            <w:pPr>
              <w:jc w:val="right"/>
              <w:rPr>
                <w:rFonts w:eastAsia="Times New Roman"/>
                <w:sz w:val="20"/>
                <w:szCs w:val="20"/>
              </w:rPr>
            </w:pPr>
            <w:r>
              <w:rPr>
                <w:rFonts w:eastAsia="Times New Roman"/>
                <w:sz w:val="20"/>
                <w:szCs w:val="20"/>
              </w:rPr>
              <w:t>(182,664</w:t>
            </w:r>
          </w:p>
        </w:tc>
        <w:tc>
          <w:tcPr>
            <w:tcW w:w="0" w:type="auto"/>
            <w:shd w:val="clear" w:color="auto" w:fill="CCEEFF"/>
            <w:vAlign w:val="bottom"/>
            <w:hideMark/>
          </w:tcPr>
          <w:p w14:paraId="581E1E5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67F7FF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D31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2F7F09" w14:textId="77777777" w:rsidR="00000000" w:rsidRDefault="001826C1">
            <w:pPr>
              <w:jc w:val="right"/>
              <w:rPr>
                <w:rFonts w:eastAsia="Times New Roman"/>
                <w:sz w:val="20"/>
                <w:szCs w:val="20"/>
              </w:rPr>
            </w:pPr>
            <w:r>
              <w:rPr>
                <w:rFonts w:eastAsia="Times New Roman"/>
                <w:sz w:val="20"/>
                <w:szCs w:val="20"/>
              </w:rPr>
              <w:t>(150,250</w:t>
            </w:r>
          </w:p>
        </w:tc>
        <w:tc>
          <w:tcPr>
            <w:tcW w:w="0" w:type="auto"/>
            <w:shd w:val="clear" w:color="auto" w:fill="CCEEFF"/>
            <w:vAlign w:val="bottom"/>
            <w:hideMark/>
          </w:tcPr>
          <w:p w14:paraId="172968C5" w14:textId="77777777" w:rsidR="00000000" w:rsidRDefault="001826C1">
            <w:pPr>
              <w:rPr>
                <w:rFonts w:eastAsia="Times New Roman"/>
                <w:sz w:val="20"/>
                <w:szCs w:val="20"/>
              </w:rPr>
            </w:pPr>
            <w:r>
              <w:rPr>
                <w:rFonts w:eastAsia="Times New Roman"/>
                <w:sz w:val="20"/>
                <w:szCs w:val="20"/>
              </w:rPr>
              <w:t>)</w:t>
            </w:r>
          </w:p>
        </w:tc>
      </w:tr>
      <w:tr w:rsidR="00000000" w14:paraId="2F70F18C" w14:textId="77777777">
        <w:tc>
          <w:tcPr>
            <w:tcW w:w="0" w:type="auto"/>
            <w:shd w:val="clear" w:color="auto" w:fill="FFFFFF"/>
            <w:tcMar>
              <w:top w:w="0" w:type="dxa"/>
              <w:left w:w="200" w:type="dxa"/>
              <w:bottom w:w="30" w:type="dxa"/>
              <w:right w:w="0" w:type="dxa"/>
            </w:tcMar>
            <w:vAlign w:val="bottom"/>
            <w:hideMark/>
          </w:tcPr>
          <w:p w14:paraId="173CD3A3" w14:textId="77777777" w:rsidR="00000000" w:rsidRDefault="001826C1">
            <w:pPr>
              <w:rPr>
                <w:rFonts w:eastAsia="Times New Roman"/>
                <w:sz w:val="20"/>
                <w:szCs w:val="20"/>
              </w:rPr>
            </w:pPr>
            <w:r>
              <w:rPr>
                <w:rFonts w:eastAsia="Times New Roman"/>
                <w:sz w:val="20"/>
                <w:szCs w:val="20"/>
              </w:rPr>
              <w:t xml:space="preserve">Other financing activities </w:t>
            </w:r>
          </w:p>
        </w:tc>
        <w:tc>
          <w:tcPr>
            <w:tcW w:w="0" w:type="auto"/>
            <w:shd w:val="clear" w:color="auto" w:fill="FFFFFF"/>
            <w:tcMar>
              <w:top w:w="0" w:type="dxa"/>
              <w:left w:w="0" w:type="dxa"/>
              <w:bottom w:w="30" w:type="dxa"/>
              <w:right w:w="0" w:type="dxa"/>
            </w:tcMar>
            <w:vAlign w:val="bottom"/>
            <w:hideMark/>
          </w:tcPr>
          <w:p w14:paraId="138FCCA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AA5A7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85C50A2" w14:textId="77777777" w:rsidR="00000000" w:rsidRDefault="001826C1">
            <w:pPr>
              <w:jc w:val="right"/>
              <w:rPr>
                <w:rFonts w:eastAsia="Times New Roman"/>
                <w:sz w:val="20"/>
                <w:szCs w:val="20"/>
              </w:rPr>
            </w:pPr>
            <w:r>
              <w:rPr>
                <w:rFonts w:eastAsia="Times New Roman"/>
                <w:sz w:val="20"/>
                <w:szCs w:val="20"/>
              </w:rPr>
              <w:t>(50,000</w:t>
            </w:r>
          </w:p>
        </w:tc>
        <w:tc>
          <w:tcPr>
            <w:tcW w:w="0" w:type="auto"/>
            <w:shd w:val="clear" w:color="auto" w:fill="FFFFFF"/>
            <w:tcMar>
              <w:top w:w="0" w:type="dxa"/>
              <w:left w:w="0" w:type="dxa"/>
              <w:bottom w:w="30" w:type="dxa"/>
              <w:right w:w="0" w:type="dxa"/>
            </w:tcMar>
            <w:vAlign w:val="bottom"/>
            <w:hideMark/>
          </w:tcPr>
          <w:p w14:paraId="488E177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E26138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5C90FB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6BE2B9" w14:textId="77777777" w:rsidR="00000000" w:rsidRDefault="001826C1">
            <w:pPr>
              <w:jc w:val="right"/>
              <w:rPr>
                <w:rFonts w:eastAsia="Times New Roman"/>
                <w:sz w:val="20"/>
                <w:szCs w:val="20"/>
              </w:rPr>
            </w:pPr>
            <w:r>
              <w:rPr>
                <w:rFonts w:eastAsia="Times New Roman"/>
                <w:sz w:val="20"/>
                <w:szCs w:val="20"/>
              </w:rPr>
              <w:t>(111,195</w:t>
            </w:r>
          </w:p>
        </w:tc>
        <w:tc>
          <w:tcPr>
            <w:tcW w:w="0" w:type="auto"/>
            <w:shd w:val="clear" w:color="auto" w:fill="FFFFFF"/>
            <w:tcMar>
              <w:top w:w="0" w:type="dxa"/>
              <w:left w:w="0" w:type="dxa"/>
              <w:bottom w:w="30" w:type="dxa"/>
              <w:right w:w="0" w:type="dxa"/>
            </w:tcMar>
            <w:vAlign w:val="bottom"/>
            <w:hideMark/>
          </w:tcPr>
          <w:p w14:paraId="5EE5C2D9" w14:textId="77777777" w:rsidR="00000000" w:rsidRDefault="001826C1">
            <w:pPr>
              <w:rPr>
                <w:rFonts w:eastAsia="Times New Roman"/>
                <w:sz w:val="20"/>
                <w:szCs w:val="20"/>
              </w:rPr>
            </w:pPr>
            <w:r>
              <w:rPr>
                <w:rFonts w:eastAsia="Times New Roman"/>
                <w:sz w:val="20"/>
                <w:szCs w:val="20"/>
              </w:rPr>
              <w:t>)</w:t>
            </w:r>
          </w:p>
        </w:tc>
      </w:tr>
      <w:tr w:rsidR="00000000" w14:paraId="639B2BA0" w14:textId="77777777">
        <w:tc>
          <w:tcPr>
            <w:tcW w:w="0" w:type="auto"/>
            <w:shd w:val="clear" w:color="auto" w:fill="CCEEFF"/>
            <w:tcMar>
              <w:top w:w="0" w:type="dxa"/>
              <w:left w:w="800" w:type="dxa"/>
              <w:bottom w:w="30" w:type="dxa"/>
              <w:right w:w="0" w:type="dxa"/>
            </w:tcMar>
            <w:vAlign w:val="bottom"/>
            <w:hideMark/>
          </w:tcPr>
          <w:p w14:paraId="1AEF6539" w14:textId="77777777" w:rsidR="00000000" w:rsidRDefault="001826C1">
            <w:pPr>
              <w:rPr>
                <w:rFonts w:eastAsia="Times New Roman"/>
                <w:sz w:val="20"/>
                <w:szCs w:val="20"/>
              </w:rPr>
            </w:pPr>
            <w:r>
              <w:rPr>
                <w:rFonts w:eastAsia="Times New Roman"/>
                <w:sz w:val="20"/>
                <w:szCs w:val="20"/>
              </w:rPr>
              <w:t xml:space="preserve">Net cash provided by financing activities </w:t>
            </w:r>
          </w:p>
        </w:tc>
        <w:tc>
          <w:tcPr>
            <w:tcW w:w="0" w:type="auto"/>
            <w:shd w:val="clear" w:color="auto" w:fill="CCEEFF"/>
            <w:tcMar>
              <w:top w:w="0" w:type="dxa"/>
              <w:left w:w="0" w:type="dxa"/>
              <w:bottom w:w="30" w:type="dxa"/>
              <w:right w:w="0" w:type="dxa"/>
            </w:tcMar>
            <w:vAlign w:val="bottom"/>
            <w:hideMark/>
          </w:tcPr>
          <w:p w14:paraId="6D0AFB9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63DA4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6B9B5A0" w14:textId="77777777" w:rsidR="00000000" w:rsidRDefault="001826C1">
            <w:pPr>
              <w:jc w:val="right"/>
              <w:rPr>
                <w:rFonts w:eastAsia="Times New Roman"/>
                <w:sz w:val="20"/>
                <w:szCs w:val="20"/>
              </w:rPr>
            </w:pPr>
            <w:r>
              <w:rPr>
                <w:rFonts w:eastAsia="Times New Roman"/>
                <w:sz w:val="20"/>
                <w:szCs w:val="20"/>
              </w:rPr>
              <w:t>1,422,201</w:t>
            </w:r>
          </w:p>
        </w:tc>
        <w:tc>
          <w:tcPr>
            <w:tcW w:w="0" w:type="auto"/>
            <w:shd w:val="clear" w:color="auto" w:fill="CCEEFF"/>
            <w:tcMar>
              <w:top w:w="0" w:type="dxa"/>
              <w:left w:w="0" w:type="dxa"/>
              <w:bottom w:w="30" w:type="dxa"/>
              <w:right w:w="0" w:type="dxa"/>
            </w:tcMar>
            <w:vAlign w:val="bottom"/>
            <w:hideMark/>
          </w:tcPr>
          <w:p w14:paraId="7D79A1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E29245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634A0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1D0D59" w14:textId="77777777" w:rsidR="00000000" w:rsidRDefault="001826C1">
            <w:pPr>
              <w:jc w:val="right"/>
              <w:rPr>
                <w:rFonts w:eastAsia="Times New Roman"/>
                <w:sz w:val="20"/>
                <w:szCs w:val="20"/>
              </w:rPr>
            </w:pPr>
            <w:r>
              <w:rPr>
                <w:rFonts w:eastAsia="Times New Roman"/>
                <w:sz w:val="20"/>
                <w:szCs w:val="20"/>
              </w:rPr>
              <w:t>17,656,537</w:t>
            </w:r>
          </w:p>
        </w:tc>
        <w:tc>
          <w:tcPr>
            <w:tcW w:w="0" w:type="auto"/>
            <w:shd w:val="clear" w:color="auto" w:fill="CCEEFF"/>
            <w:tcMar>
              <w:top w:w="0" w:type="dxa"/>
              <w:left w:w="0" w:type="dxa"/>
              <w:bottom w:w="30" w:type="dxa"/>
              <w:right w:w="0" w:type="dxa"/>
            </w:tcMar>
            <w:vAlign w:val="bottom"/>
            <w:hideMark/>
          </w:tcPr>
          <w:p w14:paraId="6495D863" w14:textId="77777777" w:rsidR="00000000" w:rsidRDefault="001826C1">
            <w:pPr>
              <w:rPr>
                <w:rFonts w:eastAsia="Times New Roman"/>
                <w:sz w:val="20"/>
                <w:szCs w:val="20"/>
              </w:rPr>
            </w:pPr>
            <w:r>
              <w:rPr>
                <w:rFonts w:eastAsia="Times New Roman"/>
                <w:sz w:val="20"/>
                <w:szCs w:val="20"/>
              </w:rPr>
              <w:t> </w:t>
            </w:r>
          </w:p>
        </w:tc>
      </w:tr>
      <w:tr w:rsidR="00000000" w14:paraId="3199E3A5" w14:textId="77777777">
        <w:tc>
          <w:tcPr>
            <w:tcW w:w="0" w:type="auto"/>
            <w:shd w:val="clear" w:color="auto" w:fill="FFFFFF"/>
            <w:tcMar>
              <w:top w:w="0" w:type="dxa"/>
              <w:left w:w="0" w:type="dxa"/>
              <w:bottom w:w="30" w:type="dxa"/>
              <w:right w:w="0" w:type="dxa"/>
            </w:tcMar>
            <w:vAlign w:val="bottom"/>
            <w:hideMark/>
          </w:tcPr>
          <w:p w14:paraId="52E574E9" w14:textId="77777777" w:rsidR="00000000" w:rsidRDefault="001826C1">
            <w:pPr>
              <w:rPr>
                <w:rFonts w:eastAsia="Times New Roman"/>
                <w:sz w:val="20"/>
                <w:szCs w:val="20"/>
              </w:rPr>
            </w:pPr>
            <w:r>
              <w:rPr>
                <w:rFonts w:eastAsia="Times New Roman"/>
                <w:sz w:val="20"/>
                <w:szCs w:val="20"/>
              </w:rPr>
              <w:t xml:space="preserve">EFFECT OF EXCHANGE RATE CHANGES ON CASH </w:t>
            </w:r>
          </w:p>
        </w:tc>
        <w:tc>
          <w:tcPr>
            <w:tcW w:w="0" w:type="auto"/>
            <w:shd w:val="clear" w:color="auto" w:fill="FFFFFF"/>
            <w:tcMar>
              <w:top w:w="0" w:type="dxa"/>
              <w:left w:w="0" w:type="dxa"/>
              <w:bottom w:w="30" w:type="dxa"/>
              <w:right w:w="0" w:type="dxa"/>
            </w:tcMar>
            <w:vAlign w:val="bottom"/>
            <w:hideMark/>
          </w:tcPr>
          <w:p w14:paraId="47C2FC0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4BECF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CE97B2" w14:textId="77777777" w:rsidR="00000000" w:rsidRDefault="001826C1">
            <w:pPr>
              <w:jc w:val="right"/>
              <w:rPr>
                <w:rFonts w:eastAsia="Times New Roman"/>
                <w:sz w:val="20"/>
                <w:szCs w:val="20"/>
              </w:rPr>
            </w:pPr>
            <w:r>
              <w:rPr>
                <w:rFonts w:eastAsia="Times New Roman"/>
                <w:sz w:val="20"/>
                <w:szCs w:val="20"/>
              </w:rPr>
              <w:t>639,622</w:t>
            </w:r>
          </w:p>
        </w:tc>
        <w:tc>
          <w:tcPr>
            <w:tcW w:w="0" w:type="auto"/>
            <w:shd w:val="clear" w:color="auto" w:fill="FFFFFF"/>
            <w:tcMar>
              <w:top w:w="0" w:type="dxa"/>
              <w:left w:w="0" w:type="dxa"/>
              <w:bottom w:w="30" w:type="dxa"/>
              <w:right w:w="0" w:type="dxa"/>
            </w:tcMar>
            <w:vAlign w:val="bottom"/>
            <w:hideMark/>
          </w:tcPr>
          <w:p w14:paraId="4D9E6AF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179933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012766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5464AC" w14:textId="77777777" w:rsidR="00000000" w:rsidRDefault="001826C1">
            <w:pPr>
              <w:jc w:val="right"/>
              <w:rPr>
                <w:rFonts w:eastAsia="Times New Roman"/>
                <w:sz w:val="20"/>
                <w:szCs w:val="20"/>
              </w:rPr>
            </w:pPr>
            <w:r>
              <w:rPr>
                <w:rFonts w:eastAsia="Times New Roman"/>
                <w:sz w:val="20"/>
                <w:szCs w:val="20"/>
              </w:rPr>
              <w:t>(730,511</w:t>
            </w:r>
          </w:p>
        </w:tc>
        <w:tc>
          <w:tcPr>
            <w:tcW w:w="0" w:type="auto"/>
            <w:shd w:val="clear" w:color="auto" w:fill="FFFFFF"/>
            <w:tcMar>
              <w:top w:w="0" w:type="dxa"/>
              <w:left w:w="0" w:type="dxa"/>
              <w:bottom w:w="30" w:type="dxa"/>
              <w:right w:w="0" w:type="dxa"/>
            </w:tcMar>
            <w:vAlign w:val="bottom"/>
            <w:hideMark/>
          </w:tcPr>
          <w:p w14:paraId="03A6D083" w14:textId="77777777" w:rsidR="00000000" w:rsidRDefault="001826C1">
            <w:pPr>
              <w:rPr>
                <w:rFonts w:eastAsia="Times New Roman"/>
                <w:sz w:val="20"/>
                <w:szCs w:val="20"/>
              </w:rPr>
            </w:pPr>
            <w:r>
              <w:rPr>
                <w:rFonts w:eastAsia="Times New Roman"/>
                <w:sz w:val="20"/>
                <w:szCs w:val="20"/>
              </w:rPr>
              <w:t>)</w:t>
            </w:r>
          </w:p>
        </w:tc>
      </w:tr>
      <w:tr w:rsidR="00000000" w14:paraId="1AADE0D8" w14:textId="77777777">
        <w:tc>
          <w:tcPr>
            <w:tcW w:w="0" w:type="auto"/>
            <w:shd w:val="clear" w:color="auto" w:fill="CCEEFF"/>
            <w:vAlign w:val="bottom"/>
            <w:hideMark/>
          </w:tcPr>
          <w:p w14:paraId="77BEF14D" w14:textId="77777777" w:rsidR="00000000" w:rsidRDefault="001826C1">
            <w:pPr>
              <w:rPr>
                <w:rFonts w:eastAsia="Times New Roman"/>
                <w:sz w:val="20"/>
                <w:szCs w:val="20"/>
              </w:rPr>
            </w:pPr>
            <w:r>
              <w:rPr>
                <w:rFonts w:eastAsia="Times New Roman"/>
                <w:sz w:val="20"/>
                <w:szCs w:val="20"/>
              </w:rPr>
              <w:t xml:space="preserve">NET INCREASE IN CASH </w:t>
            </w:r>
          </w:p>
        </w:tc>
        <w:tc>
          <w:tcPr>
            <w:tcW w:w="0" w:type="auto"/>
            <w:shd w:val="clear" w:color="auto" w:fill="CCEEFF"/>
            <w:vAlign w:val="bottom"/>
            <w:hideMark/>
          </w:tcPr>
          <w:p w14:paraId="733C184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7D093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D7EC62" w14:textId="77777777" w:rsidR="00000000" w:rsidRDefault="001826C1">
            <w:pPr>
              <w:jc w:val="right"/>
              <w:rPr>
                <w:rFonts w:eastAsia="Times New Roman"/>
                <w:sz w:val="20"/>
                <w:szCs w:val="20"/>
              </w:rPr>
            </w:pPr>
            <w:r>
              <w:rPr>
                <w:rFonts w:eastAsia="Times New Roman"/>
                <w:sz w:val="20"/>
                <w:szCs w:val="20"/>
              </w:rPr>
              <w:t>5,521,651</w:t>
            </w:r>
          </w:p>
        </w:tc>
        <w:tc>
          <w:tcPr>
            <w:tcW w:w="0" w:type="auto"/>
            <w:shd w:val="clear" w:color="auto" w:fill="CCEEFF"/>
            <w:vAlign w:val="bottom"/>
            <w:hideMark/>
          </w:tcPr>
          <w:p w14:paraId="4C943E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21FE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2460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8B7B23" w14:textId="77777777" w:rsidR="00000000" w:rsidRDefault="001826C1">
            <w:pPr>
              <w:jc w:val="right"/>
              <w:rPr>
                <w:rFonts w:eastAsia="Times New Roman"/>
                <w:sz w:val="20"/>
                <w:szCs w:val="20"/>
              </w:rPr>
            </w:pPr>
            <w:r>
              <w:rPr>
                <w:rFonts w:eastAsia="Times New Roman"/>
                <w:sz w:val="20"/>
                <w:szCs w:val="20"/>
              </w:rPr>
              <w:t>10,110,251</w:t>
            </w:r>
          </w:p>
        </w:tc>
        <w:tc>
          <w:tcPr>
            <w:tcW w:w="0" w:type="auto"/>
            <w:shd w:val="clear" w:color="auto" w:fill="CCEEFF"/>
            <w:vAlign w:val="bottom"/>
            <w:hideMark/>
          </w:tcPr>
          <w:p w14:paraId="48FFDC29" w14:textId="77777777" w:rsidR="00000000" w:rsidRDefault="001826C1">
            <w:pPr>
              <w:rPr>
                <w:rFonts w:eastAsia="Times New Roman"/>
                <w:sz w:val="20"/>
                <w:szCs w:val="20"/>
              </w:rPr>
            </w:pPr>
            <w:r>
              <w:rPr>
                <w:rFonts w:eastAsia="Times New Roman"/>
                <w:sz w:val="20"/>
                <w:szCs w:val="20"/>
              </w:rPr>
              <w:t> </w:t>
            </w:r>
          </w:p>
        </w:tc>
      </w:tr>
      <w:tr w:rsidR="00000000" w14:paraId="70F20101" w14:textId="77777777">
        <w:tc>
          <w:tcPr>
            <w:tcW w:w="0" w:type="auto"/>
            <w:shd w:val="clear" w:color="auto" w:fill="FFFFFF"/>
            <w:tcMar>
              <w:top w:w="0" w:type="dxa"/>
              <w:left w:w="0" w:type="dxa"/>
              <w:bottom w:w="30" w:type="dxa"/>
              <w:right w:w="0" w:type="dxa"/>
            </w:tcMar>
            <w:vAlign w:val="bottom"/>
            <w:hideMark/>
          </w:tcPr>
          <w:p w14:paraId="1B97910B" w14:textId="77777777" w:rsidR="00000000" w:rsidRDefault="001826C1">
            <w:pPr>
              <w:rPr>
                <w:rFonts w:eastAsia="Times New Roman"/>
                <w:sz w:val="20"/>
                <w:szCs w:val="20"/>
              </w:rPr>
            </w:pPr>
            <w:r>
              <w:rPr>
                <w:rFonts w:eastAsia="Times New Roman"/>
                <w:sz w:val="20"/>
                <w:szCs w:val="20"/>
              </w:rPr>
              <w:t xml:space="preserve">CASH - beginning of the period </w:t>
            </w:r>
          </w:p>
        </w:tc>
        <w:tc>
          <w:tcPr>
            <w:tcW w:w="0" w:type="auto"/>
            <w:shd w:val="clear" w:color="auto" w:fill="FFFFFF"/>
            <w:tcMar>
              <w:top w:w="0" w:type="dxa"/>
              <w:left w:w="0" w:type="dxa"/>
              <w:bottom w:w="30" w:type="dxa"/>
              <w:right w:w="0" w:type="dxa"/>
            </w:tcMar>
            <w:vAlign w:val="bottom"/>
            <w:hideMark/>
          </w:tcPr>
          <w:p w14:paraId="20A40CE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090568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538979" w14:textId="77777777" w:rsidR="00000000" w:rsidRDefault="001826C1">
            <w:pPr>
              <w:jc w:val="right"/>
              <w:rPr>
                <w:rFonts w:eastAsia="Times New Roman"/>
                <w:sz w:val="20"/>
                <w:szCs w:val="20"/>
              </w:rPr>
            </w:pPr>
            <w:r>
              <w:rPr>
                <w:rFonts w:eastAsia="Times New Roman"/>
                <w:sz w:val="20"/>
                <w:szCs w:val="20"/>
              </w:rPr>
              <w:t>14,472,483</w:t>
            </w:r>
          </w:p>
        </w:tc>
        <w:tc>
          <w:tcPr>
            <w:tcW w:w="0" w:type="auto"/>
            <w:shd w:val="clear" w:color="auto" w:fill="FFFFFF"/>
            <w:tcMar>
              <w:top w:w="0" w:type="dxa"/>
              <w:left w:w="0" w:type="dxa"/>
              <w:bottom w:w="30" w:type="dxa"/>
              <w:right w:w="0" w:type="dxa"/>
            </w:tcMar>
            <w:vAlign w:val="bottom"/>
            <w:hideMark/>
          </w:tcPr>
          <w:p w14:paraId="3BCDD56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280A03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B8F48F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EF8758" w14:textId="77777777" w:rsidR="00000000" w:rsidRDefault="001826C1">
            <w:pPr>
              <w:jc w:val="right"/>
              <w:rPr>
                <w:rFonts w:eastAsia="Times New Roman"/>
                <w:sz w:val="20"/>
                <w:szCs w:val="20"/>
              </w:rPr>
            </w:pPr>
            <w:r>
              <w:rPr>
                <w:rFonts w:eastAsia="Times New Roman"/>
                <w:sz w:val="20"/>
                <w:szCs w:val="20"/>
              </w:rPr>
              <w:t>4,362,232</w:t>
            </w:r>
          </w:p>
        </w:tc>
        <w:tc>
          <w:tcPr>
            <w:tcW w:w="0" w:type="auto"/>
            <w:shd w:val="clear" w:color="auto" w:fill="FFFFFF"/>
            <w:tcMar>
              <w:top w:w="0" w:type="dxa"/>
              <w:left w:w="0" w:type="dxa"/>
              <w:bottom w:w="30" w:type="dxa"/>
              <w:right w:w="0" w:type="dxa"/>
            </w:tcMar>
            <w:vAlign w:val="bottom"/>
            <w:hideMark/>
          </w:tcPr>
          <w:p w14:paraId="7A2823CA" w14:textId="77777777" w:rsidR="00000000" w:rsidRDefault="001826C1">
            <w:pPr>
              <w:rPr>
                <w:rFonts w:eastAsia="Times New Roman"/>
                <w:sz w:val="20"/>
                <w:szCs w:val="20"/>
              </w:rPr>
            </w:pPr>
            <w:r>
              <w:rPr>
                <w:rFonts w:eastAsia="Times New Roman"/>
                <w:sz w:val="20"/>
                <w:szCs w:val="20"/>
              </w:rPr>
              <w:t> </w:t>
            </w:r>
          </w:p>
        </w:tc>
      </w:tr>
      <w:tr w:rsidR="00000000" w14:paraId="3D300BB0" w14:textId="77777777">
        <w:tc>
          <w:tcPr>
            <w:tcW w:w="0" w:type="auto"/>
            <w:shd w:val="clear" w:color="auto" w:fill="CCEEFF"/>
            <w:tcMar>
              <w:top w:w="0" w:type="dxa"/>
              <w:left w:w="0" w:type="dxa"/>
              <w:bottom w:w="50" w:type="dxa"/>
              <w:right w:w="0" w:type="dxa"/>
            </w:tcMar>
            <w:vAlign w:val="bottom"/>
            <w:hideMark/>
          </w:tcPr>
          <w:p w14:paraId="0F1D70B0" w14:textId="77777777" w:rsidR="00000000" w:rsidRDefault="001826C1">
            <w:pPr>
              <w:rPr>
                <w:rFonts w:eastAsia="Times New Roman"/>
                <w:sz w:val="20"/>
                <w:szCs w:val="20"/>
              </w:rPr>
            </w:pPr>
            <w:r>
              <w:rPr>
                <w:rFonts w:eastAsia="Times New Roman"/>
                <w:sz w:val="20"/>
                <w:szCs w:val="20"/>
              </w:rPr>
              <w:t xml:space="preserve">CASH - end of the period </w:t>
            </w:r>
          </w:p>
        </w:tc>
        <w:tc>
          <w:tcPr>
            <w:tcW w:w="0" w:type="auto"/>
            <w:shd w:val="clear" w:color="auto" w:fill="CCEEFF"/>
            <w:tcMar>
              <w:top w:w="0" w:type="dxa"/>
              <w:left w:w="0" w:type="dxa"/>
              <w:bottom w:w="50" w:type="dxa"/>
              <w:right w:w="0" w:type="dxa"/>
            </w:tcMar>
            <w:vAlign w:val="bottom"/>
            <w:hideMark/>
          </w:tcPr>
          <w:p w14:paraId="7778C402"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F048A2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C348C61" w14:textId="77777777" w:rsidR="00000000" w:rsidRDefault="001826C1">
            <w:pPr>
              <w:jc w:val="right"/>
              <w:rPr>
                <w:rFonts w:eastAsia="Times New Roman"/>
                <w:sz w:val="20"/>
                <w:szCs w:val="20"/>
              </w:rPr>
            </w:pPr>
            <w:r>
              <w:rPr>
                <w:rFonts w:eastAsia="Times New Roman"/>
                <w:sz w:val="20"/>
                <w:szCs w:val="20"/>
              </w:rPr>
              <w:t>19,994,134</w:t>
            </w:r>
          </w:p>
        </w:tc>
        <w:tc>
          <w:tcPr>
            <w:tcW w:w="0" w:type="auto"/>
            <w:shd w:val="clear" w:color="auto" w:fill="CCEEFF"/>
            <w:tcMar>
              <w:top w:w="0" w:type="dxa"/>
              <w:left w:w="0" w:type="dxa"/>
              <w:bottom w:w="50" w:type="dxa"/>
              <w:right w:w="0" w:type="dxa"/>
            </w:tcMar>
            <w:vAlign w:val="bottom"/>
            <w:hideMark/>
          </w:tcPr>
          <w:p w14:paraId="26FA1E1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461ECD7"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BC7D7B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CAA3DC6" w14:textId="77777777" w:rsidR="00000000" w:rsidRDefault="001826C1">
            <w:pPr>
              <w:jc w:val="right"/>
              <w:rPr>
                <w:rFonts w:eastAsia="Times New Roman"/>
                <w:sz w:val="20"/>
                <w:szCs w:val="20"/>
              </w:rPr>
            </w:pPr>
            <w:r>
              <w:rPr>
                <w:rFonts w:eastAsia="Times New Roman"/>
                <w:sz w:val="20"/>
                <w:szCs w:val="20"/>
              </w:rPr>
              <w:t>14,472,483</w:t>
            </w:r>
          </w:p>
        </w:tc>
        <w:tc>
          <w:tcPr>
            <w:tcW w:w="0" w:type="auto"/>
            <w:shd w:val="clear" w:color="auto" w:fill="CCEEFF"/>
            <w:tcMar>
              <w:top w:w="0" w:type="dxa"/>
              <w:left w:w="0" w:type="dxa"/>
              <w:bottom w:w="50" w:type="dxa"/>
              <w:right w:w="0" w:type="dxa"/>
            </w:tcMar>
            <w:vAlign w:val="bottom"/>
            <w:hideMark/>
          </w:tcPr>
          <w:p w14:paraId="0A10AFAC" w14:textId="77777777" w:rsidR="00000000" w:rsidRDefault="001826C1">
            <w:pPr>
              <w:rPr>
                <w:rFonts w:eastAsia="Times New Roman"/>
                <w:sz w:val="20"/>
                <w:szCs w:val="20"/>
              </w:rPr>
            </w:pPr>
            <w:r>
              <w:rPr>
                <w:rFonts w:eastAsia="Times New Roman"/>
                <w:sz w:val="20"/>
                <w:szCs w:val="20"/>
              </w:rPr>
              <w:t> </w:t>
            </w:r>
          </w:p>
        </w:tc>
      </w:tr>
      <w:tr w:rsidR="00000000" w14:paraId="2AF82AAB" w14:textId="77777777">
        <w:tc>
          <w:tcPr>
            <w:tcW w:w="0" w:type="auto"/>
            <w:shd w:val="clear" w:color="auto" w:fill="FFFFFF"/>
            <w:vAlign w:val="bottom"/>
            <w:hideMark/>
          </w:tcPr>
          <w:p w14:paraId="773D2D3C" w14:textId="77777777" w:rsidR="00000000" w:rsidRDefault="001826C1">
            <w:pPr>
              <w:rPr>
                <w:rFonts w:eastAsia="Times New Roman"/>
                <w:sz w:val="20"/>
                <w:szCs w:val="20"/>
              </w:rPr>
            </w:pPr>
            <w:r>
              <w:rPr>
                <w:rFonts w:eastAsia="Times New Roman"/>
                <w:sz w:val="20"/>
                <w:szCs w:val="20"/>
              </w:rPr>
              <w:t xml:space="preserve">SUPPLEMENTAL NONCASH INVESTING AND FINANCING ACTIVITIES: </w:t>
            </w:r>
          </w:p>
        </w:tc>
        <w:tc>
          <w:tcPr>
            <w:tcW w:w="0" w:type="auto"/>
            <w:shd w:val="clear" w:color="auto" w:fill="FFFFFF"/>
            <w:vAlign w:val="bottom"/>
            <w:hideMark/>
          </w:tcPr>
          <w:p w14:paraId="00FD4FE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EE58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D7904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2C636D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32A5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0F2A1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CDDFC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40E12E9" w14:textId="77777777" w:rsidR="00000000" w:rsidRDefault="001826C1">
            <w:pPr>
              <w:rPr>
                <w:rFonts w:eastAsia="Times New Roman"/>
                <w:sz w:val="20"/>
                <w:szCs w:val="20"/>
              </w:rPr>
            </w:pPr>
            <w:r>
              <w:rPr>
                <w:rFonts w:eastAsia="Times New Roman"/>
                <w:sz w:val="20"/>
                <w:szCs w:val="20"/>
              </w:rPr>
              <w:t> </w:t>
            </w:r>
          </w:p>
        </w:tc>
      </w:tr>
      <w:tr w:rsidR="00000000" w14:paraId="23CC8518" w14:textId="77777777">
        <w:tc>
          <w:tcPr>
            <w:tcW w:w="0" w:type="auto"/>
            <w:shd w:val="clear" w:color="auto" w:fill="CCEEFF"/>
            <w:tcMar>
              <w:top w:w="0" w:type="dxa"/>
              <w:left w:w="200" w:type="dxa"/>
              <w:bottom w:w="50" w:type="dxa"/>
              <w:right w:w="0" w:type="dxa"/>
            </w:tcMar>
            <w:vAlign w:val="bottom"/>
            <w:hideMark/>
          </w:tcPr>
          <w:p w14:paraId="0D89BA8A" w14:textId="77777777" w:rsidR="00000000" w:rsidRDefault="001826C1">
            <w:pPr>
              <w:rPr>
                <w:rFonts w:eastAsia="Times New Roman"/>
                <w:sz w:val="20"/>
                <w:szCs w:val="20"/>
              </w:rPr>
            </w:pPr>
            <w:r>
              <w:rPr>
                <w:rFonts w:eastAsia="Times New Roman"/>
                <w:sz w:val="20"/>
                <w:szCs w:val="20"/>
              </w:rPr>
              <w:t xml:space="preserve">Vehicle financing obtained </w:t>
            </w:r>
          </w:p>
        </w:tc>
        <w:tc>
          <w:tcPr>
            <w:tcW w:w="0" w:type="auto"/>
            <w:shd w:val="clear" w:color="auto" w:fill="CCEEFF"/>
            <w:tcMar>
              <w:top w:w="0" w:type="dxa"/>
              <w:left w:w="0" w:type="dxa"/>
              <w:bottom w:w="50" w:type="dxa"/>
              <w:right w:w="0" w:type="dxa"/>
            </w:tcMar>
            <w:vAlign w:val="bottom"/>
            <w:hideMark/>
          </w:tcPr>
          <w:p w14:paraId="77C6007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20DE31B"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9CE23B3" w14:textId="77777777" w:rsidR="00000000" w:rsidRDefault="001826C1">
            <w:pPr>
              <w:jc w:val="right"/>
              <w:rPr>
                <w:rFonts w:eastAsia="Times New Roman"/>
                <w:sz w:val="20"/>
                <w:szCs w:val="20"/>
              </w:rPr>
            </w:pPr>
            <w:r>
              <w:rPr>
                <w:rFonts w:eastAsia="Times New Roman"/>
                <w:sz w:val="20"/>
                <w:szCs w:val="20"/>
              </w:rPr>
              <w:t>24,909</w:t>
            </w:r>
          </w:p>
        </w:tc>
        <w:tc>
          <w:tcPr>
            <w:tcW w:w="0" w:type="auto"/>
            <w:shd w:val="clear" w:color="auto" w:fill="CCEEFF"/>
            <w:tcMar>
              <w:top w:w="0" w:type="dxa"/>
              <w:left w:w="0" w:type="dxa"/>
              <w:bottom w:w="50" w:type="dxa"/>
              <w:right w:w="0" w:type="dxa"/>
            </w:tcMar>
            <w:vAlign w:val="bottom"/>
            <w:hideMark/>
          </w:tcPr>
          <w:p w14:paraId="243C804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011934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D4D190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1C65839" w14:textId="77777777" w:rsidR="00000000" w:rsidRDefault="001826C1">
            <w:pPr>
              <w:jc w:val="right"/>
              <w:rPr>
                <w:rFonts w:eastAsia="Times New Roman"/>
                <w:sz w:val="20"/>
                <w:szCs w:val="20"/>
              </w:rPr>
            </w:pPr>
            <w:r>
              <w:rPr>
                <w:rFonts w:eastAsia="Times New Roman"/>
                <w:sz w:val="20"/>
                <w:szCs w:val="20"/>
              </w:rPr>
              <w:t>90,284</w:t>
            </w:r>
          </w:p>
        </w:tc>
        <w:tc>
          <w:tcPr>
            <w:tcW w:w="0" w:type="auto"/>
            <w:shd w:val="clear" w:color="auto" w:fill="CCEEFF"/>
            <w:tcMar>
              <w:top w:w="0" w:type="dxa"/>
              <w:left w:w="0" w:type="dxa"/>
              <w:bottom w:w="50" w:type="dxa"/>
              <w:right w:w="0" w:type="dxa"/>
            </w:tcMar>
            <w:vAlign w:val="bottom"/>
            <w:hideMark/>
          </w:tcPr>
          <w:p w14:paraId="01333031" w14:textId="77777777" w:rsidR="00000000" w:rsidRDefault="001826C1">
            <w:pPr>
              <w:rPr>
                <w:rFonts w:eastAsia="Times New Roman"/>
                <w:sz w:val="20"/>
                <w:szCs w:val="20"/>
              </w:rPr>
            </w:pPr>
            <w:r>
              <w:rPr>
                <w:rFonts w:eastAsia="Times New Roman"/>
                <w:sz w:val="20"/>
                <w:szCs w:val="20"/>
              </w:rPr>
              <w:t> </w:t>
            </w:r>
          </w:p>
        </w:tc>
      </w:tr>
      <w:tr w:rsidR="00000000" w14:paraId="3F959269" w14:textId="77777777">
        <w:tc>
          <w:tcPr>
            <w:tcW w:w="0" w:type="auto"/>
            <w:shd w:val="clear" w:color="auto" w:fill="FFFFFF"/>
            <w:tcMar>
              <w:top w:w="0" w:type="dxa"/>
              <w:left w:w="200" w:type="dxa"/>
              <w:bottom w:w="50" w:type="dxa"/>
              <w:right w:w="0" w:type="dxa"/>
            </w:tcMar>
            <w:vAlign w:val="bottom"/>
            <w:hideMark/>
          </w:tcPr>
          <w:p w14:paraId="781AB385" w14:textId="77777777" w:rsidR="00000000" w:rsidRDefault="001826C1">
            <w:pPr>
              <w:rPr>
                <w:rFonts w:eastAsia="Times New Roman"/>
                <w:sz w:val="20"/>
                <w:szCs w:val="20"/>
              </w:rPr>
            </w:pPr>
            <w:r>
              <w:rPr>
                <w:rFonts w:eastAsia="Times New Roman"/>
                <w:sz w:val="20"/>
                <w:szCs w:val="20"/>
              </w:rPr>
              <w:t xml:space="preserve">Dividends declared, not paid </w:t>
            </w:r>
          </w:p>
        </w:tc>
        <w:tc>
          <w:tcPr>
            <w:tcW w:w="0" w:type="auto"/>
            <w:shd w:val="clear" w:color="auto" w:fill="FFFFFF"/>
            <w:tcMar>
              <w:top w:w="0" w:type="dxa"/>
              <w:left w:w="0" w:type="dxa"/>
              <w:bottom w:w="50" w:type="dxa"/>
              <w:right w:w="0" w:type="dxa"/>
            </w:tcMar>
            <w:vAlign w:val="bottom"/>
            <w:hideMark/>
          </w:tcPr>
          <w:p w14:paraId="3365FDC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AC662BC"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7C6A827" w14:textId="77777777" w:rsidR="00000000" w:rsidRDefault="001826C1">
            <w:pPr>
              <w:jc w:val="right"/>
              <w:rPr>
                <w:rFonts w:eastAsia="Times New Roman"/>
                <w:sz w:val="20"/>
                <w:szCs w:val="20"/>
              </w:rPr>
            </w:pPr>
            <w:r>
              <w:rPr>
                <w:rFonts w:eastAsia="Times New Roman"/>
                <w:sz w:val="20"/>
                <w:szCs w:val="20"/>
              </w:rPr>
              <w:t>1,745,791</w:t>
            </w:r>
          </w:p>
        </w:tc>
        <w:tc>
          <w:tcPr>
            <w:tcW w:w="0" w:type="auto"/>
            <w:shd w:val="clear" w:color="auto" w:fill="FFFFFF"/>
            <w:tcMar>
              <w:top w:w="0" w:type="dxa"/>
              <w:left w:w="0" w:type="dxa"/>
              <w:bottom w:w="50" w:type="dxa"/>
              <w:right w:w="0" w:type="dxa"/>
            </w:tcMar>
            <w:vAlign w:val="bottom"/>
            <w:hideMark/>
          </w:tcPr>
          <w:p w14:paraId="7B2DC2B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5932166"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8750DE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DA384E6" w14:textId="77777777" w:rsidR="00000000" w:rsidRDefault="001826C1">
            <w:pPr>
              <w:jc w:val="right"/>
              <w:rPr>
                <w:rFonts w:eastAsia="Times New Roman"/>
                <w:sz w:val="20"/>
                <w:szCs w:val="20"/>
              </w:rPr>
            </w:pPr>
            <w:r>
              <w:rPr>
                <w:rFonts w:eastAsia="Times New Roman"/>
                <w:sz w:val="20"/>
                <w:szCs w:val="20"/>
              </w:rPr>
              <w:t>1,468,724</w:t>
            </w:r>
          </w:p>
        </w:tc>
        <w:tc>
          <w:tcPr>
            <w:tcW w:w="0" w:type="auto"/>
            <w:shd w:val="clear" w:color="auto" w:fill="FFFFFF"/>
            <w:tcMar>
              <w:top w:w="0" w:type="dxa"/>
              <w:left w:w="0" w:type="dxa"/>
              <w:bottom w:w="50" w:type="dxa"/>
              <w:right w:w="0" w:type="dxa"/>
            </w:tcMar>
            <w:vAlign w:val="bottom"/>
            <w:hideMark/>
          </w:tcPr>
          <w:p w14:paraId="652E62EA" w14:textId="77777777" w:rsidR="00000000" w:rsidRDefault="001826C1">
            <w:pPr>
              <w:rPr>
                <w:rFonts w:eastAsia="Times New Roman"/>
                <w:sz w:val="20"/>
                <w:szCs w:val="20"/>
              </w:rPr>
            </w:pPr>
            <w:r>
              <w:rPr>
                <w:rFonts w:eastAsia="Times New Roman"/>
                <w:sz w:val="20"/>
                <w:szCs w:val="20"/>
              </w:rPr>
              <w:t> </w:t>
            </w:r>
          </w:p>
        </w:tc>
      </w:tr>
      <w:tr w:rsidR="00000000" w14:paraId="104E50FB" w14:textId="77777777">
        <w:tc>
          <w:tcPr>
            <w:tcW w:w="0" w:type="auto"/>
            <w:shd w:val="clear" w:color="auto" w:fill="CCEEFF"/>
            <w:tcMar>
              <w:top w:w="0" w:type="dxa"/>
              <w:left w:w="200" w:type="dxa"/>
              <w:bottom w:w="50" w:type="dxa"/>
              <w:right w:w="0" w:type="dxa"/>
            </w:tcMar>
            <w:vAlign w:val="bottom"/>
            <w:hideMark/>
          </w:tcPr>
          <w:p w14:paraId="681E9318" w14:textId="77777777" w:rsidR="00000000" w:rsidRDefault="001826C1">
            <w:pPr>
              <w:rPr>
                <w:rFonts w:eastAsia="Times New Roman"/>
                <w:sz w:val="20"/>
                <w:szCs w:val="20"/>
              </w:rPr>
            </w:pPr>
            <w:r>
              <w:rPr>
                <w:rFonts w:eastAsia="Times New Roman"/>
                <w:sz w:val="20"/>
                <w:szCs w:val="20"/>
              </w:rPr>
              <w:t xml:space="preserve">Purchase of prepaid insurance through assumption of note </w:t>
            </w:r>
          </w:p>
        </w:tc>
        <w:tc>
          <w:tcPr>
            <w:tcW w:w="0" w:type="auto"/>
            <w:shd w:val="clear" w:color="auto" w:fill="CCEEFF"/>
            <w:tcMar>
              <w:top w:w="0" w:type="dxa"/>
              <w:left w:w="0" w:type="dxa"/>
              <w:bottom w:w="50" w:type="dxa"/>
              <w:right w:w="0" w:type="dxa"/>
            </w:tcMar>
            <w:vAlign w:val="bottom"/>
            <w:hideMark/>
          </w:tcPr>
          <w:p w14:paraId="77FDEE76"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3B2108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13158B9" w14:textId="77777777" w:rsidR="00000000" w:rsidRDefault="001826C1">
            <w:pPr>
              <w:jc w:val="right"/>
              <w:rPr>
                <w:rFonts w:eastAsia="Times New Roman"/>
                <w:sz w:val="20"/>
                <w:szCs w:val="20"/>
              </w:rPr>
            </w:pPr>
            <w:r>
              <w:rPr>
                <w:rFonts w:eastAsia="Times New Roman"/>
                <w:sz w:val="20"/>
                <w:szCs w:val="20"/>
              </w:rPr>
              <w:t>301,359</w:t>
            </w:r>
          </w:p>
        </w:tc>
        <w:tc>
          <w:tcPr>
            <w:tcW w:w="0" w:type="auto"/>
            <w:shd w:val="clear" w:color="auto" w:fill="CCEEFF"/>
            <w:tcMar>
              <w:top w:w="0" w:type="dxa"/>
              <w:left w:w="0" w:type="dxa"/>
              <w:bottom w:w="50" w:type="dxa"/>
              <w:right w:w="0" w:type="dxa"/>
            </w:tcMar>
            <w:vAlign w:val="bottom"/>
            <w:hideMark/>
          </w:tcPr>
          <w:p w14:paraId="1D257BD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20C974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8149D7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9EAB9AC" w14:textId="77777777" w:rsidR="00000000" w:rsidRDefault="001826C1">
            <w:pPr>
              <w:jc w:val="right"/>
              <w:rPr>
                <w:rFonts w:eastAsia="Times New Roman"/>
                <w:sz w:val="20"/>
                <w:szCs w:val="20"/>
              </w:rPr>
            </w:pPr>
            <w:r>
              <w:rPr>
                <w:rFonts w:eastAsia="Times New Roman"/>
                <w:sz w:val="20"/>
                <w:szCs w:val="20"/>
              </w:rPr>
              <w:t>271,248</w:t>
            </w:r>
          </w:p>
        </w:tc>
        <w:tc>
          <w:tcPr>
            <w:tcW w:w="0" w:type="auto"/>
            <w:shd w:val="clear" w:color="auto" w:fill="CCEEFF"/>
            <w:tcMar>
              <w:top w:w="0" w:type="dxa"/>
              <w:left w:w="0" w:type="dxa"/>
              <w:bottom w:w="50" w:type="dxa"/>
              <w:right w:w="0" w:type="dxa"/>
            </w:tcMar>
            <w:vAlign w:val="bottom"/>
            <w:hideMark/>
          </w:tcPr>
          <w:p w14:paraId="4CE1DFAA" w14:textId="77777777" w:rsidR="00000000" w:rsidRDefault="001826C1">
            <w:pPr>
              <w:rPr>
                <w:rFonts w:eastAsia="Times New Roman"/>
                <w:sz w:val="20"/>
                <w:szCs w:val="20"/>
              </w:rPr>
            </w:pPr>
            <w:r>
              <w:rPr>
                <w:rFonts w:eastAsia="Times New Roman"/>
                <w:sz w:val="20"/>
                <w:szCs w:val="20"/>
              </w:rPr>
              <w:t> </w:t>
            </w:r>
          </w:p>
        </w:tc>
      </w:tr>
      <w:tr w:rsidR="00000000" w14:paraId="40B21EB4" w14:textId="77777777">
        <w:tc>
          <w:tcPr>
            <w:tcW w:w="0" w:type="auto"/>
            <w:shd w:val="clear" w:color="auto" w:fill="FFFFFF"/>
            <w:tcMar>
              <w:top w:w="0" w:type="dxa"/>
              <w:left w:w="200" w:type="dxa"/>
              <w:bottom w:w="50" w:type="dxa"/>
              <w:right w:w="0" w:type="dxa"/>
            </w:tcMar>
            <w:vAlign w:val="bottom"/>
            <w:hideMark/>
          </w:tcPr>
          <w:p w14:paraId="278566F5" w14:textId="77777777" w:rsidR="00000000" w:rsidRDefault="001826C1">
            <w:pPr>
              <w:rPr>
                <w:rFonts w:eastAsia="Times New Roman"/>
                <w:sz w:val="20"/>
                <w:szCs w:val="20"/>
              </w:rPr>
            </w:pPr>
            <w:r>
              <w:rPr>
                <w:rFonts w:eastAsia="Times New Roman"/>
                <w:sz w:val="20"/>
                <w:szCs w:val="20"/>
              </w:rPr>
              <w:t xml:space="preserve">Warrants issued </w:t>
            </w:r>
          </w:p>
        </w:tc>
        <w:tc>
          <w:tcPr>
            <w:tcW w:w="0" w:type="auto"/>
            <w:shd w:val="clear" w:color="auto" w:fill="FFFFFF"/>
            <w:tcMar>
              <w:top w:w="0" w:type="dxa"/>
              <w:left w:w="0" w:type="dxa"/>
              <w:bottom w:w="50" w:type="dxa"/>
              <w:right w:w="0" w:type="dxa"/>
            </w:tcMar>
            <w:vAlign w:val="bottom"/>
            <w:hideMark/>
          </w:tcPr>
          <w:p w14:paraId="43CB7A3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01BF561"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BA177E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7C82E2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43E81A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D01B5AC"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5A34992" w14:textId="77777777" w:rsidR="00000000" w:rsidRDefault="001826C1">
            <w:pPr>
              <w:jc w:val="right"/>
              <w:rPr>
                <w:rFonts w:eastAsia="Times New Roman"/>
                <w:sz w:val="20"/>
                <w:szCs w:val="20"/>
              </w:rPr>
            </w:pPr>
            <w:r>
              <w:rPr>
                <w:rFonts w:eastAsia="Times New Roman"/>
                <w:sz w:val="20"/>
                <w:szCs w:val="20"/>
              </w:rPr>
              <w:t>101,989</w:t>
            </w:r>
          </w:p>
        </w:tc>
        <w:tc>
          <w:tcPr>
            <w:tcW w:w="0" w:type="auto"/>
            <w:shd w:val="clear" w:color="auto" w:fill="FFFFFF"/>
            <w:tcMar>
              <w:top w:w="0" w:type="dxa"/>
              <w:left w:w="0" w:type="dxa"/>
              <w:bottom w:w="50" w:type="dxa"/>
              <w:right w:w="0" w:type="dxa"/>
            </w:tcMar>
            <w:vAlign w:val="bottom"/>
            <w:hideMark/>
          </w:tcPr>
          <w:p w14:paraId="544A47D2" w14:textId="77777777" w:rsidR="00000000" w:rsidRDefault="001826C1">
            <w:pPr>
              <w:rPr>
                <w:rFonts w:eastAsia="Times New Roman"/>
                <w:sz w:val="20"/>
                <w:szCs w:val="20"/>
              </w:rPr>
            </w:pPr>
            <w:r>
              <w:rPr>
                <w:rFonts w:eastAsia="Times New Roman"/>
                <w:sz w:val="20"/>
                <w:szCs w:val="20"/>
              </w:rPr>
              <w:t> </w:t>
            </w:r>
          </w:p>
        </w:tc>
      </w:tr>
      <w:tr w:rsidR="00000000" w14:paraId="17C6B4DF" w14:textId="77777777">
        <w:tc>
          <w:tcPr>
            <w:tcW w:w="0" w:type="auto"/>
            <w:shd w:val="clear" w:color="auto" w:fill="CCEEFF"/>
            <w:vAlign w:val="bottom"/>
            <w:hideMark/>
          </w:tcPr>
          <w:p w14:paraId="0C50A9F3" w14:textId="77777777" w:rsidR="00000000" w:rsidRDefault="001826C1">
            <w:pPr>
              <w:rPr>
                <w:rFonts w:eastAsia="Times New Roman"/>
                <w:sz w:val="20"/>
                <w:szCs w:val="20"/>
              </w:rPr>
            </w:pPr>
            <w:r>
              <w:rPr>
                <w:rFonts w:eastAsia="Times New Roman"/>
                <w:sz w:val="20"/>
                <w:szCs w:val="20"/>
              </w:rPr>
              <w:t xml:space="preserve">SUPPLEMENTAL INFORMATION - Cash paid during the period for: </w:t>
            </w:r>
          </w:p>
        </w:tc>
        <w:tc>
          <w:tcPr>
            <w:tcW w:w="0" w:type="auto"/>
            <w:shd w:val="clear" w:color="auto" w:fill="CCEEFF"/>
            <w:vAlign w:val="bottom"/>
            <w:hideMark/>
          </w:tcPr>
          <w:p w14:paraId="0D94787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DF29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48086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D76A5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BB73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55CF5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0131D2"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E13BF9" w14:textId="77777777" w:rsidR="00000000" w:rsidRDefault="001826C1">
            <w:pPr>
              <w:rPr>
                <w:rFonts w:eastAsia="Times New Roman"/>
                <w:sz w:val="20"/>
                <w:szCs w:val="20"/>
              </w:rPr>
            </w:pPr>
            <w:r>
              <w:rPr>
                <w:rFonts w:eastAsia="Times New Roman"/>
                <w:sz w:val="20"/>
                <w:szCs w:val="20"/>
              </w:rPr>
              <w:t> </w:t>
            </w:r>
          </w:p>
        </w:tc>
      </w:tr>
      <w:tr w:rsidR="00000000" w14:paraId="6AA96EEF" w14:textId="77777777">
        <w:tc>
          <w:tcPr>
            <w:tcW w:w="0" w:type="auto"/>
            <w:shd w:val="clear" w:color="auto" w:fill="FFFFFF"/>
            <w:tcMar>
              <w:top w:w="0" w:type="dxa"/>
              <w:left w:w="200" w:type="dxa"/>
              <w:bottom w:w="50" w:type="dxa"/>
              <w:right w:w="0" w:type="dxa"/>
            </w:tcMar>
            <w:vAlign w:val="bottom"/>
            <w:hideMark/>
          </w:tcPr>
          <w:p w14:paraId="3D159AC4" w14:textId="77777777" w:rsidR="00000000" w:rsidRDefault="001826C1">
            <w:pPr>
              <w:rPr>
                <w:rFonts w:eastAsia="Times New Roman"/>
                <w:sz w:val="20"/>
                <w:szCs w:val="20"/>
              </w:rPr>
            </w:pPr>
            <w:r>
              <w:rPr>
                <w:rFonts w:eastAsia="Times New Roman"/>
                <w:sz w:val="20"/>
                <w:szCs w:val="20"/>
              </w:rPr>
              <w:t xml:space="preserve">Income taxes </w:t>
            </w:r>
          </w:p>
        </w:tc>
        <w:tc>
          <w:tcPr>
            <w:tcW w:w="0" w:type="auto"/>
            <w:shd w:val="clear" w:color="auto" w:fill="FFFFFF"/>
            <w:tcMar>
              <w:top w:w="0" w:type="dxa"/>
              <w:left w:w="0" w:type="dxa"/>
              <w:bottom w:w="50" w:type="dxa"/>
              <w:right w:w="0" w:type="dxa"/>
            </w:tcMar>
            <w:vAlign w:val="bottom"/>
            <w:hideMark/>
          </w:tcPr>
          <w:p w14:paraId="00DF1D2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A6F4E9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B26F1BD" w14:textId="77777777" w:rsidR="00000000" w:rsidRDefault="001826C1">
            <w:pPr>
              <w:jc w:val="right"/>
              <w:rPr>
                <w:rFonts w:eastAsia="Times New Roman"/>
                <w:sz w:val="20"/>
                <w:szCs w:val="20"/>
              </w:rPr>
            </w:pPr>
            <w:r>
              <w:rPr>
                <w:rFonts w:eastAsia="Times New Roman"/>
                <w:sz w:val="20"/>
                <w:szCs w:val="20"/>
              </w:rPr>
              <w:t>119,265</w:t>
            </w:r>
          </w:p>
        </w:tc>
        <w:tc>
          <w:tcPr>
            <w:tcW w:w="0" w:type="auto"/>
            <w:shd w:val="clear" w:color="auto" w:fill="FFFFFF"/>
            <w:tcMar>
              <w:top w:w="0" w:type="dxa"/>
              <w:left w:w="0" w:type="dxa"/>
              <w:bottom w:w="50" w:type="dxa"/>
              <w:right w:w="0" w:type="dxa"/>
            </w:tcMar>
            <w:vAlign w:val="bottom"/>
            <w:hideMark/>
          </w:tcPr>
          <w:p w14:paraId="5014C0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73578A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963568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2FB05B5" w14:textId="77777777" w:rsidR="00000000" w:rsidRDefault="001826C1">
            <w:pPr>
              <w:jc w:val="right"/>
              <w:rPr>
                <w:rFonts w:eastAsia="Times New Roman"/>
                <w:sz w:val="20"/>
                <w:szCs w:val="20"/>
              </w:rPr>
            </w:pPr>
            <w:r>
              <w:rPr>
                <w:rFonts w:eastAsia="Times New Roman"/>
                <w:sz w:val="20"/>
                <w:szCs w:val="20"/>
              </w:rPr>
              <w:t>42,057</w:t>
            </w:r>
          </w:p>
        </w:tc>
        <w:tc>
          <w:tcPr>
            <w:tcW w:w="0" w:type="auto"/>
            <w:shd w:val="clear" w:color="auto" w:fill="FFFFFF"/>
            <w:tcMar>
              <w:top w:w="0" w:type="dxa"/>
              <w:left w:w="0" w:type="dxa"/>
              <w:bottom w:w="50" w:type="dxa"/>
              <w:right w:w="0" w:type="dxa"/>
            </w:tcMar>
            <w:vAlign w:val="bottom"/>
            <w:hideMark/>
          </w:tcPr>
          <w:p w14:paraId="1316BEFB" w14:textId="77777777" w:rsidR="00000000" w:rsidRDefault="001826C1">
            <w:pPr>
              <w:rPr>
                <w:rFonts w:eastAsia="Times New Roman"/>
                <w:sz w:val="20"/>
                <w:szCs w:val="20"/>
              </w:rPr>
            </w:pPr>
            <w:r>
              <w:rPr>
                <w:rFonts w:eastAsia="Times New Roman"/>
                <w:sz w:val="20"/>
                <w:szCs w:val="20"/>
              </w:rPr>
              <w:t> </w:t>
            </w:r>
          </w:p>
        </w:tc>
      </w:tr>
      <w:tr w:rsidR="00000000" w14:paraId="2E1F9082" w14:textId="77777777">
        <w:tc>
          <w:tcPr>
            <w:tcW w:w="0" w:type="auto"/>
            <w:shd w:val="clear" w:color="auto" w:fill="CCEEFF"/>
            <w:tcMar>
              <w:top w:w="0" w:type="dxa"/>
              <w:left w:w="200" w:type="dxa"/>
              <w:bottom w:w="50" w:type="dxa"/>
              <w:right w:w="0" w:type="dxa"/>
            </w:tcMar>
            <w:vAlign w:val="bottom"/>
            <w:hideMark/>
          </w:tcPr>
          <w:p w14:paraId="0111B92B" w14:textId="77777777" w:rsidR="00000000" w:rsidRDefault="001826C1">
            <w:pPr>
              <w:rPr>
                <w:rFonts w:eastAsia="Times New Roman"/>
                <w:sz w:val="20"/>
                <w:szCs w:val="20"/>
              </w:rPr>
            </w:pPr>
            <w:r>
              <w:rPr>
                <w:rFonts w:eastAsia="Times New Roman"/>
                <w:sz w:val="20"/>
                <w:szCs w:val="20"/>
              </w:rPr>
              <w:t xml:space="preserve">Interest </w:t>
            </w:r>
          </w:p>
        </w:tc>
        <w:tc>
          <w:tcPr>
            <w:tcW w:w="0" w:type="auto"/>
            <w:shd w:val="clear" w:color="auto" w:fill="CCEEFF"/>
            <w:tcMar>
              <w:top w:w="0" w:type="dxa"/>
              <w:left w:w="0" w:type="dxa"/>
              <w:bottom w:w="50" w:type="dxa"/>
              <w:right w:w="0" w:type="dxa"/>
            </w:tcMar>
            <w:vAlign w:val="bottom"/>
            <w:hideMark/>
          </w:tcPr>
          <w:p w14:paraId="1FF9612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D10769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BA2ACBA" w14:textId="77777777" w:rsidR="00000000" w:rsidRDefault="001826C1">
            <w:pPr>
              <w:jc w:val="right"/>
              <w:rPr>
                <w:rFonts w:eastAsia="Times New Roman"/>
                <w:sz w:val="20"/>
                <w:szCs w:val="20"/>
              </w:rPr>
            </w:pPr>
            <w:r>
              <w:rPr>
                <w:rFonts w:eastAsia="Times New Roman"/>
                <w:sz w:val="20"/>
                <w:szCs w:val="20"/>
              </w:rPr>
              <w:t>67,273</w:t>
            </w:r>
          </w:p>
        </w:tc>
        <w:tc>
          <w:tcPr>
            <w:tcW w:w="0" w:type="auto"/>
            <w:shd w:val="clear" w:color="auto" w:fill="CCEEFF"/>
            <w:tcMar>
              <w:top w:w="0" w:type="dxa"/>
              <w:left w:w="0" w:type="dxa"/>
              <w:bottom w:w="50" w:type="dxa"/>
              <w:right w:w="0" w:type="dxa"/>
            </w:tcMar>
            <w:vAlign w:val="bottom"/>
            <w:hideMark/>
          </w:tcPr>
          <w:p w14:paraId="6AC935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40FEEF2"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24E978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C16DE53" w14:textId="77777777" w:rsidR="00000000" w:rsidRDefault="001826C1">
            <w:pPr>
              <w:jc w:val="right"/>
              <w:rPr>
                <w:rFonts w:eastAsia="Times New Roman"/>
                <w:sz w:val="20"/>
                <w:szCs w:val="20"/>
              </w:rPr>
            </w:pPr>
            <w:r>
              <w:rPr>
                <w:rFonts w:eastAsia="Times New Roman"/>
                <w:sz w:val="20"/>
                <w:szCs w:val="20"/>
              </w:rPr>
              <w:t>64,669</w:t>
            </w:r>
          </w:p>
        </w:tc>
        <w:tc>
          <w:tcPr>
            <w:tcW w:w="0" w:type="auto"/>
            <w:shd w:val="clear" w:color="auto" w:fill="CCEEFF"/>
            <w:tcMar>
              <w:top w:w="0" w:type="dxa"/>
              <w:left w:w="0" w:type="dxa"/>
              <w:bottom w:w="50" w:type="dxa"/>
              <w:right w:w="0" w:type="dxa"/>
            </w:tcMar>
            <w:vAlign w:val="bottom"/>
            <w:hideMark/>
          </w:tcPr>
          <w:p w14:paraId="645BBAF1" w14:textId="77777777" w:rsidR="00000000" w:rsidRDefault="001826C1">
            <w:pPr>
              <w:rPr>
                <w:rFonts w:eastAsia="Times New Roman"/>
                <w:sz w:val="20"/>
                <w:szCs w:val="20"/>
              </w:rPr>
            </w:pPr>
            <w:r>
              <w:rPr>
                <w:rFonts w:eastAsia="Times New Roman"/>
                <w:sz w:val="20"/>
                <w:szCs w:val="20"/>
              </w:rPr>
              <w:t> </w:t>
            </w:r>
          </w:p>
        </w:tc>
      </w:tr>
    </w:tbl>
    <w:p w14:paraId="0BF7A6B8" w14:textId="77777777" w:rsidR="00000000" w:rsidRDefault="001826C1">
      <w:pPr>
        <w:pStyle w:val="a3"/>
        <w:spacing w:before="0" w:beforeAutospacing="0" w:after="0" w:afterAutospacing="0"/>
        <w:rPr>
          <w:sz w:val="20"/>
          <w:szCs w:val="20"/>
        </w:rPr>
      </w:pPr>
      <w:r>
        <w:rPr>
          <w:sz w:val="20"/>
          <w:szCs w:val="20"/>
        </w:rPr>
        <w:t> </w:t>
      </w:r>
    </w:p>
    <w:p w14:paraId="36C38C01" w14:textId="77777777" w:rsidR="00000000" w:rsidRDefault="001826C1">
      <w:pPr>
        <w:pStyle w:val="a3"/>
        <w:spacing w:before="0" w:beforeAutospacing="0" w:after="0" w:afterAutospacing="0"/>
        <w:rPr>
          <w:sz w:val="20"/>
          <w:szCs w:val="20"/>
        </w:rPr>
      </w:pPr>
      <w:r>
        <w:rPr>
          <w:sz w:val="20"/>
          <w:szCs w:val="20"/>
        </w:rPr>
        <w:t>See notes to consolidated financial statements.</w:t>
      </w:r>
    </w:p>
    <w:p w14:paraId="06DECDD2"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D5E6AB1" w14:textId="77777777">
        <w:trPr>
          <w:divId w:val="1816028518"/>
        </w:trPr>
        <w:tc>
          <w:tcPr>
            <w:tcW w:w="5000" w:type="pct"/>
            <w:hideMark/>
          </w:tcPr>
          <w:p w14:paraId="2C8AA165"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6EBD7A4D" w14:textId="77777777">
        <w:tc>
          <w:tcPr>
            <w:tcW w:w="5000" w:type="pct"/>
            <w:hideMark/>
          </w:tcPr>
          <w:p w14:paraId="0A3001B0" w14:textId="77777777" w:rsidR="00000000" w:rsidRDefault="001826C1">
            <w:pPr>
              <w:jc w:val="center"/>
              <w:rPr>
                <w:rFonts w:eastAsia="Times New Roman"/>
                <w:sz w:val="20"/>
                <w:szCs w:val="20"/>
              </w:rPr>
            </w:pPr>
            <w:r>
              <w:rPr>
                <w:rFonts w:eastAsia="Times New Roman"/>
                <w:sz w:val="20"/>
                <w:szCs w:val="20"/>
              </w:rPr>
              <w:t> </w:t>
            </w:r>
          </w:p>
        </w:tc>
      </w:tr>
    </w:tbl>
    <w:p w14:paraId="7609D31B" w14:textId="77777777" w:rsidR="00000000" w:rsidRDefault="001826C1">
      <w:pPr>
        <w:pStyle w:val="a3"/>
        <w:spacing w:before="0" w:beforeAutospacing="0" w:after="0" w:afterAutospacing="0"/>
        <w:rPr>
          <w:sz w:val="20"/>
          <w:szCs w:val="20"/>
        </w:rPr>
      </w:pPr>
      <w:r>
        <w:rPr>
          <w:sz w:val="20"/>
          <w:szCs w:val="20"/>
        </w:rPr>
        <w:t> </w:t>
      </w:r>
    </w:p>
    <w:p w14:paraId="71F4ABD1" w14:textId="77777777" w:rsidR="00000000" w:rsidRDefault="001826C1">
      <w:pPr>
        <w:pStyle w:val="a3"/>
        <w:spacing w:before="0" w:beforeAutospacing="0" w:after="0" w:afterAutospacing="0"/>
        <w:jc w:val="center"/>
        <w:rPr>
          <w:sz w:val="20"/>
          <w:szCs w:val="20"/>
        </w:rPr>
      </w:pPr>
      <w:r>
        <w:rPr>
          <w:b/>
          <w:bCs/>
          <w:sz w:val="20"/>
          <w:szCs w:val="20"/>
        </w:rPr>
        <w:t>MTBC, INC.</w:t>
      </w:r>
    </w:p>
    <w:p w14:paraId="52705840" w14:textId="77777777" w:rsidR="00000000" w:rsidRDefault="001826C1">
      <w:pPr>
        <w:pStyle w:val="a3"/>
        <w:spacing w:before="0" w:beforeAutospacing="0" w:after="0" w:afterAutospacing="0"/>
        <w:ind w:left="475"/>
        <w:jc w:val="center"/>
        <w:rPr>
          <w:sz w:val="20"/>
          <w:szCs w:val="20"/>
        </w:rPr>
      </w:pPr>
      <w:bookmarkStart w:id="31" w:name="a_030"/>
      <w:bookmarkEnd w:id="31"/>
      <w:r>
        <w:rPr>
          <w:b/>
          <w:bCs/>
          <w:sz w:val="20"/>
          <w:szCs w:val="20"/>
        </w:rPr>
        <w:t xml:space="preserve">NOTES </w:t>
      </w:r>
      <w:r>
        <w:rPr>
          <w:b/>
          <w:bCs/>
          <w:sz w:val="20"/>
          <w:szCs w:val="20"/>
        </w:rPr>
        <w:t>TO CONSOLIDATED FINANCIAL STATEMENTS</w:t>
      </w:r>
    </w:p>
    <w:p w14:paraId="3AF67BAC" w14:textId="77777777" w:rsidR="00000000" w:rsidRDefault="001826C1">
      <w:pPr>
        <w:pStyle w:val="a3"/>
        <w:spacing w:before="0" w:beforeAutospacing="0" w:after="0" w:afterAutospacing="0"/>
        <w:ind w:left="475"/>
        <w:jc w:val="center"/>
        <w:rPr>
          <w:sz w:val="20"/>
          <w:szCs w:val="20"/>
        </w:rPr>
      </w:pPr>
      <w:r>
        <w:rPr>
          <w:b/>
          <w:bCs/>
          <w:sz w:val="20"/>
          <w:szCs w:val="20"/>
        </w:rPr>
        <w:t>AS OF AND FOR THE YEARS ENDED DECEMBER 31, 2019 AND 2018</w:t>
      </w:r>
    </w:p>
    <w:p w14:paraId="1CF348F5" w14:textId="77777777" w:rsidR="00000000" w:rsidRDefault="001826C1">
      <w:pPr>
        <w:pStyle w:val="a3"/>
        <w:spacing w:before="0" w:beforeAutospacing="0" w:after="0" w:afterAutospacing="0"/>
        <w:ind w:left="475"/>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29F8FEFD" w14:textId="77777777">
        <w:tc>
          <w:tcPr>
            <w:tcW w:w="360" w:type="dxa"/>
            <w:hideMark/>
          </w:tcPr>
          <w:p w14:paraId="3C429FD1" w14:textId="77777777" w:rsidR="00000000" w:rsidRDefault="001826C1">
            <w:pPr>
              <w:rPr>
                <w:rFonts w:eastAsia="Times New Roman"/>
                <w:b/>
                <w:bCs/>
                <w:caps/>
                <w:sz w:val="20"/>
                <w:szCs w:val="20"/>
              </w:rPr>
            </w:pPr>
            <w:r>
              <w:rPr>
                <w:rFonts w:eastAsia="Times New Roman"/>
                <w:b/>
                <w:bCs/>
                <w:caps/>
                <w:sz w:val="20"/>
                <w:szCs w:val="20"/>
              </w:rPr>
              <w:t>1.</w:t>
            </w:r>
          </w:p>
        </w:tc>
        <w:tc>
          <w:tcPr>
            <w:tcW w:w="0" w:type="auto"/>
            <w:hideMark/>
          </w:tcPr>
          <w:p w14:paraId="62F9F355" w14:textId="77777777" w:rsidR="00000000" w:rsidRDefault="001826C1">
            <w:pPr>
              <w:rPr>
                <w:rFonts w:eastAsia="Times New Roman"/>
                <w:b/>
                <w:bCs/>
                <w:caps/>
                <w:sz w:val="20"/>
                <w:szCs w:val="20"/>
              </w:rPr>
            </w:pPr>
            <w:r>
              <w:rPr>
                <w:rFonts w:eastAsia="Times New Roman"/>
                <w:b/>
                <w:bCs/>
                <w:caps/>
                <w:sz w:val="20"/>
                <w:szCs w:val="20"/>
              </w:rPr>
              <w:t>Organization and Business</w:t>
            </w:r>
          </w:p>
        </w:tc>
      </w:tr>
    </w:tbl>
    <w:p w14:paraId="505AF418" w14:textId="77777777" w:rsidR="00000000" w:rsidRDefault="001826C1">
      <w:pPr>
        <w:pStyle w:val="a3"/>
        <w:spacing w:before="0" w:beforeAutospacing="0" w:after="0" w:afterAutospacing="0"/>
        <w:ind w:left="475"/>
        <w:rPr>
          <w:sz w:val="20"/>
          <w:szCs w:val="20"/>
        </w:rPr>
      </w:pPr>
      <w:r>
        <w:rPr>
          <w:sz w:val="20"/>
          <w:szCs w:val="20"/>
        </w:rPr>
        <w:t> </w:t>
      </w:r>
    </w:p>
    <w:p w14:paraId="4C5321CC" w14:textId="77777777" w:rsidR="00000000" w:rsidRDefault="001826C1">
      <w:pPr>
        <w:pStyle w:val="a3"/>
        <w:spacing w:before="0" w:beforeAutospacing="0" w:after="0" w:afterAutospacing="0"/>
        <w:jc w:val="both"/>
        <w:rPr>
          <w:sz w:val="20"/>
          <w:szCs w:val="20"/>
        </w:rPr>
      </w:pPr>
      <w:r>
        <w:rPr>
          <w:sz w:val="20"/>
          <w:szCs w:val="20"/>
        </w:rPr>
        <w:t>MTBC, Inc., (and together with its subsidiaries “MTBC” or the “Company”) is a healthcare information technology company that off</w:t>
      </w:r>
      <w:r>
        <w:rPr>
          <w:sz w:val="20"/>
          <w:szCs w:val="20"/>
        </w:rPr>
        <w:t>ers an integrated suite of proprietary cloud-based electronic health records and practice management solutions, together with related business services, to healthcare providers. The Company’s integrated services are designed to help customers increase reve</w:t>
      </w:r>
      <w:r>
        <w:rPr>
          <w:sz w:val="20"/>
          <w:szCs w:val="20"/>
        </w:rPr>
        <w:t>nues, streamline workflows and make better business and clinical decisions, while reducing administrative burdens and operating costs. The Company’s services include full-scale revenue cycle management, comprehensive practice management services, electroni</w:t>
      </w:r>
      <w:r>
        <w:rPr>
          <w:sz w:val="20"/>
          <w:szCs w:val="20"/>
        </w:rPr>
        <w:t>c health records, and other technology-driven practice management services for private and hospital-employed healthcare providers. MTBC has its corporate offices in Somerset, New Jersey and maintains client support teams throughout the U.S., in Pakistan an</w:t>
      </w:r>
      <w:r>
        <w:rPr>
          <w:sz w:val="20"/>
          <w:szCs w:val="20"/>
        </w:rPr>
        <w:t>d in Sri Lanka.</w:t>
      </w:r>
    </w:p>
    <w:p w14:paraId="2C446A39" w14:textId="77777777" w:rsidR="00000000" w:rsidRDefault="001826C1">
      <w:pPr>
        <w:pStyle w:val="a3"/>
        <w:spacing w:before="0" w:beforeAutospacing="0" w:after="0" w:afterAutospacing="0"/>
        <w:jc w:val="both"/>
        <w:rPr>
          <w:sz w:val="20"/>
          <w:szCs w:val="20"/>
        </w:rPr>
      </w:pPr>
      <w:r>
        <w:rPr>
          <w:sz w:val="20"/>
          <w:szCs w:val="20"/>
        </w:rPr>
        <w:t> </w:t>
      </w:r>
    </w:p>
    <w:p w14:paraId="57ABE1C0" w14:textId="77777777" w:rsidR="00000000" w:rsidRDefault="001826C1">
      <w:pPr>
        <w:pStyle w:val="a3"/>
        <w:spacing w:before="0" w:beforeAutospacing="0" w:after="0" w:afterAutospacing="0"/>
        <w:jc w:val="both"/>
        <w:rPr>
          <w:sz w:val="20"/>
          <w:szCs w:val="20"/>
        </w:rPr>
      </w:pPr>
      <w:r>
        <w:rPr>
          <w:sz w:val="20"/>
          <w:szCs w:val="20"/>
        </w:rPr>
        <w:t>MTBC was founded in 1999 and incorporated under the laws of the State of Delaware in 2001. In 2004, MTBC formed MTBC Private Limited (or “MTBC Pvt. Ltd.”), a 99.9% majority-owned subsidiary of MTBC based in Pakistan. The remaining 0.01% o</w:t>
      </w:r>
      <w:r>
        <w:rPr>
          <w:sz w:val="20"/>
          <w:szCs w:val="20"/>
        </w:rPr>
        <w:t>f the shares of MTBC Pvt. Ltd. is owned by the founder and Executive Chairman of MTBC. In 2016, MTBC formed MTBC Acquisition Corp. (“MAC”), a Delaware corporation, in connection with its acquisition of substantially all of the assets of MediGain, LLC and i</w:t>
      </w:r>
      <w:r>
        <w:rPr>
          <w:sz w:val="20"/>
          <w:szCs w:val="20"/>
        </w:rPr>
        <w:t>ts subsidiary, Millennium Practice Management Associates, LLC (together “MediGain”). MAC has a wholly owned subsidiary in Sri Lanka, RCM MediGain Colombo, Pvt. Ltd. In May 2018, MTBC formed MTBC Health, Inc. (“MHI”) and MTBC Practice Management, Corp. (“MP</w:t>
      </w:r>
      <w:r>
        <w:rPr>
          <w:sz w:val="20"/>
          <w:szCs w:val="20"/>
        </w:rPr>
        <w:t>M”), each a Delaware corporation in connection MTBC’s acquisition of substantially all of the revenue cycle management, practice management and group purchasing organization assets of Orion Healthcorp, Inc. and 13 of its affiliates (together, “Orion”). MHI</w:t>
      </w:r>
      <w:r>
        <w:rPr>
          <w:sz w:val="20"/>
          <w:szCs w:val="20"/>
        </w:rPr>
        <w:t xml:space="preserve"> is a direct, wholly owned subsidiary of MTBC, and was formed to own and operate the revenue cycle management and group purchasing organization businesses acquired from Orion. MPM is a wholly owned subsidiary of MHI and was formed to own and operate the pr</w:t>
      </w:r>
      <w:r>
        <w:rPr>
          <w:sz w:val="20"/>
          <w:szCs w:val="20"/>
        </w:rPr>
        <w:t>actice management business acquired from Orion.</w:t>
      </w:r>
    </w:p>
    <w:p w14:paraId="780062CE" w14:textId="77777777" w:rsidR="00000000" w:rsidRDefault="001826C1">
      <w:pPr>
        <w:pStyle w:val="a3"/>
        <w:spacing w:before="0" w:beforeAutospacing="0" w:after="0" w:afterAutospacing="0"/>
        <w:jc w:val="both"/>
        <w:rPr>
          <w:sz w:val="20"/>
          <w:szCs w:val="20"/>
        </w:rPr>
      </w:pPr>
      <w:r>
        <w:rPr>
          <w:sz w:val="20"/>
          <w:szCs w:val="20"/>
        </w:rPr>
        <w:t> </w:t>
      </w:r>
    </w:p>
    <w:p w14:paraId="41DB73CB" w14:textId="77777777" w:rsidR="00000000" w:rsidRDefault="001826C1">
      <w:pPr>
        <w:pStyle w:val="a3"/>
        <w:spacing w:before="0" w:beforeAutospacing="0" w:after="0" w:afterAutospacing="0"/>
        <w:jc w:val="both"/>
        <w:rPr>
          <w:sz w:val="20"/>
          <w:szCs w:val="20"/>
        </w:rPr>
      </w:pPr>
      <w:r>
        <w:rPr>
          <w:sz w:val="20"/>
          <w:szCs w:val="20"/>
        </w:rPr>
        <w:t>The Company’</w:t>
      </w:r>
      <w:r>
        <w:rPr>
          <w:sz w:val="20"/>
          <w:szCs w:val="20"/>
        </w:rPr>
        <w:t>s previous subsidiary in Poland was liquated in 2018. The operations in the Indian subsidiary have been terminated and the subsidiary is being liquidated.</w:t>
      </w:r>
    </w:p>
    <w:p w14:paraId="1AF60F6F" w14:textId="77777777" w:rsidR="00000000" w:rsidRDefault="001826C1">
      <w:pPr>
        <w:pStyle w:val="a3"/>
        <w:spacing w:before="0" w:beforeAutospacing="0" w:after="0" w:afterAutospacing="0"/>
        <w:jc w:val="both"/>
        <w:rPr>
          <w:sz w:val="20"/>
          <w:szCs w:val="20"/>
        </w:rPr>
      </w:pPr>
      <w:r>
        <w:rPr>
          <w:sz w:val="20"/>
          <w:szCs w:val="20"/>
        </w:rPr>
        <w:t> </w:t>
      </w:r>
    </w:p>
    <w:p w14:paraId="6CBAE33F" w14:textId="77777777" w:rsidR="00000000" w:rsidRDefault="001826C1">
      <w:pPr>
        <w:pStyle w:val="a3"/>
        <w:spacing w:before="0" w:beforeAutospacing="0" w:after="0" w:afterAutospacing="0"/>
        <w:jc w:val="both"/>
        <w:rPr>
          <w:sz w:val="20"/>
          <w:szCs w:val="20"/>
        </w:rPr>
      </w:pPr>
      <w:r>
        <w:rPr>
          <w:sz w:val="20"/>
          <w:szCs w:val="20"/>
        </w:rPr>
        <w:t>In April 2019, MTBC formed MTBC-Med, Inc. (“MED”), a Delaware corporation in connection with MTBC’s</w:t>
      </w:r>
      <w:r>
        <w:rPr>
          <w:sz w:val="20"/>
          <w:szCs w:val="20"/>
        </w:rPr>
        <w:t xml:space="preserve"> acquisition of substantially all of the revenue cycle management assets of Etransmedia Technology, Inc. (“ETM”). (See Note 3).</w:t>
      </w:r>
    </w:p>
    <w:p w14:paraId="58ACE47E"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55CC1C5B" w14:textId="77777777">
        <w:tc>
          <w:tcPr>
            <w:tcW w:w="360" w:type="dxa"/>
            <w:hideMark/>
          </w:tcPr>
          <w:p w14:paraId="7BC6924E" w14:textId="77777777" w:rsidR="00000000" w:rsidRDefault="001826C1">
            <w:pPr>
              <w:rPr>
                <w:rFonts w:eastAsia="Times New Roman"/>
                <w:b/>
                <w:bCs/>
                <w:caps/>
                <w:sz w:val="20"/>
                <w:szCs w:val="20"/>
              </w:rPr>
            </w:pPr>
            <w:r>
              <w:rPr>
                <w:rFonts w:eastAsia="Times New Roman"/>
                <w:b/>
                <w:bCs/>
                <w:caps/>
                <w:sz w:val="20"/>
                <w:szCs w:val="20"/>
              </w:rPr>
              <w:t>2.</w:t>
            </w:r>
          </w:p>
        </w:tc>
        <w:tc>
          <w:tcPr>
            <w:tcW w:w="0" w:type="auto"/>
            <w:hideMark/>
          </w:tcPr>
          <w:p w14:paraId="0BE7C70E" w14:textId="77777777" w:rsidR="00000000" w:rsidRDefault="001826C1">
            <w:pPr>
              <w:rPr>
                <w:rFonts w:eastAsia="Times New Roman"/>
                <w:b/>
                <w:bCs/>
                <w:caps/>
                <w:sz w:val="20"/>
                <w:szCs w:val="20"/>
              </w:rPr>
            </w:pPr>
            <w:r>
              <w:rPr>
                <w:rFonts w:eastAsia="Times New Roman"/>
                <w:b/>
                <w:bCs/>
                <w:caps/>
                <w:sz w:val="20"/>
                <w:szCs w:val="20"/>
              </w:rPr>
              <w:t>Significant Accounting Policies</w:t>
            </w:r>
          </w:p>
        </w:tc>
      </w:tr>
    </w:tbl>
    <w:p w14:paraId="1268B8B6" w14:textId="77777777" w:rsidR="00000000" w:rsidRDefault="001826C1">
      <w:pPr>
        <w:pStyle w:val="a3"/>
        <w:spacing w:before="0" w:beforeAutospacing="0" w:after="0" w:afterAutospacing="0"/>
        <w:jc w:val="both"/>
        <w:rPr>
          <w:sz w:val="20"/>
          <w:szCs w:val="20"/>
        </w:rPr>
      </w:pPr>
      <w:r>
        <w:rPr>
          <w:b/>
          <w:bCs/>
          <w:sz w:val="20"/>
          <w:szCs w:val="20"/>
        </w:rPr>
        <w:t> </w:t>
      </w:r>
    </w:p>
    <w:p w14:paraId="5682D5F0" w14:textId="77777777" w:rsidR="00000000" w:rsidRDefault="001826C1">
      <w:pPr>
        <w:pStyle w:val="a3"/>
        <w:spacing w:before="0" w:beforeAutospacing="0" w:after="0" w:afterAutospacing="0"/>
        <w:jc w:val="both"/>
        <w:rPr>
          <w:sz w:val="20"/>
          <w:szCs w:val="20"/>
        </w:rPr>
      </w:pPr>
      <w:r>
        <w:rPr>
          <w:b/>
          <w:bCs/>
          <w:sz w:val="20"/>
          <w:szCs w:val="20"/>
        </w:rPr>
        <w:t>Principles of Consolidation</w:t>
      </w:r>
      <w:r>
        <w:rPr>
          <w:sz w:val="20"/>
          <w:szCs w:val="20"/>
        </w:rPr>
        <w:t xml:space="preserve"> — The accompanying consolidated financial statements have be</w:t>
      </w:r>
      <w:r>
        <w:rPr>
          <w:sz w:val="20"/>
          <w:szCs w:val="20"/>
        </w:rPr>
        <w:t>en prepared in accordance with accounting principles generally accepted in the United States of America (“GAAP”) and include the accounts of MTBC, its wholly-owned subsidiaries; MAC (since October 3, 2016), MHI (since May 2018), MPM (since May 2018), MED (</w:t>
      </w:r>
      <w:r>
        <w:rPr>
          <w:sz w:val="20"/>
          <w:szCs w:val="20"/>
        </w:rPr>
        <w:t>since April 1, 2019) its majority-owned subsidiary MTBC Pvt. Ltd, MTBC-MED (since April 2019) and since October 3, 2016, the operating results and financial condition of the acquired subsidiary in Sri Lanka. The non-controlling interest of MTBC Pvt. Ltd. i</w:t>
      </w:r>
      <w:r>
        <w:rPr>
          <w:sz w:val="20"/>
          <w:szCs w:val="20"/>
        </w:rPr>
        <w:t>s inconsequential to the consolidated financial statements. All intercompany accounts and transactions have been eliminated in consolidation.</w:t>
      </w:r>
    </w:p>
    <w:p w14:paraId="74563E63" w14:textId="77777777" w:rsidR="00000000" w:rsidRDefault="001826C1">
      <w:pPr>
        <w:pStyle w:val="a3"/>
        <w:spacing w:before="0" w:beforeAutospacing="0" w:after="0" w:afterAutospacing="0"/>
        <w:jc w:val="both"/>
        <w:rPr>
          <w:sz w:val="20"/>
          <w:szCs w:val="20"/>
        </w:rPr>
      </w:pPr>
      <w:r>
        <w:rPr>
          <w:sz w:val="20"/>
          <w:szCs w:val="20"/>
        </w:rPr>
        <w:t> </w:t>
      </w:r>
    </w:p>
    <w:p w14:paraId="2BA452E1" w14:textId="77777777" w:rsidR="00000000" w:rsidRDefault="001826C1">
      <w:pPr>
        <w:pStyle w:val="a3"/>
        <w:spacing w:before="0" w:beforeAutospacing="0" w:after="0" w:afterAutospacing="0"/>
        <w:jc w:val="both"/>
        <w:rPr>
          <w:sz w:val="20"/>
          <w:szCs w:val="20"/>
        </w:rPr>
      </w:pPr>
      <w:r>
        <w:rPr>
          <w:b/>
          <w:bCs/>
          <w:sz w:val="20"/>
          <w:szCs w:val="20"/>
        </w:rPr>
        <w:t>Segment Reporting</w:t>
      </w:r>
      <w:r>
        <w:rPr>
          <w:sz w:val="20"/>
          <w:szCs w:val="20"/>
        </w:rPr>
        <w:t xml:space="preserve"> — The Company views its operations as comprising two operating segments, Healthcare IT and Pra</w:t>
      </w:r>
      <w:r>
        <w:rPr>
          <w:sz w:val="20"/>
          <w:szCs w:val="20"/>
        </w:rPr>
        <w:t>ctice Management. The chief operating decision maker (“CODM”) monitors and reviews financial information at these segment levels for assessing operating results and the allocation of resources.</w:t>
      </w:r>
    </w:p>
    <w:p w14:paraId="5A0C3F67" w14:textId="77777777" w:rsidR="00000000" w:rsidRDefault="001826C1">
      <w:pPr>
        <w:pStyle w:val="a3"/>
        <w:spacing w:before="0" w:beforeAutospacing="0" w:after="0" w:afterAutospacing="0"/>
        <w:jc w:val="both"/>
        <w:rPr>
          <w:sz w:val="20"/>
          <w:szCs w:val="20"/>
        </w:rPr>
      </w:pPr>
      <w:r>
        <w:rPr>
          <w:sz w:val="20"/>
          <w:szCs w:val="20"/>
        </w:rPr>
        <w:t> </w:t>
      </w:r>
    </w:p>
    <w:p w14:paraId="22E93F11" w14:textId="77777777" w:rsidR="00000000" w:rsidRDefault="001826C1">
      <w:pPr>
        <w:pStyle w:val="a3"/>
        <w:spacing w:before="0" w:beforeAutospacing="0" w:after="0" w:afterAutospacing="0"/>
        <w:jc w:val="both"/>
        <w:rPr>
          <w:sz w:val="20"/>
          <w:szCs w:val="20"/>
        </w:rPr>
      </w:pPr>
      <w:r>
        <w:rPr>
          <w:b/>
          <w:bCs/>
          <w:sz w:val="20"/>
          <w:szCs w:val="20"/>
        </w:rPr>
        <w:t>Use of Estimates</w:t>
      </w:r>
      <w:r>
        <w:rPr>
          <w:sz w:val="20"/>
          <w:szCs w:val="20"/>
        </w:rPr>
        <w:t xml:space="preserve"> — The preparation of consolidated financial</w:t>
      </w:r>
      <w:r>
        <w:rPr>
          <w:sz w:val="20"/>
          <w:szCs w:val="20"/>
        </w:rPr>
        <w:t xml:space="preserve"> statements in conformity with GAAP requires management to make estimates and assumptions that affect the reported amounts of assets and liabilities at the date of the consolidated financial statements, as well as the reported amounts of revenues and expen</w:t>
      </w:r>
      <w:r>
        <w:rPr>
          <w:sz w:val="20"/>
          <w:szCs w:val="20"/>
        </w:rPr>
        <w:t>ses during the reporting period. Significant estimates and assumptions made by management include, but are not limited to: (1) impairment of long-lived assets, (2) depreciable lives of assets, (3) allowance for doubtful accounts, (4) contingent considerati</w:t>
      </w:r>
      <w:r>
        <w:rPr>
          <w:sz w:val="20"/>
          <w:szCs w:val="20"/>
        </w:rPr>
        <w:t>on, (5) estimates of variable consideration related to the contract asset, (6) fair value of identifiable purchased tangible and intangible assets, including determination of expected customer life, (7) stock-based compensation, and (8) estimating lease te</w:t>
      </w:r>
      <w:r>
        <w:rPr>
          <w:sz w:val="20"/>
          <w:szCs w:val="20"/>
        </w:rPr>
        <w:t>rms and incremental borrowing rates. Actual results could significantly differ from those estimates.</w:t>
      </w:r>
    </w:p>
    <w:p w14:paraId="6925312F"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D874BC8" w14:textId="77777777">
        <w:trPr>
          <w:divId w:val="1821385260"/>
        </w:trPr>
        <w:tc>
          <w:tcPr>
            <w:tcW w:w="5000" w:type="pct"/>
            <w:hideMark/>
          </w:tcPr>
          <w:p w14:paraId="52DCD940"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3ED9FFC6" w14:textId="77777777">
        <w:tc>
          <w:tcPr>
            <w:tcW w:w="5000" w:type="pct"/>
            <w:hideMark/>
          </w:tcPr>
          <w:p w14:paraId="4A732833" w14:textId="77777777" w:rsidR="00000000" w:rsidRDefault="001826C1">
            <w:pPr>
              <w:jc w:val="center"/>
              <w:rPr>
                <w:rFonts w:eastAsia="Times New Roman"/>
                <w:sz w:val="20"/>
                <w:szCs w:val="20"/>
              </w:rPr>
            </w:pPr>
            <w:r>
              <w:rPr>
                <w:rFonts w:eastAsia="Times New Roman"/>
                <w:sz w:val="20"/>
                <w:szCs w:val="20"/>
              </w:rPr>
              <w:t> </w:t>
            </w:r>
          </w:p>
        </w:tc>
      </w:tr>
    </w:tbl>
    <w:p w14:paraId="4C362133" w14:textId="77777777" w:rsidR="00000000" w:rsidRDefault="001826C1">
      <w:pPr>
        <w:pStyle w:val="a3"/>
        <w:spacing w:before="0" w:beforeAutospacing="0" w:after="0" w:afterAutospacing="0"/>
        <w:rPr>
          <w:sz w:val="20"/>
          <w:szCs w:val="20"/>
        </w:rPr>
      </w:pPr>
      <w:r>
        <w:rPr>
          <w:sz w:val="20"/>
          <w:szCs w:val="20"/>
        </w:rPr>
        <w:t> </w:t>
      </w:r>
    </w:p>
    <w:p w14:paraId="53A48C4D" w14:textId="77777777" w:rsidR="00000000" w:rsidRDefault="001826C1">
      <w:pPr>
        <w:pStyle w:val="a3"/>
        <w:shd w:val="clear" w:color="auto" w:fill="FFFFFF"/>
        <w:spacing w:before="0" w:beforeAutospacing="0" w:after="0" w:afterAutospacing="0"/>
        <w:jc w:val="both"/>
        <w:rPr>
          <w:sz w:val="20"/>
          <w:szCs w:val="20"/>
        </w:rPr>
      </w:pPr>
      <w:r>
        <w:rPr>
          <w:b/>
          <w:bCs/>
          <w:sz w:val="20"/>
          <w:szCs w:val="20"/>
        </w:rPr>
        <w:t>Revenue Recognition</w:t>
      </w:r>
      <w:r>
        <w:rPr>
          <w:sz w:val="20"/>
          <w:szCs w:val="20"/>
        </w:rPr>
        <w:t xml:space="preserve"> — On January 1, 2018, the Company adopted Accounting Standards Codification, “</w:t>
      </w:r>
      <w:r>
        <w:rPr>
          <w:i/>
          <w:iCs/>
          <w:sz w:val="20"/>
          <w:szCs w:val="20"/>
        </w:rPr>
        <w:t>Revenue from Contracts with Customers</w:t>
      </w:r>
      <w:r>
        <w:rPr>
          <w:sz w:val="20"/>
          <w:szCs w:val="20"/>
        </w:rPr>
        <w:t>,” (“AS</w:t>
      </w:r>
      <w:r>
        <w:rPr>
          <w:sz w:val="20"/>
          <w:szCs w:val="20"/>
        </w:rPr>
        <w:t>C 606”) using the modified retrospective method as applied to certain medical billing services that were in process as of January 1, 2018. As a result, financial information for reporting periods beginning on or after January 1, 2018, are presented in acco</w:t>
      </w:r>
      <w:r>
        <w:rPr>
          <w:sz w:val="20"/>
          <w:szCs w:val="20"/>
        </w:rPr>
        <w:t>rdance with ASC 606. Comparative financial information for reporting periods beginning prior to January 1, 2018, have not been adjusted and continue to be reported in accordance with the Company’s revenue recognition policies prior to the adoption of ASC 6</w:t>
      </w:r>
      <w:r>
        <w:rPr>
          <w:sz w:val="20"/>
          <w:szCs w:val="20"/>
        </w:rPr>
        <w:t>06. The Company recorded a cumulative adjustment related to the adoption of ASC 606. The primary impact of adopting ASC 606 was to accelerate the timing of revenue on certain medical billing services provided to customers. Beginning January 1, 2018, revenu</w:t>
      </w:r>
      <w:r>
        <w:rPr>
          <w:sz w:val="20"/>
          <w:szCs w:val="20"/>
        </w:rPr>
        <w:t>e is recognized as the performance obligations are satisfied over time.</w:t>
      </w:r>
    </w:p>
    <w:p w14:paraId="6AA73997"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C594AF8"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We </w:t>
      </w:r>
      <w:r>
        <w:rPr>
          <w:sz w:val="20"/>
          <w:szCs w:val="20"/>
        </w:rPr>
        <w:t>derive revenue from seven primary sources: (1) revenue cycle management services, (2) professional services, (3) ancillary services, (4) group purchasing services, (5) printing and mailing services, (6) clearinghouse and EDI (electronic data interchange) s</w:t>
      </w:r>
      <w:r>
        <w:rPr>
          <w:sz w:val="20"/>
          <w:szCs w:val="20"/>
        </w:rPr>
        <w:t>ervices and (7) practice management services. All of our revenue arrangements are based on contracts with customers. Most of our contracts with customers contain single performance obligations, although certain contracts do contain multiple performance obl</w:t>
      </w:r>
      <w:r>
        <w:rPr>
          <w:sz w:val="20"/>
          <w:szCs w:val="20"/>
        </w:rPr>
        <w:t>igations where we perform more than one service for the same customer. We account for individual performance obligations separately if they are distinct within the context of the contract. For contracts where we provide multiple services such as where we p</w:t>
      </w:r>
      <w:r>
        <w:rPr>
          <w:sz w:val="20"/>
          <w:szCs w:val="20"/>
        </w:rPr>
        <w:t>erform multiple ancillary services, each service represents its own performance obligation. Selling or transaction prices are based on the contractual price for the service.</w:t>
      </w:r>
    </w:p>
    <w:p w14:paraId="789DE242"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BFDF9D5" w14:textId="77777777" w:rsidR="00000000" w:rsidRDefault="001826C1">
      <w:pPr>
        <w:pStyle w:val="a3"/>
        <w:shd w:val="clear" w:color="auto" w:fill="FFFFFF"/>
        <w:spacing w:before="0" w:beforeAutospacing="0" w:after="0" w:afterAutospacing="0"/>
        <w:jc w:val="both"/>
        <w:rPr>
          <w:sz w:val="20"/>
          <w:szCs w:val="20"/>
        </w:rPr>
      </w:pPr>
      <w:r>
        <w:rPr>
          <w:sz w:val="20"/>
          <w:szCs w:val="20"/>
        </w:rPr>
        <w:t>A five-step approach is applied in the recognition of revenue under ASC 606: (1)</w:t>
      </w:r>
      <w:r>
        <w:rPr>
          <w:sz w:val="20"/>
          <w:szCs w:val="20"/>
        </w:rPr>
        <w:t xml:space="preserve"> identify the contract with a customer, (2) identify the performance obligations in the contract, (3) determine the transaction price, (4) allocate the transaction price to the performance obligations in the contract, and (5) recognize revenue when we sati</w:t>
      </w:r>
      <w:r>
        <w:rPr>
          <w:sz w:val="20"/>
          <w:szCs w:val="20"/>
        </w:rPr>
        <w:t>sfy a performance obligation.</w:t>
      </w:r>
    </w:p>
    <w:p w14:paraId="396643F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349F735" w14:textId="77777777" w:rsidR="00000000" w:rsidRDefault="001826C1">
      <w:pPr>
        <w:pStyle w:val="a3"/>
        <w:shd w:val="clear" w:color="auto" w:fill="FFFFFF"/>
        <w:spacing w:before="0" w:beforeAutospacing="0" w:after="0" w:afterAutospacing="0"/>
        <w:jc w:val="both"/>
        <w:rPr>
          <w:sz w:val="20"/>
          <w:szCs w:val="20"/>
        </w:rPr>
      </w:pPr>
      <w:r>
        <w:rPr>
          <w:sz w:val="20"/>
          <w:szCs w:val="20"/>
        </w:rPr>
        <w:t>Although we believe that our approach to estimates and judgments is reasonable, actual results could differ, and we may be exposed to increases or decreases in revenue that could be material. Our estimates of variable consid</w:t>
      </w:r>
      <w:r>
        <w:rPr>
          <w:sz w:val="20"/>
          <w:szCs w:val="20"/>
        </w:rPr>
        <w:t>eration may prove to be inaccurate, in which case we may have understated or overstated the revenue recognized in a reporting period. The amount of variable consideration recognized to date that remains subject to estimation is included within the contract</w:t>
      </w:r>
      <w:r>
        <w:rPr>
          <w:sz w:val="20"/>
          <w:szCs w:val="20"/>
        </w:rPr>
        <w:t xml:space="preserve"> asset within the consolidated balance sheet.</w:t>
      </w:r>
    </w:p>
    <w:p w14:paraId="679D60A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B90D90E" w14:textId="77777777" w:rsidR="00000000" w:rsidRDefault="001826C1">
      <w:pPr>
        <w:pStyle w:val="a3"/>
        <w:shd w:val="clear" w:color="auto" w:fill="FFFFFF"/>
        <w:spacing w:before="0" w:beforeAutospacing="0" w:after="0" w:afterAutospacing="0"/>
        <w:jc w:val="both"/>
        <w:rPr>
          <w:sz w:val="20"/>
          <w:szCs w:val="20"/>
        </w:rPr>
      </w:pPr>
      <w:r>
        <w:rPr>
          <w:sz w:val="20"/>
          <w:szCs w:val="20"/>
        </w:rPr>
        <w:t>Payment of invoices is due as specified in the underlying customer agreement, typically 30 days from the invoice date, which occurs on the date of transfer of control of the services to the customer. Since pa</w:t>
      </w:r>
      <w:r>
        <w:rPr>
          <w:sz w:val="20"/>
          <w:szCs w:val="20"/>
        </w:rPr>
        <w:t>yment terms are less than a year, we have elected the practical expedient and do not assess whether a customer contract has a significant financing component.</w:t>
      </w:r>
    </w:p>
    <w:p w14:paraId="1EE3BC63" w14:textId="77777777" w:rsidR="00000000" w:rsidRDefault="001826C1">
      <w:pPr>
        <w:pStyle w:val="a3"/>
        <w:spacing w:before="0" w:beforeAutospacing="0" w:after="0" w:afterAutospacing="0"/>
        <w:jc w:val="both"/>
        <w:rPr>
          <w:sz w:val="20"/>
          <w:szCs w:val="20"/>
        </w:rPr>
      </w:pPr>
      <w:r>
        <w:rPr>
          <w:i/>
          <w:iCs/>
          <w:sz w:val="20"/>
          <w:szCs w:val="20"/>
        </w:rPr>
        <w:t> </w:t>
      </w:r>
    </w:p>
    <w:p w14:paraId="21BEF4B0" w14:textId="77777777" w:rsidR="00000000" w:rsidRDefault="001826C1">
      <w:pPr>
        <w:pStyle w:val="a3"/>
        <w:spacing w:before="0" w:beforeAutospacing="0" w:after="0" w:afterAutospacing="0"/>
        <w:jc w:val="both"/>
        <w:rPr>
          <w:sz w:val="20"/>
          <w:szCs w:val="20"/>
        </w:rPr>
      </w:pPr>
      <w:r>
        <w:rPr>
          <w:sz w:val="20"/>
          <w:szCs w:val="20"/>
        </w:rPr>
        <w:t>The Company’s revenue arrangements generally do not include a general right of refund for servi</w:t>
      </w:r>
      <w:r>
        <w:rPr>
          <w:sz w:val="20"/>
          <w:szCs w:val="20"/>
        </w:rPr>
        <w:t>ces provided (See Note 9, Revenue for additional information).</w:t>
      </w:r>
    </w:p>
    <w:p w14:paraId="35BDCBCB" w14:textId="77777777" w:rsidR="00000000" w:rsidRDefault="001826C1">
      <w:pPr>
        <w:pStyle w:val="a3"/>
        <w:spacing w:before="0" w:beforeAutospacing="0" w:after="0" w:afterAutospacing="0"/>
        <w:jc w:val="both"/>
        <w:rPr>
          <w:sz w:val="20"/>
          <w:szCs w:val="20"/>
        </w:rPr>
      </w:pPr>
      <w:r>
        <w:rPr>
          <w:sz w:val="20"/>
          <w:szCs w:val="20"/>
        </w:rPr>
        <w:t> </w:t>
      </w:r>
    </w:p>
    <w:p w14:paraId="4D400C01" w14:textId="77777777" w:rsidR="00000000" w:rsidRDefault="001826C1">
      <w:pPr>
        <w:pStyle w:val="a3"/>
        <w:spacing w:before="0" w:beforeAutospacing="0" w:after="0" w:afterAutospacing="0"/>
        <w:jc w:val="both"/>
        <w:rPr>
          <w:sz w:val="20"/>
          <w:szCs w:val="20"/>
        </w:rPr>
      </w:pPr>
      <w:r>
        <w:rPr>
          <w:b/>
          <w:bCs/>
          <w:sz w:val="20"/>
          <w:szCs w:val="20"/>
        </w:rPr>
        <w:t>Direct Operating Costs</w:t>
      </w:r>
      <w:r>
        <w:rPr>
          <w:sz w:val="20"/>
          <w:szCs w:val="20"/>
        </w:rPr>
        <w:t xml:space="preserve"> — Direct operating costs consist primarily of salaries and benefits related to personnel who provide services to clients and at our managed medical practices, claims pr</w:t>
      </w:r>
      <w:r>
        <w:rPr>
          <w:sz w:val="20"/>
          <w:szCs w:val="20"/>
        </w:rPr>
        <w:t>ocessing costs, medical supplies at our managed practices and other direct costs related to the Company’s services. Costs associated with the implementation of new clients are expensed as incurred. The reported amounts of direct operating costs include all</w:t>
      </w:r>
      <w:r>
        <w:rPr>
          <w:sz w:val="20"/>
          <w:szCs w:val="20"/>
        </w:rPr>
        <w:t>ocated amounts for rent expense and overhead costs.</w:t>
      </w:r>
    </w:p>
    <w:p w14:paraId="2D19535D" w14:textId="77777777" w:rsidR="00000000" w:rsidRDefault="001826C1">
      <w:pPr>
        <w:pStyle w:val="a3"/>
        <w:spacing w:before="0" w:beforeAutospacing="0" w:after="0" w:afterAutospacing="0"/>
        <w:jc w:val="both"/>
        <w:rPr>
          <w:sz w:val="20"/>
          <w:szCs w:val="20"/>
        </w:rPr>
      </w:pPr>
      <w:r>
        <w:rPr>
          <w:sz w:val="20"/>
          <w:szCs w:val="20"/>
        </w:rPr>
        <w:t> </w:t>
      </w:r>
    </w:p>
    <w:p w14:paraId="3F9FD7D3" w14:textId="77777777" w:rsidR="00000000" w:rsidRDefault="001826C1">
      <w:pPr>
        <w:pStyle w:val="a3"/>
        <w:spacing w:before="0" w:beforeAutospacing="0" w:after="0" w:afterAutospacing="0"/>
        <w:jc w:val="both"/>
        <w:rPr>
          <w:sz w:val="20"/>
          <w:szCs w:val="20"/>
        </w:rPr>
      </w:pPr>
      <w:r>
        <w:rPr>
          <w:b/>
          <w:bCs/>
          <w:sz w:val="20"/>
          <w:szCs w:val="20"/>
        </w:rPr>
        <w:t>Selling and Marketing Expenses</w:t>
      </w:r>
      <w:r>
        <w:rPr>
          <w:sz w:val="20"/>
          <w:szCs w:val="20"/>
        </w:rPr>
        <w:t xml:space="preserve"> — Selling and marketing expenses consist primarily of compensation and benefits, travel and advertising expenses and are expensed as incurred. The Company incurred approxi</w:t>
      </w:r>
      <w:r>
        <w:rPr>
          <w:sz w:val="20"/>
          <w:szCs w:val="20"/>
        </w:rPr>
        <w:t>mately $810,000 and $950,000 of advertising costs for the years ended December 31, 2019 and 2018, respectively.</w:t>
      </w:r>
    </w:p>
    <w:p w14:paraId="7227869A" w14:textId="77777777" w:rsidR="00000000" w:rsidRDefault="001826C1">
      <w:pPr>
        <w:pStyle w:val="a3"/>
        <w:spacing w:before="0" w:beforeAutospacing="0" w:after="0" w:afterAutospacing="0"/>
        <w:jc w:val="both"/>
        <w:rPr>
          <w:sz w:val="20"/>
          <w:szCs w:val="20"/>
        </w:rPr>
      </w:pPr>
      <w:r>
        <w:rPr>
          <w:sz w:val="20"/>
          <w:szCs w:val="20"/>
        </w:rPr>
        <w:t> </w:t>
      </w:r>
    </w:p>
    <w:p w14:paraId="7163B0B0" w14:textId="77777777" w:rsidR="00000000" w:rsidRDefault="001826C1">
      <w:pPr>
        <w:pStyle w:val="a3"/>
        <w:spacing w:before="0" w:beforeAutospacing="0" w:after="0" w:afterAutospacing="0"/>
        <w:jc w:val="both"/>
        <w:rPr>
          <w:sz w:val="20"/>
          <w:szCs w:val="20"/>
        </w:rPr>
      </w:pPr>
      <w:r>
        <w:rPr>
          <w:b/>
          <w:bCs/>
          <w:sz w:val="20"/>
          <w:szCs w:val="20"/>
        </w:rPr>
        <w:t>Research and Development Expenses</w:t>
      </w:r>
      <w:r>
        <w:rPr>
          <w:sz w:val="20"/>
          <w:szCs w:val="20"/>
        </w:rPr>
        <w:t xml:space="preserve"> — Research and development expenses consist primarily of personnel-related costs incurred performing market </w:t>
      </w:r>
      <w:r>
        <w:rPr>
          <w:sz w:val="20"/>
          <w:szCs w:val="20"/>
        </w:rPr>
        <w:t>research, analyzing proposed products and developing new products.</w:t>
      </w:r>
    </w:p>
    <w:p w14:paraId="187E3BC3"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63A6AC0" w14:textId="77777777">
        <w:trPr>
          <w:divId w:val="99952943"/>
        </w:trPr>
        <w:tc>
          <w:tcPr>
            <w:tcW w:w="5000" w:type="pct"/>
            <w:hideMark/>
          </w:tcPr>
          <w:p w14:paraId="3DC76A01"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6099B3EC" w14:textId="77777777">
        <w:tc>
          <w:tcPr>
            <w:tcW w:w="5000" w:type="pct"/>
            <w:hideMark/>
          </w:tcPr>
          <w:p w14:paraId="2A1E1F0B" w14:textId="77777777" w:rsidR="00000000" w:rsidRDefault="001826C1">
            <w:pPr>
              <w:jc w:val="center"/>
              <w:rPr>
                <w:rFonts w:eastAsia="Times New Roman"/>
                <w:sz w:val="20"/>
                <w:szCs w:val="20"/>
              </w:rPr>
            </w:pPr>
            <w:r>
              <w:rPr>
                <w:rFonts w:eastAsia="Times New Roman"/>
                <w:sz w:val="20"/>
                <w:szCs w:val="20"/>
              </w:rPr>
              <w:t> </w:t>
            </w:r>
          </w:p>
        </w:tc>
      </w:tr>
    </w:tbl>
    <w:p w14:paraId="03985727" w14:textId="77777777" w:rsidR="00000000" w:rsidRDefault="001826C1">
      <w:pPr>
        <w:pStyle w:val="a3"/>
        <w:spacing w:before="0" w:beforeAutospacing="0" w:after="0" w:afterAutospacing="0"/>
        <w:rPr>
          <w:sz w:val="20"/>
          <w:szCs w:val="20"/>
        </w:rPr>
      </w:pPr>
      <w:r>
        <w:rPr>
          <w:sz w:val="20"/>
          <w:szCs w:val="20"/>
        </w:rPr>
        <w:t> </w:t>
      </w:r>
    </w:p>
    <w:p w14:paraId="065434A9" w14:textId="77777777" w:rsidR="00000000" w:rsidRDefault="001826C1">
      <w:pPr>
        <w:pStyle w:val="a3"/>
        <w:spacing w:before="0" w:beforeAutospacing="0" w:after="0" w:afterAutospacing="0"/>
        <w:jc w:val="both"/>
        <w:rPr>
          <w:sz w:val="20"/>
          <w:szCs w:val="20"/>
        </w:rPr>
      </w:pPr>
      <w:r>
        <w:rPr>
          <w:b/>
          <w:bCs/>
          <w:sz w:val="20"/>
          <w:szCs w:val="20"/>
        </w:rPr>
        <w:t>Internal-Use Software Costs</w:t>
      </w:r>
      <w:r>
        <w:rPr>
          <w:sz w:val="20"/>
          <w:szCs w:val="20"/>
        </w:rPr>
        <w:t xml:space="preserve"> — </w:t>
      </w:r>
      <w:r>
        <w:rPr>
          <w:sz w:val="20"/>
          <w:szCs w:val="20"/>
        </w:rPr>
        <w:t>The Company capitalizes certain development costs incurred in connection with its internal-use software. Costs incurred in the preliminary stages of development are expensed as incurred. Once an application has reached the development stage, internal and e</w:t>
      </w:r>
      <w:r>
        <w:rPr>
          <w:sz w:val="20"/>
          <w:szCs w:val="20"/>
        </w:rPr>
        <w:t>xternal costs, if direct, are capitalized until the software is substantially complete and ready for its intended use. Capitalization ceases upon completion of all substantial testing. The Company also capitalizes costs related to specific upgrades and enh</w:t>
      </w:r>
      <w:r>
        <w:rPr>
          <w:sz w:val="20"/>
          <w:szCs w:val="20"/>
        </w:rPr>
        <w:t>ancements when it is probable that the expenditures will result in additional functionality. Capitalized costs are recorded as part of intangible assets. Maintenance and training costs are expensed as incurred. Internal use software is amortized on a strai</w:t>
      </w:r>
      <w:r>
        <w:rPr>
          <w:sz w:val="20"/>
          <w:szCs w:val="20"/>
        </w:rPr>
        <w:t>ght line basis over its estimated useful life, generally three years. Management evaluates the useful lives of these assets on an annual basis and tests for impairment whenever events or changes in circumstances occur that could impact the recoverability o</w:t>
      </w:r>
      <w:r>
        <w:rPr>
          <w:sz w:val="20"/>
          <w:szCs w:val="20"/>
        </w:rPr>
        <w:t xml:space="preserve">f these assets. During the years ended December 31, 2019 and 2018, the Company capitalized approximately $538,000 and $62,000, respectively, of salaries and payroll-related costs of employees and consultants who devoted time to the development of customer </w:t>
      </w:r>
      <w:r>
        <w:rPr>
          <w:sz w:val="20"/>
          <w:szCs w:val="20"/>
        </w:rPr>
        <w:t>related projects.</w:t>
      </w:r>
    </w:p>
    <w:p w14:paraId="6774E16D" w14:textId="77777777" w:rsidR="00000000" w:rsidRDefault="001826C1">
      <w:pPr>
        <w:pStyle w:val="a3"/>
        <w:spacing w:before="0" w:beforeAutospacing="0" w:after="0" w:afterAutospacing="0"/>
        <w:jc w:val="both"/>
        <w:rPr>
          <w:sz w:val="20"/>
          <w:szCs w:val="20"/>
        </w:rPr>
      </w:pPr>
      <w:r>
        <w:rPr>
          <w:sz w:val="20"/>
          <w:szCs w:val="20"/>
        </w:rPr>
        <w:t> </w:t>
      </w:r>
    </w:p>
    <w:p w14:paraId="09F90EFB" w14:textId="77777777" w:rsidR="00000000" w:rsidRDefault="001826C1">
      <w:pPr>
        <w:pStyle w:val="a3"/>
        <w:spacing w:before="0" w:beforeAutospacing="0" w:after="0" w:afterAutospacing="0"/>
        <w:jc w:val="both"/>
        <w:rPr>
          <w:sz w:val="20"/>
          <w:szCs w:val="20"/>
        </w:rPr>
      </w:pPr>
      <w:r>
        <w:rPr>
          <w:b/>
          <w:bCs/>
          <w:sz w:val="20"/>
          <w:szCs w:val="20"/>
        </w:rPr>
        <w:t>Accounts Receivable</w:t>
      </w:r>
      <w:r>
        <w:rPr>
          <w:sz w:val="20"/>
          <w:szCs w:val="20"/>
        </w:rPr>
        <w:t xml:space="preserve"> — Accounts receivable are stated at their net realizable value. Accounts receivable are presented on the consolidated balance sheet net of an allowance for doubtful accounts, which is established based on reviews of </w:t>
      </w:r>
      <w:r>
        <w:rPr>
          <w:sz w:val="20"/>
          <w:szCs w:val="20"/>
        </w:rPr>
        <w:t>the accounts receivable aging, an assessment of the customers’ history and current creditworthiness and the probability of collection. Accounts are written off when it is determined that collection of the outstanding balance is no longer probable.</w:t>
      </w:r>
    </w:p>
    <w:p w14:paraId="32C07ABE" w14:textId="77777777" w:rsidR="00000000" w:rsidRDefault="001826C1">
      <w:pPr>
        <w:pStyle w:val="a3"/>
        <w:spacing w:before="0" w:beforeAutospacing="0" w:after="0" w:afterAutospacing="0"/>
        <w:jc w:val="both"/>
        <w:rPr>
          <w:sz w:val="20"/>
          <w:szCs w:val="20"/>
        </w:rPr>
      </w:pPr>
      <w:r>
        <w:rPr>
          <w:sz w:val="20"/>
          <w:szCs w:val="20"/>
        </w:rPr>
        <w:t> </w:t>
      </w:r>
    </w:p>
    <w:p w14:paraId="1D319069" w14:textId="77777777" w:rsidR="00000000" w:rsidRDefault="001826C1">
      <w:pPr>
        <w:pStyle w:val="a3"/>
        <w:spacing w:before="0" w:beforeAutospacing="0" w:after="0" w:afterAutospacing="0"/>
        <w:jc w:val="both"/>
        <w:rPr>
          <w:sz w:val="20"/>
          <w:szCs w:val="20"/>
        </w:rPr>
      </w:pPr>
      <w:r>
        <w:rPr>
          <w:sz w:val="20"/>
          <w:szCs w:val="20"/>
        </w:rPr>
        <w:t>The mo</w:t>
      </w:r>
      <w:r>
        <w:rPr>
          <w:sz w:val="20"/>
          <w:szCs w:val="20"/>
        </w:rPr>
        <w:t>vement in the allowance for doubtful accounts for the years ended December 31, 2019 and 2018 was as follows:</w:t>
      </w:r>
    </w:p>
    <w:p w14:paraId="117DC744" w14:textId="77777777" w:rsidR="00000000" w:rsidRDefault="001826C1">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3661"/>
        <w:gridCol w:w="131"/>
        <w:gridCol w:w="101"/>
        <w:gridCol w:w="1402"/>
        <w:gridCol w:w="67"/>
        <w:gridCol w:w="126"/>
        <w:gridCol w:w="101"/>
        <w:gridCol w:w="1404"/>
        <w:gridCol w:w="67"/>
      </w:tblGrid>
      <w:tr w:rsidR="00000000" w14:paraId="1C18FECD" w14:textId="77777777">
        <w:tc>
          <w:tcPr>
            <w:tcW w:w="0" w:type="auto"/>
            <w:vAlign w:val="bottom"/>
            <w:hideMark/>
          </w:tcPr>
          <w:p w14:paraId="21523B3F" w14:textId="77777777" w:rsidR="00000000" w:rsidRDefault="001826C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B7948F"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FCB2664" w14:textId="77777777" w:rsidR="00000000" w:rsidRDefault="001826C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4F8C8825"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D4FC7A9"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AB7E87" w14:textId="77777777" w:rsidR="00000000" w:rsidRDefault="001826C1">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4621DC9B" w14:textId="77777777" w:rsidR="00000000" w:rsidRDefault="001826C1">
            <w:pPr>
              <w:jc w:val="center"/>
              <w:rPr>
                <w:rFonts w:eastAsia="Times New Roman"/>
                <w:b/>
                <w:bCs/>
                <w:sz w:val="20"/>
                <w:szCs w:val="20"/>
              </w:rPr>
            </w:pPr>
            <w:r>
              <w:rPr>
                <w:rFonts w:eastAsia="Times New Roman"/>
                <w:b/>
                <w:bCs/>
                <w:sz w:val="20"/>
                <w:szCs w:val="20"/>
              </w:rPr>
              <w:t> </w:t>
            </w:r>
          </w:p>
        </w:tc>
      </w:tr>
      <w:tr w:rsidR="00000000" w14:paraId="1325AAA0" w14:textId="77777777">
        <w:tc>
          <w:tcPr>
            <w:tcW w:w="2600" w:type="pct"/>
            <w:shd w:val="clear" w:color="auto" w:fill="CCEEFF"/>
            <w:vAlign w:val="bottom"/>
            <w:hideMark/>
          </w:tcPr>
          <w:p w14:paraId="05F3C5CF" w14:textId="77777777" w:rsidR="00000000" w:rsidRDefault="001826C1">
            <w:pPr>
              <w:rPr>
                <w:rFonts w:eastAsia="Times New Roman"/>
                <w:sz w:val="20"/>
                <w:szCs w:val="20"/>
              </w:rPr>
            </w:pPr>
            <w:r>
              <w:rPr>
                <w:rFonts w:eastAsia="Times New Roman"/>
                <w:sz w:val="20"/>
                <w:szCs w:val="20"/>
              </w:rPr>
              <w:t>Beginning balance</w:t>
            </w:r>
          </w:p>
        </w:tc>
        <w:tc>
          <w:tcPr>
            <w:tcW w:w="100" w:type="pct"/>
            <w:shd w:val="clear" w:color="auto" w:fill="CCEEFF"/>
            <w:vAlign w:val="bottom"/>
            <w:hideMark/>
          </w:tcPr>
          <w:p w14:paraId="73F846A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6BC48B2" w14:textId="77777777" w:rsidR="00000000" w:rsidRDefault="001826C1">
            <w:pPr>
              <w:rPr>
                <w:rFonts w:eastAsia="Times New Roman"/>
                <w:sz w:val="20"/>
                <w:szCs w:val="20"/>
              </w:rPr>
            </w:pPr>
            <w:r>
              <w:rPr>
                <w:rFonts w:eastAsia="Times New Roman"/>
                <w:sz w:val="20"/>
                <w:szCs w:val="20"/>
              </w:rPr>
              <w:t>$</w:t>
            </w:r>
          </w:p>
        </w:tc>
        <w:tc>
          <w:tcPr>
            <w:tcW w:w="1000" w:type="pct"/>
            <w:shd w:val="clear" w:color="auto" w:fill="CCEEFF"/>
            <w:vAlign w:val="bottom"/>
            <w:hideMark/>
          </w:tcPr>
          <w:p w14:paraId="503D933B" w14:textId="77777777" w:rsidR="00000000" w:rsidRDefault="001826C1">
            <w:pPr>
              <w:jc w:val="right"/>
              <w:rPr>
                <w:rFonts w:eastAsia="Times New Roman"/>
                <w:sz w:val="20"/>
                <w:szCs w:val="20"/>
              </w:rPr>
            </w:pPr>
            <w:r>
              <w:rPr>
                <w:rFonts w:eastAsia="Times New Roman"/>
                <w:sz w:val="20"/>
                <w:szCs w:val="20"/>
              </w:rPr>
              <w:t>189,000</w:t>
            </w:r>
          </w:p>
        </w:tc>
        <w:tc>
          <w:tcPr>
            <w:tcW w:w="50" w:type="pct"/>
            <w:shd w:val="clear" w:color="auto" w:fill="CCEEFF"/>
            <w:vAlign w:val="bottom"/>
            <w:hideMark/>
          </w:tcPr>
          <w:p w14:paraId="65460B9C"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B383CF5"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7876250" w14:textId="77777777" w:rsidR="00000000" w:rsidRDefault="001826C1">
            <w:pPr>
              <w:rPr>
                <w:rFonts w:eastAsia="Times New Roman"/>
                <w:sz w:val="20"/>
                <w:szCs w:val="20"/>
              </w:rPr>
            </w:pPr>
            <w:r>
              <w:rPr>
                <w:rFonts w:eastAsia="Times New Roman"/>
                <w:sz w:val="20"/>
                <w:szCs w:val="20"/>
              </w:rPr>
              <w:t>$</w:t>
            </w:r>
          </w:p>
        </w:tc>
        <w:tc>
          <w:tcPr>
            <w:tcW w:w="1000" w:type="pct"/>
            <w:shd w:val="clear" w:color="auto" w:fill="CCEEFF"/>
            <w:vAlign w:val="bottom"/>
            <w:hideMark/>
          </w:tcPr>
          <w:p w14:paraId="2FD372B3" w14:textId="77777777" w:rsidR="00000000" w:rsidRDefault="001826C1">
            <w:pPr>
              <w:jc w:val="right"/>
              <w:rPr>
                <w:rFonts w:eastAsia="Times New Roman"/>
                <w:sz w:val="20"/>
                <w:szCs w:val="20"/>
              </w:rPr>
            </w:pPr>
            <w:r>
              <w:rPr>
                <w:rFonts w:eastAsia="Times New Roman"/>
                <w:sz w:val="20"/>
                <w:szCs w:val="20"/>
              </w:rPr>
              <w:t>185,000</w:t>
            </w:r>
          </w:p>
        </w:tc>
        <w:tc>
          <w:tcPr>
            <w:tcW w:w="50" w:type="pct"/>
            <w:shd w:val="clear" w:color="auto" w:fill="CCEEFF"/>
            <w:vAlign w:val="bottom"/>
            <w:hideMark/>
          </w:tcPr>
          <w:p w14:paraId="5DE41C7C" w14:textId="77777777" w:rsidR="00000000" w:rsidRDefault="001826C1">
            <w:pPr>
              <w:rPr>
                <w:rFonts w:eastAsia="Times New Roman"/>
                <w:sz w:val="20"/>
                <w:szCs w:val="20"/>
              </w:rPr>
            </w:pPr>
            <w:r>
              <w:rPr>
                <w:rFonts w:eastAsia="Times New Roman"/>
                <w:sz w:val="20"/>
                <w:szCs w:val="20"/>
              </w:rPr>
              <w:t> </w:t>
            </w:r>
          </w:p>
        </w:tc>
      </w:tr>
      <w:tr w:rsidR="00000000" w14:paraId="79B3B48E" w14:textId="77777777">
        <w:tc>
          <w:tcPr>
            <w:tcW w:w="0" w:type="auto"/>
            <w:shd w:val="clear" w:color="auto" w:fill="FFFFFF"/>
            <w:vAlign w:val="bottom"/>
            <w:hideMark/>
          </w:tcPr>
          <w:p w14:paraId="270F6CFB" w14:textId="77777777" w:rsidR="00000000" w:rsidRDefault="001826C1">
            <w:pPr>
              <w:rPr>
                <w:rFonts w:eastAsia="Times New Roman"/>
                <w:sz w:val="20"/>
                <w:szCs w:val="20"/>
              </w:rPr>
            </w:pPr>
            <w:r>
              <w:rPr>
                <w:rFonts w:eastAsia="Times New Roman"/>
                <w:sz w:val="20"/>
                <w:szCs w:val="20"/>
              </w:rPr>
              <w:t>Provision</w:t>
            </w:r>
          </w:p>
        </w:tc>
        <w:tc>
          <w:tcPr>
            <w:tcW w:w="0" w:type="auto"/>
            <w:shd w:val="clear" w:color="auto" w:fill="FFFFFF"/>
            <w:vAlign w:val="bottom"/>
            <w:hideMark/>
          </w:tcPr>
          <w:p w14:paraId="15D49D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9D64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29C282" w14:textId="77777777" w:rsidR="00000000" w:rsidRDefault="001826C1">
            <w:pPr>
              <w:jc w:val="right"/>
              <w:rPr>
                <w:rFonts w:eastAsia="Times New Roman"/>
                <w:sz w:val="20"/>
                <w:szCs w:val="20"/>
              </w:rPr>
            </w:pPr>
            <w:r>
              <w:rPr>
                <w:rFonts w:eastAsia="Times New Roman"/>
                <w:sz w:val="20"/>
                <w:szCs w:val="20"/>
              </w:rPr>
              <w:t>118,000</w:t>
            </w:r>
          </w:p>
        </w:tc>
        <w:tc>
          <w:tcPr>
            <w:tcW w:w="0" w:type="auto"/>
            <w:shd w:val="clear" w:color="auto" w:fill="FFFFFF"/>
            <w:vAlign w:val="bottom"/>
            <w:hideMark/>
          </w:tcPr>
          <w:p w14:paraId="0217EF8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4C38D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2DC8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804DD0" w14:textId="77777777" w:rsidR="00000000" w:rsidRDefault="001826C1">
            <w:pPr>
              <w:jc w:val="right"/>
              <w:rPr>
                <w:rFonts w:eastAsia="Times New Roman"/>
                <w:sz w:val="20"/>
                <w:szCs w:val="20"/>
              </w:rPr>
            </w:pPr>
            <w:r>
              <w:rPr>
                <w:rFonts w:eastAsia="Times New Roman"/>
                <w:sz w:val="20"/>
                <w:szCs w:val="20"/>
              </w:rPr>
              <w:t>724,000</w:t>
            </w:r>
          </w:p>
        </w:tc>
        <w:tc>
          <w:tcPr>
            <w:tcW w:w="0" w:type="auto"/>
            <w:shd w:val="clear" w:color="auto" w:fill="FFFFFF"/>
            <w:vAlign w:val="bottom"/>
            <w:hideMark/>
          </w:tcPr>
          <w:p w14:paraId="2635D185" w14:textId="77777777" w:rsidR="00000000" w:rsidRDefault="001826C1">
            <w:pPr>
              <w:rPr>
                <w:rFonts w:eastAsia="Times New Roman"/>
                <w:sz w:val="20"/>
                <w:szCs w:val="20"/>
              </w:rPr>
            </w:pPr>
            <w:r>
              <w:rPr>
                <w:rFonts w:eastAsia="Times New Roman"/>
                <w:sz w:val="20"/>
                <w:szCs w:val="20"/>
              </w:rPr>
              <w:t> </w:t>
            </w:r>
          </w:p>
        </w:tc>
      </w:tr>
      <w:tr w:rsidR="00000000" w14:paraId="463C40B6" w14:textId="77777777">
        <w:tc>
          <w:tcPr>
            <w:tcW w:w="0" w:type="auto"/>
            <w:shd w:val="clear" w:color="auto" w:fill="CCEEFF"/>
            <w:vAlign w:val="bottom"/>
            <w:hideMark/>
          </w:tcPr>
          <w:p w14:paraId="7E22923C" w14:textId="77777777" w:rsidR="00000000" w:rsidRDefault="001826C1">
            <w:pPr>
              <w:rPr>
                <w:rFonts w:eastAsia="Times New Roman"/>
                <w:sz w:val="20"/>
                <w:szCs w:val="20"/>
              </w:rPr>
            </w:pPr>
            <w:r>
              <w:rPr>
                <w:rFonts w:eastAsia="Times New Roman"/>
                <w:sz w:val="20"/>
                <w:szCs w:val="20"/>
              </w:rPr>
              <w:t>Recoveries</w:t>
            </w:r>
          </w:p>
        </w:tc>
        <w:tc>
          <w:tcPr>
            <w:tcW w:w="0" w:type="auto"/>
            <w:shd w:val="clear" w:color="auto" w:fill="CCEEFF"/>
            <w:vAlign w:val="bottom"/>
            <w:hideMark/>
          </w:tcPr>
          <w:p w14:paraId="0F5102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D243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77450D" w14:textId="77777777" w:rsidR="00000000" w:rsidRDefault="001826C1">
            <w:pPr>
              <w:jc w:val="right"/>
              <w:rPr>
                <w:rFonts w:eastAsia="Times New Roman"/>
                <w:sz w:val="20"/>
                <w:szCs w:val="20"/>
              </w:rPr>
            </w:pPr>
            <w:r>
              <w:rPr>
                <w:rFonts w:eastAsia="Times New Roman"/>
                <w:sz w:val="20"/>
                <w:szCs w:val="20"/>
              </w:rPr>
              <w:t>316,000</w:t>
            </w:r>
          </w:p>
        </w:tc>
        <w:tc>
          <w:tcPr>
            <w:tcW w:w="0" w:type="auto"/>
            <w:shd w:val="clear" w:color="auto" w:fill="CCEEFF"/>
            <w:vAlign w:val="bottom"/>
            <w:hideMark/>
          </w:tcPr>
          <w:p w14:paraId="7CA0FE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4036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8557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7A076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F7B3F67" w14:textId="77777777" w:rsidR="00000000" w:rsidRDefault="001826C1">
            <w:pPr>
              <w:rPr>
                <w:rFonts w:eastAsia="Times New Roman"/>
                <w:sz w:val="20"/>
                <w:szCs w:val="20"/>
              </w:rPr>
            </w:pPr>
            <w:r>
              <w:rPr>
                <w:rFonts w:eastAsia="Times New Roman"/>
                <w:sz w:val="20"/>
                <w:szCs w:val="20"/>
              </w:rPr>
              <w:t> </w:t>
            </w:r>
          </w:p>
        </w:tc>
      </w:tr>
      <w:tr w:rsidR="00000000" w14:paraId="0C460296" w14:textId="77777777">
        <w:tc>
          <w:tcPr>
            <w:tcW w:w="0" w:type="auto"/>
            <w:shd w:val="clear" w:color="auto" w:fill="FFFFFF"/>
            <w:tcMar>
              <w:top w:w="0" w:type="dxa"/>
              <w:left w:w="0" w:type="dxa"/>
              <w:bottom w:w="30" w:type="dxa"/>
              <w:right w:w="0" w:type="dxa"/>
            </w:tcMar>
            <w:vAlign w:val="bottom"/>
            <w:hideMark/>
          </w:tcPr>
          <w:p w14:paraId="108B6E58" w14:textId="77777777" w:rsidR="00000000" w:rsidRDefault="001826C1">
            <w:pPr>
              <w:rPr>
                <w:rFonts w:eastAsia="Times New Roman"/>
                <w:sz w:val="20"/>
                <w:szCs w:val="20"/>
              </w:rPr>
            </w:pPr>
            <w:r>
              <w:rPr>
                <w:rFonts w:eastAsia="Times New Roman"/>
                <w:sz w:val="20"/>
                <w:szCs w:val="20"/>
              </w:rPr>
              <w:t>Write-offs</w:t>
            </w:r>
          </w:p>
        </w:tc>
        <w:tc>
          <w:tcPr>
            <w:tcW w:w="0" w:type="auto"/>
            <w:shd w:val="clear" w:color="auto" w:fill="FFFFFF"/>
            <w:tcMar>
              <w:top w:w="0" w:type="dxa"/>
              <w:left w:w="0" w:type="dxa"/>
              <w:bottom w:w="30" w:type="dxa"/>
              <w:right w:w="0" w:type="dxa"/>
            </w:tcMar>
            <w:vAlign w:val="bottom"/>
            <w:hideMark/>
          </w:tcPr>
          <w:p w14:paraId="5014F2D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B5303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08AA52" w14:textId="77777777" w:rsidR="00000000" w:rsidRDefault="001826C1">
            <w:pPr>
              <w:jc w:val="right"/>
              <w:rPr>
                <w:rFonts w:eastAsia="Times New Roman"/>
                <w:sz w:val="20"/>
                <w:szCs w:val="20"/>
              </w:rPr>
            </w:pPr>
            <w:r>
              <w:rPr>
                <w:rFonts w:eastAsia="Times New Roman"/>
                <w:sz w:val="20"/>
                <w:szCs w:val="20"/>
              </w:rPr>
              <w:t>(367,000</w:t>
            </w:r>
          </w:p>
        </w:tc>
        <w:tc>
          <w:tcPr>
            <w:tcW w:w="0" w:type="auto"/>
            <w:shd w:val="clear" w:color="auto" w:fill="FFFFFF"/>
            <w:tcMar>
              <w:top w:w="0" w:type="dxa"/>
              <w:left w:w="0" w:type="dxa"/>
              <w:bottom w:w="30" w:type="dxa"/>
              <w:right w:w="0" w:type="dxa"/>
            </w:tcMar>
            <w:vAlign w:val="bottom"/>
            <w:hideMark/>
          </w:tcPr>
          <w:p w14:paraId="1F7ABF9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4313E4D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D3F94D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3D58BD" w14:textId="77777777" w:rsidR="00000000" w:rsidRDefault="001826C1">
            <w:pPr>
              <w:jc w:val="right"/>
              <w:rPr>
                <w:rFonts w:eastAsia="Times New Roman"/>
                <w:sz w:val="20"/>
                <w:szCs w:val="20"/>
              </w:rPr>
            </w:pPr>
            <w:r>
              <w:rPr>
                <w:rFonts w:eastAsia="Times New Roman"/>
                <w:sz w:val="20"/>
                <w:szCs w:val="20"/>
              </w:rPr>
              <w:t>(720,000</w:t>
            </w:r>
          </w:p>
        </w:tc>
        <w:tc>
          <w:tcPr>
            <w:tcW w:w="0" w:type="auto"/>
            <w:shd w:val="clear" w:color="auto" w:fill="FFFFFF"/>
            <w:tcMar>
              <w:top w:w="0" w:type="dxa"/>
              <w:left w:w="0" w:type="dxa"/>
              <w:bottom w:w="30" w:type="dxa"/>
              <w:right w:w="0" w:type="dxa"/>
            </w:tcMar>
            <w:vAlign w:val="bottom"/>
            <w:hideMark/>
          </w:tcPr>
          <w:p w14:paraId="3B822EB1" w14:textId="77777777" w:rsidR="00000000" w:rsidRDefault="001826C1">
            <w:pPr>
              <w:rPr>
                <w:rFonts w:eastAsia="Times New Roman"/>
                <w:sz w:val="20"/>
                <w:szCs w:val="20"/>
              </w:rPr>
            </w:pPr>
            <w:r>
              <w:rPr>
                <w:rFonts w:eastAsia="Times New Roman"/>
                <w:sz w:val="20"/>
                <w:szCs w:val="20"/>
              </w:rPr>
              <w:t>)</w:t>
            </w:r>
          </w:p>
        </w:tc>
      </w:tr>
      <w:tr w:rsidR="00000000" w14:paraId="290F0947" w14:textId="77777777">
        <w:tc>
          <w:tcPr>
            <w:tcW w:w="0" w:type="auto"/>
            <w:shd w:val="clear" w:color="auto" w:fill="CCEEFF"/>
            <w:tcMar>
              <w:top w:w="0" w:type="dxa"/>
              <w:left w:w="0" w:type="dxa"/>
              <w:bottom w:w="50" w:type="dxa"/>
              <w:right w:w="0" w:type="dxa"/>
            </w:tcMar>
            <w:vAlign w:val="bottom"/>
            <w:hideMark/>
          </w:tcPr>
          <w:p w14:paraId="74DDF680" w14:textId="77777777" w:rsidR="00000000" w:rsidRDefault="001826C1">
            <w:pPr>
              <w:rPr>
                <w:rFonts w:eastAsia="Times New Roman"/>
                <w:sz w:val="20"/>
                <w:szCs w:val="20"/>
              </w:rPr>
            </w:pPr>
            <w:r>
              <w:rPr>
                <w:rFonts w:eastAsia="Times New Roman"/>
                <w:sz w:val="20"/>
                <w:szCs w:val="20"/>
              </w:rPr>
              <w:t>Ending balance</w:t>
            </w:r>
          </w:p>
        </w:tc>
        <w:tc>
          <w:tcPr>
            <w:tcW w:w="0" w:type="auto"/>
            <w:shd w:val="clear" w:color="auto" w:fill="CCEEFF"/>
            <w:tcMar>
              <w:top w:w="0" w:type="dxa"/>
              <w:left w:w="0" w:type="dxa"/>
              <w:bottom w:w="50" w:type="dxa"/>
              <w:right w:w="0" w:type="dxa"/>
            </w:tcMar>
            <w:vAlign w:val="bottom"/>
            <w:hideMark/>
          </w:tcPr>
          <w:p w14:paraId="02468DA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7B60561"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CF94AC8" w14:textId="77777777" w:rsidR="00000000" w:rsidRDefault="001826C1">
            <w:pPr>
              <w:jc w:val="right"/>
              <w:rPr>
                <w:rFonts w:eastAsia="Times New Roman"/>
                <w:sz w:val="20"/>
                <w:szCs w:val="20"/>
              </w:rPr>
            </w:pPr>
            <w:r>
              <w:rPr>
                <w:rFonts w:eastAsia="Times New Roman"/>
                <w:sz w:val="20"/>
                <w:szCs w:val="20"/>
              </w:rPr>
              <w:t>256,000</w:t>
            </w:r>
          </w:p>
        </w:tc>
        <w:tc>
          <w:tcPr>
            <w:tcW w:w="0" w:type="auto"/>
            <w:shd w:val="clear" w:color="auto" w:fill="CCEEFF"/>
            <w:tcMar>
              <w:top w:w="0" w:type="dxa"/>
              <w:left w:w="0" w:type="dxa"/>
              <w:bottom w:w="50" w:type="dxa"/>
              <w:right w:w="0" w:type="dxa"/>
            </w:tcMar>
            <w:vAlign w:val="bottom"/>
            <w:hideMark/>
          </w:tcPr>
          <w:p w14:paraId="12B6C4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8A701C0"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9FAC9D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51EF614" w14:textId="77777777" w:rsidR="00000000" w:rsidRDefault="001826C1">
            <w:pPr>
              <w:jc w:val="right"/>
              <w:rPr>
                <w:rFonts w:eastAsia="Times New Roman"/>
                <w:sz w:val="20"/>
                <w:szCs w:val="20"/>
              </w:rPr>
            </w:pPr>
            <w:r>
              <w:rPr>
                <w:rFonts w:eastAsia="Times New Roman"/>
                <w:sz w:val="20"/>
                <w:szCs w:val="20"/>
              </w:rPr>
              <w:t>189,000</w:t>
            </w:r>
          </w:p>
        </w:tc>
        <w:tc>
          <w:tcPr>
            <w:tcW w:w="0" w:type="auto"/>
            <w:shd w:val="clear" w:color="auto" w:fill="CCEEFF"/>
            <w:tcMar>
              <w:top w:w="0" w:type="dxa"/>
              <w:left w:w="0" w:type="dxa"/>
              <w:bottom w:w="50" w:type="dxa"/>
              <w:right w:w="0" w:type="dxa"/>
            </w:tcMar>
            <w:vAlign w:val="bottom"/>
            <w:hideMark/>
          </w:tcPr>
          <w:p w14:paraId="3FD35274" w14:textId="77777777" w:rsidR="00000000" w:rsidRDefault="001826C1">
            <w:pPr>
              <w:rPr>
                <w:rFonts w:eastAsia="Times New Roman"/>
                <w:sz w:val="20"/>
                <w:szCs w:val="20"/>
              </w:rPr>
            </w:pPr>
            <w:r>
              <w:rPr>
                <w:rFonts w:eastAsia="Times New Roman"/>
                <w:sz w:val="20"/>
                <w:szCs w:val="20"/>
              </w:rPr>
              <w:t> </w:t>
            </w:r>
          </w:p>
        </w:tc>
      </w:tr>
    </w:tbl>
    <w:p w14:paraId="40E3BA2A" w14:textId="77777777" w:rsidR="00000000" w:rsidRDefault="001826C1">
      <w:pPr>
        <w:pStyle w:val="a3"/>
        <w:spacing w:before="0" w:beforeAutospacing="0" w:after="0" w:afterAutospacing="0"/>
        <w:jc w:val="both"/>
        <w:rPr>
          <w:sz w:val="20"/>
          <w:szCs w:val="20"/>
        </w:rPr>
      </w:pPr>
      <w:r>
        <w:rPr>
          <w:sz w:val="20"/>
          <w:szCs w:val="20"/>
        </w:rPr>
        <w:t> </w:t>
      </w:r>
    </w:p>
    <w:p w14:paraId="7B69C122" w14:textId="77777777" w:rsidR="00000000" w:rsidRDefault="001826C1">
      <w:pPr>
        <w:pStyle w:val="a3"/>
        <w:spacing w:before="0" w:beforeAutospacing="0" w:after="0" w:afterAutospacing="0"/>
        <w:jc w:val="both"/>
        <w:rPr>
          <w:sz w:val="20"/>
          <w:szCs w:val="20"/>
        </w:rPr>
      </w:pPr>
      <w:r>
        <w:rPr>
          <w:b/>
          <w:bCs/>
          <w:sz w:val="20"/>
          <w:szCs w:val="20"/>
        </w:rPr>
        <w:t xml:space="preserve">Inventory </w:t>
      </w:r>
      <w:r>
        <w:rPr>
          <w:sz w:val="20"/>
          <w:szCs w:val="20"/>
        </w:rPr>
        <w:t xml:space="preserve">— </w:t>
      </w:r>
      <w:r>
        <w:rPr>
          <w:sz w:val="20"/>
          <w:szCs w:val="20"/>
        </w:rPr>
        <w:t>Inventory is stated at the lower of cost or market using the first-in, first out method of inventory valuation accounting. Inventory consists of vaccines used at the managed practices and only includes the cost of the vaccines themselves.</w:t>
      </w:r>
    </w:p>
    <w:p w14:paraId="23233A6D" w14:textId="77777777" w:rsidR="00000000" w:rsidRDefault="001826C1">
      <w:pPr>
        <w:pStyle w:val="a3"/>
        <w:spacing w:before="0" w:beforeAutospacing="0" w:after="0" w:afterAutospacing="0"/>
        <w:jc w:val="both"/>
        <w:rPr>
          <w:sz w:val="20"/>
          <w:szCs w:val="20"/>
        </w:rPr>
      </w:pPr>
      <w:r>
        <w:rPr>
          <w:b/>
          <w:bCs/>
          <w:sz w:val="20"/>
          <w:szCs w:val="20"/>
        </w:rPr>
        <w:t> </w:t>
      </w:r>
    </w:p>
    <w:p w14:paraId="198531DB" w14:textId="77777777" w:rsidR="00000000" w:rsidRDefault="001826C1">
      <w:pPr>
        <w:pStyle w:val="a3"/>
        <w:spacing w:before="0" w:beforeAutospacing="0" w:after="0" w:afterAutospacing="0"/>
        <w:jc w:val="both"/>
        <w:rPr>
          <w:sz w:val="20"/>
          <w:szCs w:val="20"/>
        </w:rPr>
      </w:pPr>
      <w:r>
        <w:rPr>
          <w:b/>
          <w:bCs/>
          <w:sz w:val="20"/>
          <w:szCs w:val="20"/>
        </w:rPr>
        <w:t>Property and Eq</w:t>
      </w:r>
      <w:r>
        <w:rPr>
          <w:b/>
          <w:bCs/>
          <w:sz w:val="20"/>
          <w:szCs w:val="20"/>
        </w:rPr>
        <w:t>uipment</w:t>
      </w:r>
      <w:r>
        <w:rPr>
          <w:sz w:val="20"/>
          <w:szCs w:val="20"/>
        </w:rPr>
        <w:t xml:space="preserve"> — Property and equipment are stated at cost, less accumulated depreciation. Depreciation is calculated using the straight-line basis over the estimated useful lives of the assets ranging from three to five years. Ordinary maintenance and repairs ar</w:t>
      </w:r>
      <w:r>
        <w:rPr>
          <w:sz w:val="20"/>
          <w:szCs w:val="20"/>
        </w:rPr>
        <w:t>e expensed as incurred. Depreciation for computers is calculated over three years, while remaining assets (except leasehold improvements) are depreciated over five years. The Company amortizes leasehold improvements over the lesser of the lease term or the</w:t>
      </w:r>
      <w:r>
        <w:rPr>
          <w:sz w:val="20"/>
          <w:szCs w:val="20"/>
        </w:rPr>
        <w:t xml:space="preserve"> remaining economic life of those assets. Generally, the lease term is the base lease term plus certain renewal option periods for which renewal is reasonably certain and for which failure to exercise the renewal option would result in an economic penalty </w:t>
      </w:r>
      <w:r>
        <w:rPr>
          <w:sz w:val="20"/>
          <w:szCs w:val="20"/>
        </w:rPr>
        <w:t>to the Company.</w:t>
      </w:r>
    </w:p>
    <w:p w14:paraId="25D65243" w14:textId="77777777" w:rsidR="00000000" w:rsidRDefault="001826C1">
      <w:pPr>
        <w:pStyle w:val="a3"/>
        <w:spacing w:before="0" w:beforeAutospacing="0" w:after="0" w:afterAutospacing="0"/>
        <w:jc w:val="both"/>
        <w:rPr>
          <w:sz w:val="20"/>
          <w:szCs w:val="20"/>
        </w:rPr>
      </w:pPr>
      <w:r>
        <w:rPr>
          <w:sz w:val="20"/>
          <w:szCs w:val="20"/>
        </w:rPr>
        <w:t> </w:t>
      </w:r>
    </w:p>
    <w:p w14:paraId="2A1E948E" w14:textId="77777777" w:rsidR="00000000" w:rsidRDefault="001826C1">
      <w:pPr>
        <w:pStyle w:val="a3"/>
        <w:spacing w:before="0" w:beforeAutospacing="0" w:after="0" w:afterAutospacing="0"/>
        <w:jc w:val="both"/>
        <w:rPr>
          <w:sz w:val="20"/>
          <w:szCs w:val="20"/>
        </w:rPr>
      </w:pPr>
      <w:r>
        <w:rPr>
          <w:b/>
          <w:bCs/>
          <w:sz w:val="20"/>
          <w:szCs w:val="20"/>
        </w:rPr>
        <w:t>Intangible Assets</w:t>
      </w:r>
      <w:r>
        <w:rPr>
          <w:sz w:val="20"/>
          <w:szCs w:val="20"/>
        </w:rPr>
        <w:t xml:space="preserve"> — Intangible assets include customer relationships, covenants not-to-compete acquired in connection with acquisitions, software purchase and development costs and trademarks acquired. Amortization for intangible assets r</w:t>
      </w:r>
      <w:r>
        <w:rPr>
          <w:sz w:val="20"/>
          <w:szCs w:val="20"/>
        </w:rPr>
        <w:t>elated to revenue cycle management is recorded primarily using the double declining balance method over three to four years. Amortization for intangible assets related to the group purchasing organization and practice management is recorded on a straight l</w:t>
      </w:r>
      <w:r>
        <w:rPr>
          <w:sz w:val="20"/>
          <w:szCs w:val="20"/>
        </w:rPr>
        <w:t>ine basis over four and twelve years, respectively.</w:t>
      </w:r>
    </w:p>
    <w:p w14:paraId="7235D89C" w14:textId="77777777" w:rsidR="00000000" w:rsidRDefault="001826C1">
      <w:pPr>
        <w:pStyle w:val="a3"/>
        <w:spacing w:before="0" w:beforeAutospacing="0" w:after="0" w:afterAutospacing="0"/>
        <w:jc w:val="both"/>
        <w:rPr>
          <w:sz w:val="20"/>
          <w:szCs w:val="20"/>
        </w:rPr>
      </w:pPr>
      <w:r>
        <w:rPr>
          <w:sz w:val="20"/>
          <w:szCs w:val="20"/>
        </w:rPr>
        <w:t> </w:t>
      </w:r>
    </w:p>
    <w:p w14:paraId="16C3CE63" w14:textId="77777777" w:rsidR="00000000" w:rsidRDefault="001826C1">
      <w:pPr>
        <w:pStyle w:val="a3"/>
        <w:spacing w:before="0" w:beforeAutospacing="0" w:after="0" w:afterAutospacing="0"/>
        <w:jc w:val="both"/>
        <w:rPr>
          <w:sz w:val="20"/>
          <w:szCs w:val="20"/>
        </w:rPr>
      </w:pPr>
      <w:r>
        <w:rPr>
          <w:b/>
          <w:bCs/>
          <w:sz w:val="20"/>
          <w:szCs w:val="20"/>
        </w:rPr>
        <w:t xml:space="preserve">Evaluation of Long-Lived Assets </w:t>
      </w:r>
      <w:r>
        <w:rPr>
          <w:sz w:val="20"/>
          <w:szCs w:val="20"/>
        </w:rPr>
        <w:t>— The Company reviews its long-lived assets for impairment whenever changes in circumstances indicate that the carrying value of an asset may not be recoverable. If the s</w:t>
      </w:r>
      <w:r>
        <w:rPr>
          <w:sz w:val="20"/>
          <w:szCs w:val="20"/>
        </w:rPr>
        <w:t>um of undiscounted expected future cash flows is less than the carrying amount of the asset group, the Company will recognize an impairment loss based on the fair value of the asset.</w:t>
      </w:r>
    </w:p>
    <w:p w14:paraId="70D16D3A" w14:textId="77777777" w:rsidR="00000000" w:rsidRDefault="001826C1">
      <w:pPr>
        <w:pStyle w:val="a3"/>
        <w:spacing w:before="0" w:beforeAutospacing="0" w:after="0" w:afterAutospacing="0"/>
        <w:jc w:val="both"/>
        <w:rPr>
          <w:sz w:val="20"/>
          <w:szCs w:val="20"/>
        </w:rPr>
      </w:pPr>
      <w:r>
        <w:rPr>
          <w:sz w:val="20"/>
          <w:szCs w:val="20"/>
        </w:rPr>
        <w:t> </w:t>
      </w:r>
    </w:p>
    <w:p w14:paraId="2D582BEE" w14:textId="77777777" w:rsidR="00000000" w:rsidRDefault="001826C1">
      <w:pPr>
        <w:pStyle w:val="a3"/>
        <w:spacing w:before="0" w:beforeAutospacing="0" w:after="0" w:afterAutospacing="0"/>
        <w:jc w:val="both"/>
        <w:rPr>
          <w:sz w:val="20"/>
          <w:szCs w:val="20"/>
        </w:rPr>
      </w:pPr>
      <w:r>
        <w:rPr>
          <w:sz w:val="20"/>
          <w:szCs w:val="20"/>
        </w:rPr>
        <w:t>There was no impairment of internal-use software costs, intangible asse</w:t>
      </w:r>
      <w:r>
        <w:rPr>
          <w:sz w:val="20"/>
          <w:szCs w:val="20"/>
        </w:rPr>
        <w:t>ts or property and equipment during the years ended December 31, 2019 and 2018, other than the impairment recorded on one right-of-use (“ROU”) asset of approximately $170,000 for the year ended December 31, 2019.</w:t>
      </w:r>
    </w:p>
    <w:p w14:paraId="2A9A05A1"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77150A1" w14:textId="77777777">
        <w:trPr>
          <w:divId w:val="850142847"/>
        </w:trPr>
        <w:tc>
          <w:tcPr>
            <w:tcW w:w="5000" w:type="pct"/>
            <w:hideMark/>
          </w:tcPr>
          <w:p w14:paraId="71D6C5DB"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73B4D54F" w14:textId="77777777">
        <w:tc>
          <w:tcPr>
            <w:tcW w:w="5000" w:type="pct"/>
            <w:hideMark/>
          </w:tcPr>
          <w:p w14:paraId="312F03E2" w14:textId="77777777" w:rsidR="00000000" w:rsidRDefault="001826C1">
            <w:pPr>
              <w:jc w:val="center"/>
              <w:rPr>
                <w:rFonts w:eastAsia="Times New Roman"/>
                <w:sz w:val="20"/>
                <w:szCs w:val="20"/>
              </w:rPr>
            </w:pPr>
            <w:r>
              <w:rPr>
                <w:rFonts w:eastAsia="Times New Roman"/>
                <w:sz w:val="20"/>
                <w:szCs w:val="20"/>
              </w:rPr>
              <w:t> </w:t>
            </w:r>
          </w:p>
        </w:tc>
      </w:tr>
    </w:tbl>
    <w:p w14:paraId="7B681A3A" w14:textId="77777777" w:rsidR="00000000" w:rsidRDefault="001826C1">
      <w:pPr>
        <w:pStyle w:val="a3"/>
        <w:spacing w:before="0" w:beforeAutospacing="0" w:after="0" w:afterAutospacing="0"/>
        <w:rPr>
          <w:sz w:val="20"/>
          <w:szCs w:val="20"/>
        </w:rPr>
      </w:pPr>
      <w:r>
        <w:rPr>
          <w:sz w:val="20"/>
          <w:szCs w:val="20"/>
        </w:rPr>
        <w:t> </w:t>
      </w:r>
    </w:p>
    <w:p w14:paraId="63C31DE0" w14:textId="77777777" w:rsidR="00000000" w:rsidRDefault="001826C1">
      <w:pPr>
        <w:pStyle w:val="a3"/>
        <w:spacing w:before="0" w:beforeAutospacing="0" w:after="0" w:afterAutospacing="0"/>
        <w:jc w:val="both"/>
        <w:rPr>
          <w:sz w:val="20"/>
          <w:szCs w:val="20"/>
        </w:rPr>
      </w:pPr>
      <w:r>
        <w:rPr>
          <w:b/>
          <w:bCs/>
          <w:sz w:val="20"/>
          <w:szCs w:val="20"/>
        </w:rPr>
        <w:t xml:space="preserve">Goodwill </w:t>
      </w:r>
      <w:r>
        <w:rPr>
          <w:sz w:val="20"/>
          <w:szCs w:val="20"/>
        </w:rPr>
        <w:t xml:space="preserve">— </w:t>
      </w:r>
      <w:r>
        <w:rPr>
          <w:sz w:val="20"/>
          <w:szCs w:val="20"/>
        </w:rPr>
        <w:t>Goodwill consists of the excess of the purchase price over the fair value of identifiable net assets of businesses acquired. The Company tests goodwill for impairment annually as of October 31</w:t>
      </w:r>
      <w:r>
        <w:rPr>
          <w:sz w:val="20"/>
          <w:szCs w:val="20"/>
          <w:vertAlign w:val="superscript"/>
        </w:rPr>
        <w:t>st</w:t>
      </w:r>
      <w:r>
        <w:rPr>
          <w:sz w:val="20"/>
          <w:szCs w:val="20"/>
        </w:rPr>
        <w:t>, referred to as the annual test date. Conditions that could t</w:t>
      </w:r>
      <w:r>
        <w:rPr>
          <w:sz w:val="20"/>
          <w:szCs w:val="20"/>
        </w:rPr>
        <w:t>rigger a more frequent impairment assessment include, but are not limited to, a significant adverse change to the Company in certain agreements, significant underperformance relative to historical or projected future operating results, loss of customer rel</w:t>
      </w:r>
      <w:r>
        <w:rPr>
          <w:sz w:val="20"/>
          <w:szCs w:val="20"/>
        </w:rPr>
        <w:t>ationships, an economic downturn in customers’ industries, or increased competition. Impairment testing for goodwill is performed at the reporting-unit level. The Company has determined that its business consists of two operating segments and two reporting</w:t>
      </w:r>
      <w:r>
        <w:rPr>
          <w:sz w:val="20"/>
          <w:szCs w:val="20"/>
        </w:rPr>
        <w:t xml:space="preserve"> units. No impairment charges were recorded during the years ended December 31, 2019 or 2018.</w:t>
      </w:r>
    </w:p>
    <w:p w14:paraId="4F5E0F7D" w14:textId="77777777" w:rsidR="00000000" w:rsidRDefault="001826C1">
      <w:pPr>
        <w:pStyle w:val="a3"/>
        <w:spacing w:before="0" w:beforeAutospacing="0" w:after="0" w:afterAutospacing="0"/>
        <w:jc w:val="both"/>
        <w:rPr>
          <w:sz w:val="20"/>
          <w:szCs w:val="20"/>
        </w:rPr>
      </w:pPr>
      <w:r>
        <w:rPr>
          <w:sz w:val="20"/>
          <w:szCs w:val="20"/>
        </w:rPr>
        <w:t> </w:t>
      </w:r>
    </w:p>
    <w:p w14:paraId="66850493" w14:textId="77777777" w:rsidR="00000000" w:rsidRDefault="001826C1">
      <w:pPr>
        <w:pStyle w:val="a3"/>
        <w:spacing w:before="0" w:beforeAutospacing="0" w:after="0" w:afterAutospacing="0"/>
        <w:jc w:val="both"/>
        <w:rPr>
          <w:sz w:val="20"/>
          <w:szCs w:val="20"/>
        </w:rPr>
      </w:pPr>
      <w:r>
        <w:rPr>
          <w:b/>
          <w:bCs/>
          <w:sz w:val="20"/>
          <w:szCs w:val="20"/>
        </w:rPr>
        <w:t>Treasury Stock</w:t>
      </w:r>
      <w:r>
        <w:rPr>
          <w:sz w:val="20"/>
          <w:szCs w:val="20"/>
        </w:rPr>
        <w:t xml:space="preserve"> — Treasury stock is recorded at cost and represents shares repurchased by the Company. No shares were repurchased or issued from treasury stock d</w:t>
      </w:r>
      <w:r>
        <w:rPr>
          <w:sz w:val="20"/>
          <w:szCs w:val="20"/>
        </w:rPr>
        <w:t>uring the years ended December 31, 2019 and 2018.</w:t>
      </w:r>
    </w:p>
    <w:p w14:paraId="180D7743" w14:textId="77777777" w:rsidR="00000000" w:rsidRDefault="001826C1">
      <w:pPr>
        <w:pStyle w:val="a3"/>
        <w:spacing w:before="0" w:beforeAutospacing="0" w:after="0" w:afterAutospacing="0"/>
        <w:jc w:val="both"/>
        <w:rPr>
          <w:sz w:val="20"/>
          <w:szCs w:val="20"/>
        </w:rPr>
      </w:pPr>
      <w:r>
        <w:rPr>
          <w:sz w:val="20"/>
          <w:szCs w:val="20"/>
        </w:rPr>
        <w:t> </w:t>
      </w:r>
    </w:p>
    <w:p w14:paraId="57A5027B" w14:textId="77777777" w:rsidR="00000000" w:rsidRDefault="001826C1">
      <w:pPr>
        <w:pStyle w:val="a3"/>
        <w:spacing w:before="0" w:beforeAutospacing="0" w:after="0" w:afterAutospacing="0"/>
        <w:jc w:val="both"/>
        <w:rPr>
          <w:sz w:val="20"/>
          <w:szCs w:val="20"/>
        </w:rPr>
      </w:pPr>
      <w:r>
        <w:rPr>
          <w:b/>
          <w:bCs/>
          <w:sz w:val="20"/>
          <w:szCs w:val="20"/>
        </w:rPr>
        <w:t xml:space="preserve">Stock-Based Compensation </w:t>
      </w:r>
      <w:r>
        <w:rPr>
          <w:sz w:val="20"/>
          <w:szCs w:val="20"/>
        </w:rPr>
        <w:t>— The Company recognizes compensation for all share-based payments granted based on the grant date fair value. Compensation expense is generally recognized on a straight-line basi</w:t>
      </w:r>
      <w:r>
        <w:rPr>
          <w:sz w:val="20"/>
          <w:szCs w:val="20"/>
        </w:rPr>
        <w:t xml:space="preserve">s over the vesting period. The Company does not estimate forfeitures in recognizing the expense for share-based payments, as historical forfeiture rates have not been significant. </w:t>
      </w:r>
      <w:r>
        <w:rPr>
          <w:color w:val="000000"/>
          <w:sz w:val="20"/>
          <w:szCs w:val="20"/>
        </w:rPr>
        <w:t>For restricted stock units (“RSUs”) classified as equity, the market price o</w:t>
      </w:r>
      <w:r>
        <w:rPr>
          <w:color w:val="000000"/>
          <w:sz w:val="20"/>
          <w:szCs w:val="20"/>
        </w:rPr>
        <w:t xml:space="preserve">f our common stock on the date of grant is used in recording the fair value of the award. For RSUs classified as a liability, the earned amount is marked to market based on the end-of-period common stock price. </w:t>
      </w:r>
    </w:p>
    <w:p w14:paraId="705D0AE9" w14:textId="77777777" w:rsidR="00000000" w:rsidRDefault="001826C1">
      <w:pPr>
        <w:pStyle w:val="a3"/>
        <w:spacing w:before="0" w:beforeAutospacing="0" w:after="0" w:afterAutospacing="0"/>
        <w:jc w:val="both"/>
        <w:rPr>
          <w:sz w:val="20"/>
          <w:szCs w:val="20"/>
        </w:rPr>
      </w:pPr>
      <w:r>
        <w:rPr>
          <w:b/>
          <w:bCs/>
          <w:sz w:val="20"/>
          <w:szCs w:val="20"/>
        </w:rPr>
        <w:t> </w:t>
      </w:r>
    </w:p>
    <w:p w14:paraId="3C7891DE" w14:textId="77777777" w:rsidR="00000000" w:rsidRDefault="001826C1">
      <w:pPr>
        <w:pStyle w:val="a3"/>
        <w:spacing w:before="0" w:beforeAutospacing="0" w:after="0" w:afterAutospacing="0"/>
        <w:jc w:val="both"/>
        <w:rPr>
          <w:sz w:val="20"/>
          <w:szCs w:val="20"/>
        </w:rPr>
      </w:pPr>
      <w:r>
        <w:rPr>
          <w:b/>
          <w:bCs/>
          <w:sz w:val="20"/>
          <w:szCs w:val="20"/>
        </w:rPr>
        <w:t>Business Combinations</w:t>
      </w:r>
      <w:r>
        <w:rPr>
          <w:sz w:val="20"/>
          <w:szCs w:val="20"/>
        </w:rPr>
        <w:t xml:space="preserve"> — The Company accoun</w:t>
      </w:r>
      <w:r>
        <w:rPr>
          <w:sz w:val="20"/>
          <w:szCs w:val="20"/>
        </w:rPr>
        <w:t xml:space="preserve">ts for business combinations under the provisions of ASC 805, </w:t>
      </w:r>
      <w:r>
        <w:rPr>
          <w:i/>
          <w:iCs/>
          <w:sz w:val="20"/>
          <w:szCs w:val="20"/>
        </w:rPr>
        <w:t>Business Combinations</w:t>
      </w:r>
      <w:r>
        <w:rPr>
          <w:sz w:val="20"/>
          <w:szCs w:val="20"/>
        </w:rPr>
        <w:t>, which requires that the acquisition method of accounting be used for all business combinations. Assets acquired and liabilities assumed are recorded at the date of acquisi</w:t>
      </w:r>
      <w:r>
        <w:rPr>
          <w:sz w:val="20"/>
          <w:szCs w:val="20"/>
        </w:rPr>
        <w:t>tion at their respective fair values. ASC 805 also specifies criteria that intangible assets acquired in a business combination must be recognized and reported apart from goodwill. Goodwill represents the excess purchase price over the fair value of the ta</w:t>
      </w:r>
      <w:r>
        <w:rPr>
          <w:sz w:val="20"/>
          <w:szCs w:val="20"/>
        </w:rPr>
        <w:t>ngible net assets and intangible assets acquired in a business combination. Acquisition-related expenses are recognized separately from the business combinations and are expensed as incurred. If the business combination provides for contingent consideratio</w:t>
      </w:r>
      <w:r>
        <w:rPr>
          <w:sz w:val="20"/>
          <w:szCs w:val="20"/>
        </w:rPr>
        <w:t>n, the Company records the contingent consideration at fair value at the acquisition date with changes in the fair value recorded through earnings.</w:t>
      </w:r>
    </w:p>
    <w:p w14:paraId="7880C9FC" w14:textId="77777777" w:rsidR="00000000" w:rsidRDefault="001826C1">
      <w:pPr>
        <w:pStyle w:val="a3"/>
        <w:spacing w:before="0" w:beforeAutospacing="0" w:after="0" w:afterAutospacing="0"/>
        <w:jc w:val="both"/>
        <w:rPr>
          <w:sz w:val="20"/>
          <w:szCs w:val="20"/>
        </w:rPr>
      </w:pPr>
      <w:r>
        <w:rPr>
          <w:sz w:val="20"/>
          <w:szCs w:val="20"/>
        </w:rPr>
        <w:t> </w:t>
      </w:r>
    </w:p>
    <w:p w14:paraId="7FD1CEAA" w14:textId="77777777" w:rsidR="00000000" w:rsidRDefault="001826C1">
      <w:pPr>
        <w:pStyle w:val="a3"/>
        <w:spacing w:before="0" w:beforeAutospacing="0" w:after="0" w:afterAutospacing="0"/>
        <w:jc w:val="both"/>
        <w:rPr>
          <w:sz w:val="20"/>
          <w:szCs w:val="20"/>
        </w:rPr>
      </w:pPr>
      <w:r>
        <w:rPr>
          <w:sz w:val="20"/>
          <w:szCs w:val="20"/>
        </w:rPr>
        <w:t>Acquisition costs are expensed as incurred. During the years ended December 31, 2019 and 2018, the Company</w:t>
      </w:r>
      <w:r>
        <w:rPr>
          <w:sz w:val="20"/>
          <w:szCs w:val="20"/>
        </w:rPr>
        <w:t xml:space="preserve"> incurred approximately $125,000 and $245,000 of professional fees related to the acquisitions discussed in Note 3, which are included in general and administrative expenses in the consolidated statements of operations. Acquisition costs for the CareCloud </w:t>
      </w:r>
      <w:r>
        <w:rPr>
          <w:sz w:val="20"/>
          <w:szCs w:val="20"/>
        </w:rPr>
        <w:t>acquisition discussed in Note 20 were approximately $129,000 for the year ended December 31, 2019 and are included in general and administrative expenses.</w:t>
      </w:r>
    </w:p>
    <w:p w14:paraId="2EF2555B" w14:textId="77777777" w:rsidR="00000000" w:rsidRDefault="001826C1">
      <w:pPr>
        <w:pStyle w:val="a3"/>
        <w:spacing w:before="0" w:beforeAutospacing="0" w:after="0" w:afterAutospacing="0"/>
        <w:jc w:val="both"/>
        <w:rPr>
          <w:sz w:val="20"/>
          <w:szCs w:val="20"/>
        </w:rPr>
      </w:pPr>
      <w:r>
        <w:rPr>
          <w:sz w:val="20"/>
          <w:szCs w:val="20"/>
        </w:rPr>
        <w:t> </w:t>
      </w:r>
    </w:p>
    <w:p w14:paraId="21C158CE" w14:textId="77777777" w:rsidR="00000000" w:rsidRDefault="001826C1">
      <w:pPr>
        <w:pStyle w:val="a3"/>
        <w:spacing w:before="0" w:beforeAutospacing="0" w:after="0" w:afterAutospacing="0"/>
        <w:jc w:val="both"/>
        <w:rPr>
          <w:sz w:val="20"/>
          <w:szCs w:val="20"/>
        </w:rPr>
      </w:pPr>
      <w:r>
        <w:rPr>
          <w:b/>
          <w:bCs/>
          <w:sz w:val="20"/>
          <w:szCs w:val="20"/>
        </w:rPr>
        <w:t>Income Taxes</w:t>
      </w:r>
      <w:r>
        <w:rPr>
          <w:sz w:val="20"/>
          <w:szCs w:val="20"/>
        </w:rPr>
        <w:t xml:space="preserve"> — The Company accounts for income taxes under the asset and liability method, which re</w:t>
      </w:r>
      <w:r>
        <w:rPr>
          <w:sz w:val="20"/>
          <w:szCs w:val="20"/>
        </w:rPr>
        <w:t>quires the recognition of deferred tax assets and liabilities for the expected future tax consequences of events that have been included in the consolidated financial statements. Under this method, deferred tax assets and liabilities are determined based o</w:t>
      </w:r>
      <w:r>
        <w:rPr>
          <w:sz w:val="20"/>
          <w:szCs w:val="20"/>
        </w:rPr>
        <w:t>n the differences between the financial statements and tax bases of assets and liabilities using enacted tax rates in effect for the year in which the differences are expected to reverse. The effect of a change in tax rates on deferred tax assets and liabi</w:t>
      </w:r>
      <w:r>
        <w:rPr>
          <w:sz w:val="20"/>
          <w:szCs w:val="20"/>
        </w:rPr>
        <w:t>lities is recognized in operations in the period that includes the enactment date.</w:t>
      </w:r>
    </w:p>
    <w:p w14:paraId="11789B06" w14:textId="77777777" w:rsidR="00000000" w:rsidRDefault="001826C1">
      <w:pPr>
        <w:pStyle w:val="a3"/>
        <w:spacing w:before="0" w:beforeAutospacing="0" w:after="0" w:afterAutospacing="0"/>
        <w:jc w:val="both"/>
        <w:rPr>
          <w:sz w:val="20"/>
          <w:szCs w:val="20"/>
        </w:rPr>
      </w:pPr>
      <w:r>
        <w:rPr>
          <w:sz w:val="20"/>
          <w:szCs w:val="20"/>
        </w:rPr>
        <w:t> </w:t>
      </w:r>
    </w:p>
    <w:p w14:paraId="5ADFF3E5" w14:textId="77777777" w:rsidR="00000000" w:rsidRDefault="001826C1">
      <w:pPr>
        <w:pStyle w:val="a3"/>
        <w:spacing w:before="0" w:beforeAutospacing="0" w:after="0" w:afterAutospacing="0"/>
        <w:jc w:val="both"/>
        <w:rPr>
          <w:sz w:val="20"/>
          <w:szCs w:val="20"/>
        </w:rPr>
      </w:pPr>
      <w:r>
        <w:rPr>
          <w:sz w:val="20"/>
          <w:szCs w:val="20"/>
        </w:rPr>
        <w:t>The Company records net deferred tax assets to the extent that these assets will more likely than not be realized. All available positive and negative evidence is consider</w:t>
      </w:r>
      <w:r>
        <w:rPr>
          <w:sz w:val="20"/>
          <w:szCs w:val="20"/>
        </w:rPr>
        <w:t xml:space="preserve">ed in making such a determination, including future reversals of existing taxable temporary differences, projected future taxable income, tax planning strategies, and results of recent operations. A valuation allowance would be recorded to reduce deferred </w:t>
      </w:r>
      <w:r>
        <w:rPr>
          <w:sz w:val="20"/>
          <w:szCs w:val="20"/>
        </w:rPr>
        <w:t>income tax assets when it is determined that it is more likely than not that the Company would not be able to realize its deferred income tax assets in the future in excess of their net recorded amount.</w:t>
      </w:r>
    </w:p>
    <w:p w14:paraId="5C9C734E" w14:textId="77777777" w:rsidR="00000000" w:rsidRDefault="001826C1">
      <w:pPr>
        <w:pStyle w:val="a3"/>
        <w:spacing w:before="0" w:beforeAutospacing="0" w:after="0" w:afterAutospacing="0"/>
        <w:jc w:val="both"/>
        <w:rPr>
          <w:sz w:val="20"/>
          <w:szCs w:val="20"/>
        </w:rPr>
      </w:pPr>
      <w:r>
        <w:rPr>
          <w:sz w:val="20"/>
          <w:szCs w:val="20"/>
        </w:rPr>
        <w:t> </w:t>
      </w:r>
    </w:p>
    <w:p w14:paraId="79004C60" w14:textId="77777777" w:rsidR="00000000" w:rsidRDefault="001826C1">
      <w:pPr>
        <w:pStyle w:val="a3"/>
        <w:spacing w:before="0" w:beforeAutospacing="0" w:after="0" w:afterAutospacing="0"/>
        <w:jc w:val="both"/>
        <w:rPr>
          <w:sz w:val="20"/>
          <w:szCs w:val="20"/>
        </w:rPr>
      </w:pPr>
      <w:r>
        <w:rPr>
          <w:sz w:val="20"/>
          <w:szCs w:val="20"/>
        </w:rPr>
        <w:t xml:space="preserve">The Company records uncertain tax positions on the </w:t>
      </w:r>
      <w:r>
        <w:rPr>
          <w:sz w:val="20"/>
          <w:szCs w:val="20"/>
        </w:rPr>
        <w:t>basis of a two-step process whereby (1) the Company determines whether it is more likely than not that the tax positions will be sustained based on the technical merits of the position and (2) for those tax positions that meet the more-likely-than-not reco</w:t>
      </w:r>
      <w:r>
        <w:rPr>
          <w:sz w:val="20"/>
          <w:szCs w:val="20"/>
        </w:rPr>
        <w:t>gnition threshold, the Company recognizes the largest amount of tax benefit that is greater than 50 percent likely to be realized upon ultimate settlement with the related tax authority. At December 31, 2019 and 2018, the Company did not have any uncertain</w:t>
      </w:r>
      <w:r>
        <w:rPr>
          <w:sz w:val="20"/>
          <w:szCs w:val="20"/>
        </w:rPr>
        <w:t xml:space="preserve"> tax positions that required recognition. Interest and penalties related to uncertain tax positions are recognized in income tax expense.</w:t>
      </w:r>
    </w:p>
    <w:p w14:paraId="1B7F054D"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3A2AC3F" w14:textId="77777777">
        <w:trPr>
          <w:divId w:val="1962228507"/>
        </w:trPr>
        <w:tc>
          <w:tcPr>
            <w:tcW w:w="5000" w:type="pct"/>
            <w:hideMark/>
          </w:tcPr>
          <w:p w14:paraId="72FB095A"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24E7CDCD" w14:textId="77777777">
        <w:tc>
          <w:tcPr>
            <w:tcW w:w="5000" w:type="pct"/>
            <w:hideMark/>
          </w:tcPr>
          <w:p w14:paraId="32B6ABC1" w14:textId="77777777" w:rsidR="00000000" w:rsidRDefault="001826C1">
            <w:pPr>
              <w:jc w:val="center"/>
              <w:rPr>
                <w:rFonts w:eastAsia="Times New Roman"/>
                <w:sz w:val="20"/>
                <w:szCs w:val="20"/>
              </w:rPr>
            </w:pPr>
            <w:r>
              <w:rPr>
                <w:rFonts w:eastAsia="Times New Roman"/>
                <w:sz w:val="20"/>
                <w:szCs w:val="20"/>
              </w:rPr>
              <w:t> </w:t>
            </w:r>
          </w:p>
        </w:tc>
      </w:tr>
    </w:tbl>
    <w:p w14:paraId="6BCEFE46" w14:textId="77777777" w:rsidR="00000000" w:rsidRDefault="001826C1">
      <w:pPr>
        <w:pStyle w:val="a3"/>
        <w:spacing w:before="0" w:beforeAutospacing="0" w:after="0" w:afterAutospacing="0"/>
        <w:rPr>
          <w:sz w:val="20"/>
          <w:szCs w:val="20"/>
        </w:rPr>
      </w:pPr>
      <w:r>
        <w:rPr>
          <w:sz w:val="20"/>
          <w:szCs w:val="20"/>
        </w:rPr>
        <w:t> </w:t>
      </w:r>
    </w:p>
    <w:p w14:paraId="7EFDA43C" w14:textId="77777777" w:rsidR="00000000" w:rsidRDefault="001826C1">
      <w:pPr>
        <w:pStyle w:val="a3"/>
        <w:spacing w:before="0" w:beforeAutospacing="0" w:after="0" w:afterAutospacing="0"/>
        <w:jc w:val="both"/>
        <w:rPr>
          <w:sz w:val="20"/>
          <w:szCs w:val="20"/>
        </w:rPr>
      </w:pPr>
      <w:r>
        <w:rPr>
          <w:sz w:val="20"/>
          <w:szCs w:val="20"/>
        </w:rPr>
        <w:t xml:space="preserve">For </w:t>
      </w:r>
      <w:r>
        <w:rPr>
          <w:sz w:val="20"/>
          <w:szCs w:val="20"/>
        </w:rPr>
        <w:t>the years ended December 31, 2019 and 2018, the Company did not recognize any penalties or interest related to unrecognized tax benefits in its consolidated financial statements.</w:t>
      </w:r>
    </w:p>
    <w:p w14:paraId="639285B6" w14:textId="77777777" w:rsidR="00000000" w:rsidRDefault="001826C1">
      <w:pPr>
        <w:pStyle w:val="a3"/>
        <w:spacing w:before="0" w:beforeAutospacing="0" w:after="0" w:afterAutospacing="0"/>
        <w:jc w:val="both"/>
        <w:rPr>
          <w:sz w:val="20"/>
          <w:szCs w:val="20"/>
        </w:rPr>
      </w:pPr>
      <w:r>
        <w:rPr>
          <w:sz w:val="20"/>
          <w:szCs w:val="20"/>
        </w:rPr>
        <w:t> </w:t>
      </w:r>
    </w:p>
    <w:p w14:paraId="072070F6" w14:textId="77777777" w:rsidR="00000000" w:rsidRDefault="001826C1">
      <w:pPr>
        <w:pStyle w:val="a3"/>
        <w:spacing w:before="0" w:beforeAutospacing="0" w:after="0" w:afterAutospacing="0"/>
        <w:jc w:val="both"/>
        <w:rPr>
          <w:sz w:val="20"/>
          <w:szCs w:val="20"/>
        </w:rPr>
      </w:pPr>
      <w:r>
        <w:rPr>
          <w:b/>
          <w:bCs/>
          <w:sz w:val="20"/>
          <w:szCs w:val="20"/>
        </w:rPr>
        <w:t xml:space="preserve">Dividends </w:t>
      </w:r>
      <w:r>
        <w:rPr>
          <w:sz w:val="20"/>
          <w:szCs w:val="20"/>
        </w:rPr>
        <w:t xml:space="preserve">— Dividends are recorded when declared by the Company’s Board of </w:t>
      </w:r>
      <w:r>
        <w:rPr>
          <w:sz w:val="20"/>
          <w:szCs w:val="20"/>
        </w:rPr>
        <w:t xml:space="preserve">Directors. The Board of Directors has declared monthly dividends on the Series A Preferred Stock (“Preferred Stock”) through February 2020. Preferred Stock dividends are charged against paid in capital because the Company does not have sufficient retained </w:t>
      </w:r>
      <w:r>
        <w:rPr>
          <w:sz w:val="20"/>
          <w:szCs w:val="20"/>
        </w:rPr>
        <w:t>earnings. The Company is prohibited from paying dividends on its common stock without the prior written consent of its lender, Silicon Valley Bank (“SVB”).</w:t>
      </w:r>
    </w:p>
    <w:p w14:paraId="029A38AE" w14:textId="77777777" w:rsidR="00000000" w:rsidRDefault="001826C1">
      <w:pPr>
        <w:pStyle w:val="a3"/>
        <w:spacing w:before="0" w:beforeAutospacing="0" w:after="0" w:afterAutospacing="0"/>
        <w:jc w:val="both"/>
        <w:rPr>
          <w:sz w:val="20"/>
          <w:szCs w:val="20"/>
        </w:rPr>
      </w:pPr>
      <w:r>
        <w:rPr>
          <w:sz w:val="20"/>
          <w:szCs w:val="20"/>
        </w:rPr>
        <w:t> </w:t>
      </w:r>
    </w:p>
    <w:p w14:paraId="717D1E3C" w14:textId="77777777" w:rsidR="00000000" w:rsidRDefault="001826C1">
      <w:pPr>
        <w:pStyle w:val="a3"/>
        <w:spacing w:before="0" w:beforeAutospacing="0" w:after="0" w:afterAutospacing="0"/>
        <w:jc w:val="both"/>
        <w:rPr>
          <w:sz w:val="20"/>
          <w:szCs w:val="20"/>
        </w:rPr>
      </w:pPr>
      <w:r>
        <w:rPr>
          <w:b/>
          <w:bCs/>
          <w:sz w:val="20"/>
          <w:szCs w:val="20"/>
        </w:rPr>
        <w:t>Deferred Rent</w:t>
      </w:r>
      <w:r>
        <w:rPr>
          <w:sz w:val="20"/>
          <w:szCs w:val="20"/>
        </w:rPr>
        <w:t xml:space="preserve"> — Deferred rent at December 31, 2018, consisted of rent escalation payment terms rel</w:t>
      </w:r>
      <w:r>
        <w:rPr>
          <w:sz w:val="20"/>
          <w:szCs w:val="20"/>
        </w:rPr>
        <w:t>ated to the Company’s operating leases for its facilities. Deferred rent represented the difference between actual operating lease payments due and straight-line rent expense, which is recorded by the Company over the term of the lease, including any const</w:t>
      </w:r>
      <w:r>
        <w:rPr>
          <w:sz w:val="20"/>
          <w:szCs w:val="20"/>
        </w:rPr>
        <w:t>ruction period. The excess of the difference between actual operating lease payments due and straight-line rent expense is recorded as a deferred credit in the early periods of the lease when cash payments are generally lower than straight-line rent expens</w:t>
      </w:r>
      <w:r>
        <w:rPr>
          <w:sz w:val="20"/>
          <w:szCs w:val="20"/>
        </w:rPr>
        <w:t>e, and is reduced in the later periods of the lease when payments begin to exceed the straight-line expense. As a result of the Company’s adoption of ASC 842 as of January 1, 2019, deferred rent is no longer recorded on the consolidated balance sheet.</w:t>
      </w:r>
    </w:p>
    <w:p w14:paraId="67FDD863" w14:textId="77777777" w:rsidR="00000000" w:rsidRDefault="001826C1">
      <w:pPr>
        <w:pStyle w:val="a3"/>
        <w:spacing w:before="0" w:beforeAutospacing="0" w:after="0" w:afterAutospacing="0"/>
        <w:jc w:val="both"/>
        <w:rPr>
          <w:sz w:val="20"/>
          <w:szCs w:val="20"/>
        </w:rPr>
      </w:pPr>
      <w:r>
        <w:rPr>
          <w:sz w:val="20"/>
          <w:szCs w:val="20"/>
        </w:rPr>
        <w:t> </w:t>
      </w:r>
    </w:p>
    <w:p w14:paraId="106330CC" w14:textId="77777777" w:rsidR="00000000" w:rsidRDefault="001826C1">
      <w:pPr>
        <w:pStyle w:val="a3"/>
        <w:spacing w:before="0" w:beforeAutospacing="0" w:after="0" w:afterAutospacing="0"/>
        <w:jc w:val="both"/>
        <w:rPr>
          <w:sz w:val="20"/>
          <w:szCs w:val="20"/>
        </w:rPr>
      </w:pPr>
      <w:r>
        <w:rPr>
          <w:b/>
          <w:bCs/>
          <w:sz w:val="20"/>
          <w:szCs w:val="20"/>
        </w:rPr>
        <w:t>De</w:t>
      </w:r>
      <w:r>
        <w:rPr>
          <w:b/>
          <w:bCs/>
          <w:sz w:val="20"/>
          <w:szCs w:val="20"/>
        </w:rPr>
        <w:t>ferred Revenue</w:t>
      </w:r>
      <w:r>
        <w:rPr>
          <w:sz w:val="20"/>
          <w:szCs w:val="20"/>
        </w:rPr>
        <w:t xml:space="preserve"> — Deferred revenue primarily consists of payments received in advance of the revenue recognition criteria being met. Deferred revenue includes certain deferred implementation services fees that are recognized as revenue ratably over the long</w:t>
      </w:r>
      <w:r>
        <w:rPr>
          <w:sz w:val="20"/>
          <w:szCs w:val="20"/>
        </w:rPr>
        <w:t>er of the life of the agreement or the estimated expected customer life, which is currently estimated to be three years. Deferred revenue that will be recognized during the succeeding 12-month period is recorded as current deferred revenue and the remainin</w:t>
      </w:r>
      <w:r>
        <w:rPr>
          <w:sz w:val="20"/>
          <w:szCs w:val="20"/>
        </w:rPr>
        <w:t>g portion is recorded as non-current. At the time of customer termination, any unrecognized service fees associated with implementation services are recognized as revenue.</w:t>
      </w:r>
    </w:p>
    <w:p w14:paraId="4853CBFD" w14:textId="77777777" w:rsidR="00000000" w:rsidRDefault="001826C1">
      <w:pPr>
        <w:pStyle w:val="a3"/>
        <w:spacing w:before="0" w:beforeAutospacing="0" w:after="0" w:afterAutospacing="0"/>
        <w:rPr>
          <w:sz w:val="20"/>
          <w:szCs w:val="20"/>
        </w:rPr>
      </w:pPr>
      <w:r>
        <w:rPr>
          <w:sz w:val="20"/>
          <w:szCs w:val="20"/>
        </w:rPr>
        <w:t> </w:t>
      </w:r>
    </w:p>
    <w:p w14:paraId="51C5867F" w14:textId="77777777" w:rsidR="00000000" w:rsidRDefault="001826C1">
      <w:pPr>
        <w:pStyle w:val="a3"/>
        <w:spacing w:before="0" w:beforeAutospacing="0" w:after="0" w:afterAutospacing="0"/>
        <w:jc w:val="both"/>
        <w:rPr>
          <w:sz w:val="20"/>
          <w:szCs w:val="20"/>
        </w:rPr>
      </w:pPr>
      <w:r>
        <w:rPr>
          <w:b/>
          <w:bCs/>
          <w:sz w:val="20"/>
          <w:szCs w:val="20"/>
        </w:rPr>
        <w:t>Fair Value Measurements</w:t>
      </w:r>
      <w:r>
        <w:rPr>
          <w:sz w:val="20"/>
          <w:szCs w:val="20"/>
        </w:rPr>
        <w:t xml:space="preserve"> — ASC 820, </w:t>
      </w:r>
      <w:r>
        <w:rPr>
          <w:i/>
          <w:iCs/>
          <w:sz w:val="20"/>
          <w:szCs w:val="20"/>
        </w:rPr>
        <w:t>Fair Value Measurement</w:t>
      </w:r>
      <w:r>
        <w:rPr>
          <w:sz w:val="20"/>
          <w:szCs w:val="20"/>
        </w:rPr>
        <w:t>, requires the disclosure</w:t>
      </w:r>
      <w:r>
        <w:rPr>
          <w:sz w:val="20"/>
          <w:szCs w:val="20"/>
        </w:rPr>
        <w:t xml:space="preserve"> of fair value information about financial instruments, whether or not recognized in the balance sheet, for which it is practicable to estimate that value. </w:t>
      </w:r>
      <w:r>
        <w:rPr>
          <w:color w:val="000000"/>
          <w:sz w:val="20"/>
          <w:szCs w:val="20"/>
        </w:rPr>
        <w:t>The Company follows a fair value measurement hierarchy to measure financial instruments. The fair va</w:t>
      </w:r>
      <w:r>
        <w:rPr>
          <w:color w:val="000000"/>
          <w:sz w:val="20"/>
          <w:szCs w:val="20"/>
        </w:rPr>
        <w:t>lue of the Company’s financial instruments is measured using inputs from the three levels of the fair value hierarchy as follows:</w:t>
      </w:r>
    </w:p>
    <w:p w14:paraId="21C58AF5"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20"/>
        <w:gridCol w:w="360"/>
        <w:gridCol w:w="6866"/>
      </w:tblGrid>
      <w:tr w:rsidR="00000000" w14:paraId="1A2654B9" w14:textId="77777777">
        <w:tc>
          <w:tcPr>
            <w:tcW w:w="360" w:type="dxa"/>
            <w:hideMark/>
          </w:tcPr>
          <w:p w14:paraId="3270A428" w14:textId="77777777" w:rsidR="00000000" w:rsidRDefault="001826C1">
            <w:pPr>
              <w:jc w:val="both"/>
              <w:rPr>
                <w:rFonts w:eastAsia="Times New Roman"/>
                <w:sz w:val="20"/>
                <w:szCs w:val="20"/>
              </w:rPr>
            </w:pPr>
            <w:r>
              <w:rPr>
                <w:rFonts w:eastAsia="Times New Roman"/>
                <w:sz w:val="20"/>
                <w:szCs w:val="20"/>
              </w:rPr>
              <w:t> </w:t>
            </w:r>
          </w:p>
        </w:tc>
        <w:tc>
          <w:tcPr>
            <w:tcW w:w="720" w:type="dxa"/>
            <w:hideMark/>
          </w:tcPr>
          <w:p w14:paraId="2656737E" w14:textId="77777777" w:rsidR="00000000" w:rsidRDefault="001826C1">
            <w:pPr>
              <w:jc w:val="both"/>
              <w:rPr>
                <w:rFonts w:eastAsia="Times New Roman"/>
                <w:sz w:val="20"/>
                <w:szCs w:val="20"/>
              </w:rPr>
            </w:pPr>
            <w:r>
              <w:rPr>
                <w:rFonts w:eastAsia="Times New Roman"/>
                <w:sz w:val="20"/>
                <w:szCs w:val="20"/>
              </w:rPr>
              <w:t>Level 1</w:t>
            </w:r>
          </w:p>
        </w:tc>
        <w:tc>
          <w:tcPr>
            <w:tcW w:w="360" w:type="dxa"/>
            <w:hideMark/>
          </w:tcPr>
          <w:p w14:paraId="5D995DE5"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5FB41213" w14:textId="77777777" w:rsidR="00000000" w:rsidRDefault="001826C1">
            <w:pPr>
              <w:jc w:val="both"/>
              <w:rPr>
                <w:rFonts w:eastAsia="Times New Roman"/>
                <w:sz w:val="20"/>
                <w:szCs w:val="20"/>
              </w:rPr>
            </w:pPr>
            <w:r>
              <w:rPr>
                <w:rFonts w:eastAsia="Times New Roman"/>
                <w:sz w:val="20"/>
                <w:szCs w:val="20"/>
              </w:rPr>
              <w:t>Inputs are unadjusted quoted market prices in active markets for identical assets or liabilities that the Compan</w:t>
            </w:r>
            <w:r>
              <w:rPr>
                <w:rFonts w:eastAsia="Times New Roman"/>
                <w:sz w:val="20"/>
                <w:szCs w:val="20"/>
              </w:rPr>
              <w:t>y has the ability to access at the measurement date.</w:t>
            </w:r>
          </w:p>
        </w:tc>
      </w:tr>
      <w:tr w:rsidR="00000000" w14:paraId="2E555AF7" w14:textId="77777777">
        <w:tc>
          <w:tcPr>
            <w:tcW w:w="0" w:type="auto"/>
            <w:hideMark/>
          </w:tcPr>
          <w:p w14:paraId="4B8CED5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878E110"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505F1C32"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BC98DE4" w14:textId="77777777" w:rsidR="00000000" w:rsidRDefault="001826C1">
            <w:pPr>
              <w:jc w:val="both"/>
              <w:rPr>
                <w:rFonts w:eastAsia="Times New Roman"/>
                <w:sz w:val="20"/>
                <w:szCs w:val="20"/>
              </w:rPr>
            </w:pPr>
            <w:r>
              <w:rPr>
                <w:rFonts w:eastAsia="Times New Roman"/>
                <w:sz w:val="20"/>
                <w:szCs w:val="20"/>
              </w:rPr>
              <w:t> </w:t>
            </w:r>
          </w:p>
        </w:tc>
      </w:tr>
      <w:tr w:rsidR="00000000" w14:paraId="523E5F57" w14:textId="77777777">
        <w:tc>
          <w:tcPr>
            <w:tcW w:w="0" w:type="auto"/>
            <w:hideMark/>
          </w:tcPr>
          <w:p w14:paraId="1B8F886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C6FB220" w14:textId="77777777" w:rsidR="00000000" w:rsidRDefault="001826C1">
            <w:pPr>
              <w:jc w:val="both"/>
              <w:rPr>
                <w:rFonts w:eastAsia="Times New Roman"/>
                <w:sz w:val="20"/>
                <w:szCs w:val="20"/>
              </w:rPr>
            </w:pPr>
            <w:r>
              <w:rPr>
                <w:rFonts w:eastAsia="Times New Roman"/>
                <w:sz w:val="20"/>
                <w:szCs w:val="20"/>
              </w:rPr>
              <w:t>Level 2</w:t>
            </w:r>
          </w:p>
        </w:tc>
        <w:tc>
          <w:tcPr>
            <w:tcW w:w="0" w:type="auto"/>
            <w:hideMark/>
          </w:tcPr>
          <w:p w14:paraId="14115B02"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78DD060F" w14:textId="77777777" w:rsidR="00000000" w:rsidRDefault="001826C1">
            <w:pPr>
              <w:jc w:val="both"/>
              <w:rPr>
                <w:rFonts w:eastAsia="Times New Roman"/>
                <w:sz w:val="20"/>
                <w:szCs w:val="20"/>
              </w:rPr>
            </w:pPr>
            <w:r>
              <w:rPr>
                <w:rFonts w:eastAsia="Times New Roman"/>
                <w:sz w:val="20"/>
                <w:szCs w:val="20"/>
              </w:rPr>
              <w:t xml:space="preserve">Inputs </w:t>
            </w:r>
            <w:r>
              <w:rPr>
                <w:rFonts w:eastAsia="Times New Roman"/>
                <w:sz w:val="20"/>
                <w:szCs w:val="20"/>
              </w:rPr>
              <w:t>are directly or indirectly observable, which include quoted prices for similar assets and liabilities in active markets, quoted prices for identical or similar assets or liabilities in markets that are not active, inputs other than quoted prices that are o</w:t>
            </w:r>
            <w:r>
              <w:rPr>
                <w:rFonts w:eastAsia="Times New Roman"/>
                <w:sz w:val="20"/>
                <w:szCs w:val="20"/>
              </w:rPr>
              <w:t>bservable for the asset or liability and inputs that are derived principally from or corroborated by observable market data by correlation or other means.</w:t>
            </w:r>
          </w:p>
        </w:tc>
      </w:tr>
      <w:tr w:rsidR="00000000" w14:paraId="43E4317B" w14:textId="77777777">
        <w:tc>
          <w:tcPr>
            <w:tcW w:w="0" w:type="auto"/>
            <w:hideMark/>
          </w:tcPr>
          <w:p w14:paraId="3DDC6A0B"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4BDCEEE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75C50121"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21C95590" w14:textId="77777777" w:rsidR="00000000" w:rsidRDefault="001826C1">
            <w:pPr>
              <w:jc w:val="both"/>
              <w:rPr>
                <w:rFonts w:eastAsia="Times New Roman"/>
                <w:sz w:val="20"/>
                <w:szCs w:val="20"/>
              </w:rPr>
            </w:pPr>
            <w:r>
              <w:rPr>
                <w:rFonts w:eastAsia="Times New Roman"/>
                <w:sz w:val="20"/>
                <w:szCs w:val="20"/>
              </w:rPr>
              <w:t> </w:t>
            </w:r>
          </w:p>
        </w:tc>
      </w:tr>
      <w:tr w:rsidR="00000000" w14:paraId="172C613D" w14:textId="77777777">
        <w:tc>
          <w:tcPr>
            <w:tcW w:w="0" w:type="auto"/>
            <w:hideMark/>
          </w:tcPr>
          <w:p w14:paraId="244B100E" w14:textId="77777777" w:rsidR="00000000" w:rsidRDefault="001826C1">
            <w:pPr>
              <w:jc w:val="both"/>
              <w:rPr>
                <w:rFonts w:eastAsia="Times New Roman"/>
                <w:sz w:val="20"/>
                <w:szCs w:val="20"/>
              </w:rPr>
            </w:pPr>
            <w:r>
              <w:rPr>
                <w:rFonts w:eastAsia="Times New Roman"/>
                <w:sz w:val="20"/>
                <w:szCs w:val="20"/>
              </w:rPr>
              <w:t> </w:t>
            </w:r>
          </w:p>
        </w:tc>
        <w:tc>
          <w:tcPr>
            <w:tcW w:w="0" w:type="auto"/>
            <w:hideMark/>
          </w:tcPr>
          <w:p w14:paraId="6EB3B0CA" w14:textId="77777777" w:rsidR="00000000" w:rsidRDefault="001826C1">
            <w:pPr>
              <w:jc w:val="both"/>
              <w:rPr>
                <w:rFonts w:eastAsia="Times New Roman"/>
                <w:sz w:val="20"/>
                <w:szCs w:val="20"/>
              </w:rPr>
            </w:pPr>
            <w:r>
              <w:rPr>
                <w:rFonts w:eastAsia="Times New Roman"/>
                <w:sz w:val="20"/>
                <w:szCs w:val="20"/>
              </w:rPr>
              <w:t xml:space="preserve">Level 3 </w:t>
            </w:r>
          </w:p>
        </w:tc>
        <w:tc>
          <w:tcPr>
            <w:tcW w:w="0" w:type="auto"/>
            <w:hideMark/>
          </w:tcPr>
          <w:p w14:paraId="7E922F10" w14:textId="77777777" w:rsidR="00000000" w:rsidRDefault="001826C1">
            <w:pPr>
              <w:jc w:val="both"/>
              <w:rPr>
                <w:rFonts w:eastAsia="Times New Roman"/>
                <w:sz w:val="20"/>
                <w:szCs w:val="20"/>
              </w:rPr>
            </w:pPr>
            <w:r>
              <w:rPr>
                <w:rFonts w:eastAsia="Times New Roman"/>
                <w:sz w:val="20"/>
                <w:szCs w:val="20"/>
              </w:rPr>
              <w:t>—</w:t>
            </w:r>
          </w:p>
        </w:tc>
        <w:tc>
          <w:tcPr>
            <w:tcW w:w="0" w:type="auto"/>
            <w:hideMark/>
          </w:tcPr>
          <w:p w14:paraId="4924786A" w14:textId="77777777" w:rsidR="00000000" w:rsidRDefault="001826C1">
            <w:pPr>
              <w:jc w:val="both"/>
              <w:rPr>
                <w:rFonts w:eastAsia="Times New Roman"/>
                <w:sz w:val="20"/>
                <w:szCs w:val="20"/>
              </w:rPr>
            </w:pPr>
            <w:r>
              <w:rPr>
                <w:rFonts w:eastAsia="Times New Roman"/>
                <w:sz w:val="20"/>
                <w:szCs w:val="20"/>
              </w:rPr>
              <w:t>Inputs are unobservable inputs that are used to measure fair value to the exte</w:t>
            </w:r>
            <w:r>
              <w:rPr>
                <w:rFonts w:eastAsia="Times New Roman"/>
                <w:sz w:val="20"/>
                <w:szCs w:val="20"/>
              </w:rPr>
              <w:t xml:space="preserve">nt observable inputs are not available. </w:t>
            </w:r>
          </w:p>
        </w:tc>
      </w:tr>
    </w:tbl>
    <w:p w14:paraId="1C9B15C3" w14:textId="77777777" w:rsidR="00000000" w:rsidRDefault="001826C1">
      <w:pPr>
        <w:pStyle w:val="a3"/>
        <w:spacing w:before="0" w:beforeAutospacing="0" w:after="0" w:afterAutospacing="0"/>
        <w:jc w:val="both"/>
        <w:rPr>
          <w:sz w:val="20"/>
          <w:szCs w:val="20"/>
        </w:rPr>
      </w:pPr>
      <w:r>
        <w:rPr>
          <w:sz w:val="20"/>
          <w:szCs w:val="20"/>
        </w:rPr>
        <w:t> </w:t>
      </w:r>
    </w:p>
    <w:p w14:paraId="049EA0F3" w14:textId="77777777" w:rsidR="00000000" w:rsidRDefault="001826C1">
      <w:pPr>
        <w:pStyle w:val="a3"/>
        <w:spacing w:before="0" w:beforeAutospacing="0" w:after="0" w:afterAutospacing="0"/>
        <w:jc w:val="both"/>
        <w:rPr>
          <w:sz w:val="20"/>
          <w:szCs w:val="20"/>
        </w:rPr>
      </w:pPr>
      <w:r>
        <w:rPr>
          <w:sz w:val="20"/>
          <w:szCs w:val="20"/>
        </w:rPr>
        <w:t>The Company’</w:t>
      </w:r>
      <w:r>
        <w:rPr>
          <w:sz w:val="20"/>
          <w:szCs w:val="20"/>
        </w:rPr>
        <w:t>s contingent consideration is a Level 3 liability and is measured at fair value at the end of each reporting period. The Company has certain financial instruments that are not measured at fair value on a recurring basis. These financial instruments are sub</w:t>
      </w:r>
      <w:r>
        <w:rPr>
          <w:sz w:val="20"/>
          <w:szCs w:val="20"/>
        </w:rPr>
        <w:t>ject to fair value adjustments only in certain circumstances and include cash, accounts receivable, accounts payable and accrued expenses, borrowings under term loans and line of credit, and notes payable. Due to the short term nature of these financial in</w:t>
      </w:r>
      <w:r>
        <w:rPr>
          <w:sz w:val="20"/>
          <w:szCs w:val="20"/>
        </w:rPr>
        <w:t>struments and that the borrowings, with the exception of the payable to the managed practices (see Note 8) bear interest at prevailing market rates, the carrying value approximates the fair value.</w:t>
      </w:r>
    </w:p>
    <w:p w14:paraId="54914C37"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18A5B4E" w14:textId="77777777">
        <w:trPr>
          <w:divId w:val="853806805"/>
        </w:trPr>
        <w:tc>
          <w:tcPr>
            <w:tcW w:w="5000" w:type="pct"/>
            <w:hideMark/>
          </w:tcPr>
          <w:p w14:paraId="6525ADD3"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4AA2BE8E" w14:textId="77777777">
        <w:tc>
          <w:tcPr>
            <w:tcW w:w="5000" w:type="pct"/>
            <w:hideMark/>
          </w:tcPr>
          <w:p w14:paraId="63DDAF80" w14:textId="77777777" w:rsidR="00000000" w:rsidRDefault="001826C1">
            <w:pPr>
              <w:jc w:val="center"/>
              <w:rPr>
                <w:rFonts w:eastAsia="Times New Roman"/>
                <w:sz w:val="20"/>
                <w:szCs w:val="20"/>
              </w:rPr>
            </w:pPr>
            <w:r>
              <w:rPr>
                <w:rFonts w:eastAsia="Times New Roman"/>
                <w:sz w:val="20"/>
                <w:szCs w:val="20"/>
              </w:rPr>
              <w:t> </w:t>
            </w:r>
          </w:p>
        </w:tc>
      </w:tr>
    </w:tbl>
    <w:p w14:paraId="60752D7E" w14:textId="77777777" w:rsidR="00000000" w:rsidRDefault="001826C1">
      <w:pPr>
        <w:pStyle w:val="a3"/>
        <w:spacing w:before="0" w:beforeAutospacing="0" w:after="0" w:afterAutospacing="0"/>
        <w:rPr>
          <w:sz w:val="20"/>
          <w:szCs w:val="20"/>
        </w:rPr>
      </w:pPr>
      <w:r>
        <w:rPr>
          <w:sz w:val="20"/>
          <w:szCs w:val="20"/>
        </w:rPr>
        <w:t> </w:t>
      </w:r>
    </w:p>
    <w:p w14:paraId="0A5F27CC" w14:textId="77777777" w:rsidR="00000000" w:rsidRDefault="001826C1">
      <w:pPr>
        <w:pStyle w:val="a3"/>
        <w:spacing w:before="0" w:beforeAutospacing="0" w:after="0" w:afterAutospacing="0"/>
        <w:jc w:val="both"/>
        <w:rPr>
          <w:sz w:val="20"/>
          <w:szCs w:val="20"/>
        </w:rPr>
      </w:pPr>
      <w:r>
        <w:rPr>
          <w:b/>
          <w:bCs/>
          <w:sz w:val="20"/>
          <w:szCs w:val="20"/>
        </w:rPr>
        <w:t>Foreign Currency Translation</w:t>
      </w:r>
      <w:r>
        <w:rPr>
          <w:sz w:val="20"/>
          <w:szCs w:val="20"/>
        </w:rPr>
        <w:t xml:space="preserve"> — The financial </w:t>
      </w:r>
      <w:r>
        <w:rPr>
          <w:sz w:val="20"/>
          <w:szCs w:val="20"/>
        </w:rPr>
        <w:t>statements of the Company’s foreign subsidiaries are translated from their functional currency into U.S. dollars, the Company’s functional currency. All foreign currency assets and liabilities are translated at the period-end exchange rate, and all revenue</w:t>
      </w:r>
      <w:r>
        <w:rPr>
          <w:sz w:val="20"/>
          <w:szCs w:val="20"/>
        </w:rPr>
        <w:t xml:space="preserve"> and expenses are translated at transaction date exchange rates. The effects of translating the financial statements of the foreign subsidiaries into U.S. dollars are reported as a cumulative translation adjustment, a separate component of accumulated othe</w:t>
      </w:r>
      <w:r>
        <w:rPr>
          <w:sz w:val="20"/>
          <w:szCs w:val="20"/>
        </w:rPr>
        <w:t>r comprehensive loss in the consolidated statements of shareholders’ equity, except for transactions related to the intercompany receivable for which transaction adjustments are recorded in the consolidated statements of operations as they are not deemed t</w:t>
      </w:r>
      <w:r>
        <w:rPr>
          <w:sz w:val="20"/>
          <w:szCs w:val="20"/>
        </w:rPr>
        <w:t xml:space="preserve">o be permanently reinvested. Foreign currency transaction gains/losses are reported as a component of other income – net in the consolidated statements of operations and amounted to a loss of approximately $827,000 and a gain of approximately $435,000 for </w:t>
      </w:r>
      <w:r>
        <w:rPr>
          <w:sz w:val="20"/>
          <w:szCs w:val="20"/>
        </w:rPr>
        <w:t>the years ended December 31, 2019 and 2018, respectively.</w:t>
      </w:r>
    </w:p>
    <w:p w14:paraId="7F867B99" w14:textId="77777777" w:rsidR="00000000" w:rsidRDefault="001826C1">
      <w:pPr>
        <w:pStyle w:val="a3"/>
        <w:spacing w:before="0" w:beforeAutospacing="0" w:after="0" w:afterAutospacing="0"/>
        <w:rPr>
          <w:sz w:val="20"/>
          <w:szCs w:val="20"/>
        </w:rPr>
      </w:pPr>
      <w:r>
        <w:rPr>
          <w:sz w:val="20"/>
          <w:szCs w:val="20"/>
        </w:rPr>
        <w:t> </w:t>
      </w:r>
    </w:p>
    <w:p w14:paraId="65408927" w14:textId="77777777" w:rsidR="00000000" w:rsidRDefault="001826C1">
      <w:pPr>
        <w:pStyle w:val="a3"/>
        <w:spacing w:before="0" w:beforeAutospacing="0" w:after="0" w:afterAutospacing="0"/>
        <w:jc w:val="both"/>
        <w:rPr>
          <w:sz w:val="20"/>
          <w:szCs w:val="20"/>
        </w:rPr>
      </w:pPr>
      <w:r>
        <w:rPr>
          <w:b/>
          <w:bCs/>
          <w:sz w:val="20"/>
          <w:szCs w:val="20"/>
        </w:rPr>
        <w:t>Stock Offering Costs —</w:t>
      </w:r>
      <w:r>
        <w:rPr>
          <w:sz w:val="20"/>
          <w:szCs w:val="20"/>
        </w:rPr>
        <w:t xml:space="preserve"> Common and Preferred Stock offering costs consist principally of professional fees, primarily legal and accounting, and other costs such as printing and registration costs i</w:t>
      </w:r>
      <w:r>
        <w:rPr>
          <w:sz w:val="20"/>
          <w:szCs w:val="20"/>
        </w:rPr>
        <w:t>ncurred in connection with the issuance of the common stock and the Preferred Stock in 2019 and 2018. In connection with the 2019 and 2018 equity offerings, the Company incurred approximately $110,000 and $282,000, respectively, of such costs, excluding un</w:t>
      </w:r>
      <w:r>
        <w:rPr>
          <w:sz w:val="20"/>
          <w:szCs w:val="20"/>
        </w:rPr>
        <w:t>derwriting commissions and placement agent fees.</w:t>
      </w:r>
    </w:p>
    <w:p w14:paraId="77DA7EA6" w14:textId="77777777" w:rsidR="00000000" w:rsidRDefault="001826C1">
      <w:pPr>
        <w:pStyle w:val="a3"/>
        <w:spacing w:before="0" w:beforeAutospacing="0" w:after="0" w:afterAutospacing="0"/>
        <w:jc w:val="both"/>
        <w:rPr>
          <w:sz w:val="20"/>
          <w:szCs w:val="20"/>
        </w:rPr>
      </w:pPr>
      <w:r>
        <w:rPr>
          <w:sz w:val="20"/>
          <w:szCs w:val="20"/>
        </w:rPr>
        <w:t> </w:t>
      </w:r>
    </w:p>
    <w:p w14:paraId="14398C36" w14:textId="77777777" w:rsidR="00000000" w:rsidRDefault="001826C1">
      <w:pPr>
        <w:pStyle w:val="a3"/>
        <w:spacing w:before="0" w:beforeAutospacing="0" w:after="0" w:afterAutospacing="0"/>
        <w:jc w:val="both"/>
        <w:rPr>
          <w:sz w:val="20"/>
          <w:szCs w:val="20"/>
        </w:rPr>
      </w:pPr>
      <w:r>
        <w:rPr>
          <w:b/>
          <w:bCs/>
          <w:sz w:val="20"/>
          <w:szCs w:val="20"/>
        </w:rPr>
        <w:t>Restructuring and Impairment Charges —</w:t>
      </w:r>
      <w:r>
        <w:rPr>
          <w:sz w:val="20"/>
          <w:szCs w:val="20"/>
        </w:rPr>
        <w:t xml:space="preserve"> Restructuring charges represent the remaining lease costs for a facility no longer used by the Company as the employees were transferred to another Company facility. </w:t>
      </w:r>
      <w:r>
        <w:rPr>
          <w:sz w:val="20"/>
          <w:szCs w:val="20"/>
        </w:rPr>
        <w:t>Impairment charges represent charges recorded for a leased facility no longer being used by the Company. The Company is marketing the facility for sublease and recorded the difference between the contractual rent obligation and the estimated sub-lease paym</w:t>
      </w:r>
      <w:r>
        <w:rPr>
          <w:sz w:val="20"/>
          <w:szCs w:val="20"/>
        </w:rPr>
        <w:t>ents as an impairment charge.</w:t>
      </w:r>
    </w:p>
    <w:p w14:paraId="7EC4A84A" w14:textId="77777777" w:rsidR="00000000" w:rsidRDefault="001826C1">
      <w:pPr>
        <w:pStyle w:val="a3"/>
        <w:spacing w:before="0" w:beforeAutospacing="0" w:after="0" w:afterAutospacing="0"/>
        <w:jc w:val="both"/>
        <w:rPr>
          <w:sz w:val="20"/>
          <w:szCs w:val="20"/>
        </w:rPr>
      </w:pPr>
      <w:r>
        <w:rPr>
          <w:sz w:val="20"/>
          <w:szCs w:val="20"/>
        </w:rPr>
        <w:t> </w:t>
      </w:r>
    </w:p>
    <w:p w14:paraId="59791352" w14:textId="77777777" w:rsidR="00000000" w:rsidRDefault="001826C1">
      <w:pPr>
        <w:pStyle w:val="a3"/>
        <w:spacing w:before="0" w:beforeAutospacing="0" w:after="0" w:afterAutospacing="0"/>
        <w:jc w:val="both"/>
        <w:rPr>
          <w:sz w:val="20"/>
          <w:szCs w:val="20"/>
        </w:rPr>
      </w:pPr>
      <w:r>
        <w:rPr>
          <w:b/>
          <w:bCs/>
          <w:sz w:val="20"/>
          <w:szCs w:val="20"/>
        </w:rPr>
        <w:t>Debt Acquisition Costs —</w:t>
      </w:r>
      <w:r>
        <w:rPr>
          <w:sz w:val="20"/>
          <w:szCs w:val="20"/>
        </w:rPr>
        <w:t xml:space="preserve"> Costs incurred in connection with the acquisition of bank financing are deferred and amortized over the estimated term of the related financing. Such amortization is included in interest expense.</w:t>
      </w:r>
    </w:p>
    <w:p w14:paraId="14E7151F" w14:textId="77777777" w:rsidR="00000000" w:rsidRDefault="001826C1">
      <w:pPr>
        <w:pStyle w:val="a3"/>
        <w:spacing w:before="0" w:beforeAutospacing="0" w:after="0" w:afterAutospacing="0"/>
        <w:jc w:val="both"/>
        <w:rPr>
          <w:sz w:val="20"/>
          <w:szCs w:val="20"/>
        </w:rPr>
      </w:pPr>
      <w:r>
        <w:rPr>
          <w:sz w:val="20"/>
          <w:szCs w:val="20"/>
        </w:rPr>
        <w:t> </w:t>
      </w:r>
    </w:p>
    <w:p w14:paraId="0022020F" w14:textId="77777777" w:rsidR="00000000" w:rsidRDefault="001826C1">
      <w:pPr>
        <w:pStyle w:val="a3"/>
        <w:spacing w:before="0" w:beforeAutospacing="0" w:after="0" w:afterAutospacing="0"/>
        <w:jc w:val="both"/>
        <w:rPr>
          <w:sz w:val="20"/>
          <w:szCs w:val="20"/>
        </w:rPr>
      </w:pPr>
      <w:r>
        <w:rPr>
          <w:b/>
          <w:bCs/>
          <w:i/>
          <w:iCs/>
          <w:sz w:val="20"/>
          <w:szCs w:val="20"/>
        </w:rPr>
        <w:t>Recent Accounting Pronouncements</w:t>
      </w:r>
      <w:r>
        <w:rPr>
          <w:sz w:val="20"/>
          <w:szCs w:val="20"/>
        </w:rPr>
        <w:t xml:space="preserve"> — From time to time, new accounting pronouncements are issued by the Financial Accounting Standards Board (“FASB”) and are adopted by us as of the specified effective date. Unless otherwise discussed, we believe that the im</w:t>
      </w:r>
      <w:r>
        <w:rPr>
          <w:sz w:val="20"/>
          <w:szCs w:val="20"/>
        </w:rPr>
        <w:t xml:space="preserve">pact of recently adopted and recently issued accounting pronouncements will not have a material impact on our consolidated financial position, results of operations and cash flows. </w:t>
      </w:r>
    </w:p>
    <w:p w14:paraId="33B5AAF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B6D1522"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In June 2016, the FASB issued ASU 2016-13, </w:t>
      </w:r>
      <w:r>
        <w:rPr>
          <w:i/>
          <w:iCs/>
          <w:sz w:val="20"/>
          <w:szCs w:val="20"/>
        </w:rPr>
        <w:t>Financial Instruments – Credi</w:t>
      </w:r>
      <w:r>
        <w:rPr>
          <w:i/>
          <w:iCs/>
          <w:sz w:val="20"/>
          <w:szCs w:val="20"/>
        </w:rPr>
        <w:t>t Losses: Measurement of Credit Losses on Financial Instruments.</w:t>
      </w:r>
      <w:r>
        <w:rPr>
          <w:sz w:val="20"/>
          <w:szCs w:val="20"/>
        </w:rPr>
        <w:t xml:space="preserve"> The guidance in Accounting Standards Update (“ASU”) 2016-13 replaces the incurred loss impairment methodology under current GAAP. The new impairment model requires immediate recognition of es</w:t>
      </w:r>
      <w:r>
        <w:rPr>
          <w:sz w:val="20"/>
          <w:szCs w:val="20"/>
        </w:rPr>
        <w:t>timated credit losses expected to occur for most financial assets and certain other instruments. It will apply to all entities. For trade receivables, loans and held-to-maturity debt securities, entities will be required to estimate lifetime expected credi</w:t>
      </w:r>
      <w:r>
        <w:rPr>
          <w:sz w:val="20"/>
          <w:szCs w:val="20"/>
        </w:rPr>
        <w:t>t losses. This may result in the earlier recognition of credit losses. In November, the FASB issued ASU No. 2019-10, which delays this standard’s effective date for SEC smaller reporting companies to the fiscal years beginning on or after December 15, 2022</w:t>
      </w:r>
      <w:r>
        <w:rPr>
          <w:sz w:val="20"/>
          <w:szCs w:val="20"/>
        </w:rPr>
        <w:t>.</w:t>
      </w:r>
    </w:p>
    <w:p w14:paraId="02D0993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17918621"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In February 2016, the FASB issued ASU No. 2016-02, </w:t>
      </w:r>
      <w:r>
        <w:rPr>
          <w:i/>
          <w:iCs/>
          <w:sz w:val="20"/>
          <w:szCs w:val="20"/>
        </w:rPr>
        <w:t>Leases (Topic 842).</w:t>
      </w:r>
      <w:r>
        <w:rPr>
          <w:sz w:val="20"/>
          <w:szCs w:val="20"/>
        </w:rPr>
        <w:t xml:space="preserve"> The new standard requires organizations that have leased assets, referred to as “lessees,” to recognize on the balance sheet the assets and liabilities that represent the rights and</w:t>
      </w:r>
      <w:r>
        <w:rPr>
          <w:sz w:val="20"/>
          <w:szCs w:val="20"/>
        </w:rPr>
        <w:t xml:space="preserve"> obligations created by those leases, respectively. Under the new guidance, a lessee is required to recognize assets and liabilities for leases with lease terms of more than 12 months. Consistent with current GAAP, the recognition, measurement and presenta</w:t>
      </w:r>
      <w:r>
        <w:rPr>
          <w:sz w:val="20"/>
          <w:szCs w:val="20"/>
        </w:rPr>
        <w:t>tion of expenses and cash flows arising from a lease by a lessee primarily will depend on its classification as a finance or operating lease. However, unlike current GAAP which requires only capital leases to be recognized on the balance sheet, the new ASU</w:t>
      </w:r>
      <w:r>
        <w:rPr>
          <w:sz w:val="20"/>
          <w:szCs w:val="20"/>
        </w:rPr>
        <w:t xml:space="preserve"> requires both types of leases to be recognized on the balance sheet. The FASB has subsequently issued further ASU’s related to the standard providing additional practical expedients and an optional transition method allowing entities to not recast compara</w:t>
      </w:r>
      <w:r>
        <w:rPr>
          <w:sz w:val="20"/>
          <w:szCs w:val="20"/>
        </w:rPr>
        <w:t>tive periods. The amendments in ASU No. 2016-02 are now effective.</w:t>
      </w:r>
    </w:p>
    <w:p w14:paraId="44D3629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C7A8AC7" w14:textId="77777777" w:rsidR="00000000" w:rsidRDefault="001826C1">
      <w:pPr>
        <w:pStyle w:val="a3"/>
        <w:shd w:val="clear" w:color="auto" w:fill="FFFFFF"/>
        <w:spacing w:before="0" w:beforeAutospacing="0" w:after="0" w:afterAutospacing="0"/>
        <w:jc w:val="both"/>
        <w:rPr>
          <w:sz w:val="20"/>
          <w:szCs w:val="20"/>
        </w:rPr>
      </w:pPr>
      <w:r>
        <w:rPr>
          <w:sz w:val="20"/>
          <w:szCs w:val="20"/>
        </w:rPr>
        <w:t>We adopted the standard on January 1, 2019 using the optional transition adjustment method. As part of the adoption of ASC 842, we performed an assessment of the impact that the new lease</w:t>
      </w:r>
      <w:r>
        <w:rPr>
          <w:sz w:val="20"/>
          <w:szCs w:val="20"/>
        </w:rPr>
        <w:t xml:space="preserve"> recognition standard has on the consolidated financial statements. All of our leases, which consist of facility and equipment leases, have been classified as operating leases. The Company does not have any financing leases. We adopted the requirements of </w:t>
      </w:r>
      <w:r>
        <w:rPr>
          <w:sz w:val="20"/>
          <w:szCs w:val="20"/>
        </w:rPr>
        <w:t xml:space="preserve">the new standard without restating the prior periods. There was no impact to the accumulated deficit as of the date of adoption. For leases in place at the transition date, we adopted the package of practical expedients that allows us to not reassess: (1) </w:t>
      </w:r>
      <w:r>
        <w:rPr>
          <w:sz w:val="20"/>
          <w:szCs w:val="20"/>
        </w:rPr>
        <w:t>whether any expired or existing contracts are or contain leases, (2) lease classification for any expired or existing leases and (3) initial direct costs for any expired or existing leases.</w:t>
      </w:r>
    </w:p>
    <w:p w14:paraId="042AF68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9443260" w14:textId="77777777">
        <w:trPr>
          <w:divId w:val="506409147"/>
        </w:trPr>
        <w:tc>
          <w:tcPr>
            <w:tcW w:w="5000" w:type="pct"/>
            <w:hideMark/>
          </w:tcPr>
          <w:p w14:paraId="7F401A77"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40BA1A7E" w14:textId="77777777">
        <w:tc>
          <w:tcPr>
            <w:tcW w:w="5000" w:type="pct"/>
            <w:hideMark/>
          </w:tcPr>
          <w:p w14:paraId="284D837D" w14:textId="77777777" w:rsidR="00000000" w:rsidRDefault="001826C1">
            <w:pPr>
              <w:jc w:val="center"/>
              <w:rPr>
                <w:rFonts w:eastAsia="Times New Roman"/>
                <w:sz w:val="20"/>
                <w:szCs w:val="20"/>
              </w:rPr>
            </w:pPr>
            <w:r>
              <w:rPr>
                <w:rFonts w:eastAsia="Times New Roman"/>
                <w:sz w:val="20"/>
                <w:szCs w:val="20"/>
              </w:rPr>
              <w:t> </w:t>
            </w:r>
          </w:p>
        </w:tc>
      </w:tr>
    </w:tbl>
    <w:p w14:paraId="3E972393" w14:textId="77777777" w:rsidR="00000000" w:rsidRDefault="001826C1">
      <w:pPr>
        <w:pStyle w:val="a3"/>
        <w:spacing w:before="0" w:beforeAutospacing="0" w:after="0" w:afterAutospacing="0"/>
        <w:rPr>
          <w:sz w:val="20"/>
          <w:szCs w:val="20"/>
        </w:rPr>
      </w:pPr>
      <w:r>
        <w:rPr>
          <w:sz w:val="20"/>
          <w:szCs w:val="20"/>
        </w:rPr>
        <w:t> </w:t>
      </w:r>
    </w:p>
    <w:p w14:paraId="473C8309" w14:textId="77777777" w:rsidR="00000000" w:rsidRDefault="001826C1">
      <w:pPr>
        <w:pStyle w:val="a3"/>
        <w:shd w:val="clear" w:color="auto" w:fill="FFFFFF"/>
        <w:spacing w:before="0" w:beforeAutospacing="0" w:after="0" w:afterAutospacing="0"/>
        <w:jc w:val="both"/>
        <w:rPr>
          <w:sz w:val="20"/>
          <w:szCs w:val="20"/>
        </w:rPr>
      </w:pPr>
      <w:r>
        <w:rPr>
          <w:sz w:val="20"/>
          <w:szCs w:val="20"/>
        </w:rPr>
        <w:t>We have also adopted the practical expedients that a</w:t>
      </w:r>
      <w:r>
        <w:rPr>
          <w:sz w:val="20"/>
          <w:szCs w:val="20"/>
        </w:rPr>
        <w:t>llow us to treat the lease and non-lease components of our leases as a single component for our facility leases. We elected the short-term lease recognition exemption for all leases that qualify. As such, for those leases that qualify, we did not recognize</w:t>
      </w:r>
      <w:r>
        <w:rPr>
          <w:sz w:val="20"/>
          <w:szCs w:val="20"/>
        </w:rPr>
        <w:t xml:space="preserve"> ROU asset or lease liabilities as part of the transition adjustment. As of January 1, 2019, the impact on the consolidated assets was approximately $4.2 million and the impact on the consolidated liabilities was approximately $4.4 million. The adoption of</w:t>
      </w:r>
      <w:r>
        <w:rPr>
          <w:sz w:val="20"/>
          <w:szCs w:val="20"/>
        </w:rPr>
        <w:t xml:space="preserve"> ASC 842 did not have a material effect on the Company’s results of operations, stockholders’ equity, or statement of cash flows.</w:t>
      </w:r>
    </w:p>
    <w:p w14:paraId="777BD8CB"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538CC7E"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On February 14, 2018, the FASB issued ASU 2018-02, </w:t>
      </w:r>
      <w:r>
        <w:rPr>
          <w:i/>
          <w:iCs/>
          <w:sz w:val="20"/>
          <w:szCs w:val="20"/>
        </w:rPr>
        <w:t>Income Statement-Reporting Comprehensive Income (Topic 220): Reclassifica</w:t>
      </w:r>
      <w:r>
        <w:rPr>
          <w:i/>
          <w:iCs/>
          <w:sz w:val="20"/>
          <w:szCs w:val="20"/>
        </w:rPr>
        <w:t xml:space="preserve">tion of Certain Tax Effects from Accumulated Other Comprehensive Income. </w:t>
      </w:r>
      <w:r>
        <w:rPr>
          <w:sz w:val="20"/>
          <w:szCs w:val="20"/>
        </w:rPr>
        <w:t>These amendments provide financial statement preparers with an option to reclassify standard tax effects within accumulated other comprehensive income to retained earnings in each per</w:t>
      </w:r>
      <w:r>
        <w:rPr>
          <w:sz w:val="20"/>
          <w:szCs w:val="20"/>
        </w:rPr>
        <w:t>iod in which the effect of the change in the U.S. federal corporate income tax rate in the Tax Cuts and Jobs Act is recorded. This guidance is effective for fiscal years beginning after December 15, 2018, and interim periods therein. There was no impact on</w:t>
      </w:r>
      <w:r>
        <w:rPr>
          <w:sz w:val="20"/>
          <w:szCs w:val="20"/>
        </w:rPr>
        <w:t xml:space="preserve"> the consolidated financial statements as a result of this standard.</w:t>
      </w:r>
    </w:p>
    <w:p w14:paraId="4F09FB9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D0535A1"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In June 2018, the FASB issued ASU 2018-07, </w:t>
      </w:r>
      <w:r>
        <w:rPr>
          <w:i/>
          <w:iCs/>
          <w:sz w:val="20"/>
          <w:szCs w:val="20"/>
        </w:rPr>
        <w:t>Improvements to Nonemployee Share-Based Payment Accounting</w:t>
      </w:r>
      <w:r>
        <w:rPr>
          <w:sz w:val="20"/>
          <w:szCs w:val="20"/>
        </w:rPr>
        <w:t>. This ASU simplifies the accounting for nonemployee share-based payments by alignin</w:t>
      </w:r>
      <w:r>
        <w:rPr>
          <w:sz w:val="20"/>
          <w:szCs w:val="20"/>
        </w:rPr>
        <w:t>g it with the accounting for share-based payments to employees, with exceptions. Under this guidance, the measurement of equity-classified nonemployee awards will be fixed at the grant date, which may lower their cost and reduce volatility in the income st</w:t>
      </w:r>
      <w:r>
        <w:rPr>
          <w:sz w:val="20"/>
          <w:szCs w:val="20"/>
        </w:rPr>
        <w:t>atement. Awards to nonemployees are measured by estimating the fair value of the equity instruments to be issued, rather than the fair value of the goods or services received or the fair value of the equity instruments issued, whichever can be measured mor</w:t>
      </w:r>
      <w:r>
        <w:rPr>
          <w:sz w:val="20"/>
          <w:szCs w:val="20"/>
        </w:rPr>
        <w:t>e reliably. Entities need to consider the probability that a performance condition will be satisfied when an award contains such condition. The guidance is effective for public business entities for fiscal years beginning after December 15, 2018, including</w:t>
      </w:r>
      <w:r>
        <w:rPr>
          <w:sz w:val="20"/>
          <w:szCs w:val="20"/>
        </w:rPr>
        <w:t xml:space="preserve"> interim periods within that fiscal year. There was no impact on the consolidated financial statements as a result of this standard.</w:t>
      </w:r>
    </w:p>
    <w:p w14:paraId="5BE74BA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34E7AFE"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In December 2019, the FASB issued ASU 2019-12, </w:t>
      </w:r>
      <w:r>
        <w:rPr>
          <w:i/>
          <w:iCs/>
          <w:sz w:val="20"/>
          <w:szCs w:val="20"/>
        </w:rPr>
        <w:t>Simplifying the Accounting for Income Taxes</w:t>
      </w:r>
      <w:r>
        <w:rPr>
          <w:sz w:val="20"/>
          <w:szCs w:val="20"/>
        </w:rPr>
        <w:t>. This ASU simplifies accounting for income taxes to reduce complexity in the accounting standards. The amendments consist of the removal of certain exceptions to the general principles of ASC 740 and some additio</w:t>
      </w:r>
      <w:r>
        <w:rPr>
          <w:sz w:val="20"/>
          <w:szCs w:val="20"/>
        </w:rPr>
        <w:t>nal simplifications. The amendments are not required to be implemented until 2021 for public entities. The Company is in the process of investigating if this update will have a significant impact on the consolidated financial statements.</w:t>
      </w:r>
    </w:p>
    <w:p w14:paraId="04D151FF"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102C8B74" w14:textId="77777777">
        <w:tc>
          <w:tcPr>
            <w:tcW w:w="360" w:type="dxa"/>
            <w:hideMark/>
          </w:tcPr>
          <w:p w14:paraId="6D435071" w14:textId="77777777" w:rsidR="00000000" w:rsidRDefault="001826C1">
            <w:pPr>
              <w:rPr>
                <w:rFonts w:eastAsia="Times New Roman"/>
                <w:b/>
                <w:bCs/>
                <w:caps/>
                <w:sz w:val="20"/>
                <w:szCs w:val="20"/>
              </w:rPr>
            </w:pPr>
            <w:r>
              <w:rPr>
                <w:rFonts w:eastAsia="Times New Roman"/>
                <w:b/>
                <w:bCs/>
                <w:caps/>
                <w:sz w:val="20"/>
                <w:szCs w:val="20"/>
              </w:rPr>
              <w:t>3.</w:t>
            </w:r>
          </w:p>
        </w:tc>
        <w:tc>
          <w:tcPr>
            <w:tcW w:w="0" w:type="auto"/>
            <w:hideMark/>
          </w:tcPr>
          <w:p w14:paraId="4A71F0B7" w14:textId="77777777" w:rsidR="00000000" w:rsidRDefault="001826C1">
            <w:pPr>
              <w:rPr>
                <w:rFonts w:eastAsia="Times New Roman"/>
                <w:b/>
                <w:bCs/>
                <w:caps/>
                <w:sz w:val="20"/>
                <w:szCs w:val="20"/>
              </w:rPr>
            </w:pPr>
            <w:r>
              <w:rPr>
                <w:rFonts w:eastAsia="Times New Roman"/>
                <w:b/>
                <w:bCs/>
                <w:caps/>
                <w:sz w:val="20"/>
                <w:szCs w:val="20"/>
              </w:rPr>
              <w:t>ACQUISITIONS</w:t>
            </w:r>
          </w:p>
        </w:tc>
      </w:tr>
    </w:tbl>
    <w:p w14:paraId="17EE94FE" w14:textId="77777777" w:rsidR="00000000" w:rsidRDefault="001826C1">
      <w:pPr>
        <w:pStyle w:val="a3"/>
        <w:spacing w:before="0" w:beforeAutospacing="0" w:after="0" w:afterAutospacing="0"/>
        <w:jc w:val="both"/>
        <w:rPr>
          <w:sz w:val="20"/>
          <w:szCs w:val="20"/>
        </w:rPr>
      </w:pPr>
      <w:r>
        <w:rPr>
          <w:b/>
          <w:bCs/>
          <w:sz w:val="20"/>
          <w:szCs w:val="20"/>
        </w:rPr>
        <w:t> </w:t>
      </w:r>
    </w:p>
    <w:p w14:paraId="36D6A26D" w14:textId="77777777" w:rsidR="00000000" w:rsidRDefault="001826C1">
      <w:pPr>
        <w:pStyle w:val="a3"/>
        <w:spacing w:before="0" w:beforeAutospacing="0" w:after="0" w:afterAutospacing="0"/>
        <w:jc w:val="both"/>
        <w:rPr>
          <w:sz w:val="20"/>
          <w:szCs w:val="20"/>
        </w:rPr>
      </w:pPr>
      <w:r>
        <w:rPr>
          <w:b/>
          <w:bCs/>
          <w:sz w:val="20"/>
          <w:szCs w:val="20"/>
          <w:u w:val="single"/>
        </w:rPr>
        <w:t>2019 Acquisition</w:t>
      </w:r>
    </w:p>
    <w:p w14:paraId="6321F461" w14:textId="77777777" w:rsidR="00000000" w:rsidRDefault="001826C1">
      <w:pPr>
        <w:pStyle w:val="a3"/>
        <w:spacing w:before="0" w:beforeAutospacing="0" w:after="0" w:afterAutospacing="0"/>
        <w:jc w:val="both"/>
        <w:rPr>
          <w:sz w:val="20"/>
          <w:szCs w:val="20"/>
        </w:rPr>
      </w:pPr>
      <w:r>
        <w:rPr>
          <w:b/>
          <w:bCs/>
          <w:sz w:val="20"/>
          <w:szCs w:val="20"/>
        </w:rPr>
        <w:t> </w:t>
      </w:r>
    </w:p>
    <w:p w14:paraId="28A923B4" w14:textId="77777777" w:rsidR="00000000" w:rsidRDefault="001826C1">
      <w:pPr>
        <w:pStyle w:val="a3"/>
        <w:spacing w:before="0" w:beforeAutospacing="0" w:after="0" w:afterAutospacing="0"/>
        <w:jc w:val="both"/>
        <w:rPr>
          <w:sz w:val="20"/>
          <w:szCs w:val="20"/>
        </w:rPr>
      </w:pPr>
      <w:r>
        <w:rPr>
          <w:sz w:val="20"/>
          <w:szCs w:val="20"/>
        </w:rPr>
        <w:t>On April 3, 2019, the Company executed an asset purchase agreement (“APA”) to acquire substantially all of the assets of ETM. The purchase price was $1.6 million and the assumption of certain liabilities, excluding acquisition-related</w:t>
      </w:r>
      <w:r>
        <w:rPr>
          <w:sz w:val="20"/>
          <w:szCs w:val="20"/>
        </w:rPr>
        <w:t xml:space="preserve"> costs of approximately $125,000. Per the APA, the acquisition had an effective date of April 1, 2019. The acquisition has been accounted for as a business combination.</w:t>
      </w:r>
    </w:p>
    <w:p w14:paraId="7BCB6A88" w14:textId="77777777" w:rsidR="00000000" w:rsidRDefault="001826C1">
      <w:pPr>
        <w:pStyle w:val="a3"/>
        <w:spacing w:before="0" w:beforeAutospacing="0" w:after="0" w:afterAutospacing="0"/>
        <w:jc w:val="both"/>
        <w:rPr>
          <w:sz w:val="20"/>
          <w:szCs w:val="20"/>
        </w:rPr>
      </w:pPr>
      <w:r>
        <w:rPr>
          <w:sz w:val="20"/>
          <w:szCs w:val="20"/>
        </w:rPr>
        <w:t> </w:t>
      </w:r>
    </w:p>
    <w:p w14:paraId="45C2E1CF" w14:textId="77777777" w:rsidR="00000000" w:rsidRDefault="001826C1">
      <w:pPr>
        <w:pStyle w:val="a3"/>
        <w:spacing w:before="0" w:beforeAutospacing="0" w:after="0" w:afterAutospacing="0"/>
        <w:jc w:val="both"/>
        <w:rPr>
          <w:sz w:val="20"/>
          <w:szCs w:val="20"/>
        </w:rPr>
      </w:pPr>
      <w:r>
        <w:rPr>
          <w:sz w:val="20"/>
          <w:szCs w:val="20"/>
        </w:rPr>
        <w:t>The ETM acquisition added additional clients to the Company’s customer base and, simi</w:t>
      </w:r>
      <w:r>
        <w:rPr>
          <w:sz w:val="20"/>
          <w:szCs w:val="20"/>
        </w:rPr>
        <w:t>lar to previous acquisitions, broadened the Company’s presence in the healthcare information technology industry through geographic expansion of its customer base and by increasing available customer relationship resources and specialized trained staff.</w:t>
      </w:r>
    </w:p>
    <w:p w14:paraId="605DAC85"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D8072AB" w14:textId="77777777">
        <w:trPr>
          <w:divId w:val="248319500"/>
        </w:trPr>
        <w:tc>
          <w:tcPr>
            <w:tcW w:w="5000" w:type="pct"/>
            <w:hideMark/>
          </w:tcPr>
          <w:p w14:paraId="04B060DB"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1F01CE0B" w14:textId="77777777">
        <w:tc>
          <w:tcPr>
            <w:tcW w:w="5000" w:type="pct"/>
            <w:hideMark/>
          </w:tcPr>
          <w:p w14:paraId="43BC0467" w14:textId="77777777" w:rsidR="00000000" w:rsidRDefault="001826C1">
            <w:pPr>
              <w:jc w:val="center"/>
              <w:rPr>
                <w:rFonts w:eastAsia="Times New Roman"/>
                <w:sz w:val="20"/>
                <w:szCs w:val="20"/>
              </w:rPr>
            </w:pPr>
            <w:r>
              <w:rPr>
                <w:rFonts w:eastAsia="Times New Roman"/>
                <w:sz w:val="20"/>
                <w:szCs w:val="20"/>
              </w:rPr>
              <w:t> </w:t>
            </w:r>
          </w:p>
        </w:tc>
      </w:tr>
    </w:tbl>
    <w:p w14:paraId="234A41AE" w14:textId="77777777" w:rsidR="00000000" w:rsidRDefault="001826C1">
      <w:pPr>
        <w:pStyle w:val="a3"/>
        <w:spacing w:before="0" w:beforeAutospacing="0" w:after="0" w:afterAutospacing="0"/>
        <w:rPr>
          <w:sz w:val="20"/>
          <w:szCs w:val="20"/>
        </w:rPr>
      </w:pPr>
      <w:r>
        <w:rPr>
          <w:b/>
          <w:bCs/>
          <w:sz w:val="20"/>
          <w:szCs w:val="20"/>
        </w:rPr>
        <w:t> </w:t>
      </w:r>
    </w:p>
    <w:p w14:paraId="72C68733" w14:textId="77777777" w:rsidR="00000000" w:rsidRDefault="001826C1">
      <w:pPr>
        <w:pStyle w:val="a3"/>
        <w:spacing w:before="0" w:beforeAutospacing="0" w:after="0" w:afterAutospacing="0"/>
        <w:rPr>
          <w:sz w:val="20"/>
          <w:szCs w:val="20"/>
        </w:rPr>
      </w:pPr>
      <w:r>
        <w:rPr>
          <w:sz w:val="20"/>
          <w:szCs w:val="20"/>
        </w:rPr>
        <w:t>The purchase price allocation for ETM was performed by the Company and is summarized as follows:</w:t>
      </w:r>
    </w:p>
    <w:p w14:paraId="453DAB4F" w14:textId="77777777" w:rsidR="00000000" w:rsidRDefault="001826C1">
      <w:pPr>
        <w:pStyle w:val="a3"/>
        <w:spacing w:before="0" w:beforeAutospacing="0" w:after="0" w:afterAutospacing="0"/>
        <w:rPr>
          <w:sz w:val="20"/>
          <w:szCs w:val="20"/>
        </w:rPr>
      </w:pPr>
      <w:r>
        <w:rPr>
          <w:b/>
          <w:bCs/>
          <w:sz w:val="20"/>
          <w:szCs w:val="20"/>
        </w:rPr>
        <w:t> </w:t>
      </w:r>
    </w:p>
    <w:tbl>
      <w:tblPr>
        <w:tblW w:w="2500" w:type="pct"/>
        <w:tblCellMar>
          <w:left w:w="0" w:type="dxa"/>
          <w:right w:w="0" w:type="dxa"/>
        </w:tblCellMar>
        <w:tblLook w:val="04A0" w:firstRow="1" w:lastRow="0" w:firstColumn="1" w:lastColumn="0" w:noHBand="0" w:noVBand="1"/>
      </w:tblPr>
      <w:tblGrid>
        <w:gridCol w:w="3069"/>
        <w:gridCol w:w="50"/>
        <w:gridCol w:w="100"/>
        <w:gridCol w:w="867"/>
        <w:gridCol w:w="67"/>
      </w:tblGrid>
      <w:tr w:rsidR="00000000" w14:paraId="7FFFD864" w14:textId="77777777">
        <w:tc>
          <w:tcPr>
            <w:tcW w:w="3900" w:type="pct"/>
            <w:shd w:val="clear" w:color="auto" w:fill="CCEEFF"/>
            <w:vAlign w:val="bottom"/>
            <w:hideMark/>
          </w:tcPr>
          <w:p w14:paraId="69E1D23C" w14:textId="77777777" w:rsidR="00000000" w:rsidRDefault="001826C1">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14:paraId="174B2E2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36464A"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4F336098" w14:textId="77777777" w:rsidR="00000000" w:rsidRDefault="001826C1">
            <w:pPr>
              <w:jc w:val="right"/>
              <w:rPr>
                <w:rFonts w:eastAsia="Times New Roman"/>
                <w:sz w:val="20"/>
                <w:szCs w:val="20"/>
              </w:rPr>
            </w:pPr>
            <w:r>
              <w:rPr>
                <w:rFonts w:eastAsia="Times New Roman"/>
                <w:sz w:val="20"/>
                <w:szCs w:val="20"/>
              </w:rPr>
              <w:t>856,000</w:t>
            </w:r>
          </w:p>
        </w:tc>
        <w:tc>
          <w:tcPr>
            <w:tcW w:w="50" w:type="pct"/>
            <w:shd w:val="clear" w:color="auto" w:fill="CCEEFF"/>
            <w:vAlign w:val="bottom"/>
            <w:hideMark/>
          </w:tcPr>
          <w:p w14:paraId="010D8DA6" w14:textId="77777777" w:rsidR="00000000" w:rsidRDefault="001826C1">
            <w:pPr>
              <w:rPr>
                <w:rFonts w:eastAsia="Times New Roman"/>
                <w:sz w:val="20"/>
                <w:szCs w:val="20"/>
              </w:rPr>
            </w:pPr>
            <w:r>
              <w:rPr>
                <w:rFonts w:eastAsia="Times New Roman"/>
                <w:sz w:val="20"/>
                <w:szCs w:val="20"/>
              </w:rPr>
              <w:t> </w:t>
            </w:r>
          </w:p>
        </w:tc>
      </w:tr>
      <w:tr w:rsidR="00000000" w14:paraId="4F0B45E9" w14:textId="77777777">
        <w:tc>
          <w:tcPr>
            <w:tcW w:w="0" w:type="auto"/>
            <w:shd w:val="clear" w:color="auto" w:fill="FFFFFF"/>
            <w:vAlign w:val="bottom"/>
            <w:hideMark/>
          </w:tcPr>
          <w:p w14:paraId="151D7249" w14:textId="77777777" w:rsidR="00000000" w:rsidRDefault="001826C1">
            <w:pPr>
              <w:rPr>
                <w:rFonts w:eastAsia="Times New Roman"/>
                <w:sz w:val="20"/>
                <w:szCs w:val="20"/>
              </w:rPr>
            </w:pPr>
            <w:r>
              <w:rPr>
                <w:rFonts w:eastAsia="Times New Roman"/>
                <w:sz w:val="20"/>
                <w:szCs w:val="20"/>
              </w:rPr>
              <w:t>Accounts receivable</w:t>
            </w:r>
          </w:p>
        </w:tc>
        <w:tc>
          <w:tcPr>
            <w:tcW w:w="0" w:type="auto"/>
            <w:shd w:val="clear" w:color="auto" w:fill="FFFFFF"/>
            <w:vAlign w:val="bottom"/>
            <w:hideMark/>
          </w:tcPr>
          <w:p w14:paraId="25B626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F296E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93793B" w14:textId="77777777" w:rsidR="00000000" w:rsidRDefault="001826C1">
            <w:pPr>
              <w:jc w:val="right"/>
              <w:rPr>
                <w:rFonts w:eastAsia="Times New Roman"/>
                <w:sz w:val="20"/>
                <w:szCs w:val="20"/>
              </w:rPr>
            </w:pPr>
            <w:r>
              <w:rPr>
                <w:rFonts w:eastAsia="Times New Roman"/>
                <w:sz w:val="20"/>
                <w:szCs w:val="20"/>
              </w:rPr>
              <w:t>547,377</w:t>
            </w:r>
          </w:p>
        </w:tc>
        <w:tc>
          <w:tcPr>
            <w:tcW w:w="0" w:type="auto"/>
            <w:shd w:val="clear" w:color="auto" w:fill="FFFFFF"/>
            <w:vAlign w:val="bottom"/>
            <w:hideMark/>
          </w:tcPr>
          <w:p w14:paraId="049E7C18" w14:textId="77777777" w:rsidR="00000000" w:rsidRDefault="001826C1">
            <w:pPr>
              <w:rPr>
                <w:rFonts w:eastAsia="Times New Roman"/>
                <w:sz w:val="20"/>
                <w:szCs w:val="20"/>
              </w:rPr>
            </w:pPr>
            <w:r>
              <w:rPr>
                <w:rFonts w:eastAsia="Times New Roman"/>
                <w:sz w:val="20"/>
                <w:szCs w:val="20"/>
              </w:rPr>
              <w:t> </w:t>
            </w:r>
          </w:p>
        </w:tc>
      </w:tr>
      <w:tr w:rsidR="00000000" w14:paraId="675CD988" w14:textId="77777777">
        <w:tc>
          <w:tcPr>
            <w:tcW w:w="0" w:type="auto"/>
            <w:shd w:val="clear" w:color="auto" w:fill="CCEEFF"/>
            <w:vAlign w:val="bottom"/>
            <w:hideMark/>
          </w:tcPr>
          <w:p w14:paraId="7E85E763" w14:textId="77777777" w:rsidR="00000000" w:rsidRDefault="001826C1">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720AC8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C6932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09076E" w14:textId="77777777" w:rsidR="00000000" w:rsidRDefault="001826C1">
            <w:pPr>
              <w:jc w:val="right"/>
              <w:rPr>
                <w:rFonts w:eastAsia="Times New Roman"/>
                <w:sz w:val="20"/>
                <w:szCs w:val="20"/>
              </w:rPr>
            </w:pPr>
            <w:r>
              <w:rPr>
                <w:rFonts w:eastAsia="Times New Roman"/>
                <w:sz w:val="20"/>
                <w:szCs w:val="20"/>
              </w:rPr>
              <w:t>139,169</w:t>
            </w:r>
          </w:p>
        </w:tc>
        <w:tc>
          <w:tcPr>
            <w:tcW w:w="0" w:type="auto"/>
            <w:shd w:val="clear" w:color="auto" w:fill="CCEEFF"/>
            <w:vAlign w:val="bottom"/>
            <w:hideMark/>
          </w:tcPr>
          <w:p w14:paraId="706ED7E2" w14:textId="77777777" w:rsidR="00000000" w:rsidRDefault="001826C1">
            <w:pPr>
              <w:rPr>
                <w:rFonts w:eastAsia="Times New Roman"/>
                <w:sz w:val="20"/>
                <w:szCs w:val="20"/>
              </w:rPr>
            </w:pPr>
            <w:r>
              <w:rPr>
                <w:rFonts w:eastAsia="Times New Roman"/>
                <w:sz w:val="20"/>
                <w:szCs w:val="20"/>
              </w:rPr>
              <w:t> </w:t>
            </w:r>
          </w:p>
        </w:tc>
      </w:tr>
      <w:tr w:rsidR="00000000" w14:paraId="709D62AF" w14:textId="77777777">
        <w:tc>
          <w:tcPr>
            <w:tcW w:w="0" w:type="auto"/>
            <w:shd w:val="clear" w:color="auto" w:fill="FFFFFF"/>
            <w:vAlign w:val="bottom"/>
            <w:hideMark/>
          </w:tcPr>
          <w:p w14:paraId="70122DEA" w14:textId="77777777" w:rsidR="00000000" w:rsidRDefault="001826C1">
            <w:pPr>
              <w:rPr>
                <w:rFonts w:eastAsia="Times New Roman"/>
                <w:sz w:val="20"/>
                <w:szCs w:val="20"/>
              </w:rPr>
            </w:pPr>
            <w:r>
              <w:rPr>
                <w:rFonts w:eastAsia="Times New Roman"/>
                <w:sz w:val="20"/>
                <w:szCs w:val="20"/>
              </w:rPr>
              <w:t>Operating lease right-of-use assets</w:t>
            </w:r>
          </w:p>
        </w:tc>
        <w:tc>
          <w:tcPr>
            <w:tcW w:w="0" w:type="auto"/>
            <w:shd w:val="clear" w:color="auto" w:fill="FFFFFF"/>
            <w:vAlign w:val="bottom"/>
            <w:hideMark/>
          </w:tcPr>
          <w:p w14:paraId="04785F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EE9E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3794DF" w14:textId="77777777" w:rsidR="00000000" w:rsidRDefault="001826C1">
            <w:pPr>
              <w:jc w:val="right"/>
              <w:rPr>
                <w:rFonts w:eastAsia="Times New Roman"/>
                <w:sz w:val="20"/>
                <w:szCs w:val="20"/>
              </w:rPr>
            </w:pPr>
            <w:r>
              <w:rPr>
                <w:rFonts w:eastAsia="Times New Roman"/>
                <w:sz w:val="20"/>
                <w:szCs w:val="20"/>
              </w:rPr>
              <w:t>1,224,480</w:t>
            </w:r>
          </w:p>
        </w:tc>
        <w:tc>
          <w:tcPr>
            <w:tcW w:w="0" w:type="auto"/>
            <w:shd w:val="clear" w:color="auto" w:fill="FFFFFF"/>
            <w:vAlign w:val="bottom"/>
            <w:hideMark/>
          </w:tcPr>
          <w:p w14:paraId="1056E50A" w14:textId="77777777" w:rsidR="00000000" w:rsidRDefault="001826C1">
            <w:pPr>
              <w:rPr>
                <w:rFonts w:eastAsia="Times New Roman"/>
                <w:sz w:val="20"/>
                <w:szCs w:val="20"/>
              </w:rPr>
            </w:pPr>
            <w:r>
              <w:rPr>
                <w:rFonts w:eastAsia="Times New Roman"/>
                <w:sz w:val="20"/>
                <w:szCs w:val="20"/>
              </w:rPr>
              <w:t> </w:t>
            </w:r>
          </w:p>
        </w:tc>
      </w:tr>
      <w:tr w:rsidR="00000000" w14:paraId="469D9BB6" w14:textId="77777777">
        <w:tc>
          <w:tcPr>
            <w:tcW w:w="0" w:type="auto"/>
            <w:shd w:val="clear" w:color="auto" w:fill="CCEEFF"/>
            <w:vAlign w:val="bottom"/>
            <w:hideMark/>
          </w:tcPr>
          <w:p w14:paraId="60DFBA4D" w14:textId="77777777" w:rsidR="00000000" w:rsidRDefault="001826C1">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14:paraId="01FAF70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E2FC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F0BB71" w14:textId="77777777" w:rsidR="00000000" w:rsidRDefault="001826C1">
            <w:pPr>
              <w:jc w:val="right"/>
              <w:rPr>
                <w:rFonts w:eastAsia="Times New Roman"/>
                <w:sz w:val="20"/>
                <w:szCs w:val="20"/>
              </w:rPr>
            </w:pPr>
            <w:r>
              <w:rPr>
                <w:rFonts w:eastAsia="Times New Roman"/>
                <w:sz w:val="20"/>
                <w:szCs w:val="20"/>
              </w:rPr>
              <w:t>91,277</w:t>
            </w:r>
          </w:p>
        </w:tc>
        <w:tc>
          <w:tcPr>
            <w:tcW w:w="0" w:type="auto"/>
            <w:shd w:val="clear" w:color="auto" w:fill="CCEEFF"/>
            <w:vAlign w:val="bottom"/>
            <w:hideMark/>
          </w:tcPr>
          <w:p w14:paraId="7F53A2E8" w14:textId="77777777" w:rsidR="00000000" w:rsidRDefault="001826C1">
            <w:pPr>
              <w:rPr>
                <w:rFonts w:eastAsia="Times New Roman"/>
                <w:sz w:val="20"/>
                <w:szCs w:val="20"/>
              </w:rPr>
            </w:pPr>
            <w:r>
              <w:rPr>
                <w:rFonts w:eastAsia="Times New Roman"/>
                <w:sz w:val="20"/>
                <w:szCs w:val="20"/>
              </w:rPr>
              <w:t> </w:t>
            </w:r>
          </w:p>
        </w:tc>
      </w:tr>
      <w:tr w:rsidR="00000000" w14:paraId="0F350288" w14:textId="77777777">
        <w:tc>
          <w:tcPr>
            <w:tcW w:w="0" w:type="auto"/>
            <w:shd w:val="clear" w:color="auto" w:fill="FFFFFF"/>
            <w:vAlign w:val="bottom"/>
            <w:hideMark/>
          </w:tcPr>
          <w:p w14:paraId="276B71A8" w14:textId="77777777" w:rsidR="00000000" w:rsidRDefault="001826C1">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5FF3FA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CB704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A015AF" w14:textId="77777777" w:rsidR="00000000" w:rsidRDefault="001826C1">
            <w:pPr>
              <w:jc w:val="right"/>
              <w:rPr>
                <w:rFonts w:eastAsia="Times New Roman"/>
                <w:sz w:val="20"/>
                <w:szCs w:val="20"/>
              </w:rPr>
            </w:pPr>
            <w:r>
              <w:rPr>
                <w:rFonts w:eastAsia="Times New Roman"/>
                <w:sz w:val="20"/>
                <w:szCs w:val="20"/>
              </w:rPr>
              <w:t>39,901</w:t>
            </w:r>
          </w:p>
        </w:tc>
        <w:tc>
          <w:tcPr>
            <w:tcW w:w="0" w:type="auto"/>
            <w:shd w:val="clear" w:color="auto" w:fill="FFFFFF"/>
            <w:vAlign w:val="bottom"/>
            <w:hideMark/>
          </w:tcPr>
          <w:p w14:paraId="486CC100" w14:textId="77777777" w:rsidR="00000000" w:rsidRDefault="001826C1">
            <w:pPr>
              <w:rPr>
                <w:rFonts w:eastAsia="Times New Roman"/>
                <w:sz w:val="20"/>
                <w:szCs w:val="20"/>
              </w:rPr>
            </w:pPr>
            <w:r>
              <w:rPr>
                <w:rFonts w:eastAsia="Times New Roman"/>
                <w:sz w:val="20"/>
                <w:szCs w:val="20"/>
              </w:rPr>
              <w:t> </w:t>
            </w:r>
          </w:p>
        </w:tc>
      </w:tr>
      <w:tr w:rsidR="00000000" w14:paraId="3478A56E" w14:textId="77777777">
        <w:tc>
          <w:tcPr>
            <w:tcW w:w="0" w:type="auto"/>
            <w:shd w:val="clear" w:color="auto" w:fill="CCEEFF"/>
            <w:vAlign w:val="bottom"/>
            <w:hideMark/>
          </w:tcPr>
          <w:p w14:paraId="7FAED399" w14:textId="77777777" w:rsidR="00000000" w:rsidRDefault="001826C1">
            <w:pPr>
              <w:rPr>
                <w:rFonts w:eastAsia="Times New Roman"/>
                <w:sz w:val="20"/>
                <w:szCs w:val="20"/>
              </w:rPr>
            </w:pPr>
            <w:r>
              <w:rPr>
                <w:rFonts w:eastAsia="Times New Roman"/>
                <w:sz w:val="20"/>
                <w:szCs w:val="20"/>
              </w:rPr>
              <w:t>Operating lease liabilities</w:t>
            </w:r>
          </w:p>
        </w:tc>
        <w:tc>
          <w:tcPr>
            <w:tcW w:w="0" w:type="auto"/>
            <w:shd w:val="clear" w:color="auto" w:fill="CCEEFF"/>
            <w:vAlign w:val="bottom"/>
            <w:hideMark/>
          </w:tcPr>
          <w:p w14:paraId="70F89DA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C3E5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4872BC" w14:textId="77777777" w:rsidR="00000000" w:rsidRDefault="001826C1">
            <w:pPr>
              <w:jc w:val="right"/>
              <w:rPr>
                <w:rFonts w:eastAsia="Times New Roman"/>
                <w:sz w:val="20"/>
                <w:szCs w:val="20"/>
              </w:rPr>
            </w:pPr>
            <w:r>
              <w:rPr>
                <w:rFonts w:eastAsia="Times New Roman"/>
                <w:sz w:val="20"/>
                <w:szCs w:val="20"/>
              </w:rPr>
              <w:t>(1,224,480</w:t>
            </w:r>
          </w:p>
        </w:tc>
        <w:tc>
          <w:tcPr>
            <w:tcW w:w="0" w:type="auto"/>
            <w:shd w:val="clear" w:color="auto" w:fill="CCEEFF"/>
            <w:vAlign w:val="bottom"/>
            <w:hideMark/>
          </w:tcPr>
          <w:p w14:paraId="40666D37" w14:textId="77777777" w:rsidR="00000000" w:rsidRDefault="001826C1">
            <w:pPr>
              <w:rPr>
                <w:rFonts w:eastAsia="Times New Roman"/>
                <w:sz w:val="20"/>
                <w:szCs w:val="20"/>
              </w:rPr>
            </w:pPr>
            <w:r>
              <w:rPr>
                <w:rFonts w:eastAsia="Times New Roman"/>
                <w:sz w:val="20"/>
                <w:szCs w:val="20"/>
              </w:rPr>
              <w:t>)</w:t>
            </w:r>
          </w:p>
        </w:tc>
      </w:tr>
      <w:tr w:rsidR="00000000" w14:paraId="7C0ED546" w14:textId="77777777">
        <w:tc>
          <w:tcPr>
            <w:tcW w:w="0" w:type="auto"/>
            <w:shd w:val="clear" w:color="auto" w:fill="FFFFFF"/>
            <w:tcMar>
              <w:top w:w="0" w:type="dxa"/>
              <w:left w:w="0" w:type="dxa"/>
              <w:bottom w:w="30" w:type="dxa"/>
              <w:right w:w="0" w:type="dxa"/>
            </w:tcMar>
            <w:vAlign w:val="bottom"/>
            <w:hideMark/>
          </w:tcPr>
          <w:p w14:paraId="136F4D9F" w14:textId="77777777" w:rsidR="00000000" w:rsidRDefault="001826C1">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14:paraId="30018C6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7320E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C1480E" w14:textId="77777777" w:rsidR="00000000" w:rsidRDefault="001826C1">
            <w:pPr>
              <w:jc w:val="right"/>
              <w:rPr>
                <w:rFonts w:eastAsia="Times New Roman"/>
                <w:sz w:val="20"/>
                <w:szCs w:val="20"/>
              </w:rPr>
            </w:pPr>
            <w:r>
              <w:rPr>
                <w:rFonts w:eastAsia="Times New Roman"/>
                <w:sz w:val="20"/>
                <w:szCs w:val="20"/>
              </w:rPr>
              <w:t>(73,724</w:t>
            </w:r>
          </w:p>
        </w:tc>
        <w:tc>
          <w:tcPr>
            <w:tcW w:w="0" w:type="auto"/>
            <w:shd w:val="clear" w:color="auto" w:fill="FFFFFF"/>
            <w:tcMar>
              <w:top w:w="0" w:type="dxa"/>
              <w:left w:w="0" w:type="dxa"/>
              <w:bottom w:w="30" w:type="dxa"/>
              <w:right w:w="0" w:type="dxa"/>
            </w:tcMar>
            <w:vAlign w:val="bottom"/>
            <w:hideMark/>
          </w:tcPr>
          <w:p w14:paraId="16F625A4" w14:textId="77777777" w:rsidR="00000000" w:rsidRDefault="001826C1">
            <w:pPr>
              <w:rPr>
                <w:rFonts w:eastAsia="Times New Roman"/>
                <w:sz w:val="20"/>
                <w:szCs w:val="20"/>
              </w:rPr>
            </w:pPr>
            <w:r>
              <w:rPr>
                <w:rFonts w:eastAsia="Times New Roman"/>
                <w:sz w:val="20"/>
                <w:szCs w:val="20"/>
              </w:rPr>
              <w:t>)</w:t>
            </w:r>
          </w:p>
        </w:tc>
      </w:tr>
      <w:tr w:rsidR="00000000" w14:paraId="07B11DDB" w14:textId="77777777">
        <w:tc>
          <w:tcPr>
            <w:tcW w:w="0" w:type="auto"/>
            <w:shd w:val="clear" w:color="auto" w:fill="CCEEFF"/>
            <w:tcMar>
              <w:top w:w="0" w:type="dxa"/>
              <w:left w:w="0" w:type="dxa"/>
              <w:bottom w:w="50" w:type="dxa"/>
              <w:right w:w="0" w:type="dxa"/>
            </w:tcMar>
            <w:vAlign w:val="bottom"/>
            <w:hideMark/>
          </w:tcPr>
          <w:p w14:paraId="6018D052"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32FCB73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0DF2F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62E4E09" w14:textId="77777777" w:rsidR="00000000" w:rsidRDefault="001826C1">
            <w:pPr>
              <w:jc w:val="right"/>
              <w:rPr>
                <w:rFonts w:eastAsia="Times New Roman"/>
                <w:sz w:val="20"/>
                <w:szCs w:val="20"/>
              </w:rPr>
            </w:pPr>
            <w:r>
              <w:rPr>
                <w:rFonts w:eastAsia="Times New Roman"/>
                <w:sz w:val="20"/>
                <w:szCs w:val="20"/>
              </w:rPr>
              <w:t>1,600,000</w:t>
            </w:r>
          </w:p>
        </w:tc>
        <w:tc>
          <w:tcPr>
            <w:tcW w:w="0" w:type="auto"/>
            <w:shd w:val="clear" w:color="auto" w:fill="CCEEFF"/>
            <w:tcMar>
              <w:top w:w="0" w:type="dxa"/>
              <w:left w:w="0" w:type="dxa"/>
              <w:bottom w:w="50" w:type="dxa"/>
              <w:right w:w="0" w:type="dxa"/>
            </w:tcMar>
            <w:vAlign w:val="bottom"/>
            <w:hideMark/>
          </w:tcPr>
          <w:p w14:paraId="79748F79" w14:textId="77777777" w:rsidR="00000000" w:rsidRDefault="001826C1">
            <w:pPr>
              <w:rPr>
                <w:rFonts w:eastAsia="Times New Roman"/>
                <w:sz w:val="20"/>
                <w:szCs w:val="20"/>
              </w:rPr>
            </w:pPr>
            <w:r>
              <w:rPr>
                <w:rFonts w:eastAsia="Times New Roman"/>
                <w:sz w:val="20"/>
                <w:szCs w:val="20"/>
              </w:rPr>
              <w:t> </w:t>
            </w:r>
          </w:p>
        </w:tc>
      </w:tr>
    </w:tbl>
    <w:p w14:paraId="30D308A4" w14:textId="77777777" w:rsidR="00000000" w:rsidRDefault="001826C1">
      <w:pPr>
        <w:pStyle w:val="a3"/>
        <w:spacing w:before="0" w:beforeAutospacing="0" w:after="0" w:afterAutospacing="0"/>
        <w:jc w:val="both"/>
        <w:rPr>
          <w:sz w:val="20"/>
          <w:szCs w:val="20"/>
        </w:rPr>
      </w:pPr>
      <w:r>
        <w:rPr>
          <w:b/>
          <w:bCs/>
          <w:sz w:val="20"/>
          <w:szCs w:val="20"/>
        </w:rPr>
        <w:t> </w:t>
      </w:r>
    </w:p>
    <w:p w14:paraId="2AFF4A41" w14:textId="77777777" w:rsidR="00000000" w:rsidRDefault="001826C1">
      <w:pPr>
        <w:pStyle w:val="a3"/>
        <w:spacing w:before="0" w:beforeAutospacing="0" w:after="0" w:afterAutospacing="0"/>
        <w:jc w:val="both"/>
        <w:rPr>
          <w:sz w:val="20"/>
          <w:szCs w:val="20"/>
        </w:rPr>
      </w:pPr>
      <w:r>
        <w:rPr>
          <w:sz w:val="20"/>
          <w:szCs w:val="20"/>
        </w:rPr>
        <w:t xml:space="preserve">The </w:t>
      </w:r>
      <w:r>
        <w:rPr>
          <w:sz w:val="20"/>
          <w:szCs w:val="20"/>
        </w:rPr>
        <w:t xml:space="preserve">acquired accounts receivable are recorded at fair value which represents amounts that have subsequently been paid or are expected to be paid by clients. The fair value of customer relationships was based on the estimated discounted cash flows generated by </w:t>
      </w:r>
      <w:r>
        <w:rPr>
          <w:sz w:val="20"/>
          <w:szCs w:val="20"/>
        </w:rPr>
        <w:t>these intangibles. The goodwill from this acquisition is deductible ratably for income tax purposes over fifteen years and represents the Company’s ability to have an expanded local presence in additional markets and operational synergies that we expect to</w:t>
      </w:r>
      <w:r>
        <w:rPr>
          <w:sz w:val="20"/>
          <w:szCs w:val="20"/>
        </w:rPr>
        <w:t xml:space="preserve"> achieve that would not be available to other market participants.</w:t>
      </w:r>
    </w:p>
    <w:p w14:paraId="1ED06ED1" w14:textId="77777777" w:rsidR="00000000" w:rsidRDefault="001826C1">
      <w:pPr>
        <w:pStyle w:val="a3"/>
        <w:spacing w:before="0" w:beforeAutospacing="0" w:after="0" w:afterAutospacing="0"/>
        <w:jc w:val="both"/>
        <w:rPr>
          <w:sz w:val="20"/>
          <w:szCs w:val="20"/>
        </w:rPr>
      </w:pPr>
      <w:r>
        <w:rPr>
          <w:sz w:val="20"/>
          <w:szCs w:val="20"/>
        </w:rPr>
        <w:t> </w:t>
      </w:r>
    </w:p>
    <w:p w14:paraId="3D37FB2D" w14:textId="77777777" w:rsidR="00000000" w:rsidRDefault="001826C1">
      <w:pPr>
        <w:pStyle w:val="a3"/>
        <w:spacing w:before="0" w:beforeAutospacing="0" w:after="0" w:afterAutospacing="0"/>
        <w:jc w:val="both"/>
        <w:rPr>
          <w:sz w:val="20"/>
          <w:szCs w:val="20"/>
        </w:rPr>
      </w:pPr>
      <w:r>
        <w:rPr>
          <w:sz w:val="20"/>
          <w:szCs w:val="20"/>
        </w:rPr>
        <w:t>The weighted-average amortization period of the acquired intangible assets is approximately three years.</w:t>
      </w:r>
    </w:p>
    <w:p w14:paraId="27ABD07B" w14:textId="77777777" w:rsidR="00000000" w:rsidRDefault="001826C1">
      <w:pPr>
        <w:pStyle w:val="a3"/>
        <w:spacing w:before="0" w:beforeAutospacing="0" w:after="0" w:afterAutospacing="0"/>
        <w:jc w:val="both"/>
        <w:rPr>
          <w:sz w:val="20"/>
          <w:szCs w:val="20"/>
        </w:rPr>
      </w:pPr>
      <w:r>
        <w:rPr>
          <w:sz w:val="20"/>
          <w:szCs w:val="20"/>
        </w:rPr>
        <w:t> </w:t>
      </w:r>
    </w:p>
    <w:p w14:paraId="0569BE14" w14:textId="77777777" w:rsidR="00000000" w:rsidRDefault="001826C1">
      <w:pPr>
        <w:pStyle w:val="a3"/>
        <w:spacing w:before="0" w:beforeAutospacing="0" w:after="0" w:afterAutospacing="0"/>
        <w:jc w:val="both"/>
        <w:rPr>
          <w:sz w:val="20"/>
          <w:szCs w:val="20"/>
        </w:rPr>
      </w:pPr>
      <w:r>
        <w:rPr>
          <w:sz w:val="20"/>
          <w:szCs w:val="20"/>
        </w:rPr>
        <w:t>Revenue earned beginning April 1, 2019, from the clients obtained from the ETM a</w:t>
      </w:r>
      <w:r>
        <w:rPr>
          <w:sz w:val="20"/>
          <w:szCs w:val="20"/>
        </w:rPr>
        <w:t>cquisition was approximately $5.1 million during the year ended December 31, 2019.</w:t>
      </w:r>
    </w:p>
    <w:p w14:paraId="44ADAC01" w14:textId="77777777" w:rsidR="00000000" w:rsidRDefault="001826C1">
      <w:pPr>
        <w:pStyle w:val="a3"/>
        <w:spacing w:before="0" w:beforeAutospacing="0" w:after="0" w:afterAutospacing="0"/>
        <w:jc w:val="both"/>
        <w:rPr>
          <w:sz w:val="20"/>
          <w:szCs w:val="20"/>
        </w:rPr>
      </w:pPr>
      <w:r>
        <w:rPr>
          <w:sz w:val="20"/>
          <w:szCs w:val="20"/>
        </w:rPr>
        <w:t> </w:t>
      </w:r>
    </w:p>
    <w:p w14:paraId="55AC78AE" w14:textId="77777777" w:rsidR="00000000" w:rsidRDefault="001826C1">
      <w:pPr>
        <w:pStyle w:val="a3"/>
        <w:spacing w:before="0" w:beforeAutospacing="0" w:after="0" w:afterAutospacing="0"/>
        <w:jc w:val="both"/>
        <w:rPr>
          <w:sz w:val="20"/>
          <w:szCs w:val="20"/>
        </w:rPr>
      </w:pPr>
      <w:r>
        <w:rPr>
          <w:b/>
          <w:bCs/>
          <w:sz w:val="20"/>
          <w:szCs w:val="20"/>
          <w:u w:val="single"/>
        </w:rPr>
        <w:t>2018 Acquisition</w:t>
      </w:r>
    </w:p>
    <w:p w14:paraId="549E8EA4" w14:textId="77777777" w:rsidR="00000000" w:rsidRDefault="001826C1">
      <w:pPr>
        <w:pStyle w:val="a3"/>
        <w:spacing w:before="0" w:beforeAutospacing="0" w:after="0" w:afterAutospacing="0"/>
        <w:jc w:val="both"/>
        <w:rPr>
          <w:sz w:val="20"/>
          <w:szCs w:val="20"/>
        </w:rPr>
      </w:pPr>
      <w:r>
        <w:rPr>
          <w:b/>
          <w:bCs/>
          <w:sz w:val="20"/>
          <w:szCs w:val="20"/>
        </w:rPr>
        <w:t> </w:t>
      </w:r>
    </w:p>
    <w:p w14:paraId="61D304D7" w14:textId="77777777" w:rsidR="00000000" w:rsidRDefault="001826C1">
      <w:pPr>
        <w:pStyle w:val="a3"/>
        <w:spacing w:before="0" w:beforeAutospacing="0" w:after="0" w:afterAutospacing="0"/>
        <w:jc w:val="both"/>
        <w:rPr>
          <w:sz w:val="20"/>
          <w:szCs w:val="20"/>
        </w:rPr>
      </w:pPr>
      <w:r>
        <w:rPr>
          <w:sz w:val="20"/>
          <w:szCs w:val="20"/>
        </w:rPr>
        <w:t>On May 7, 2018, the Company executed an asset purchase agreement (“Orion APA”) to acquire substantially all of the revenue cycle, practice management, a</w:t>
      </w:r>
      <w:r>
        <w:rPr>
          <w:sz w:val="20"/>
          <w:szCs w:val="20"/>
        </w:rPr>
        <w:t>nd group purchasing organization assets of Orion. The purchase price was $12.6 million, excluding acquisition-related costs of approximately $245,000, which are included in general and administrative expense in the consolidated statement of operations. Per</w:t>
      </w:r>
      <w:r>
        <w:rPr>
          <w:sz w:val="20"/>
          <w:szCs w:val="20"/>
        </w:rPr>
        <w:t xml:space="preserve"> the Orion APA, the acquisition had an effective date of July 1, 2018. The acquisition has been accounted for as a business combination. </w:t>
      </w:r>
    </w:p>
    <w:p w14:paraId="776D8F15" w14:textId="77777777" w:rsidR="00000000" w:rsidRDefault="001826C1">
      <w:pPr>
        <w:pStyle w:val="a3"/>
        <w:spacing w:before="0" w:beforeAutospacing="0" w:after="0" w:afterAutospacing="0"/>
        <w:jc w:val="both"/>
        <w:rPr>
          <w:sz w:val="20"/>
          <w:szCs w:val="20"/>
        </w:rPr>
      </w:pPr>
      <w:r>
        <w:rPr>
          <w:sz w:val="20"/>
          <w:szCs w:val="20"/>
        </w:rPr>
        <w:t> </w:t>
      </w:r>
    </w:p>
    <w:p w14:paraId="411716CF" w14:textId="77777777" w:rsidR="00000000" w:rsidRDefault="001826C1">
      <w:pPr>
        <w:pStyle w:val="a3"/>
        <w:spacing w:before="0" w:beforeAutospacing="0" w:after="0" w:afterAutospacing="0"/>
        <w:jc w:val="both"/>
        <w:rPr>
          <w:sz w:val="20"/>
          <w:szCs w:val="20"/>
        </w:rPr>
      </w:pPr>
      <w:r>
        <w:rPr>
          <w:sz w:val="20"/>
          <w:szCs w:val="20"/>
        </w:rPr>
        <w:t xml:space="preserve">The Orion acquisition added a significant number of clients to the Company’s customer base and, similar to previous </w:t>
      </w:r>
      <w:r>
        <w:rPr>
          <w:sz w:val="20"/>
          <w:szCs w:val="20"/>
        </w:rPr>
        <w:t>acquisitions, broadened the Company’s presence in the healthcare information technology industry through geographic expansion of its customer base and by increasing available customer relationship resources and specialized trained staff. The acquisition al</w:t>
      </w:r>
      <w:r>
        <w:rPr>
          <w:sz w:val="20"/>
          <w:szCs w:val="20"/>
        </w:rPr>
        <w:t>so included Orion’s practice management and group purchasing services. The practice management services provide three pediatric medical practices with the nurses, administrative support, facilities, supplies, equipment, marketing, RCM, accounting and other</w:t>
      </w:r>
      <w:r>
        <w:rPr>
          <w:sz w:val="20"/>
          <w:szCs w:val="20"/>
        </w:rPr>
        <w:t xml:space="preserve"> non-clinical services needed to efficiently operate the practices. The group purchasing services enable medical providers to purchase various vaccines directly from selected pharmaceutical companies at a discounted price.</w:t>
      </w:r>
    </w:p>
    <w:p w14:paraId="2DD2D88B" w14:textId="77777777" w:rsidR="00000000" w:rsidRDefault="001826C1">
      <w:pPr>
        <w:pStyle w:val="a3"/>
        <w:spacing w:before="0" w:beforeAutospacing="0" w:after="0" w:afterAutospacing="0"/>
        <w:jc w:val="both"/>
        <w:rPr>
          <w:sz w:val="20"/>
          <w:szCs w:val="20"/>
        </w:rPr>
      </w:pPr>
      <w:r>
        <w:rPr>
          <w:sz w:val="20"/>
          <w:szCs w:val="20"/>
        </w:rPr>
        <w:t> </w:t>
      </w:r>
    </w:p>
    <w:p w14:paraId="0CCA2211" w14:textId="77777777" w:rsidR="00000000" w:rsidRDefault="001826C1">
      <w:pPr>
        <w:pStyle w:val="a3"/>
        <w:spacing w:before="0" w:beforeAutospacing="0" w:after="0" w:afterAutospacing="0"/>
        <w:jc w:val="both"/>
        <w:rPr>
          <w:sz w:val="20"/>
          <w:szCs w:val="20"/>
        </w:rPr>
      </w:pPr>
      <w:r>
        <w:rPr>
          <w:sz w:val="20"/>
          <w:szCs w:val="20"/>
        </w:rPr>
        <w:t xml:space="preserve">The </w:t>
      </w:r>
      <w:r>
        <w:rPr>
          <w:sz w:val="20"/>
          <w:szCs w:val="20"/>
        </w:rPr>
        <w:t>Company engaged a third party valuation specialist to assist the Company in valuing the assets and assumed liabilities acquired from Orion. The following table summarizes the purchase price allocation.</w:t>
      </w:r>
    </w:p>
    <w:p w14:paraId="4189AA49" w14:textId="77777777" w:rsidR="00000000" w:rsidRDefault="001826C1">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3036"/>
        <w:gridCol w:w="50"/>
        <w:gridCol w:w="100"/>
        <w:gridCol w:w="900"/>
        <w:gridCol w:w="67"/>
      </w:tblGrid>
      <w:tr w:rsidR="00000000" w14:paraId="02DF3BCB" w14:textId="77777777">
        <w:tc>
          <w:tcPr>
            <w:tcW w:w="3900" w:type="pct"/>
            <w:shd w:val="clear" w:color="auto" w:fill="CCEEFF"/>
            <w:vAlign w:val="bottom"/>
            <w:hideMark/>
          </w:tcPr>
          <w:p w14:paraId="595690A1" w14:textId="77777777" w:rsidR="00000000" w:rsidRDefault="001826C1">
            <w:pPr>
              <w:rPr>
                <w:rFonts w:eastAsia="Times New Roman"/>
                <w:sz w:val="20"/>
                <w:szCs w:val="20"/>
              </w:rPr>
            </w:pPr>
            <w:r>
              <w:rPr>
                <w:rFonts w:eastAsia="Times New Roman"/>
                <w:sz w:val="20"/>
                <w:szCs w:val="20"/>
              </w:rPr>
              <w:t>Customer relationships</w:t>
            </w:r>
          </w:p>
        </w:tc>
        <w:tc>
          <w:tcPr>
            <w:tcW w:w="100" w:type="pct"/>
            <w:shd w:val="clear" w:color="auto" w:fill="CCEEFF"/>
            <w:vAlign w:val="bottom"/>
            <w:hideMark/>
          </w:tcPr>
          <w:p w14:paraId="68F74FB8"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2BA40E0"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6E57B4F4" w14:textId="77777777" w:rsidR="00000000" w:rsidRDefault="001826C1">
            <w:pPr>
              <w:jc w:val="right"/>
              <w:rPr>
                <w:rFonts w:eastAsia="Times New Roman"/>
                <w:sz w:val="20"/>
                <w:szCs w:val="20"/>
              </w:rPr>
            </w:pPr>
            <w:r>
              <w:rPr>
                <w:rFonts w:eastAsia="Times New Roman"/>
                <w:sz w:val="20"/>
                <w:szCs w:val="20"/>
              </w:rPr>
              <w:t>6,250,000</w:t>
            </w:r>
          </w:p>
        </w:tc>
        <w:tc>
          <w:tcPr>
            <w:tcW w:w="50" w:type="pct"/>
            <w:shd w:val="clear" w:color="auto" w:fill="CCEEFF"/>
            <w:vAlign w:val="bottom"/>
            <w:hideMark/>
          </w:tcPr>
          <w:p w14:paraId="35C5DDEA" w14:textId="77777777" w:rsidR="00000000" w:rsidRDefault="001826C1">
            <w:pPr>
              <w:rPr>
                <w:rFonts w:eastAsia="Times New Roman"/>
                <w:sz w:val="20"/>
                <w:szCs w:val="20"/>
              </w:rPr>
            </w:pPr>
            <w:r>
              <w:rPr>
                <w:rFonts w:eastAsia="Times New Roman"/>
                <w:sz w:val="20"/>
                <w:szCs w:val="20"/>
              </w:rPr>
              <w:t> </w:t>
            </w:r>
          </w:p>
        </w:tc>
      </w:tr>
      <w:tr w:rsidR="00000000" w14:paraId="02DE90F4" w14:textId="77777777">
        <w:tc>
          <w:tcPr>
            <w:tcW w:w="0" w:type="auto"/>
            <w:shd w:val="clear" w:color="auto" w:fill="FFFFFF"/>
            <w:vAlign w:val="bottom"/>
            <w:hideMark/>
          </w:tcPr>
          <w:p w14:paraId="49058FCC" w14:textId="77777777" w:rsidR="00000000" w:rsidRDefault="001826C1">
            <w:pPr>
              <w:rPr>
                <w:rFonts w:eastAsia="Times New Roman"/>
                <w:sz w:val="20"/>
                <w:szCs w:val="20"/>
              </w:rPr>
            </w:pPr>
            <w:r>
              <w:rPr>
                <w:rFonts w:eastAsia="Times New Roman"/>
                <w:sz w:val="20"/>
                <w:szCs w:val="20"/>
              </w:rPr>
              <w:t>Accounts rec</w:t>
            </w:r>
            <w:r>
              <w:rPr>
                <w:rFonts w:eastAsia="Times New Roman"/>
                <w:sz w:val="20"/>
                <w:szCs w:val="20"/>
              </w:rPr>
              <w:t>eivable</w:t>
            </w:r>
          </w:p>
        </w:tc>
        <w:tc>
          <w:tcPr>
            <w:tcW w:w="0" w:type="auto"/>
            <w:shd w:val="clear" w:color="auto" w:fill="FFFFFF"/>
            <w:vAlign w:val="bottom"/>
            <w:hideMark/>
          </w:tcPr>
          <w:p w14:paraId="756A4F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7F13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159758" w14:textId="77777777" w:rsidR="00000000" w:rsidRDefault="001826C1">
            <w:pPr>
              <w:jc w:val="right"/>
              <w:rPr>
                <w:rFonts w:eastAsia="Times New Roman"/>
                <w:sz w:val="20"/>
                <w:szCs w:val="20"/>
              </w:rPr>
            </w:pPr>
            <w:r>
              <w:rPr>
                <w:rFonts w:eastAsia="Times New Roman"/>
                <w:sz w:val="20"/>
                <w:szCs w:val="20"/>
              </w:rPr>
              <w:t>5,654,919</w:t>
            </w:r>
          </w:p>
        </w:tc>
        <w:tc>
          <w:tcPr>
            <w:tcW w:w="0" w:type="auto"/>
            <w:shd w:val="clear" w:color="auto" w:fill="FFFFFF"/>
            <w:vAlign w:val="bottom"/>
            <w:hideMark/>
          </w:tcPr>
          <w:p w14:paraId="7F5BE148" w14:textId="77777777" w:rsidR="00000000" w:rsidRDefault="001826C1">
            <w:pPr>
              <w:rPr>
                <w:rFonts w:eastAsia="Times New Roman"/>
                <w:sz w:val="20"/>
                <w:szCs w:val="20"/>
              </w:rPr>
            </w:pPr>
            <w:r>
              <w:rPr>
                <w:rFonts w:eastAsia="Times New Roman"/>
                <w:sz w:val="20"/>
                <w:szCs w:val="20"/>
              </w:rPr>
              <w:t> </w:t>
            </w:r>
          </w:p>
        </w:tc>
      </w:tr>
      <w:tr w:rsidR="00000000" w14:paraId="2B9F8528" w14:textId="77777777">
        <w:tc>
          <w:tcPr>
            <w:tcW w:w="0" w:type="auto"/>
            <w:shd w:val="clear" w:color="auto" w:fill="CCEEFF"/>
            <w:vAlign w:val="bottom"/>
            <w:hideMark/>
          </w:tcPr>
          <w:p w14:paraId="2F6B959E" w14:textId="77777777" w:rsidR="00000000" w:rsidRDefault="001826C1">
            <w:pPr>
              <w:rPr>
                <w:rFonts w:eastAsia="Times New Roman"/>
                <w:sz w:val="20"/>
                <w:szCs w:val="20"/>
              </w:rPr>
            </w:pPr>
            <w:r>
              <w:rPr>
                <w:rFonts w:eastAsia="Times New Roman"/>
                <w:sz w:val="20"/>
                <w:szCs w:val="20"/>
              </w:rPr>
              <w:t>Contract asset</w:t>
            </w:r>
          </w:p>
        </w:tc>
        <w:tc>
          <w:tcPr>
            <w:tcW w:w="0" w:type="auto"/>
            <w:shd w:val="clear" w:color="auto" w:fill="CCEEFF"/>
            <w:vAlign w:val="bottom"/>
            <w:hideMark/>
          </w:tcPr>
          <w:p w14:paraId="4D5791F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885B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1214C8B" w14:textId="77777777" w:rsidR="00000000" w:rsidRDefault="001826C1">
            <w:pPr>
              <w:jc w:val="right"/>
              <w:rPr>
                <w:rFonts w:eastAsia="Times New Roman"/>
                <w:sz w:val="20"/>
                <w:szCs w:val="20"/>
              </w:rPr>
            </w:pPr>
            <w:r>
              <w:rPr>
                <w:rFonts w:eastAsia="Times New Roman"/>
                <w:sz w:val="20"/>
                <w:szCs w:val="20"/>
              </w:rPr>
              <w:t>861,341</w:t>
            </w:r>
          </w:p>
        </w:tc>
        <w:tc>
          <w:tcPr>
            <w:tcW w:w="0" w:type="auto"/>
            <w:shd w:val="clear" w:color="auto" w:fill="CCEEFF"/>
            <w:vAlign w:val="bottom"/>
            <w:hideMark/>
          </w:tcPr>
          <w:p w14:paraId="45821D01" w14:textId="77777777" w:rsidR="00000000" w:rsidRDefault="001826C1">
            <w:pPr>
              <w:rPr>
                <w:rFonts w:eastAsia="Times New Roman"/>
                <w:sz w:val="20"/>
                <w:szCs w:val="20"/>
              </w:rPr>
            </w:pPr>
            <w:r>
              <w:rPr>
                <w:rFonts w:eastAsia="Times New Roman"/>
                <w:sz w:val="20"/>
                <w:szCs w:val="20"/>
              </w:rPr>
              <w:t> </w:t>
            </w:r>
          </w:p>
        </w:tc>
      </w:tr>
      <w:tr w:rsidR="00000000" w14:paraId="2C11F9C4" w14:textId="77777777">
        <w:tc>
          <w:tcPr>
            <w:tcW w:w="0" w:type="auto"/>
            <w:shd w:val="clear" w:color="auto" w:fill="FFFFFF"/>
            <w:vAlign w:val="bottom"/>
            <w:hideMark/>
          </w:tcPr>
          <w:p w14:paraId="21C4288C" w14:textId="77777777" w:rsidR="00000000" w:rsidRDefault="001826C1">
            <w:pPr>
              <w:rPr>
                <w:rFonts w:eastAsia="Times New Roman"/>
                <w:sz w:val="20"/>
                <w:szCs w:val="20"/>
              </w:rPr>
            </w:pPr>
            <w:r>
              <w:rPr>
                <w:rFonts w:eastAsia="Times New Roman"/>
                <w:sz w:val="20"/>
                <w:szCs w:val="20"/>
              </w:rPr>
              <w:t>Inventory</w:t>
            </w:r>
          </w:p>
        </w:tc>
        <w:tc>
          <w:tcPr>
            <w:tcW w:w="0" w:type="auto"/>
            <w:shd w:val="clear" w:color="auto" w:fill="FFFFFF"/>
            <w:vAlign w:val="bottom"/>
            <w:hideMark/>
          </w:tcPr>
          <w:p w14:paraId="7D5454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3E9E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59D060" w14:textId="77777777" w:rsidR="00000000" w:rsidRDefault="001826C1">
            <w:pPr>
              <w:jc w:val="right"/>
              <w:rPr>
                <w:rFonts w:eastAsia="Times New Roman"/>
                <w:sz w:val="20"/>
                <w:szCs w:val="20"/>
              </w:rPr>
            </w:pPr>
            <w:r>
              <w:rPr>
                <w:rFonts w:eastAsia="Times New Roman"/>
                <w:sz w:val="20"/>
                <w:szCs w:val="20"/>
              </w:rPr>
              <w:t>307,278</w:t>
            </w:r>
          </w:p>
        </w:tc>
        <w:tc>
          <w:tcPr>
            <w:tcW w:w="0" w:type="auto"/>
            <w:shd w:val="clear" w:color="auto" w:fill="FFFFFF"/>
            <w:vAlign w:val="bottom"/>
            <w:hideMark/>
          </w:tcPr>
          <w:p w14:paraId="189BCCF1" w14:textId="77777777" w:rsidR="00000000" w:rsidRDefault="001826C1">
            <w:pPr>
              <w:rPr>
                <w:rFonts w:eastAsia="Times New Roman"/>
                <w:sz w:val="20"/>
                <w:szCs w:val="20"/>
              </w:rPr>
            </w:pPr>
            <w:r>
              <w:rPr>
                <w:rFonts w:eastAsia="Times New Roman"/>
                <w:sz w:val="20"/>
                <w:szCs w:val="20"/>
              </w:rPr>
              <w:t> </w:t>
            </w:r>
          </w:p>
        </w:tc>
      </w:tr>
      <w:tr w:rsidR="00000000" w14:paraId="7E93782F" w14:textId="77777777">
        <w:tc>
          <w:tcPr>
            <w:tcW w:w="0" w:type="auto"/>
            <w:shd w:val="clear" w:color="auto" w:fill="CCEEFF"/>
            <w:vAlign w:val="bottom"/>
            <w:hideMark/>
          </w:tcPr>
          <w:p w14:paraId="48A7A13B" w14:textId="77777777" w:rsidR="00000000" w:rsidRDefault="001826C1">
            <w:pPr>
              <w:rPr>
                <w:rFonts w:eastAsia="Times New Roman"/>
                <w:sz w:val="20"/>
                <w:szCs w:val="20"/>
              </w:rPr>
            </w:pPr>
            <w:r>
              <w:rPr>
                <w:rFonts w:eastAsia="Times New Roman"/>
                <w:sz w:val="20"/>
                <w:szCs w:val="20"/>
              </w:rPr>
              <w:t>Property and equipment</w:t>
            </w:r>
          </w:p>
        </w:tc>
        <w:tc>
          <w:tcPr>
            <w:tcW w:w="0" w:type="auto"/>
            <w:shd w:val="clear" w:color="auto" w:fill="CCEEFF"/>
            <w:vAlign w:val="bottom"/>
            <w:hideMark/>
          </w:tcPr>
          <w:p w14:paraId="61E123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2697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83A725" w14:textId="77777777" w:rsidR="00000000" w:rsidRDefault="001826C1">
            <w:pPr>
              <w:jc w:val="right"/>
              <w:rPr>
                <w:rFonts w:eastAsia="Times New Roman"/>
                <w:sz w:val="20"/>
                <w:szCs w:val="20"/>
              </w:rPr>
            </w:pPr>
            <w:r>
              <w:rPr>
                <w:rFonts w:eastAsia="Times New Roman"/>
                <w:sz w:val="20"/>
                <w:szCs w:val="20"/>
              </w:rPr>
              <w:t>319,352</w:t>
            </w:r>
          </w:p>
        </w:tc>
        <w:tc>
          <w:tcPr>
            <w:tcW w:w="0" w:type="auto"/>
            <w:shd w:val="clear" w:color="auto" w:fill="CCEEFF"/>
            <w:vAlign w:val="bottom"/>
            <w:hideMark/>
          </w:tcPr>
          <w:p w14:paraId="49AFF694" w14:textId="77777777" w:rsidR="00000000" w:rsidRDefault="001826C1">
            <w:pPr>
              <w:rPr>
                <w:rFonts w:eastAsia="Times New Roman"/>
                <w:sz w:val="20"/>
                <w:szCs w:val="20"/>
              </w:rPr>
            </w:pPr>
            <w:r>
              <w:rPr>
                <w:rFonts w:eastAsia="Times New Roman"/>
                <w:sz w:val="20"/>
                <w:szCs w:val="20"/>
              </w:rPr>
              <w:t> </w:t>
            </w:r>
          </w:p>
        </w:tc>
      </w:tr>
      <w:tr w:rsidR="00000000" w14:paraId="64F509A0" w14:textId="77777777">
        <w:tc>
          <w:tcPr>
            <w:tcW w:w="0" w:type="auto"/>
            <w:shd w:val="clear" w:color="auto" w:fill="FFFFFF"/>
            <w:vAlign w:val="bottom"/>
            <w:hideMark/>
          </w:tcPr>
          <w:p w14:paraId="7A769CE8" w14:textId="77777777" w:rsidR="00000000" w:rsidRDefault="001826C1">
            <w:pPr>
              <w:rPr>
                <w:rFonts w:eastAsia="Times New Roman"/>
                <w:sz w:val="20"/>
                <w:szCs w:val="20"/>
              </w:rPr>
            </w:pPr>
            <w:r>
              <w:rPr>
                <w:rFonts w:eastAsia="Times New Roman"/>
                <w:sz w:val="20"/>
                <w:szCs w:val="20"/>
              </w:rPr>
              <w:t>Goodwill</w:t>
            </w:r>
          </w:p>
        </w:tc>
        <w:tc>
          <w:tcPr>
            <w:tcW w:w="0" w:type="auto"/>
            <w:shd w:val="clear" w:color="auto" w:fill="FFFFFF"/>
            <w:vAlign w:val="bottom"/>
            <w:hideMark/>
          </w:tcPr>
          <w:p w14:paraId="336E579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23C1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BF668" w14:textId="77777777" w:rsidR="00000000" w:rsidRDefault="001826C1">
            <w:pPr>
              <w:jc w:val="right"/>
              <w:rPr>
                <w:rFonts w:eastAsia="Times New Roman"/>
                <w:sz w:val="20"/>
                <w:szCs w:val="20"/>
              </w:rPr>
            </w:pPr>
            <w:r>
              <w:rPr>
                <w:rFonts w:eastAsia="Times New Roman"/>
                <w:sz w:val="20"/>
                <w:szCs w:val="20"/>
              </w:rPr>
              <w:t>329,852</w:t>
            </w:r>
          </w:p>
        </w:tc>
        <w:tc>
          <w:tcPr>
            <w:tcW w:w="0" w:type="auto"/>
            <w:shd w:val="clear" w:color="auto" w:fill="FFFFFF"/>
            <w:vAlign w:val="bottom"/>
            <w:hideMark/>
          </w:tcPr>
          <w:p w14:paraId="4CB8B498" w14:textId="77777777" w:rsidR="00000000" w:rsidRDefault="001826C1">
            <w:pPr>
              <w:rPr>
                <w:rFonts w:eastAsia="Times New Roman"/>
                <w:sz w:val="20"/>
                <w:szCs w:val="20"/>
              </w:rPr>
            </w:pPr>
            <w:r>
              <w:rPr>
                <w:rFonts w:eastAsia="Times New Roman"/>
                <w:sz w:val="20"/>
                <w:szCs w:val="20"/>
              </w:rPr>
              <w:t> </w:t>
            </w:r>
          </w:p>
        </w:tc>
      </w:tr>
      <w:tr w:rsidR="00000000" w14:paraId="04998023" w14:textId="77777777">
        <w:tc>
          <w:tcPr>
            <w:tcW w:w="0" w:type="auto"/>
            <w:shd w:val="clear" w:color="auto" w:fill="CCEEFF"/>
            <w:vAlign w:val="bottom"/>
            <w:hideMark/>
          </w:tcPr>
          <w:p w14:paraId="277F3A3C" w14:textId="77777777" w:rsidR="00000000" w:rsidRDefault="001826C1">
            <w:pPr>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14:paraId="56E9D3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37629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19CA74" w14:textId="77777777" w:rsidR="00000000" w:rsidRDefault="001826C1">
            <w:pPr>
              <w:jc w:val="right"/>
              <w:rPr>
                <w:rFonts w:eastAsia="Times New Roman"/>
                <w:sz w:val="20"/>
                <w:szCs w:val="20"/>
              </w:rPr>
            </w:pPr>
            <w:r>
              <w:rPr>
                <w:rFonts w:eastAsia="Times New Roman"/>
                <w:sz w:val="20"/>
                <w:szCs w:val="20"/>
              </w:rPr>
              <w:t>(677,872</w:t>
            </w:r>
          </w:p>
        </w:tc>
        <w:tc>
          <w:tcPr>
            <w:tcW w:w="0" w:type="auto"/>
            <w:shd w:val="clear" w:color="auto" w:fill="CCEEFF"/>
            <w:vAlign w:val="bottom"/>
            <w:hideMark/>
          </w:tcPr>
          <w:p w14:paraId="4378992F" w14:textId="77777777" w:rsidR="00000000" w:rsidRDefault="001826C1">
            <w:pPr>
              <w:rPr>
                <w:rFonts w:eastAsia="Times New Roman"/>
                <w:sz w:val="20"/>
                <w:szCs w:val="20"/>
              </w:rPr>
            </w:pPr>
            <w:r>
              <w:rPr>
                <w:rFonts w:eastAsia="Times New Roman"/>
                <w:sz w:val="20"/>
                <w:szCs w:val="20"/>
              </w:rPr>
              <w:t>)</w:t>
            </w:r>
          </w:p>
        </w:tc>
      </w:tr>
      <w:tr w:rsidR="00000000" w14:paraId="082A5CEC" w14:textId="77777777">
        <w:tc>
          <w:tcPr>
            <w:tcW w:w="0" w:type="auto"/>
            <w:shd w:val="clear" w:color="auto" w:fill="FFFFFF"/>
            <w:tcMar>
              <w:top w:w="0" w:type="dxa"/>
              <w:left w:w="0" w:type="dxa"/>
              <w:bottom w:w="30" w:type="dxa"/>
              <w:right w:w="0" w:type="dxa"/>
            </w:tcMar>
            <w:vAlign w:val="bottom"/>
            <w:hideMark/>
          </w:tcPr>
          <w:p w14:paraId="0FD56CF3" w14:textId="77777777" w:rsidR="00000000" w:rsidRDefault="001826C1">
            <w:pPr>
              <w:rPr>
                <w:rFonts w:eastAsia="Times New Roman"/>
                <w:sz w:val="20"/>
                <w:szCs w:val="20"/>
              </w:rPr>
            </w:pPr>
            <w:r>
              <w:rPr>
                <w:rFonts w:eastAsia="Times New Roman"/>
                <w:sz w:val="20"/>
                <w:szCs w:val="20"/>
              </w:rPr>
              <w:t>Accrued expenses</w:t>
            </w:r>
          </w:p>
        </w:tc>
        <w:tc>
          <w:tcPr>
            <w:tcW w:w="0" w:type="auto"/>
            <w:shd w:val="clear" w:color="auto" w:fill="FFFFFF"/>
            <w:tcMar>
              <w:top w:w="0" w:type="dxa"/>
              <w:left w:w="0" w:type="dxa"/>
              <w:bottom w:w="30" w:type="dxa"/>
              <w:right w:w="0" w:type="dxa"/>
            </w:tcMar>
            <w:vAlign w:val="bottom"/>
            <w:hideMark/>
          </w:tcPr>
          <w:p w14:paraId="09C15C8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A076E0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13D05C" w14:textId="77777777" w:rsidR="00000000" w:rsidRDefault="001826C1">
            <w:pPr>
              <w:jc w:val="right"/>
              <w:rPr>
                <w:rFonts w:eastAsia="Times New Roman"/>
                <w:sz w:val="20"/>
                <w:szCs w:val="20"/>
              </w:rPr>
            </w:pPr>
            <w:r>
              <w:rPr>
                <w:rFonts w:eastAsia="Times New Roman"/>
                <w:sz w:val="20"/>
                <w:szCs w:val="20"/>
              </w:rPr>
              <w:t>(444,870</w:t>
            </w:r>
          </w:p>
        </w:tc>
        <w:tc>
          <w:tcPr>
            <w:tcW w:w="0" w:type="auto"/>
            <w:shd w:val="clear" w:color="auto" w:fill="FFFFFF"/>
            <w:tcMar>
              <w:top w:w="0" w:type="dxa"/>
              <w:left w:w="0" w:type="dxa"/>
              <w:bottom w:w="30" w:type="dxa"/>
              <w:right w:w="0" w:type="dxa"/>
            </w:tcMar>
            <w:vAlign w:val="bottom"/>
            <w:hideMark/>
          </w:tcPr>
          <w:p w14:paraId="152D5BE0" w14:textId="77777777" w:rsidR="00000000" w:rsidRDefault="001826C1">
            <w:pPr>
              <w:rPr>
                <w:rFonts w:eastAsia="Times New Roman"/>
                <w:sz w:val="20"/>
                <w:szCs w:val="20"/>
              </w:rPr>
            </w:pPr>
            <w:r>
              <w:rPr>
                <w:rFonts w:eastAsia="Times New Roman"/>
                <w:sz w:val="20"/>
                <w:szCs w:val="20"/>
              </w:rPr>
              <w:t>)</w:t>
            </w:r>
          </w:p>
        </w:tc>
      </w:tr>
      <w:tr w:rsidR="00000000" w14:paraId="3F7074FC" w14:textId="77777777">
        <w:tc>
          <w:tcPr>
            <w:tcW w:w="0" w:type="auto"/>
            <w:shd w:val="clear" w:color="auto" w:fill="CCEEFF"/>
            <w:tcMar>
              <w:top w:w="0" w:type="dxa"/>
              <w:left w:w="0" w:type="dxa"/>
              <w:bottom w:w="50" w:type="dxa"/>
              <w:right w:w="0" w:type="dxa"/>
            </w:tcMar>
            <w:vAlign w:val="bottom"/>
            <w:hideMark/>
          </w:tcPr>
          <w:p w14:paraId="5C3B7438"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6FE661C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43176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CE54566" w14:textId="77777777" w:rsidR="00000000" w:rsidRDefault="001826C1">
            <w:pPr>
              <w:jc w:val="right"/>
              <w:rPr>
                <w:rFonts w:eastAsia="Times New Roman"/>
                <w:sz w:val="20"/>
                <w:szCs w:val="20"/>
              </w:rPr>
            </w:pPr>
            <w:r>
              <w:rPr>
                <w:rFonts w:eastAsia="Times New Roman"/>
                <w:sz w:val="20"/>
                <w:szCs w:val="20"/>
              </w:rPr>
              <w:t>12,600,000</w:t>
            </w:r>
          </w:p>
        </w:tc>
        <w:tc>
          <w:tcPr>
            <w:tcW w:w="0" w:type="auto"/>
            <w:shd w:val="clear" w:color="auto" w:fill="CCEEFF"/>
            <w:tcMar>
              <w:top w:w="0" w:type="dxa"/>
              <w:left w:w="0" w:type="dxa"/>
              <w:bottom w:w="50" w:type="dxa"/>
              <w:right w:w="0" w:type="dxa"/>
            </w:tcMar>
            <w:vAlign w:val="bottom"/>
            <w:hideMark/>
          </w:tcPr>
          <w:p w14:paraId="12A42D74" w14:textId="77777777" w:rsidR="00000000" w:rsidRDefault="001826C1">
            <w:pPr>
              <w:rPr>
                <w:rFonts w:eastAsia="Times New Roman"/>
                <w:sz w:val="20"/>
                <w:szCs w:val="20"/>
              </w:rPr>
            </w:pPr>
            <w:r>
              <w:rPr>
                <w:rFonts w:eastAsia="Times New Roman"/>
                <w:sz w:val="20"/>
                <w:szCs w:val="20"/>
              </w:rPr>
              <w:t> </w:t>
            </w:r>
          </w:p>
        </w:tc>
      </w:tr>
      <w:tr w:rsidR="00000000" w14:paraId="75A802CD" w14:textId="77777777">
        <w:tc>
          <w:tcPr>
            <w:tcW w:w="0" w:type="auto"/>
            <w:shd w:val="clear" w:color="auto" w:fill="FFFFFF"/>
            <w:vAlign w:val="bottom"/>
            <w:hideMark/>
          </w:tcPr>
          <w:p w14:paraId="5844CA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0935A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5B75E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C7B20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1069C54" w14:textId="77777777" w:rsidR="00000000" w:rsidRDefault="001826C1">
            <w:pPr>
              <w:rPr>
                <w:rFonts w:eastAsia="Times New Roman"/>
                <w:sz w:val="20"/>
                <w:szCs w:val="20"/>
              </w:rPr>
            </w:pPr>
            <w:r>
              <w:rPr>
                <w:rFonts w:eastAsia="Times New Roman"/>
                <w:sz w:val="20"/>
                <w:szCs w:val="20"/>
              </w:rPr>
              <w:t> </w:t>
            </w:r>
          </w:p>
        </w:tc>
      </w:tr>
    </w:tbl>
    <w:p w14:paraId="49806CD5"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8B49830" w14:textId="77777777">
        <w:trPr>
          <w:divId w:val="696664287"/>
        </w:trPr>
        <w:tc>
          <w:tcPr>
            <w:tcW w:w="5000" w:type="pct"/>
            <w:hideMark/>
          </w:tcPr>
          <w:p w14:paraId="5EDBFE38"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2EA87996" w14:textId="77777777">
        <w:tc>
          <w:tcPr>
            <w:tcW w:w="5000" w:type="pct"/>
            <w:hideMark/>
          </w:tcPr>
          <w:p w14:paraId="033F4E38" w14:textId="77777777" w:rsidR="00000000" w:rsidRDefault="001826C1">
            <w:pPr>
              <w:jc w:val="center"/>
              <w:rPr>
                <w:rFonts w:eastAsia="Times New Roman"/>
                <w:sz w:val="20"/>
                <w:szCs w:val="20"/>
              </w:rPr>
            </w:pPr>
            <w:r>
              <w:rPr>
                <w:rFonts w:eastAsia="Times New Roman"/>
                <w:sz w:val="20"/>
                <w:szCs w:val="20"/>
              </w:rPr>
              <w:t> </w:t>
            </w:r>
          </w:p>
        </w:tc>
      </w:tr>
    </w:tbl>
    <w:p w14:paraId="104D2EAA" w14:textId="77777777" w:rsidR="00000000" w:rsidRDefault="001826C1">
      <w:pPr>
        <w:pStyle w:val="a3"/>
        <w:spacing w:before="0" w:beforeAutospacing="0" w:after="0" w:afterAutospacing="0"/>
        <w:rPr>
          <w:sz w:val="20"/>
          <w:szCs w:val="20"/>
        </w:rPr>
      </w:pPr>
      <w:r>
        <w:rPr>
          <w:sz w:val="20"/>
          <w:szCs w:val="20"/>
        </w:rPr>
        <w:t> </w:t>
      </w:r>
    </w:p>
    <w:p w14:paraId="7C03D897" w14:textId="77777777" w:rsidR="00000000" w:rsidRDefault="001826C1">
      <w:pPr>
        <w:pStyle w:val="a3"/>
        <w:spacing w:before="0" w:beforeAutospacing="0" w:after="0" w:afterAutospacing="0"/>
        <w:jc w:val="both"/>
        <w:rPr>
          <w:sz w:val="20"/>
          <w:szCs w:val="20"/>
        </w:rPr>
      </w:pPr>
      <w:r>
        <w:rPr>
          <w:sz w:val="20"/>
          <w:szCs w:val="20"/>
        </w:rPr>
        <w:t>The acquired accounts receivable are recorded at fair value which represents amounts that have subsequently been paid or are expected to be paid by clients. The inventory acquired represents vaccines held at the managed practices. The fair value of custo</w:t>
      </w:r>
      <w:r>
        <w:rPr>
          <w:sz w:val="20"/>
          <w:szCs w:val="20"/>
        </w:rPr>
        <w:t xml:space="preserve">mer relationships was based on the estimated discounted cash flows generated by these intangibles. The goodwill from this acquisition is deductible ratably for income tax purposes over fifteen years and represents the Company’s ability to have an expanded </w:t>
      </w:r>
      <w:r>
        <w:rPr>
          <w:sz w:val="20"/>
          <w:szCs w:val="20"/>
        </w:rPr>
        <w:t>local presence in additional markets, operational synergies that we expect to achieve that would not be available to other market participants and the ability to offer group purchasing and practice management services.</w:t>
      </w:r>
    </w:p>
    <w:p w14:paraId="3A9918D5" w14:textId="77777777" w:rsidR="00000000" w:rsidRDefault="001826C1">
      <w:pPr>
        <w:pStyle w:val="a3"/>
        <w:spacing w:before="0" w:beforeAutospacing="0" w:after="0" w:afterAutospacing="0"/>
        <w:jc w:val="both"/>
        <w:rPr>
          <w:sz w:val="20"/>
          <w:szCs w:val="20"/>
        </w:rPr>
      </w:pPr>
      <w:r>
        <w:rPr>
          <w:sz w:val="20"/>
          <w:szCs w:val="20"/>
        </w:rPr>
        <w:t> </w:t>
      </w:r>
    </w:p>
    <w:p w14:paraId="1E5A8683" w14:textId="77777777" w:rsidR="00000000" w:rsidRDefault="001826C1">
      <w:pPr>
        <w:pStyle w:val="a3"/>
        <w:spacing w:before="0" w:beforeAutospacing="0" w:after="0" w:afterAutospacing="0"/>
        <w:jc w:val="both"/>
        <w:rPr>
          <w:sz w:val="20"/>
          <w:szCs w:val="20"/>
        </w:rPr>
      </w:pPr>
      <w:r>
        <w:rPr>
          <w:sz w:val="20"/>
          <w:szCs w:val="20"/>
        </w:rPr>
        <w:t>The weighted-average amortization p</w:t>
      </w:r>
      <w:r>
        <w:rPr>
          <w:sz w:val="20"/>
          <w:szCs w:val="20"/>
        </w:rPr>
        <w:t>eriod of the acquired intangibles is eight years.</w:t>
      </w:r>
    </w:p>
    <w:p w14:paraId="11E70EFB" w14:textId="77777777" w:rsidR="00000000" w:rsidRDefault="001826C1">
      <w:pPr>
        <w:pStyle w:val="a3"/>
        <w:spacing w:before="0" w:beforeAutospacing="0" w:after="0" w:afterAutospacing="0"/>
        <w:jc w:val="both"/>
        <w:rPr>
          <w:sz w:val="20"/>
          <w:szCs w:val="20"/>
        </w:rPr>
      </w:pPr>
      <w:r>
        <w:rPr>
          <w:sz w:val="20"/>
          <w:szCs w:val="20"/>
        </w:rPr>
        <w:t> </w:t>
      </w:r>
    </w:p>
    <w:p w14:paraId="68368048" w14:textId="77777777" w:rsidR="00000000" w:rsidRDefault="001826C1">
      <w:pPr>
        <w:pStyle w:val="a3"/>
        <w:spacing w:before="0" w:beforeAutospacing="0" w:after="0" w:afterAutospacing="0"/>
        <w:jc w:val="both"/>
        <w:rPr>
          <w:sz w:val="20"/>
          <w:szCs w:val="20"/>
        </w:rPr>
      </w:pPr>
      <w:r>
        <w:rPr>
          <w:sz w:val="20"/>
          <w:szCs w:val="20"/>
        </w:rPr>
        <w:t>Revenue earned from the customers obtained from the Orion acquisition was approximately $29 million during the year ended December 31, 2019.</w:t>
      </w:r>
    </w:p>
    <w:p w14:paraId="0DE446D7" w14:textId="77777777" w:rsidR="00000000" w:rsidRDefault="001826C1">
      <w:pPr>
        <w:pStyle w:val="a3"/>
        <w:spacing w:before="0" w:beforeAutospacing="0" w:after="0" w:afterAutospacing="0"/>
        <w:jc w:val="both"/>
        <w:rPr>
          <w:sz w:val="20"/>
          <w:szCs w:val="20"/>
        </w:rPr>
      </w:pPr>
      <w:r>
        <w:rPr>
          <w:sz w:val="20"/>
          <w:szCs w:val="20"/>
        </w:rPr>
        <w:t> </w:t>
      </w:r>
    </w:p>
    <w:p w14:paraId="097E632D" w14:textId="77777777" w:rsidR="00000000" w:rsidRDefault="001826C1">
      <w:pPr>
        <w:pStyle w:val="a3"/>
        <w:spacing w:before="0" w:beforeAutospacing="0" w:after="0" w:afterAutospacing="0"/>
        <w:jc w:val="both"/>
        <w:rPr>
          <w:sz w:val="20"/>
          <w:szCs w:val="20"/>
        </w:rPr>
      </w:pPr>
      <w:r>
        <w:rPr>
          <w:sz w:val="20"/>
          <w:szCs w:val="20"/>
        </w:rPr>
        <w:t>In connection with some of the Company’s acquisitions, contin</w:t>
      </w:r>
      <w:r>
        <w:rPr>
          <w:sz w:val="20"/>
          <w:szCs w:val="20"/>
        </w:rPr>
        <w:t>gent consideration as of December 31, 2018 was payable in the form of cash with payment terms through 2019. Depending on the terms of the agreement, if the performance measures are not achieved, the Company may pay less than the recorded amount, and if the</w:t>
      </w:r>
      <w:r>
        <w:rPr>
          <w:sz w:val="20"/>
          <w:szCs w:val="20"/>
        </w:rPr>
        <w:t xml:space="preserve"> performance measures are exceeded, the Company may pay more than the recorded amount. The contingent consideration liability was fully settled during 2019.</w:t>
      </w:r>
    </w:p>
    <w:p w14:paraId="50AF6A3F" w14:textId="77777777" w:rsidR="00000000" w:rsidRDefault="001826C1">
      <w:pPr>
        <w:pStyle w:val="a3"/>
        <w:spacing w:before="0" w:beforeAutospacing="0" w:after="0" w:afterAutospacing="0"/>
        <w:jc w:val="both"/>
        <w:rPr>
          <w:sz w:val="20"/>
          <w:szCs w:val="20"/>
        </w:rPr>
      </w:pPr>
      <w:r>
        <w:rPr>
          <w:sz w:val="20"/>
          <w:szCs w:val="20"/>
        </w:rPr>
        <w:t> </w:t>
      </w:r>
    </w:p>
    <w:p w14:paraId="748BD5DD" w14:textId="77777777" w:rsidR="00000000" w:rsidRDefault="001826C1">
      <w:pPr>
        <w:pStyle w:val="a3"/>
        <w:spacing w:before="0" w:beforeAutospacing="0" w:after="0" w:afterAutospacing="0"/>
        <w:jc w:val="both"/>
        <w:rPr>
          <w:sz w:val="20"/>
          <w:szCs w:val="20"/>
        </w:rPr>
      </w:pPr>
      <w:r>
        <w:rPr>
          <w:b/>
          <w:bCs/>
          <w:sz w:val="20"/>
          <w:szCs w:val="20"/>
          <w:u w:val="single"/>
        </w:rPr>
        <w:t>Pro forma financial information (Unaudited)</w:t>
      </w:r>
    </w:p>
    <w:p w14:paraId="33987D77" w14:textId="77777777" w:rsidR="00000000" w:rsidRDefault="001826C1">
      <w:pPr>
        <w:pStyle w:val="a3"/>
        <w:spacing w:before="0" w:beforeAutospacing="0" w:after="0" w:afterAutospacing="0"/>
        <w:jc w:val="both"/>
        <w:rPr>
          <w:sz w:val="20"/>
          <w:szCs w:val="20"/>
        </w:rPr>
      </w:pPr>
      <w:r>
        <w:rPr>
          <w:b/>
          <w:bCs/>
          <w:sz w:val="20"/>
          <w:szCs w:val="20"/>
        </w:rPr>
        <w:t> </w:t>
      </w:r>
    </w:p>
    <w:p w14:paraId="7C121392" w14:textId="77777777" w:rsidR="00000000" w:rsidRDefault="001826C1">
      <w:pPr>
        <w:pStyle w:val="a3"/>
        <w:spacing w:before="0" w:beforeAutospacing="0" w:after="0" w:afterAutospacing="0"/>
        <w:jc w:val="both"/>
        <w:rPr>
          <w:sz w:val="20"/>
          <w:szCs w:val="20"/>
        </w:rPr>
      </w:pPr>
      <w:r>
        <w:rPr>
          <w:sz w:val="20"/>
          <w:szCs w:val="20"/>
        </w:rPr>
        <w:t>The unaudited pro forma information below represent</w:t>
      </w:r>
      <w:r>
        <w:rPr>
          <w:sz w:val="20"/>
          <w:szCs w:val="20"/>
        </w:rPr>
        <w:t>s the consolidated results of operations as if the Orion and ETM acquisitions occurred on January 1, 2018. It includes revenue from the clients who had cancelled prior to each acquisition and costs and expenses discontinued before each acquisition. The pro</w:t>
      </w:r>
      <w:r>
        <w:rPr>
          <w:sz w:val="20"/>
          <w:szCs w:val="20"/>
        </w:rPr>
        <w:t xml:space="preserve"> forma information has been included for comparative purposes and is not indicative of results of operations of the Company would have had if the acquisitions occurred on the above date, nor is it necessarily indicative of future results. The unaudited pro</w:t>
      </w:r>
      <w:r>
        <w:rPr>
          <w:sz w:val="20"/>
          <w:szCs w:val="20"/>
        </w:rPr>
        <w:t xml:space="preserve"> forma information reflects adjustments related to (a) additional amortization of purchased intangible assets, (b) expenses are directly attributable to the acquisitions, (c) reversal of goodwill impairment, (d) adjustments for income taxes and (e) adjustm</w:t>
      </w:r>
      <w:r>
        <w:rPr>
          <w:sz w:val="20"/>
          <w:szCs w:val="20"/>
        </w:rPr>
        <w:t>ents of intercompany balances.</w:t>
      </w:r>
    </w:p>
    <w:p w14:paraId="5C85C3F8" w14:textId="77777777" w:rsidR="00000000" w:rsidRDefault="001826C1">
      <w:pPr>
        <w:pStyle w:val="a3"/>
        <w:spacing w:before="0" w:beforeAutospacing="0" w:after="0" w:afterAutospacing="0"/>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3944"/>
        <w:gridCol w:w="131"/>
        <w:gridCol w:w="100"/>
        <w:gridCol w:w="1261"/>
        <w:gridCol w:w="67"/>
        <w:gridCol w:w="127"/>
        <w:gridCol w:w="100"/>
        <w:gridCol w:w="1263"/>
        <w:gridCol w:w="67"/>
      </w:tblGrid>
      <w:tr w:rsidR="00000000" w14:paraId="0AE4A77A" w14:textId="77777777">
        <w:tc>
          <w:tcPr>
            <w:tcW w:w="0" w:type="auto"/>
            <w:vAlign w:val="bottom"/>
            <w:hideMark/>
          </w:tcPr>
          <w:p w14:paraId="12BBEBB8"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4E4EB787"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vAlign w:val="bottom"/>
            <w:hideMark/>
          </w:tcPr>
          <w:p w14:paraId="3CE38D09" w14:textId="77777777" w:rsidR="00000000" w:rsidRDefault="001826C1">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00A667B1" w14:textId="77777777" w:rsidR="00000000" w:rsidRDefault="001826C1">
            <w:pPr>
              <w:rPr>
                <w:rFonts w:eastAsia="Times New Roman"/>
                <w:b/>
                <w:bCs/>
                <w:sz w:val="20"/>
                <w:szCs w:val="20"/>
              </w:rPr>
            </w:pPr>
            <w:r>
              <w:rPr>
                <w:rFonts w:eastAsia="Times New Roman"/>
                <w:b/>
                <w:bCs/>
                <w:sz w:val="20"/>
                <w:szCs w:val="20"/>
              </w:rPr>
              <w:t> </w:t>
            </w:r>
          </w:p>
        </w:tc>
      </w:tr>
      <w:tr w:rsidR="00000000" w14:paraId="4CA93322" w14:textId="77777777">
        <w:tc>
          <w:tcPr>
            <w:tcW w:w="0" w:type="auto"/>
            <w:vAlign w:val="bottom"/>
            <w:hideMark/>
          </w:tcPr>
          <w:p w14:paraId="00F9B35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0660C7B0"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49D96EF0"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3581B929" w14:textId="77777777" w:rsidR="00000000" w:rsidRDefault="001826C1">
            <w:pPr>
              <w:rPr>
                <w:rFonts w:eastAsia="Times New Roman"/>
                <w:b/>
                <w:bCs/>
                <w:sz w:val="20"/>
                <w:szCs w:val="20"/>
              </w:rPr>
            </w:pPr>
            <w:r>
              <w:rPr>
                <w:rFonts w:eastAsia="Times New Roman"/>
                <w:b/>
                <w:bCs/>
                <w:sz w:val="20"/>
                <w:szCs w:val="20"/>
              </w:rPr>
              <w:t> </w:t>
            </w:r>
          </w:p>
        </w:tc>
      </w:tr>
      <w:tr w:rsidR="00000000" w14:paraId="658FBF46" w14:textId="77777777">
        <w:tc>
          <w:tcPr>
            <w:tcW w:w="0" w:type="auto"/>
            <w:vAlign w:val="bottom"/>
            <w:hideMark/>
          </w:tcPr>
          <w:p w14:paraId="121B8602"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4F0A85C"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F779CA6"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AC1743C"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A94D2C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A67D45E"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7C4B0871" w14:textId="77777777" w:rsidR="00000000" w:rsidRDefault="001826C1">
            <w:pPr>
              <w:rPr>
                <w:rFonts w:eastAsia="Times New Roman"/>
                <w:b/>
                <w:bCs/>
                <w:sz w:val="20"/>
                <w:szCs w:val="20"/>
              </w:rPr>
            </w:pPr>
            <w:r>
              <w:rPr>
                <w:rFonts w:eastAsia="Times New Roman"/>
                <w:b/>
                <w:bCs/>
                <w:sz w:val="20"/>
                <w:szCs w:val="20"/>
              </w:rPr>
              <w:t> </w:t>
            </w:r>
          </w:p>
        </w:tc>
      </w:tr>
      <w:tr w:rsidR="00000000" w14:paraId="5B952D7D" w14:textId="77777777">
        <w:tc>
          <w:tcPr>
            <w:tcW w:w="0" w:type="auto"/>
            <w:vAlign w:val="bottom"/>
            <w:hideMark/>
          </w:tcPr>
          <w:p w14:paraId="56A9D3BE"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4C2D0EC4" w14:textId="77777777" w:rsidR="00000000" w:rsidRDefault="001826C1">
            <w:pPr>
              <w:rPr>
                <w:rFonts w:eastAsia="Times New Roman"/>
                <w:sz w:val="20"/>
                <w:szCs w:val="20"/>
              </w:rPr>
            </w:pPr>
            <w:r>
              <w:rPr>
                <w:rFonts w:eastAsia="Times New Roman"/>
                <w:sz w:val="20"/>
                <w:szCs w:val="20"/>
              </w:rPr>
              <w:t> </w:t>
            </w:r>
          </w:p>
        </w:tc>
        <w:tc>
          <w:tcPr>
            <w:tcW w:w="0" w:type="auto"/>
            <w:gridSpan w:val="6"/>
            <w:vAlign w:val="bottom"/>
            <w:hideMark/>
          </w:tcPr>
          <w:p w14:paraId="779C60DF" w14:textId="77777777" w:rsidR="00000000" w:rsidRDefault="001826C1">
            <w:pPr>
              <w:jc w:val="center"/>
              <w:rPr>
                <w:rFonts w:eastAsia="Times New Roman"/>
                <w:sz w:val="20"/>
                <w:szCs w:val="20"/>
              </w:rPr>
            </w:pPr>
            <w:r>
              <w:rPr>
                <w:rFonts w:eastAsia="Times New Roman"/>
                <w:sz w:val="20"/>
                <w:szCs w:val="20"/>
              </w:rPr>
              <w:t>($ in thousands except per share amounts)</w:t>
            </w:r>
          </w:p>
        </w:tc>
        <w:tc>
          <w:tcPr>
            <w:tcW w:w="0" w:type="auto"/>
            <w:vAlign w:val="bottom"/>
            <w:hideMark/>
          </w:tcPr>
          <w:p w14:paraId="453D4BE3" w14:textId="77777777" w:rsidR="00000000" w:rsidRDefault="001826C1">
            <w:pPr>
              <w:rPr>
                <w:rFonts w:eastAsia="Times New Roman"/>
                <w:sz w:val="20"/>
                <w:szCs w:val="20"/>
              </w:rPr>
            </w:pPr>
            <w:r>
              <w:rPr>
                <w:rFonts w:eastAsia="Times New Roman"/>
                <w:sz w:val="20"/>
                <w:szCs w:val="20"/>
              </w:rPr>
              <w:t> </w:t>
            </w:r>
          </w:p>
        </w:tc>
      </w:tr>
      <w:tr w:rsidR="00000000" w14:paraId="38B4AA87" w14:textId="77777777">
        <w:tc>
          <w:tcPr>
            <w:tcW w:w="2800" w:type="pct"/>
            <w:shd w:val="clear" w:color="auto" w:fill="CCEEFF"/>
            <w:tcMar>
              <w:top w:w="0" w:type="dxa"/>
              <w:left w:w="0" w:type="dxa"/>
              <w:bottom w:w="50" w:type="dxa"/>
              <w:right w:w="0" w:type="dxa"/>
            </w:tcMar>
            <w:vAlign w:val="bottom"/>
            <w:hideMark/>
          </w:tcPr>
          <w:p w14:paraId="04FEEF14" w14:textId="77777777" w:rsidR="00000000" w:rsidRDefault="001826C1">
            <w:pPr>
              <w:rPr>
                <w:rFonts w:eastAsia="Times New Roman"/>
                <w:sz w:val="20"/>
                <w:szCs w:val="20"/>
              </w:rPr>
            </w:pPr>
            <w:r>
              <w:rPr>
                <w:rFonts w:eastAsia="Times New Roman"/>
                <w:sz w:val="20"/>
                <w:szCs w:val="20"/>
              </w:rPr>
              <w:t>Total revenue</w:t>
            </w:r>
          </w:p>
        </w:tc>
        <w:tc>
          <w:tcPr>
            <w:tcW w:w="100" w:type="pct"/>
            <w:shd w:val="clear" w:color="auto" w:fill="CCEEFF"/>
            <w:tcMar>
              <w:top w:w="0" w:type="dxa"/>
              <w:left w:w="0" w:type="dxa"/>
              <w:bottom w:w="50" w:type="dxa"/>
              <w:right w:w="0" w:type="dxa"/>
            </w:tcMar>
            <w:vAlign w:val="bottom"/>
            <w:hideMark/>
          </w:tcPr>
          <w:p w14:paraId="43267D80" w14:textId="77777777" w:rsidR="00000000" w:rsidRDefault="001826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36A969EC" w14:textId="77777777" w:rsidR="00000000" w:rsidRDefault="001826C1">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14:paraId="1C515515" w14:textId="77777777" w:rsidR="00000000" w:rsidRDefault="001826C1">
            <w:pPr>
              <w:jc w:val="right"/>
              <w:rPr>
                <w:rFonts w:eastAsia="Times New Roman"/>
                <w:sz w:val="20"/>
                <w:szCs w:val="20"/>
              </w:rPr>
            </w:pPr>
            <w:r>
              <w:rPr>
                <w:rFonts w:eastAsia="Times New Roman"/>
                <w:sz w:val="20"/>
                <w:szCs w:val="20"/>
              </w:rPr>
              <w:t>66,480</w:t>
            </w:r>
          </w:p>
        </w:tc>
        <w:tc>
          <w:tcPr>
            <w:tcW w:w="50" w:type="pct"/>
            <w:shd w:val="clear" w:color="auto" w:fill="CCEEFF"/>
            <w:tcMar>
              <w:top w:w="0" w:type="dxa"/>
              <w:left w:w="0" w:type="dxa"/>
              <w:bottom w:w="50" w:type="dxa"/>
              <w:right w:w="0" w:type="dxa"/>
            </w:tcMar>
            <w:vAlign w:val="bottom"/>
            <w:hideMark/>
          </w:tcPr>
          <w:p w14:paraId="7739D201"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tcMar>
              <w:top w:w="0" w:type="dxa"/>
              <w:left w:w="0" w:type="dxa"/>
              <w:bottom w:w="50" w:type="dxa"/>
              <w:right w:w="0" w:type="dxa"/>
            </w:tcMar>
            <w:vAlign w:val="bottom"/>
            <w:hideMark/>
          </w:tcPr>
          <w:p w14:paraId="003A663B" w14:textId="77777777" w:rsidR="00000000" w:rsidRDefault="001826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CCEEFF"/>
            <w:vAlign w:val="bottom"/>
            <w:hideMark/>
          </w:tcPr>
          <w:p w14:paraId="5B708E45" w14:textId="77777777" w:rsidR="00000000" w:rsidRDefault="001826C1">
            <w:pPr>
              <w:rPr>
                <w:rFonts w:eastAsia="Times New Roman"/>
                <w:sz w:val="20"/>
                <w:szCs w:val="20"/>
              </w:rPr>
            </w:pPr>
            <w:r>
              <w:rPr>
                <w:rFonts w:eastAsia="Times New Roman"/>
                <w:sz w:val="20"/>
                <w:szCs w:val="20"/>
              </w:rPr>
              <w:t>$</w:t>
            </w:r>
          </w:p>
        </w:tc>
        <w:tc>
          <w:tcPr>
            <w:tcW w:w="900" w:type="pct"/>
            <w:tcBorders>
              <w:bottom w:val="double" w:sz="6" w:space="0" w:color="000000"/>
            </w:tcBorders>
            <w:shd w:val="clear" w:color="auto" w:fill="CCEEFF"/>
            <w:vAlign w:val="bottom"/>
            <w:hideMark/>
          </w:tcPr>
          <w:p w14:paraId="080EC6B0" w14:textId="77777777" w:rsidR="00000000" w:rsidRDefault="001826C1">
            <w:pPr>
              <w:jc w:val="right"/>
              <w:rPr>
                <w:rFonts w:eastAsia="Times New Roman"/>
                <w:sz w:val="20"/>
                <w:szCs w:val="20"/>
              </w:rPr>
            </w:pPr>
            <w:r>
              <w:rPr>
                <w:rFonts w:eastAsia="Times New Roman"/>
                <w:sz w:val="20"/>
                <w:szCs w:val="20"/>
              </w:rPr>
              <w:t>81,876</w:t>
            </w:r>
          </w:p>
        </w:tc>
        <w:tc>
          <w:tcPr>
            <w:tcW w:w="50" w:type="pct"/>
            <w:shd w:val="clear" w:color="auto" w:fill="CCEEFF"/>
            <w:tcMar>
              <w:top w:w="0" w:type="dxa"/>
              <w:left w:w="0" w:type="dxa"/>
              <w:bottom w:w="50" w:type="dxa"/>
              <w:right w:w="0" w:type="dxa"/>
            </w:tcMar>
            <w:vAlign w:val="bottom"/>
            <w:hideMark/>
          </w:tcPr>
          <w:p w14:paraId="39E8F2BA" w14:textId="77777777" w:rsidR="00000000" w:rsidRDefault="001826C1">
            <w:pPr>
              <w:rPr>
                <w:rFonts w:eastAsia="Times New Roman"/>
                <w:sz w:val="20"/>
                <w:szCs w:val="20"/>
              </w:rPr>
            </w:pPr>
            <w:r>
              <w:rPr>
                <w:rFonts w:eastAsia="Times New Roman"/>
                <w:sz w:val="20"/>
                <w:szCs w:val="20"/>
              </w:rPr>
              <w:t> </w:t>
            </w:r>
          </w:p>
        </w:tc>
      </w:tr>
      <w:tr w:rsidR="00000000" w14:paraId="373D037D" w14:textId="77777777">
        <w:tc>
          <w:tcPr>
            <w:tcW w:w="0" w:type="auto"/>
            <w:shd w:val="clear" w:color="auto" w:fill="FFFFFF"/>
            <w:tcMar>
              <w:top w:w="0" w:type="dxa"/>
              <w:left w:w="0" w:type="dxa"/>
              <w:bottom w:w="50" w:type="dxa"/>
              <w:right w:w="0" w:type="dxa"/>
            </w:tcMar>
            <w:vAlign w:val="bottom"/>
            <w:hideMark/>
          </w:tcPr>
          <w:p w14:paraId="05FED889" w14:textId="77777777" w:rsidR="00000000" w:rsidRDefault="001826C1">
            <w:pPr>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50" w:type="dxa"/>
              <w:right w:w="0" w:type="dxa"/>
            </w:tcMar>
            <w:vAlign w:val="bottom"/>
            <w:hideMark/>
          </w:tcPr>
          <w:p w14:paraId="1CC5AAE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63B37E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8DCE27B" w14:textId="77777777" w:rsidR="00000000" w:rsidRDefault="001826C1">
            <w:pPr>
              <w:jc w:val="right"/>
              <w:rPr>
                <w:rFonts w:eastAsia="Times New Roman"/>
                <w:sz w:val="20"/>
                <w:szCs w:val="20"/>
              </w:rPr>
            </w:pPr>
            <w:r>
              <w:rPr>
                <w:rFonts w:eastAsia="Times New Roman"/>
                <w:sz w:val="20"/>
                <w:szCs w:val="20"/>
              </w:rPr>
              <w:t>(2,372</w:t>
            </w:r>
          </w:p>
        </w:tc>
        <w:tc>
          <w:tcPr>
            <w:tcW w:w="0" w:type="auto"/>
            <w:shd w:val="clear" w:color="auto" w:fill="FFFFFF"/>
            <w:tcMar>
              <w:top w:w="0" w:type="dxa"/>
              <w:left w:w="0" w:type="dxa"/>
              <w:bottom w:w="50" w:type="dxa"/>
              <w:right w:w="0" w:type="dxa"/>
            </w:tcMar>
            <w:vAlign w:val="bottom"/>
            <w:hideMark/>
          </w:tcPr>
          <w:p w14:paraId="1CE92D53"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387C9C2C"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F8027B7"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2806842" w14:textId="77777777" w:rsidR="00000000" w:rsidRDefault="001826C1">
            <w:pPr>
              <w:jc w:val="right"/>
              <w:rPr>
                <w:rFonts w:eastAsia="Times New Roman"/>
                <w:sz w:val="20"/>
                <w:szCs w:val="20"/>
              </w:rPr>
            </w:pPr>
            <w:r>
              <w:rPr>
                <w:rFonts w:eastAsia="Times New Roman"/>
                <w:sz w:val="20"/>
                <w:szCs w:val="20"/>
              </w:rPr>
              <w:t>(12,387</w:t>
            </w:r>
          </w:p>
        </w:tc>
        <w:tc>
          <w:tcPr>
            <w:tcW w:w="0" w:type="auto"/>
            <w:shd w:val="clear" w:color="auto" w:fill="FFFFFF"/>
            <w:tcMar>
              <w:top w:w="0" w:type="dxa"/>
              <w:left w:w="0" w:type="dxa"/>
              <w:bottom w:w="50" w:type="dxa"/>
              <w:right w:w="0" w:type="dxa"/>
            </w:tcMar>
            <w:vAlign w:val="bottom"/>
            <w:hideMark/>
          </w:tcPr>
          <w:p w14:paraId="632C581C" w14:textId="77777777" w:rsidR="00000000" w:rsidRDefault="001826C1">
            <w:pPr>
              <w:rPr>
                <w:rFonts w:eastAsia="Times New Roman"/>
                <w:sz w:val="20"/>
                <w:szCs w:val="20"/>
              </w:rPr>
            </w:pPr>
            <w:r>
              <w:rPr>
                <w:rFonts w:eastAsia="Times New Roman"/>
                <w:sz w:val="20"/>
                <w:szCs w:val="20"/>
              </w:rPr>
              <w:t>)</w:t>
            </w:r>
          </w:p>
        </w:tc>
      </w:tr>
      <w:tr w:rsidR="00000000" w14:paraId="63D95A06" w14:textId="77777777">
        <w:tc>
          <w:tcPr>
            <w:tcW w:w="0" w:type="auto"/>
            <w:shd w:val="clear" w:color="auto" w:fill="CCEEFF"/>
            <w:tcMar>
              <w:top w:w="0" w:type="dxa"/>
              <w:left w:w="0" w:type="dxa"/>
              <w:bottom w:w="50" w:type="dxa"/>
              <w:right w:w="0" w:type="dxa"/>
            </w:tcMar>
            <w:vAlign w:val="bottom"/>
            <w:hideMark/>
          </w:tcPr>
          <w:p w14:paraId="3ABB99AB" w14:textId="77777777" w:rsidR="00000000" w:rsidRDefault="001826C1">
            <w:pPr>
              <w:rPr>
                <w:rFonts w:eastAsia="Times New Roman"/>
                <w:sz w:val="20"/>
                <w:szCs w:val="20"/>
              </w:rPr>
            </w:pPr>
            <w:r>
              <w:rPr>
                <w:rFonts w:eastAsia="Times New Roman"/>
                <w:sz w:val="20"/>
                <w:szCs w:val="20"/>
              </w:rPr>
              <w:t>Net loss attributable to common shareholders</w:t>
            </w:r>
          </w:p>
        </w:tc>
        <w:tc>
          <w:tcPr>
            <w:tcW w:w="0" w:type="auto"/>
            <w:shd w:val="clear" w:color="auto" w:fill="CCEEFF"/>
            <w:tcMar>
              <w:top w:w="0" w:type="dxa"/>
              <w:left w:w="0" w:type="dxa"/>
              <w:bottom w:w="50" w:type="dxa"/>
              <w:right w:w="0" w:type="dxa"/>
            </w:tcMar>
            <w:vAlign w:val="bottom"/>
            <w:hideMark/>
          </w:tcPr>
          <w:p w14:paraId="4A0304F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0E3763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13BE690" w14:textId="77777777" w:rsidR="00000000" w:rsidRDefault="001826C1">
            <w:pPr>
              <w:jc w:val="right"/>
              <w:rPr>
                <w:rFonts w:eastAsia="Times New Roman"/>
                <w:sz w:val="20"/>
                <w:szCs w:val="20"/>
              </w:rPr>
            </w:pPr>
            <w:r>
              <w:rPr>
                <w:rFonts w:eastAsia="Times New Roman"/>
                <w:sz w:val="20"/>
                <w:szCs w:val="20"/>
              </w:rPr>
              <w:t>(8,758</w:t>
            </w:r>
          </w:p>
        </w:tc>
        <w:tc>
          <w:tcPr>
            <w:tcW w:w="0" w:type="auto"/>
            <w:shd w:val="clear" w:color="auto" w:fill="CCEEFF"/>
            <w:tcMar>
              <w:top w:w="0" w:type="dxa"/>
              <w:left w:w="0" w:type="dxa"/>
              <w:bottom w:w="50" w:type="dxa"/>
              <w:right w:w="0" w:type="dxa"/>
            </w:tcMar>
            <w:vAlign w:val="bottom"/>
            <w:hideMark/>
          </w:tcPr>
          <w:p w14:paraId="52090B70"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40089B75"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540B431"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E4D89BA" w14:textId="77777777" w:rsidR="00000000" w:rsidRDefault="001826C1">
            <w:pPr>
              <w:jc w:val="right"/>
              <w:rPr>
                <w:rFonts w:eastAsia="Times New Roman"/>
                <w:sz w:val="20"/>
                <w:szCs w:val="20"/>
              </w:rPr>
            </w:pPr>
            <w:r>
              <w:rPr>
                <w:rFonts w:eastAsia="Times New Roman"/>
                <w:sz w:val="20"/>
                <w:szCs w:val="20"/>
              </w:rPr>
              <w:t>(17,211</w:t>
            </w:r>
          </w:p>
        </w:tc>
        <w:tc>
          <w:tcPr>
            <w:tcW w:w="0" w:type="auto"/>
            <w:shd w:val="clear" w:color="auto" w:fill="CCEEFF"/>
            <w:tcMar>
              <w:top w:w="0" w:type="dxa"/>
              <w:left w:w="0" w:type="dxa"/>
              <w:bottom w:w="50" w:type="dxa"/>
              <w:right w:w="0" w:type="dxa"/>
            </w:tcMar>
            <w:vAlign w:val="bottom"/>
            <w:hideMark/>
          </w:tcPr>
          <w:p w14:paraId="3FA97AD0" w14:textId="77777777" w:rsidR="00000000" w:rsidRDefault="001826C1">
            <w:pPr>
              <w:rPr>
                <w:rFonts w:eastAsia="Times New Roman"/>
                <w:sz w:val="20"/>
                <w:szCs w:val="20"/>
              </w:rPr>
            </w:pPr>
            <w:r>
              <w:rPr>
                <w:rFonts w:eastAsia="Times New Roman"/>
                <w:sz w:val="20"/>
                <w:szCs w:val="20"/>
              </w:rPr>
              <w:t>)</w:t>
            </w:r>
          </w:p>
        </w:tc>
      </w:tr>
      <w:tr w:rsidR="00000000" w14:paraId="7C00D473" w14:textId="77777777">
        <w:tc>
          <w:tcPr>
            <w:tcW w:w="0" w:type="auto"/>
            <w:shd w:val="clear" w:color="auto" w:fill="FFFFFF"/>
            <w:tcMar>
              <w:top w:w="0" w:type="dxa"/>
              <w:left w:w="0" w:type="dxa"/>
              <w:bottom w:w="50" w:type="dxa"/>
              <w:right w:w="0" w:type="dxa"/>
            </w:tcMar>
            <w:vAlign w:val="bottom"/>
            <w:hideMark/>
          </w:tcPr>
          <w:p w14:paraId="245F7791" w14:textId="77777777" w:rsidR="00000000" w:rsidRDefault="001826C1">
            <w:pPr>
              <w:rPr>
                <w:rFonts w:eastAsia="Times New Roman"/>
                <w:sz w:val="20"/>
                <w:szCs w:val="20"/>
              </w:rPr>
            </w:pPr>
            <w:r>
              <w:rPr>
                <w:rFonts w:eastAsia="Times New Roman"/>
                <w:sz w:val="20"/>
                <w:szCs w:val="20"/>
              </w:rPr>
              <w:t>Net loss per common share</w:t>
            </w:r>
          </w:p>
        </w:tc>
        <w:tc>
          <w:tcPr>
            <w:tcW w:w="0" w:type="auto"/>
            <w:shd w:val="clear" w:color="auto" w:fill="FFFFFF"/>
            <w:tcMar>
              <w:top w:w="0" w:type="dxa"/>
              <w:left w:w="0" w:type="dxa"/>
              <w:bottom w:w="50" w:type="dxa"/>
              <w:right w:w="0" w:type="dxa"/>
            </w:tcMar>
            <w:vAlign w:val="bottom"/>
            <w:hideMark/>
          </w:tcPr>
          <w:p w14:paraId="7D7AB1E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7085FB5"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74C8CC7" w14:textId="77777777" w:rsidR="00000000" w:rsidRDefault="001826C1">
            <w:pPr>
              <w:jc w:val="right"/>
              <w:rPr>
                <w:rFonts w:eastAsia="Times New Roman"/>
                <w:sz w:val="20"/>
                <w:szCs w:val="20"/>
              </w:rPr>
            </w:pPr>
            <w:r>
              <w:rPr>
                <w:rFonts w:eastAsia="Times New Roman"/>
                <w:sz w:val="20"/>
                <w:szCs w:val="20"/>
              </w:rPr>
              <w:t>(0.72</w:t>
            </w:r>
          </w:p>
        </w:tc>
        <w:tc>
          <w:tcPr>
            <w:tcW w:w="0" w:type="auto"/>
            <w:shd w:val="clear" w:color="auto" w:fill="FFFFFF"/>
            <w:tcMar>
              <w:top w:w="0" w:type="dxa"/>
              <w:left w:w="0" w:type="dxa"/>
              <w:bottom w:w="50" w:type="dxa"/>
              <w:right w:w="0" w:type="dxa"/>
            </w:tcMar>
            <w:vAlign w:val="bottom"/>
            <w:hideMark/>
          </w:tcPr>
          <w:p w14:paraId="5EC188F4"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41AFF09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5AE165F"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29CE67E" w14:textId="77777777" w:rsidR="00000000" w:rsidRDefault="001826C1">
            <w:pPr>
              <w:jc w:val="right"/>
              <w:rPr>
                <w:rFonts w:eastAsia="Times New Roman"/>
                <w:sz w:val="20"/>
                <w:szCs w:val="20"/>
              </w:rPr>
            </w:pPr>
            <w:r>
              <w:rPr>
                <w:rFonts w:eastAsia="Times New Roman"/>
                <w:sz w:val="20"/>
                <w:szCs w:val="20"/>
              </w:rPr>
              <w:t>(1.47</w:t>
            </w:r>
          </w:p>
        </w:tc>
        <w:tc>
          <w:tcPr>
            <w:tcW w:w="0" w:type="auto"/>
            <w:shd w:val="clear" w:color="auto" w:fill="FFFFFF"/>
            <w:tcMar>
              <w:top w:w="0" w:type="dxa"/>
              <w:left w:w="0" w:type="dxa"/>
              <w:bottom w:w="50" w:type="dxa"/>
              <w:right w:w="0" w:type="dxa"/>
            </w:tcMar>
            <w:vAlign w:val="bottom"/>
            <w:hideMark/>
          </w:tcPr>
          <w:p w14:paraId="68436183" w14:textId="77777777" w:rsidR="00000000" w:rsidRDefault="001826C1">
            <w:pPr>
              <w:rPr>
                <w:rFonts w:eastAsia="Times New Roman"/>
                <w:sz w:val="20"/>
                <w:szCs w:val="20"/>
              </w:rPr>
            </w:pPr>
            <w:r>
              <w:rPr>
                <w:rFonts w:eastAsia="Times New Roman"/>
                <w:sz w:val="20"/>
                <w:szCs w:val="20"/>
              </w:rPr>
              <w:t>)</w:t>
            </w:r>
          </w:p>
        </w:tc>
      </w:tr>
    </w:tbl>
    <w:p w14:paraId="46E33544"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6AD9C681" w14:textId="77777777">
        <w:tc>
          <w:tcPr>
            <w:tcW w:w="360" w:type="dxa"/>
            <w:hideMark/>
          </w:tcPr>
          <w:p w14:paraId="157F445A" w14:textId="77777777" w:rsidR="00000000" w:rsidRDefault="001826C1">
            <w:pPr>
              <w:rPr>
                <w:rFonts w:eastAsia="Times New Roman"/>
                <w:b/>
                <w:bCs/>
                <w:caps/>
                <w:sz w:val="20"/>
                <w:szCs w:val="20"/>
              </w:rPr>
            </w:pPr>
            <w:r>
              <w:rPr>
                <w:rFonts w:eastAsia="Times New Roman"/>
                <w:b/>
                <w:bCs/>
                <w:caps/>
                <w:sz w:val="20"/>
                <w:szCs w:val="20"/>
              </w:rPr>
              <w:t>4.</w:t>
            </w:r>
          </w:p>
        </w:tc>
        <w:tc>
          <w:tcPr>
            <w:tcW w:w="0" w:type="auto"/>
            <w:hideMark/>
          </w:tcPr>
          <w:p w14:paraId="4E6DF195" w14:textId="77777777" w:rsidR="00000000" w:rsidRDefault="001826C1">
            <w:pPr>
              <w:rPr>
                <w:rFonts w:eastAsia="Times New Roman"/>
                <w:b/>
                <w:bCs/>
                <w:caps/>
                <w:sz w:val="20"/>
                <w:szCs w:val="20"/>
              </w:rPr>
            </w:pPr>
            <w:r>
              <w:rPr>
                <w:rFonts w:eastAsia="Times New Roman"/>
                <w:b/>
                <w:bCs/>
                <w:caps/>
                <w:sz w:val="20"/>
                <w:szCs w:val="20"/>
              </w:rPr>
              <w:t>GOODWILL AND Intangible Assets – NET</w:t>
            </w:r>
          </w:p>
        </w:tc>
      </w:tr>
    </w:tbl>
    <w:p w14:paraId="3FA139DA" w14:textId="77777777" w:rsidR="00000000" w:rsidRDefault="001826C1">
      <w:pPr>
        <w:pStyle w:val="a3"/>
        <w:spacing w:before="0" w:beforeAutospacing="0" w:after="0" w:afterAutospacing="0"/>
        <w:ind w:left="475" w:hanging="475"/>
        <w:rPr>
          <w:b/>
          <w:bCs/>
          <w:caps/>
          <w:sz w:val="20"/>
          <w:szCs w:val="20"/>
        </w:rPr>
      </w:pPr>
      <w:r>
        <w:rPr>
          <w:b/>
          <w:bCs/>
          <w:caps/>
          <w:sz w:val="20"/>
          <w:szCs w:val="20"/>
        </w:rPr>
        <w:t> </w:t>
      </w:r>
    </w:p>
    <w:p w14:paraId="273524C2" w14:textId="77777777" w:rsidR="00000000" w:rsidRDefault="001826C1">
      <w:pPr>
        <w:pStyle w:val="a3"/>
        <w:spacing w:before="0" w:beforeAutospacing="0" w:after="0" w:afterAutospacing="0"/>
        <w:jc w:val="both"/>
        <w:rPr>
          <w:sz w:val="20"/>
          <w:szCs w:val="20"/>
        </w:rPr>
      </w:pPr>
      <w:r>
        <w:rPr>
          <w:sz w:val="20"/>
          <w:szCs w:val="20"/>
        </w:rPr>
        <w:t xml:space="preserve">Goodwill </w:t>
      </w:r>
      <w:r>
        <w:rPr>
          <w:sz w:val="20"/>
          <w:szCs w:val="20"/>
        </w:rPr>
        <w:t>consists of the excess of the purchase price over the fair value of identifiable net assets of businesses acquired. The following is the summary of the changes to the carrying amount of goodwill for the years ended December 31, 2019 and 2018:</w:t>
      </w:r>
    </w:p>
    <w:p w14:paraId="3CCFE1AC" w14:textId="77777777" w:rsidR="00000000" w:rsidRDefault="001826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545"/>
        <w:gridCol w:w="103"/>
        <w:gridCol w:w="100"/>
        <w:gridCol w:w="1382"/>
        <w:gridCol w:w="50"/>
        <w:gridCol w:w="100"/>
        <w:gridCol w:w="100"/>
        <w:gridCol w:w="1384"/>
        <w:gridCol w:w="50"/>
      </w:tblGrid>
      <w:tr w:rsidR="00000000" w14:paraId="2BDD2C0E" w14:textId="77777777">
        <w:tc>
          <w:tcPr>
            <w:tcW w:w="0" w:type="auto"/>
            <w:vAlign w:val="bottom"/>
            <w:hideMark/>
          </w:tcPr>
          <w:p w14:paraId="0E1149FF" w14:textId="77777777" w:rsidR="00000000" w:rsidRDefault="001826C1">
            <w:pPr>
              <w:jc w:val="center"/>
              <w:rPr>
                <w:rFonts w:eastAsia="Times New Roman"/>
                <w:sz w:val="20"/>
                <w:szCs w:val="20"/>
              </w:rPr>
            </w:pPr>
            <w:r>
              <w:rPr>
                <w:rFonts w:eastAsia="Times New Roman"/>
                <w:sz w:val="20"/>
                <w:szCs w:val="20"/>
              </w:rPr>
              <w:t> </w:t>
            </w:r>
          </w:p>
        </w:tc>
        <w:tc>
          <w:tcPr>
            <w:tcW w:w="0" w:type="auto"/>
            <w:vAlign w:val="bottom"/>
            <w:hideMark/>
          </w:tcPr>
          <w:p w14:paraId="48506C31"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50536240" w14:textId="77777777" w:rsidR="00000000" w:rsidRDefault="001826C1">
            <w:pPr>
              <w:jc w:val="center"/>
              <w:rPr>
                <w:rFonts w:eastAsia="Times New Roman"/>
                <w:b/>
                <w:bCs/>
                <w:sz w:val="20"/>
                <w:szCs w:val="20"/>
              </w:rPr>
            </w:pPr>
            <w:r>
              <w:rPr>
                <w:rFonts w:eastAsia="Times New Roman"/>
                <w:b/>
                <w:bCs/>
                <w:sz w:val="20"/>
                <w:szCs w:val="20"/>
              </w:rPr>
              <w:t>Year En</w:t>
            </w:r>
            <w:r>
              <w:rPr>
                <w:rFonts w:eastAsia="Times New Roman"/>
                <w:b/>
                <w:bCs/>
                <w:sz w:val="20"/>
                <w:szCs w:val="20"/>
              </w:rPr>
              <w:t>ded</w:t>
            </w:r>
          </w:p>
        </w:tc>
        <w:tc>
          <w:tcPr>
            <w:tcW w:w="0" w:type="auto"/>
            <w:vAlign w:val="bottom"/>
            <w:hideMark/>
          </w:tcPr>
          <w:p w14:paraId="29ED11E9"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vAlign w:val="bottom"/>
            <w:hideMark/>
          </w:tcPr>
          <w:p w14:paraId="06D4D743"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vAlign w:val="bottom"/>
            <w:hideMark/>
          </w:tcPr>
          <w:p w14:paraId="2E52E0FC" w14:textId="77777777" w:rsidR="00000000" w:rsidRDefault="001826C1">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3C8DED80" w14:textId="77777777" w:rsidR="00000000" w:rsidRDefault="001826C1">
            <w:pPr>
              <w:jc w:val="center"/>
              <w:rPr>
                <w:rFonts w:eastAsia="Times New Roman"/>
                <w:b/>
                <w:bCs/>
                <w:sz w:val="20"/>
                <w:szCs w:val="20"/>
              </w:rPr>
            </w:pPr>
            <w:r>
              <w:rPr>
                <w:rFonts w:eastAsia="Times New Roman"/>
                <w:b/>
                <w:bCs/>
                <w:sz w:val="20"/>
                <w:szCs w:val="20"/>
              </w:rPr>
              <w:t> </w:t>
            </w:r>
          </w:p>
        </w:tc>
      </w:tr>
      <w:tr w:rsidR="00000000" w14:paraId="5461813A" w14:textId="77777777">
        <w:tc>
          <w:tcPr>
            <w:tcW w:w="0" w:type="auto"/>
            <w:vAlign w:val="bottom"/>
            <w:hideMark/>
          </w:tcPr>
          <w:p w14:paraId="5EEFE5C8" w14:textId="77777777" w:rsidR="00000000" w:rsidRDefault="001826C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44F1B8C"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9E0A74B" w14:textId="77777777" w:rsidR="00000000" w:rsidRDefault="001826C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1A7ED57F"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ED1162C"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64C4FD5" w14:textId="77777777" w:rsidR="00000000" w:rsidRDefault="001826C1">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389F5A8C" w14:textId="77777777" w:rsidR="00000000" w:rsidRDefault="001826C1">
            <w:pPr>
              <w:rPr>
                <w:rFonts w:eastAsia="Times New Roman"/>
                <w:b/>
                <w:bCs/>
                <w:sz w:val="20"/>
                <w:szCs w:val="20"/>
              </w:rPr>
            </w:pPr>
            <w:r>
              <w:rPr>
                <w:rFonts w:eastAsia="Times New Roman"/>
                <w:b/>
                <w:bCs/>
                <w:sz w:val="20"/>
                <w:szCs w:val="20"/>
              </w:rPr>
              <w:t> </w:t>
            </w:r>
          </w:p>
        </w:tc>
      </w:tr>
      <w:tr w:rsidR="00000000" w14:paraId="4D28D18C" w14:textId="77777777">
        <w:tc>
          <w:tcPr>
            <w:tcW w:w="2200" w:type="pct"/>
            <w:shd w:val="clear" w:color="auto" w:fill="CCEEFF"/>
            <w:vAlign w:val="bottom"/>
            <w:hideMark/>
          </w:tcPr>
          <w:p w14:paraId="3BA77C24" w14:textId="77777777" w:rsidR="00000000" w:rsidRDefault="001826C1">
            <w:pPr>
              <w:rPr>
                <w:rFonts w:eastAsia="Times New Roman"/>
                <w:sz w:val="20"/>
                <w:szCs w:val="20"/>
              </w:rPr>
            </w:pPr>
            <w:r>
              <w:rPr>
                <w:rFonts w:eastAsia="Times New Roman"/>
                <w:sz w:val="20"/>
                <w:szCs w:val="20"/>
              </w:rPr>
              <w:t>Beginning gross balance</w:t>
            </w:r>
          </w:p>
        </w:tc>
        <w:tc>
          <w:tcPr>
            <w:tcW w:w="100" w:type="pct"/>
            <w:shd w:val="clear" w:color="auto" w:fill="CCEEFF"/>
            <w:vAlign w:val="bottom"/>
            <w:hideMark/>
          </w:tcPr>
          <w:p w14:paraId="2352446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16D64C" w14:textId="77777777" w:rsidR="00000000" w:rsidRDefault="001826C1">
            <w:pPr>
              <w:rPr>
                <w:rFonts w:eastAsia="Times New Roman"/>
                <w:sz w:val="20"/>
                <w:szCs w:val="20"/>
              </w:rPr>
            </w:pPr>
            <w:r>
              <w:rPr>
                <w:rFonts w:eastAsia="Times New Roman"/>
                <w:sz w:val="20"/>
                <w:szCs w:val="20"/>
              </w:rPr>
              <w:t>$</w:t>
            </w:r>
          </w:p>
        </w:tc>
        <w:tc>
          <w:tcPr>
            <w:tcW w:w="1200" w:type="pct"/>
            <w:shd w:val="clear" w:color="auto" w:fill="CCEEFF"/>
            <w:vAlign w:val="bottom"/>
            <w:hideMark/>
          </w:tcPr>
          <w:p w14:paraId="5527E1E6" w14:textId="77777777" w:rsidR="00000000" w:rsidRDefault="001826C1">
            <w:pPr>
              <w:jc w:val="right"/>
              <w:rPr>
                <w:rFonts w:eastAsia="Times New Roman"/>
                <w:sz w:val="20"/>
                <w:szCs w:val="20"/>
              </w:rPr>
            </w:pPr>
            <w:r>
              <w:rPr>
                <w:rFonts w:eastAsia="Times New Roman"/>
                <w:sz w:val="20"/>
                <w:szCs w:val="20"/>
              </w:rPr>
              <w:t>12,593,795</w:t>
            </w:r>
          </w:p>
        </w:tc>
        <w:tc>
          <w:tcPr>
            <w:tcW w:w="50" w:type="pct"/>
            <w:shd w:val="clear" w:color="auto" w:fill="CCEEFF"/>
            <w:vAlign w:val="bottom"/>
            <w:hideMark/>
          </w:tcPr>
          <w:p w14:paraId="7612088C"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CDED474"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B8927B3" w14:textId="77777777" w:rsidR="00000000" w:rsidRDefault="001826C1">
            <w:pPr>
              <w:rPr>
                <w:rFonts w:eastAsia="Times New Roman"/>
                <w:sz w:val="20"/>
                <w:szCs w:val="20"/>
              </w:rPr>
            </w:pPr>
            <w:r>
              <w:rPr>
                <w:rFonts w:eastAsia="Times New Roman"/>
                <w:sz w:val="20"/>
                <w:szCs w:val="20"/>
              </w:rPr>
              <w:t>$</w:t>
            </w:r>
          </w:p>
        </w:tc>
        <w:tc>
          <w:tcPr>
            <w:tcW w:w="1200" w:type="pct"/>
            <w:shd w:val="clear" w:color="auto" w:fill="CCEEFF"/>
            <w:vAlign w:val="bottom"/>
            <w:hideMark/>
          </w:tcPr>
          <w:p w14:paraId="57C4FBC2" w14:textId="77777777" w:rsidR="00000000" w:rsidRDefault="001826C1">
            <w:pPr>
              <w:jc w:val="right"/>
              <w:rPr>
                <w:rFonts w:eastAsia="Times New Roman"/>
                <w:sz w:val="20"/>
                <w:szCs w:val="20"/>
              </w:rPr>
            </w:pPr>
            <w:r>
              <w:rPr>
                <w:rFonts w:eastAsia="Times New Roman"/>
                <w:sz w:val="20"/>
                <w:szCs w:val="20"/>
              </w:rPr>
              <w:t>12,263,943</w:t>
            </w:r>
          </w:p>
        </w:tc>
        <w:tc>
          <w:tcPr>
            <w:tcW w:w="50" w:type="pct"/>
            <w:shd w:val="clear" w:color="auto" w:fill="CCEEFF"/>
            <w:vAlign w:val="bottom"/>
            <w:hideMark/>
          </w:tcPr>
          <w:p w14:paraId="3AFB1386" w14:textId="77777777" w:rsidR="00000000" w:rsidRDefault="001826C1">
            <w:pPr>
              <w:rPr>
                <w:rFonts w:eastAsia="Times New Roman"/>
                <w:sz w:val="20"/>
                <w:szCs w:val="20"/>
              </w:rPr>
            </w:pPr>
            <w:r>
              <w:rPr>
                <w:rFonts w:eastAsia="Times New Roman"/>
                <w:sz w:val="20"/>
                <w:szCs w:val="20"/>
              </w:rPr>
              <w:t> </w:t>
            </w:r>
          </w:p>
        </w:tc>
      </w:tr>
      <w:tr w:rsidR="00000000" w14:paraId="0166B011" w14:textId="77777777">
        <w:tc>
          <w:tcPr>
            <w:tcW w:w="0" w:type="auto"/>
            <w:shd w:val="clear" w:color="auto" w:fill="FFFFFF"/>
            <w:tcMar>
              <w:top w:w="0" w:type="dxa"/>
              <w:left w:w="0" w:type="dxa"/>
              <w:bottom w:w="30" w:type="dxa"/>
              <w:right w:w="0" w:type="dxa"/>
            </w:tcMar>
            <w:vAlign w:val="bottom"/>
            <w:hideMark/>
          </w:tcPr>
          <w:p w14:paraId="31FBC7D8" w14:textId="77777777" w:rsidR="00000000" w:rsidRDefault="001826C1">
            <w:pPr>
              <w:rPr>
                <w:rFonts w:eastAsia="Times New Roman"/>
                <w:sz w:val="20"/>
                <w:szCs w:val="20"/>
              </w:rPr>
            </w:pPr>
            <w:r>
              <w:rPr>
                <w:rFonts w:eastAsia="Times New Roman"/>
                <w:sz w:val="20"/>
                <w:szCs w:val="20"/>
              </w:rPr>
              <w:t>Acquisitions</w:t>
            </w:r>
          </w:p>
        </w:tc>
        <w:tc>
          <w:tcPr>
            <w:tcW w:w="0" w:type="auto"/>
            <w:shd w:val="clear" w:color="auto" w:fill="FFFFFF"/>
            <w:tcMar>
              <w:top w:w="0" w:type="dxa"/>
              <w:left w:w="0" w:type="dxa"/>
              <w:bottom w:w="30" w:type="dxa"/>
              <w:right w:w="0" w:type="dxa"/>
            </w:tcMar>
            <w:vAlign w:val="bottom"/>
            <w:hideMark/>
          </w:tcPr>
          <w:p w14:paraId="232E771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89BB47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668CBA" w14:textId="77777777" w:rsidR="00000000" w:rsidRDefault="001826C1">
            <w:pPr>
              <w:jc w:val="right"/>
              <w:rPr>
                <w:rFonts w:eastAsia="Times New Roman"/>
                <w:sz w:val="20"/>
                <w:szCs w:val="20"/>
              </w:rPr>
            </w:pPr>
            <w:r>
              <w:rPr>
                <w:rFonts w:eastAsia="Times New Roman"/>
                <w:sz w:val="20"/>
                <w:szCs w:val="20"/>
              </w:rPr>
              <w:t>39,901</w:t>
            </w:r>
          </w:p>
        </w:tc>
        <w:tc>
          <w:tcPr>
            <w:tcW w:w="0" w:type="auto"/>
            <w:shd w:val="clear" w:color="auto" w:fill="FFFFFF"/>
            <w:tcMar>
              <w:top w:w="0" w:type="dxa"/>
              <w:left w:w="0" w:type="dxa"/>
              <w:bottom w:w="30" w:type="dxa"/>
              <w:right w:w="0" w:type="dxa"/>
            </w:tcMar>
            <w:vAlign w:val="bottom"/>
            <w:hideMark/>
          </w:tcPr>
          <w:p w14:paraId="313173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1192A0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6EEF6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3E2B1C9" w14:textId="77777777" w:rsidR="00000000" w:rsidRDefault="001826C1">
            <w:pPr>
              <w:jc w:val="right"/>
              <w:rPr>
                <w:rFonts w:eastAsia="Times New Roman"/>
                <w:sz w:val="20"/>
                <w:szCs w:val="20"/>
              </w:rPr>
            </w:pPr>
            <w:r>
              <w:rPr>
                <w:rFonts w:eastAsia="Times New Roman"/>
                <w:sz w:val="20"/>
                <w:szCs w:val="20"/>
              </w:rPr>
              <w:t>329,852</w:t>
            </w:r>
          </w:p>
        </w:tc>
        <w:tc>
          <w:tcPr>
            <w:tcW w:w="0" w:type="auto"/>
            <w:shd w:val="clear" w:color="auto" w:fill="FFFFFF"/>
            <w:tcMar>
              <w:top w:w="0" w:type="dxa"/>
              <w:left w:w="0" w:type="dxa"/>
              <w:bottom w:w="30" w:type="dxa"/>
              <w:right w:w="0" w:type="dxa"/>
            </w:tcMar>
            <w:vAlign w:val="bottom"/>
            <w:hideMark/>
          </w:tcPr>
          <w:p w14:paraId="1ACB396C" w14:textId="77777777" w:rsidR="00000000" w:rsidRDefault="001826C1">
            <w:pPr>
              <w:rPr>
                <w:rFonts w:eastAsia="Times New Roman"/>
                <w:sz w:val="20"/>
                <w:szCs w:val="20"/>
              </w:rPr>
            </w:pPr>
            <w:r>
              <w:rPr>
                <w:rFonts w:eastAsia="Times New Roman"/>
                <w:sz w:val="20"/>
                <w:szCs w:val="20"/>
              </w:rPr>
              <w:t> </w:t>
            </w:r>
          </w:p>
        </w:tc>
      </w:tr>
      <w:tr w:rsidR="00000000" w14:paraId="16811F07" w14:textId="77777777">
        <w:tc>
          <w:tcPr>
            <w:tcW w:w="0" w:type="auto"/>
            <w:shd w:val="clear" w:color="auto" w:fill="CCEEFF"/>
            <w:tcMar>
              <w:top w:w="0" w:type="dxa"/>
              <w:left w:w="0" w:type="dxa"/>
              <w:bottom w:w="50" w:type="dxa"/>
              <w:right w:w="0" w:type="dxa"/>
            </w:tcMar>
            <w:vAlign w:val="bottom"/>
            <w:hideMark/>
          </w:tcPr>
          <w:p w14:paraId="5B7D28C2" w14:textId="77777777" w:rsidR="00000000" w:rsidRDefault="001826C1">
            <w:pPr>
              <w:rPr>
                <w:rFonts w:eastAsia="Times New Roman"/>
                <w:sz w:val="20"/>
                <w:szCs w:val="20"/>
              </w:rPr>
            </w:pPr>
            <w:r>
              <w:rPr>
                <w:rFonts w:eastAsia="Times New Roman"/>
                <w:sz w:val="20"/>
                <w:szCs w:val="20"/>
              </w:rPr>
              <w:t>Ending gross balance</w:t>
            </w:r>
          </w:p>
        </w:tc>
        <w:tc>
          <w:tcPr>
            <w:tcW w:w="0" w:type="auto"/>
            <w:shd w:val="clear" w:color="auto" w:fill="CCEEFF"/>
            <w:tcMar>
              <w:top w:w="0" w:type="dxa"/>
              <w:left w:w="0" w:type="dxa"/>
              <w:bottom w:w="50" w:type="dxa"/>
              <w:right w:w="0" w:type="dxa"/>
            </w:tcMar>
            <w:vAlign w:val="bottom"/>
            <w:hideMark/>
          </w:tcPr>
          <w:p w14:paraId="6B91773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6983F85"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9C99B92" w14:textId="77777777" w:rsidR="00000000" w:rsidRDefault="001826C1">
            <w:pPr>
              <w:jc w:val="right"/>
              <w:rPr>
                <w:rFonts w:eastAsia="Times New Roman"/>
                <w:sz w:val="20"/>
                <w:szCs w:val="20"/>
              </w:rPr>
            </w:pPr>
            <w:r>
              <w:rPr>
                <w:rFonts w:eastAsia="Times New Roman"/>
                <w:sz w:val="20"/>
                <w:szCs w:val="20"/>
              </w:rPr>
              <w:t>12,633,696</w:t>
            </w:r>
          </w:p>
        </w:tc>
        <w:tc>
          <w:tcPr>
            <w:tcW w:w="0" w:type="auto"/>
            <w:shd w:val="clear" w:color="auto" w:fill="CCEEFF"/>
            <w:tcMar>
              <w:top w:w="0" w:type="dxa"/>
              <w:left w:w="0" w:type="dxa"/>
              <w:bottom w:w="50" w:type="dxa"/>
              <w:right w:w="0" w:type="dxa"/>
            </w:tcMar>
            <w:vAlign w:val="bottom"/>
            <w:hideMark/>
          </w:tcPr>
          <w:p w14:paraId="26620A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A2A6E06"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8CBA93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827259A" w14:textId="77777777" w:rsidR="00000000" w:rsidRDefault="001826C1">
            <w:pPr>
              <w:jc w:val="right"/>
              <w:rPr>
                <w:rFonts w:eastAsia="Times New Roman"/>
                <w:sz w:val="20"/>
                <w:szCs w:val="20"/>
              </w:rPr>
            </w:pPr>
            <w:r>
              <w:rPr>
                <w:rFonts w:eastAsia="Times New Roman"/>
                <w:sz w:val="20"/>
                <w:szCs w:val="20"/>
              </w:rPr>
              <w:t>12,593,795</w:t>
            </w:r>
          </w:p>
        </w:tc>
        <w:tc>
          <w:tcPr>
            <w:tcW w:w="0" w:type="auto"/>
            <w:shd w:val="clear" w:color="auto" w:fill="CCEEFF"/>
            <w:tcMar>
              <w:top w:w="0" w:type="dxa"/>
              <w:left w:w="0" w:type="dxa"/>
              <w:bottom w:w="50" w:type="dxa"/>
              <w:right w:w="0" w:type="dxa"/>
            </w:tcMar>
            <w:vAlign w:val="bottom"/>
            <w:hideMark/>
          </w:tcPr>
          <w:p w14:paraId="40DA6C7F" w14:textId="77777777" w:rsidR="00000000" w:rsidRDefault="001826C1">
            <w:pPr>
              <w:rPr>
                <w:rFonts w:eastAsia="Times New Roman"/>
                <w:sz w:val="20"/>
                <w:szCs w:val="20"/>
              </w:rPr>
            </w:pPr>
            <w:r>
              <w:rPr>
                <w:rFonts w:eastAsia="Times New Roman"/>
                <w:sz w:val="20"/>
                <w:szCs w:val="20"/>
              </w:rPr>
              <w:t> </w:t>
            </w:r>
          </w:p>
        </w:tc>
      </w:tr>
    </w:tbl>
    <w:p w14:paraId="72900FAE" w14:textId="77777777" w:rsidR="00000000" w:rsidRDefault="001826C1">
      <w:pPr>
        <w:pStyle w:val="a3"/>
        <w:spacing w:before="0" w:beforeAutospacing="0" w:after="0" w:afterAutospacing="0"/>
        <w:jc w:val="both"/>
        <w:rPr>
          <w:sz w:val="20"/>
          <w:szCs w:val="20"/>
        </w:rPr>
      </w:pPr>
      <w:r>
        <w:rPr>
          <w:sz w:val="20"/>
          <w:szCs w:val="20"/>
        </w:rPr>
        <w:t> </w:t>
      </w:r>
    </w:p>
    <w:p w14:paraId="1BB672A2" w14:textId="77777777" w:rsidR="00000000" w:rsidRDefault="001826C1">
      <w:pPr>
        <w:pStyle w:val="a3"/>
        <w:spacing w:before="0" w:beforeAutospacing="0" w:after="0" w:afterAutospacing="0"/>
        <w:jc w:val="both"/>
        <w:rPr>
          <w:sz w:val="20"/>
          <w:szCs w:val="20"/>
        </w:rPr>
      </w:pPr>
      <w:r>
        <w:rPr>
          <w:sz w:val="20"/>
          <w:szCs w:val="20"/>
        </w:rPr>
        <w:t xml:space="preserve">At </w:t>
      </w:r>
      <w:r>
        <w:rPr>
          <w:sz w:val="20"/>
          <w:szCs w:val="20"/>
        </w:rPr>
        <w:t>December 31, 2019, and 2018, approximately $90,000 of goodwill was allocated to the Practice Management segment and the balance was allocated to the Healthcare IT segment.</w:t>
      </w:r>
    </w:p>
    <w:p w14:paraId="41588466"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2B26008" w14:textId="77777777">
        <w:trPr>
          <w:divId w:val="1582333252"/>
        </w:trPr>
        <w:tc>
          <w:tcPr>
            <w:tcW w:w="5000" w:type="pct"/>
            <w:hideMark/>
          </w:tcPr>
          <w:p w14:paraId="7BDC04D5"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3346F514" w14:textId="77777777">
        <w:tc>
          <w:tcPr>
            <w:tcW w:w="5000" w:type="pct"/>
            <w:hideMark/>
          </w:tcPr>
          <w:p w14:paraId="501AE819" w14:textId="77777777" w:rsidR="00000000" w:rsidRDefault="001826C1">
            <w:pPr>
              <w:jc w:val="center"/>
              <w:rPr>
                <w:rFonts w:eastAsia="Times New Roman"/>
                <w:sz w:val="20"/>
                <w:szCs w:val="20"/>
              </w:rPr>
            </w:pPr>
            <w:r>
              <w:rPr>
                <w:rFonts w:eastAsia="Times New Roman"/>
                <w:sz w:val="20"/>
                <w:szCs w:val="20"/>
              </w:rPr>
              <w:t> </w:t>
            </w:r>
          </w:p>
        </w:tc>
      </w:tr>
    </w:tbl>
    <w:p w14:paraId="4434CC9E" w14:textId="77777777" w:rsidR="00000000" w:rsidRDefault="001826C1">
      <w:pPr>
        <w:pStyle w:val="a3"/>
        <w:spacing w:before="0" w:beforeAutospacing="0" w:after="0" w:afterAutospacing="0"/>
        <w:rPr>
          <w:sz w:val="20"/>
          <w:szCs w:val="20"/>
        </w:rPr>
      </w:pPr>
      <w:r>
        <w:rPr>
          <w:sz w:val="20"/>
          <w:szCs w:val="20"/>
        </w:rPr>
        <w:t> </w:t>
      </w:r>
    </w:p>
    <w:p w14:paraId="389AA6C3" w14:textId="77777777" w:rsidR="00000000" w:rsidRDefault="001826C1">
      <w:pPr>
        <w:pStyle w:val="a3"/>
        <w:spacing w:before="0" w:beforeAutospacing="0" w:after="0" w:afterAutospacing="0"/>
        <w:rPr>
          <w:sz w:val="20"/>
          <w:szCs w:val="20"/>
        </w:rPr>
      </w:pPr>
      <w:r>
        <w:rPr>
          <w:sz w:val="20"/>
          <w:szCs w:val="20"/>
        </w:rPr>
        <w:t>Below is a summary of intangible asset activity for the years ended De</w:t>
      </w:r>
      <w:r>
        <w:rPr>
          <w:sz w:val="20"/>
          <w:szCs w:val="20"/>
        </w:rPr>
        <w:t>cember 31, 2019 and 2018:</w:t>
      </w:r>
    </w:p>
    <w:p w14:paraId="1FFC46C2"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12"/>
        <w:gridCol w:w="154"/>
        <w:gridCol w:w="101"/>
        <w:gridCol w:w="1067"/>
        <w:gridCol w:w="71"/>
        <w:gridCol w:w="154"/>
        <w:gridCol w:w="101"/>
        <w:gridCol w:w="985"/>
        <w:gridCol w:w="71"/>
        <w:gridCol w:w="154"/>
        <w:gridCol w:w="100"/>
        <w:gridCol w:w="1151"/>
        <w:gridCol w:w="72"/>
        <w:gridCol w:w="155"/>
        <w:gridCol w:w="100"/>
        <w:gridCol w:w="986"/>
        <w:gridCol w:w="72"/>
      </w:tblGrid>
      <w:tr w:rsidR="00000000" w14:paraId="78F4E055" w14:textId="77777777">
        <w:tc>
          <w:tcPr>
            <w:tcW w:w="0" w:type="auto"/>
            <w:vAlign w:val="bottom"/>
            <w:hideMark/>
          </w:tcPr>
          <w:p w14:paraId="2C3331A2"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303CD52"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03E8A8D8" w14:textId="77777777" w:rsidR="00000000" w:rsidRDefault="001826C1">
            <w:pPr>
              <w:jc w:val="center"/>
              <w:rPr>
                <w:rFonts w:eastAsia="Times New Roman"/>
                <w:b/>
                <w:bCs/>
                <w:sz w:val="20"/>
                <w:szCs w:val="20"/>
              </w:rPr>
            </w:pPr>
            <w:r>
              <w:rPr>
                <w:rFonts w:eastAsia="Times New Roman"/>
                <w:b/>
                <w:bCs/>
                <w:sz w:val="20"/>
                <w:szCs w:val="20"/>
              </w:rPr>
              <w:t>Customer</w:t>
            </w:r>
          </w:p>
        </w:tc>
        <w:tc>
          <w:tcPr>
            <w:tcW w:w="0" w:type="auto"/>
            <w:tcMar>
              <w:top w:w="0" w:type="dxa"/>
              <w:left w:w="0" w:type="dxa"/>
              <w:bottom w:w="30" w:type="dxa"/>
              <w:right w:w="0" w:type="dxa"/>
            </w:tcMar>
            <w:vAlign w:val="bottom"/>
            <w:hideMark/>
          </w:tcPr>
          <w:p w14:paraId="0FA22915"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B0ED07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626023CB" w14:textId="77777777" w:rsidR="00000000" w:rsidRDefault="001826C1">
            <w:pPr>
              <w:jc w:val="center"/>
              <w:rPr>
                <w:rFonts w:eastAsia="Times New Roman"/>
                <w:b/>
                <w:bCs/>
                <w:sz w:val="20"/>
                <w:szCs w:val="20"/>
              </w:rPr>
            </w:pPr>
            <w:r>
              <w:rPr>
                <w:rFonts w:eastAsia="Times New Roman"/>
                <w:b/>
                <w:bCs/>
                <w:sz w:val="20"/>
                <w:szCs w:val="20"/>
              </w:rPr>
              <w:t>Non-Compete</w:t>
            </w:r>
          </w:p>
        </w:tc>
        <w:tc>
          <w:tcPr>
            <w:tcW w:w="0" w:type="auto"/>
            <w:tcMar>
              <w:top w:w="0" w:type="dxa"/>
              <w:left w:w="0" w:type="dxa"/>
              <w:bottom w:w="30" w:type="dxa"/>
              <w:right w:w="0" w:type="dxa"/>
            </w:tcMar>
            <w:vAlign w:val="bottom"/>
            <w:hideMark/>
          </w:tcPr>
          <w:p w14:paraId="1D4A164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E45CBCE"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Mar>
              <w:top w:w="0" w:type="dxa"/>
              <w:left w:w="0" w:type="dxa"/>
              <w:bottom w:w="30" w:type="dxa"/>
              <w:right w:w="0" w:type="dxa"/>
            </w:tcMar>
            <w:vAlign w:val="bottom"/>
            <w:hideMark/>
          </w:tcPr>
          <w:p w14:paraId="16A87D26" w14:textId="77777777" w:rsidR="00000000" w:rsidRDefault="001826C1">
            <w:pPr>
              <w:jc w:val="center"/>
              <w:rPr>
                <w:rFonts w:eastAsia="Times New Roman"/>
                <w:b/>
                <w:bCs/>
                <w:sz w:val="20"/>
                <w:szCs w:val="20"/>
              </w:rPr>
            </w:pPr>
            <w:r>
              <w:rPr>
                <w:rFonts w:eastAsia="Times New Roman"/>
                <w:b/>
                <w:bCs/>
                <w:sz w:val="20"/>
                <w:szCs w:val="20"/>
              </w:rPr>
              <w:t>Other Intangible</w:t>
            </w:r>
          </w:p>
        </w:tc>
        <w:tc>
          <w:tcPr>
            <w:tcW w:w="0" w:type="auto"/>
            <w:tcMar>
              <w:top w:w="0" w:type="dxa"/>
              <w:left w:w="0" w:type="dxa"/>
              <w:bottom w:w="30" w:type="dxa"/>
              <w:right w:w="0" w:type="dxa"/>
            </w:tcMar>
            <w:vAlign w:val="bottom"/>
            <w:hideMark/>
          </w:tcPr>
          <w:p w14:paraId="58D5D014"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D9C6EBA"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155098C9"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00207DF" w14:textId="77777777" w:rsidR="00000000" w:rsidRDefault="001826C1">
            <w:pPr>
              <w:rPr>
                <w:rFonts w:eastAsia="Times New Roman"/>
                <w:sz w:val="20"/>
                <w:szCs w:val="20"/>
              </w:rPr>
            </w:pPr>
            <w:r>
              <w:rPr>
                <w:rFonts w:eastAsia="Times New Roman"/>
                <w:sz w:val="20"/>
                <w:szCs w:val="20"/>
              </w:rPr>
              <w:t> </w:t>
            </w:r>
          </w:p>
        </w:tc>
      </w:tr>
      <w:tr w:rsidR="00000000" w14:paraId="0333B29D" w14:textId="77777777">
        <w:tc>
          <w:tcPr>
            <w:tcW w:w="0" w:type="auto"/>
            <w:vAlign w:val="bottom"/>
            <w:hideMark/>
          </w:tcPr>
          <w:p w14:paraId="654F136A"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5A8B12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3A04735" w14:textId="77777777" w:rsidR="00000000" w:rsidRDefault="001826C1">
            <w:pPr>
              <w:jc w:val="center"/>
              <w:rPr>
                <w:rFonts w:eastAsia="Times New Roman"/>
                <w:b/>
                <w:bCs/>
                <w:sz w:val="20"/>
                <w:szCs w:val="20"/>
              </w:rPr>
            </w:pPr>
            <w:r>
              <w:rPr>
                <w:rFonts w:eastAsia="Times New Roman"/>
                <w:b/>
                <w:bCs/>
                <w:sz w:val="20"/>
                <w:szCs w:val="20"/>
              </w:rPr>
              <w:t>Relationships</w:t>
            </w:r>
          </w:p>
        </w:tc>
        <w:tc>
          <w:tcPr>
            <w:tcW w:w="0" w:type="auto"/>
            <w:tcMar>
              <w:top w:w="0" w:type="dxa"/>
              <w:left w:w="0" w:type="dxa"/>
              <w:bottom w:w="30" w:type="dxa"/>
              <w:right w:w="0" w:type="dxa"/>
            </w:tcMar>
            <w:vAlign w:val="bottom"/>
            <w:hideMark/>
          </w:tcPr>
          <w:p w14:paraId="46D89EA2"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F4A99A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F54540" w14:textId="77777777" w:rsidR="00000000" w:rsidRDefault="001826C1">
            <w:pPr>
              <w:jc w:val="center"/>
              <w:rPr>
                <w:rFonts w:eastAsia="Times New Roman"/>
                <w:b/>
                <w:bCs/>
                <w:sz w:val="20"/>
                <w:szCs w:val="20"/>
              </w:rPr>
            </w:pPr>
            <w:r>
              <w:rPr>
                <w:rFonts w:eastAsia="Times New Roman"/>
                <w:b/>
                <w:bCs/>
                <w:sz w:val="20"/>
                <w:szCs w:val="20"/>
              </w:rPr>
              <w:t>Agreements</w:t>
            </w:r>
          </w:p>
        </w:tc>
        <w:tc>
          <w:tcPr>
            <w:tcW w:w="0" w:type="auto"/>
            <w:tcMar>
              <w:top w:w="0" w:type="dxa"/>
              <w:left w:w="0" w:type="dxa"/>
              <w:bottom w:w="30" w:type="dxa"/>
              <w:right w:w="0" w:type="dxa"/>
            </w:tcMar>
            <w:vAlign w:val="bottom"/>
            <w:hideMark/>
          </w:tcPr>
          <w:p w14:paraId="3B6EA143"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E2D484E"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A3B9E52" w14:textId="77777777" w:rsidR="00000000" w:rsidRDefault="001826C1">
            <w:pPr>
              <w:jc w:val="center"/>
              <w:rPr>
                <w:rFonts w:eastAsia="Times New Roman"/>
                <w:b/>
                <w:bCs/>
                <w:sz w:val="20"/>
                <w:szCs w:val="20"/>
              </w:rPr>
            </w:pPr>
            <w:r>
              <w:rPr>
                <w:rFonts w:eastAsia="Times New Roman"/>
                <w:b/>
                <w:bCs/>
                <w:sz w:val="20"/>
                <w:szCs w:val="20"/>
              </w:rPr>
              <w:t>Assets</w:t>
            </w:r>
          </w:p>
        </w:tc>
        <w:tc>
          <w:tcPr>
            <w:tcW w:w="0" w:type="auto"/>
            <w:tcMar>
              <w:top w:w="0" w:type="dxa"/>
              <w:left w:w="0" w:type="dxa"/>
              <w:bottom w:w="30" w:type="dxa"/>
              <w:right w:w="0" w:type="dxa"/>
            </w:tcMar>
            <w:vAlign w:val="bottom"/>
            <w:hideMark/>
          </w:tcPr>
          <w:p w14:paraId="6C357C4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AEE0E2E"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9A2D8BE" w14:textId="77777777" w:rsidR="00000000" w:rsidRDefault="001826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7761EFA6" w14:textId="77777777" w:rsidR="00000000" w:rsidRDefault="001826C1">
            <w:pPr>
              <w:rPr>
                <w:rFonts w:eastAsia="Times New Roman"/>
                <w:b/>
                <w:bCs/>
                <w:sz w:val="20"/>
                <w:szCs w:val="20"/>
              </w:rPr>
            </w:pPr>
            <w:r>
              <w:rPr>
                <w:rFonts w:eastAsia="Times New Roman"/>
                <w:b/>
                <w:bCs/>
                <w:sz w:val="20"/>
                <w:szCs w:val="20"/>
              </w:rPr>
              <w:t> </w:t>
            </w:r>
          </w:p>
        </w:tc>
      </w:tr>
      <w:tr w:rsidR="00000000" w14:paraId="77A0FF6A" w14:textId="77777777">
        <w:tc>
          <w:tcPr>
            <w:tcW w:w="0" w:type="auto"/>
            <w:vAlign w:val="bottom"/>
            <w:hideMark/>
          </w:tcPr>
          <w:p w14:paraId="7157D586" w14:textId="77777777" w:rsidR="00000000" w:rsidRDefault="001826C1">
            <w:pPr>
              <w:rPr>
                <w:rFonts w:eastAsia="Times New Roman"/>
                <w:b/>
                <w:bCs/>
                <w:sz w:val="20"/>
                <w:szCs w:val="20"/>
              </w:rPr>
            </w:pPr>
            <w:r>
              <w:rPr>
                <w:rFonts w:eastAsia="Times New Roman"/>
                <w:b/>
                <w:bCs/>
                <w:sz w:val="20"/>
                <w:szCs w:val="20"/>
                <w:u w:val="single"/>
              </w:rPr>
              <w:t>COST</w:t>
            </w:r>
          </w:p>
        </w:tc>
        <w:tc>
          <w:tcPr>
            <w:tcW w:w="0" w:type="auto"/>
            <w:vAlign w:val="bottom"/>
            <w:hideMark/>
          </w:tcPr>
          <w:p w14:paraId="51A76121"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1D460BAD"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233AB9C6"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1EF5B72D"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5380EF72"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146EC7CD"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78F3BFB6"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3A0EAAD2"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5FBBFDF3"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4A0A2DF1"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03914827"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7789AC39" w14:textId="77777777" w:rsidR="00000000" w:rsidRDefault="001826C1">
            <w:pPr>
              <w:rPr>
                <w:rFonts w:eastAsia="Times New Roman"/>
                <w:sz w:val="20"/>
                <w:szCs w:val="20"/>
              </w:rPr>
            </w:pPr>
            <w:r>
              <w:rPr>
                <w:rFonts w:eastAsia="Times New Roman"/>
                <w:sz w:val="20"/>
                <w:szCs w:val="20"/>
              </w:rPr>
              <w:t> </w:t>
            </w:r>
          </w:p>
        </w:tc>
      </w:tr>
      <w:tr w:rsidR="00000000" w14:paraId="06CD06F6" w14:textId="77777777">
        <w:tc>
          <w:tcPr>
            <w:tcW w:w="1700" w:type="pct"/>
            <w:shd w:val="clear" w:color="auto" w:fill="CCEEFF"/>
            <w:vAlign w:val="bottom"/>
            <w:hideMark/>
          </w:tcPr>
          <w:p w14:paraId="76737752" w14:textId="77777777" w:rsidR="00000000" w:rsidRDefault="001826C1">
            <w:pPr>
              <w:rPr>
                <w:rFonts w:eastAsia="Times New Roman"/>
                <w:sz w:val="20"/>
                <w:szCs w:val="20"/>
              </w:rPr>
            </w:pPr>
            <w:r>
              <w:rPr>
                <w:rFonts w:eastAsia="Times New Roman"/>
                <w:sz w:val="20"/>
                <w:szCs w:val="20"/>
              </w:rPr>
              <w:t>Balance, January 1, 2019</w:t>
            </w:r>
          </w:p>
        </w:tc>
        <w:tc>
          <w:tcPr>
            <w:tcW w:w="100" w:type="pct"/>
            <w:shd w:val="clear" w:color="auto" w:fill="CCEEFF"/>
            <w:vAlign w:val="bottom"/>
            <w:hideMark/>
          </w:tcPr>
          <w:p w14:paraId="46B581B2"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3D5BB6"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18F42AFD" w14:textId="77777777" w:rsidR="00000000" w:rsidRDefault="001826C1">
            <w:pPr>
              <w:jc w:val="right"/>
              <w:rPr>
                <w:rFonts w:eastAsia="Times New Roman"/>
                <w:sz w:val="20"/>
                <w:szCs w:val="20"/>
              </w:rPr>
            </w:pPr>
            <w:r>
              <w:rPr>
                <w:rFonts w:eastAsia="Times New Roman"/>
                <w:sz w:val="20"/>
                <w:szCs w:val="20"/>
              </w:rPr>
              <w:t>22,741,300</w:t>
            </w:r>
          </w:p>
        </w:tc>
        <w:tc>
          <w:tcPr>
            <w:tcW w:w="50" w:type="pct"/>
            <w:shd w:val="clear" w:color="auto" w:fill="CCEEFF"/>
            <w:vAlign w:val="bottom"/>
            <w:hideMark/>
          </w:tcPr>
          <w:p w14:paraId="6A21E587"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16F6008"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8C3F3A4"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3066A129" w14:textId="77777777" w:rsidR="00000000" w:rsidRDefault="001826C1">
            <w:pPr>
              <w:jc w:val="right"/>
              <w:rPr>
                <w:rFonts w:eastAsia="Times New Roman"/>
                <w:sz w:val="20"/>
                <w:szCs w:val="20"/>
              </w:rPr>
            </w:pPr>
            <w:r>
              <w:rPr>
                <w:rFonts w:eastAsia="Times New Roman"/>
                <w:sz w:val="20"/>
                <w:szCs w:val="20"/>
              </w:rPr>
              <w:t>1,236,377</w:t>
            </w:r>
          </w:p>
        </w:tc>
        <w:tc>
          <w:tcPr>
            <w:tcW w:w="50" w:type="pct"/>
            <w:shd w:val="clear" w:color="auto" w:fill="CCEEFF"/>
            <w:vAlign w:val="bottom"/>
            <w:hideMark/>
          </w:tcPr>
          <w:p w14:paraId="6C417FC7"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7CFE5F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B6D594"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1A2C7139" w14:textId="77777777" w:rsidR="00000000" w:rsidRDefault="001826C1">
            <w:pPr>
              <w:jc w:val="right"/>
              <w:rPr>
                <w:rFonts w:eastAsia="Times New Roman"/>
                <w:sz w:val="20"/>
                <w:szCs w:val="20"/>
              </w:rPr>
            </w:pPr>
            <w:r>
              <w:rPr>
                <w:rFonts w:eastAsia="Times New Roman"/>
                <w:sz w:val="20"/>
                <w:szCs w:val="20"/>
              </w:rPr>
              <w:t>1,477,059</w:t>
            </w:r>
          </w:p>
        </w:tc>
        <w:tc>
          <w:tcPr>
            <w:tcW w:w="50" w:type="pct"/>
            <w:shd w:val="clear" w:color="auto" w:fill="CCEEFF"/>
            <w:vAlign w:val="bottom"/>
            <w:hideMark/>
          </w:tcPr>
          <w:p w14:paraId="36006542"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8396EB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E5A39BA"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46657215" w14:textId="77777777" w:rsidR="00000000" w:rsidRDefault="001826C1">
            <w:pPr>
              <w:jc w:val="right"/>
              <w:rPr>
                <w:rFonts w:eastAsia="Times New Roman"/>
                <w:sz w:val="20"/>
                <w:szCs w:val="20"/>
              </w:rPr>
            </w:pPr>
            <w:r>
              <w:rPr>
                <w:rFonts w:eastAsia="Times New Roman"/>
                <w:sz w:val="20"/>
                <w:szCs w:val="20"/>
              </w:rPr>
              <w:t>25,454,736</w:t>
            </w:r>
          </w:p>
        </w:tc>
        <w:tc>
          <w:tcPr>
            <w:tcW w:w="50" w:type="pct"/>
            <w:shd w:val="clear" w:color="auto" w:fill="CCEEFF"/>
            <w:vAlign w:val="bottom"/>
            <w:hideMark/>
          </w:tcPr>
          <w:p w14:paraId="3CD65D7B" w14:textId="77777777" w:rsidR="00000000" w:rsidRDefault="001826C1">
            <w:pPr>
              <w:rPr>
                <w:rFonts w:eastAsia="Times New Roman"/>
                <w:sz w:val="20"/>
                <w:szCs w:val="20"/>
              </w:rPr>
            </w:pPr>
            <w:r>
              <w:rPr>
                <w:rFonts w:eastAsia="Times New Roman"/>
                <w:sz w:val="20"/>
                <w:szCs w:val="20"/>
              </w:rPr>
              <w:t> </w:t>
            </w:r>
          </w:p>
        </w:tc>
      </w:tr>
      <w:tr w:rsidR="00000000" w14:paraId="036B06F2" w14:textId="77777777">
        <w:tc>
          <w:tcPr>
            <w:tcW w:w="0" w:type="auto"/>
            <w:shd w:val="clear" w:color="auto" w:fill="FFFFFF"/>
            <w:vAlign w:val="bottom"/>
            <w:hideMark/>
          </w:tcPr>
          <w:p w14:paraId="0290C597" w14:textId="77777777" w:rsidR="00000000" w:rsidRDefault="001826C1">
            <w:pPr>
              <w:rPr>
                <w:rFonts w:eastAsia="Times New Roman"/>
                <w:sz w:val="20"/>
                <w:szCs w:val="20"/>
              </w:rPr>
            </w:pPr>
            <w:r>
              <w:rPr>
                <w:rFonts w:eastAsia="Times New Roman"/>
                <w:sz w:val="20"/>
                <w:szCs w:val="20"/>
              </w:rPr>
              <w:t>Capitalized software costs and other intangible assets</w:t>
            </w:r>
          </w:p>
        </w:tc>
        <w:tc>
          <w:tcPr>
            <w:tcW w:w="0" w:type="auto"/>
            <w:shd w:val="clear" w:color="auto" w:fill="FFFFFF"/>
            <w:vAlign w:val="bottom"/>
            <w:hideMark/>
          </w:tcPr>
          <w:p w14:paraId="06F8EA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4916A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F5FF1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446D8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EF53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6C2A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AD8DA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1202DF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901E9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F27A1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42D27E" w14:textId="77777777" w:rsidR="00000000" w:rsidRDefault="001826C1">
            <w:pPr>
              <w:jc w:val="right"/>
              <w:rPr>
                <w:rFonts w:eastAsia="Times New Roman"/>
                <w:sz w:val="20"/>
                <w:szCs w:val="20"/>
              </w:rPr>
            </w:pPr>
            <w:r>
              <w:rPr>
                <w:rFonts w:eastAsia="Times New Roman"/>
                <w:sz w:val="20"/>
                <w:szCs w:val="20"/>
              </w:rPr>
              <w:t>591,509</w:t>
            </w:r>
          </w:p>
        </w:tc>
        <w:tc>
          <w:tcPr>
            <w:tcW w:w="0" w:type="auto"/>
            <w:shd w:val="clear" w:color="auto" w:fill="FFFFFF"/>
            <w:vAlign w:val="bottom"/>
            <w:hideMark/>
          </w:tcPr>
          <w:p w14:paraId="38921B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3863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5A101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28CB14" w14:textId="77777777" w:rsidR="00000000" w:rsidRDefault="001826C1">
            <w:pPr>
              <w:jc w:val="right"/>
              <w:rPr>
                <w:rFonts w:eastAsia="Times New Roman"/>
                <w:sz w:val="20"/>
                <w:szCs w:val="20"/>
              </w:rPr>
            </w:pPr>
            <w:r>
              <w:rPr>
                <w:rFonts w:eastAsia="Times New Roman"/>
                <w:sz w:val="20"/>
                <w:szCs w:val="20"/>
              </w:rPr>
              <w:t>591,509</w:t>
            </w:r>
          </w:p>
        </w:tc>
        <w:tc>
          <w:tcPr>
            <w:tcW w:w="0" w:type="auto"/>
            <w:shd w:val="clear" w:color="auto" w:fill="FFFFFF"/>
            <w:vAlign w:val="bottom"/>
            <w:hideMark/>
          </w:tcPr>
          <w:p w14:paraId="60038DFD" w14:textId="77777777" w:rsidR="00000000" w:rsidRDefault="001826C1">
            <w:pPr>
              <w:rPr>
                <w:rFonts w:eastAsia="Times New Roman"/>
                <w:sz w:val="20"/>
                <w:szCs w:val="20"/>
              </w:rPr>
            </w:pPr>
            <w:r>
              <w:rPr>
                <w:rFonts w:eastAsia="Times New Roman"/>
                <w:sz w:val="20"/>
                <w:szCs w:val="20"/>
              </w:rPr>
              <w:t> </w:t>
            </w:r>
          </w:p>
        </w:tc>
      </w:tr>
      <w:tr w:rsidR="00000000" w14:paraId="152A2A78" w14:textId="77777777">
        <w:tc>
          <w:tcPr>
            <w:tcW w:w="0" w:type="auto"/>
            <w:shd w:val="clear" w:color="auto" w:fill="CCEEFF"/>
            <w:vAlign w:val="bottom"/>
            <w:hideMark/>
          </w:tcPr>
          <w:p w14:paraId="3BF611D6" w14:textId="77777777" w:rsidR="00000000" w:rsidRDefault="001826C1">
            <w:pPr>
              <w:rPr>
                <w:rFonts w:eastAsia="Times New Roman"/>
                <w:sz w:val="20"/>
                <w:szCs w:val="20"/>
              </w:rPr>
            </w:pPr>
            <w:r>
              <w:rPr>
                <w:rFonts w:eastAsia="Times New Roman"/>
                <w:sz w:val="20"/>
                <w:szCs w:val="20"/>
              </w:rPr>
              <w:t>Translation loss</w:t>
            </w:r>
          </w:p>
        </w:tc>
        <w:tc>
          <w:tcPr>
            <w:tcW w:w="0" w:type="auto"/>
            <w:shd w:val="clear" w:color="auto" w:fill="CCEEFF"/>
            <w:vAlign w:val="bottom"/>
            <w:hideMark/>
          </w:tcPr>
          <w:p w14:paraId="6A1700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84C6E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051A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9D87E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67CC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FC67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3CA17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1F0AFF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F82D2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E9540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4ABF4F" w14:textId="77777777" w:rsidR="00000000" w:rsidRDefault="001826C1">
            <w:pPr>
              <w:jc w:val="right"/>
              <w:rPr>
                <w:rFonts w:eastAsia="Times New Roman"/>
                <w:sz w:val="20"/>
                <w:szCs w:val="20"/>
              </w:rPr>
            </w:pPr>
            <w:r>
              <w:rPr>
                <w:rFonts w:eastAsia="Times New Roman"/>
                <w:sz w:val="20"/>
                <w:szCs w:val="20"/>
              </w:rPr>
              <w:t>(41,098</w:t>
            </w:r>
          </w:p>
        </w:tc>
        <w:tc>
          <w:tcPr>
            <w:tcW w:w="0" w:type="auto"/>
            <w:shd w:val="clear" w:color="auto" w:fill="CCEEFF"/>
            <w:vAlign w:val="bottom"/>
            <w:hideMark/>
          </w:tcPr>
          <w:p w14:paraId="4A99F6D7"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F9F78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D85A1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056FA3" w14:textId="77777777" w:rsidR="00000000" w:rsidRDefault="001826C1">
            <w:pPr>
              <w:jc w:val="right"/>
              <w:rPr>
                <w:rFonts w:eastAsia="Times New Roman"/>
                <w:sz w:val="20"/>
                <w:szCs w:val="20"/>
              </w:rPr>
            </w:pPr>
            <w:r>
              <w:rPr>
                <w:rFonts w:eastAsia="Times New Roman"/>
                <w:sz w:val="20"/>
                <w:szCs w:val="20"/>
              </w:rPr>
              <w:t>(41,098</w:t>
            </w:r>
          </w:p>
        </w:tc>
        <w:tc>
          <w:tcPr>
            <w:tcW w:w="0" w:type="auto"/>
            <w:shd w:val="clear" w:color="auto" w:fill="CCEEFF"/>
            <w:vAlign w:val="bottom"/>
            <w:hideMark/>
          </w:tcPr>
          <w:p w14:paraId="4198921D" w14:textId="77777777" w:rsidR="00000000" w:rsidRDefault="001826C1">
            <w:pPr>
              <w:rPr>
                <w:rFonts w:eastAsia="Times New Roman"/>
                <w:sz w:val="20"/>
                <w:szCs w:val="20"/>
              </w:rPr>
            </w:pPr>
            <w:r>
              <w:rPr>
                <w:rFonts w:eastAsia="Times New Roman"/>
                <w:sz w:val="20"/>
                <w:szCs w:val="20"/>
              </w:rPr>
              <w:t>)</w:t>
            </w:r>
          </w:p>
        </w:tc>
      </w:tr>
      <w:tr w:rsidR="00000000" w14:paraId="3BDD95B6" w14:textId="77777777">
        <w:tc>
          <w:tcPr>
            <w:tcW w:w="0" w:type="auto"/>
            <w:shd w:val="clear" w:color="auto" w:fill="FFFFFF"/>
            <w:vAlign w:val="bottom"/>
            <w:hideMark/>
          </w:tcPr>
          <w:p w14:paraId="0DABFF76" w14:textId="77777777" w:rsidR="00000000" w:rsidRDefault="001826C1">
            <w:pPr>
              <w:rPr>
                <w:rFonts w:eastAsia="Times New Roman"/>
                <w:sz w:val="20"/>
                <w:szCs w:val="20"/>
              </w:rPr>
            </w:pPr>
            <w:r>
              <w:rPr>
                <w:rFonts w:eastAsia="Times New Roman"/>
                <w:sz w:val="20"/>
                <w:szCs w:val="20"/>
              </w:rPr>
              <w:t>Disposals</w:t>
            </w:r>
          </w:p>
        </w:tc>
        <w:tc>
          <w:tcPr>
            <w:tcW w:w="0" w:type="auto"/>
            <w:shd w:val="clear" w:color="auto" w:fill="FFFFFF"/>
            <w:vAlign w:val="bottom"/>
            <w:hideMark/>
          </w:tcPr>
          <w:p w14:paraId="1A73F8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E0C89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F127E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B93E33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8188C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69308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779D0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0CF3A2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F5ED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96454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ED9E0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ED41A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A54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7753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C1F15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2540201" w14:textId="77777777" w:rsidR="00000000" w:rsidRDefault="001826C1">
            <w:pPr>
              <w:rPr>
                <w:rFonts w:eastAsia="Times New Roman"/>
                <w:sz w:val="20"/>
                <w:szCs w:val="20"/>
              </w:rPr>
            </w:pPr>
            <w:r>
              <w:rPr>
                <w:rFonts w:eastAsia="Times New Roman"/>
                <w:sz w:val="20"/>
                <w:szCs w:val="20"/>
              </w:rPr>
              <w:t> </w:t>
            </w:r>
          </w:p>
        </w:tc>
      </w:tr>
      <w:tr w:rsidR="00000000" w14:paraId="6572E4B8" w14:textId="77777777">
        <w:tc>
          <w:tcPr>
            <w:tcW w:w="0" w:type="auto"/>
            <w:shd w:val="clear" w:color="auto" w:fill="CCEEFF"/>
            <w:tcMar>
              <w:top w:w="0" w:type="dxa"/>
              <w:left w:w="0" w:type="dxa"/>
              <w:bottom w:w="30" w:type="dxa"/>
              <w:right w:w="0" w:type="dxa"/>
            </w:tcMar>
            <w:vAlign w:val="bottom"/>
            <w:hideMark/>
          </w:tcPr>
          <w:p w14:paraId="3EC54D8B" w14:textId="77777777" w:rsidR="00000000" w:rsidRDefault="001826C1">
            <w:pPr>
              <w:rPr>
                <w:rFonts w:eastAsia="Times New Roman"/>
                <w:sz w:val="20"/>
                <w:szCs w:val="20"/>
              </w:rPr>
            </w:pPr>
            <w:r>
              <w:rPr>
                <w:rFonts w:eastAsia="Times New Roman"/>
                <w:sz w:val="20"/>
                <w:szCs w:val="20"/>
              </w:rPr>
              <w:t>Allocation from 2019 acquisition</w:t>
            </w:r>
          </w:p>
        </w:tc>
        <w:tc>
          <w:tcPr>
            <w:tcW w:w="0" w:type="auto"/>
            <w:shd w:val="clear" w:color="auto" w:fill="CCEEFF"/>
            <w:tcMar>
              <w:top w:w="0" w:type="dxa"/>
              <w:left w:w="0" w:type="dxa"/>
              <w:bottom w:w="30" w:type="dxa"/>
              <w:right w:w="0" w:type="dxa"/>
            </w:tcMar>
            <w:vAlign w:val="bottom"/>
            <w:hideMark/>
          </w:tcPr>
          <w:p w14:paraId="323CB2F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A9EBD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CA8A73" w14:textId="77777777" w:rsidR="00000000" w:rsidRDefault="001826C1">
            <w:pPr>
              <w:jc w:val="right"/>
              <w:rPr>
                <w:rFonts w:eastAsia="Times New Roman"/>
                <w:sz w:val="20"/>
                <w:szCs w:val="20"/>
              </w:rPr>
            </w:pPr>
            <w:r>
              <w:rPr>
                <w:rFonts w:eastAsia="Times New Roman"/>
                <w:sz w:val="20"/>
                <w:szCs w:val="20"/>
              </w:rPr>
              <w:t>856,000</w:t>
            </w:r>
          </w:p>
        </w:tc>
        <w:tc>
          <w:tcPr>
            <w:tcW w:w="0" w:type="auto"/>
            <w:shd w:val="clear" w:color="auto" w:fill="CCEEFF"/>
            <w:tcMar>
              <w:top w:w="0" w:type="dxa"/>
              <w:left w:w="0" w:type="dxa"/>
              <w:bottom w:w="30" w:type="dxa"/>
              <w:right w:w="0" w:type="dxa"/>
            </w:tcMar>
            <w:vAlign w:val="bottom"/>
            <w:hideMark/>
          </w:tcPr>
          <w:p w14:paraId="272E3F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44EEC1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C48A1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8F39795"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140B248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A85B42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5DE75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B81731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02800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9B9902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EDCA14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250575" w14:textId="77777777" w:rsidR="00000000" w:rsidRDefault="001826C1">
            <w:pPr>
              <w:jc w:val="right"/>
              <w:rPr>
                <w:rFonts w:eastAsia="Times New Roman"/>
                <w:sz w:val="20"/>
                <w:szCs w:val="20"/>
              </w:rPr>
            </w:pPr>
            <w:r>
              <w:rPr>
                <w:rFonts w:eastAsia="Times New Roman"/>
                <w:sz w:val="20"/>
                <w:szCs w:val="20"/>
              </w:rPr>
              <w:t>856,000</w:t>
            </w:r>
          </w:p>
        </w:tc>
        <w:tc>
          <w:tcPr>
            <w:tcW w:w="0" w:type="auto"/>
            <w:shd w:val="clear" w:color="auto" w:fill="CCEEFF"/>
            <w:tcMar>
              <w:top w:w="0" w:type="dxa"/>
              <w:left w:w="0" w:type="dxa"/>
              <w:bottom w:w="30" w:type="dxa"/>
              <w:right w:w="0" w:type="dxa"/>
            </w:tcMar>
            <w:vAlign w:val="bottom"/>
            <w:hideMark/>
          </w:tcPr>
          <w:p w14:paraId="044EFDFF" w14:textId="77777777" w:rsidR="00000000" w:rsidRDefault="001826C1">
            <w:pPr>
              <w:rPr>
                <w:rFonts w:eastAsia="Times New Roman"/>
                <w:sz w:val="20"/>
                <w:szCs w:val="20"/>
              </w:rPr>
            </w:pPr>
            <w:r>
              <w:rPr>
                <w:rFonts w:eastAsia="Times New Roman"/>
                <w:sz w:val="20"/>
                <w:szCs w:val="20"/>
              </w:rPr>
              <w:t> </w:t>
            </w:r>
          </w:p>
        </w:tc>
      </w:tr>
      <w:tr w:rsidR="00000000" w14:paraId="57F8C593" w14:textId="77777777">
        <w:tc>
          <w:tcPr>
            <w:tcW w:w="0" w:type="auto"/>
            <w:shd w:val="clear" w:color="auto" w:fill="FFFFFF"/>
            <w:tcMar>
              <w:top w:w="0" w:type="dxa"/>
              <w:left w:w="0" w:type="dxa"/>
              <w:bottom w:w="30" w:type="dxa"/>
              <w:right w:w="0" w:type="dxa"/>
            </w:tcMar>
            <w:vAlign w:val="bottom"/>
            <w:hideMark/>
          </w:tcPr>
          <w:p w14:paraId="03BD5E51" w14:textId="77777777" w:rsidR="00000000" w:rsidRDefault="001826C1">
            <w:pPr>
              <w:rPr>
                <w:rFonts w:eastAsia="Times New Roman"/>
                <w:sz w:val="20"/>
                <w:szCs w:val="20"/>
              </w:rPr>
            </w:pPr>
            <w:r>
              <w:rPr>
                <w:rFonts w:eastAsia="Times New Roman"/>
                <w:sz w:val="20"/>
                <w:szCs w:val="20"/>
              </w:rPr>
              <w:t>Balance, December 31, 2019</w:t>
            </w:r>
          </w:p>
        </w:tc>
        <w:tc>
          <w:tcPr>
            <w:tcW w:w="0" w:type="auto"/>
            <w:shd w:val="clear" w:color="auto" w:fill="FFFFFF"/>
            <w:tcMar>
              <w:top w:w="0" w:type="dxa"/>
              <w:left w:w="0" w:type="dxa"/>
              <w:bottom w:w="30" w:type="dxa"/>
              <w:right w:w="0" w:type="dxa"/>
            </w:tcMar>
            <w:vAlign w:val="bottom"/>
            <w:hideMark/>
          </w:tcPr>
          <w:p w14:paraId="12D7FA2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2A3A061" w14:textId="77777777" w:rsidR="00000000" w:rsidRDefault="001826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5A4C5B4A" w14:textId="77777777" w:rsidR="00000000" w:rsidRDefault="001826C1">
            <w:pPr>
              <w:jc w:val="right"/>
              <w:rPr>
                <w:rFonts w:eastAsia="Times New Roman"/>
                <w:sz w:val="20"/>
                <w:szCs w:val="20"/>
              </w:rPr>
            </w:pPr>
            <w:r>
              <w:rPr>
                <w:rFonts w:eastAsia="Times New Roman"/>
                <w:sz w:val="20"/>
                <w:szCs w:val="20"/>
              </w:rPr>
              <w:t>23,597,300</w:t>
            </w:r>
          </w:p>
        </w:tc>
        <w:tc>
          <w:tcPr>
            <w:tcW w:w="0" w:type="auto"/>
            <w:shd w:val="clear" w:color="auto" w:fill="FFFFFF"/>
            <w:tcMar>
              <w:top w:w="0" w:type="dxa"/>
              <w:left w:w="0" w:type="dxa"/>
              <w:bottom w:w="30" w:type="dxa"/>
              <w:right w:w="0" w:type="dxa"/>
            </w:tcMar>
            <w:vAlign w:val="bottom"/>
            <w:hideMark/>
          </w:tcPr>
          <w:p w14:paraId="3E570C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C8BAEA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5B7879F" w14:textId="77777777" w:rsidR="00000000" w:rsidRDefault="001826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6CDAA185" w14:textId="77777777" w:rsidR="00000000" w:rsidRDefault="001826C1">
            <w:pPr>
              <w:jc w:val="right"/>
              <w:rPr>
                <w:rFonts w:eastAsia="Times New Roman"/>
                <w:sz w:val="20"/>
                <w:szCs w:val="20"/>
              </w:rPr>
            </w:pPr>
            <w:r>
              <w:rPr>
                <w:rFonts w:eastAsia="Times New Roman"/>
                <w:sz w:val="20"/>
                <w:szCs w:val="20"/>
              </w:rPr>
              <w:t>1,236,377</w:t>
            </w:r>
          </w:p>
        </w:tc>
        <w:tc>
          <w:tcPr>
            <w:tcW w:w="0" w:type="auto"/>
            <w:shd w:val="clear" w:color="auto" w:fill="FFFFFF"/>
            <w:tcMar>
              <w:top w:w="0" w:type="dxa"/>
              <w:left w:w="0" w:type="dxa"/>
              <w:bottom w:w="30" w:type="dxa"/>
              <w:right w:w="0" w:type="dxa"/>
            </w:tcMar>
            <w:vAlign w:val="bottom"/>
            <w:hideMark/>
          </w:tcPr>
          <w:p w14:paraId="1A7365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807C99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CE67E6" w14:textId="77777777" w:rsidR="00000000" w:rsidRDefault="001826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3274B08E" w14:textId="77777777" w:rsidR="00000000" w:rsidRDefault="001826C1">
            <w:pPr>
              <w:jc w:val="right"/>
              <w:rPr>
                <w:rFonts w:eastAsia="Times New Roman"/>
                <w:sz w:val="20"/>
                <w:szCs w:val="20"/>
              </w:rPr>
            </w:pPr>
            <w:r>
              <w:rPr>
                <w:rFonts w:eastAsia="Times New Roman"/>
                <w:sz w:val="20"/>
                <w:szCs w:val="20"/>
              </w:rPr>
              <w:t>2,027,470</w:t>
            </w:r>
          </w:p>
        </w:tc>
        <w:tc>
          <w:tcPr>
            <w:tcW w:w="0" w:type="auto"/>
            <w:shd w:val="clear" w:color="auto" w:fill="FFFFFF"/>
            <w:tcMar>
              <w:top w:w="0" w:type="dxa"/>
              <w:left w:w="0" w:type="dxa"/>
              <w:bottom w:w="30" w:type="dxa"/>
              <w:right w:w="0" w:type="dxa"/>
            </w:tcMar>
            <w:vAlign w:val="bottom"/>
            <w:hideMark/>
          </w:tcPr>
          <w:p w14:paraId="41A614C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B78AE7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C95188" w14:textId="77777777" w:rsidR="00000000" w:rsidRDefault="001826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14:paraId="6949D3DA" w14:textId="77777777" w:rsidR="00000000" w:rsidRDefault="001826C1">
            <w:pPr>
              <w:jc w:val="right"/>
              <w:rPr>
                <w:rFonts w:eastAsia="Times New Roman"/>
                <w:sz w:val="20"/>
                <w:szCs w:val="20"/>
              </w:rPr>
            </w:pPr>
            <w:r>
              <w:rPr>
                <w:rFonts w:eastAsia="Times New Roman"/>
                <w:sz w:val="20"/>
                <w:szCs w:val="20"/>
              </w:rPr>
              <w:t>26,861,147</w:t>
            </w:r>
          </w:p>
        </w:tc>
        <w:tc>
          <w:tcPr>
            <w:tcW w:w="0" w:type="auto"/>
            <w:shd w:val="clear" w:color="auto" w:fill="FFFFFF"/>
            <w:tcMar>
              <w:top w:w="0" w:type="dxa"/>
              <w:left w:w="0" w:type="dxa"/>
              <w:bottom w:w="30" w:type="dxa"/>
              <w:right w:w="0" w:type="dxa"/>
            </w:tcMar>
            <w:vAlign w:val="bottom"/>
            <w:hideMark/>
          </w:tcPr>
          <w:p w14:paraId="50513F5D" w14:textId="77777777" w:rsidR="00000000" w:rsidRDefault="001826C1">
            <w:pPr>
              <w:rPr>
                <w:rFonts w:eastAsia="Times New Roman"/>
                <w:sz w:val="20"/>
                <w:szCs w:val="20"/>
              </w:rPr>
            </w:pPr>
            <w:r>
              <w:rPr>
                <w:rFonts w:eastAsia="Times New Roman"/>
                <w:sz w:val="20"/>
                <w:szCs w:val="20"/>
              </w:rPr>
              <w:t> </w:t>
            </w:r>
          </w:p>
        </w:tc>
      </w:tr>
      <w:tr w:rsidR="00000000" w14:paraId="3DEE97DB" w14:textId="77777777">
        <w:tc>
          <w:tcPr>
            <w:tcW w:w="0" w:type="auto"/>
            <w:shd w:val="clear" w:color="auto" w:fill="CCEEFF"/>
            <w:vAlign w:val="bottom"/>
            <w:hideMark/>
          </w:tcPr>
          <w:p w14:paraId="7DC07CBA" w14:textId="77777777" w:rsidR="00000000" w:rsidRDefault="001826C1">
            <w:pPr>
              <w:rPr>
                <w:rFonts w:eastAsia="Times New Roman"/>
                <w:sz w:val="20"/>
                <w:szCs w:val="20"/>
              </w:rPr>
            </w:pPr>
            <w:r>
              <w:rPr>
                <w:rFonts w:eastAsia="Times New Roman"/>
                <w:sz w:val="20"/>
                <w:szCs w:val="20"/>
              </w:rPr>
              <w:t>Useful lives</w:t>
            </w:r>
          </w:p>
        </w:tc>
        <w:tc>
          <w:tcPr>
            <w:tcW w:w="0" w:type="auto"/>
            <w:shd w:val="clear" w:color="auto" w:fill="CCEEFF"/>
            <w:vAlign w:val="bottom"/>
            <w:hideMark/>
          </w:tcPr>
          <w:p w14:paraId="5C7DF4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09EE6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0B82F2" w14:textId="77777777" w:rsidR="00000000" w:rsidRDefault="001826C1">
            <w:pPr>
              <w:jc w:val="right"/>
              <w:rPr>
                <w:rFonts w:eastAsia="Times New Roman"/>
                <w:sz w:val="20"/>
                <w:szCs w:val="20"/>
              </w:rPr>
            </w:pPr>
            <w:r>
              <w:rPr>
                <w:rFonts w:eastAsia="Times New Roman"/>
                <w:sz w:val="20"/>
                <w:szCs w:val="20"/>
              </w:rPr>
              <w:t>3-12 Years</w:t>
            </w:r>
          </w:p>
        </w:tc>
        <w:tc>
          <w:tcPr>
            <w:tcW w:w="0" w:type="auto"/>
            <w:shd w:val="clear" w:color="auto" w:fill="CCEEFF"/>
            <w:vAlign w:val="bottom"/>
            <w:hideMark/>
          </w:tcPr>
          <w:p w14:paraId="6BAB20C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F1477B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F416BB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CF1DB5" w14:textId="77777777" w:rsidR="00000000" w:rsidRDefault="001826C1">
            <w:pPr>
              <w:jc w:val="right"/>
              <w:rPr>
                <w:rFonts w:eastAsia="Times New Roman"/>
                <w:sz w:val="20"/>
                <w:szCs w:val="20"/>
              </w:rPr>
            </w:pPr>
            <w:r>
              <w:rPr>
                <w:rFonts w:eastAsia="Times New Roman"/>
                <w:sz w:val="20"/>
                <w:szCs w:val="20"/>
              </w:rPr>
              <w:t>3 Years</w:t>
            </w:r>
          </w:p>
        </w:tc>
        <w:tc>
          <w:tcPr>
            <w:tcW w:w="0" w:type="auto"/>
            <w:shd w:val="clear" w:color="auto" w:fill="CCEEFF"/>
            <w:vAlign w:val="bottom"/>
            <w:hideMark/>
          </w:tcPr>
          <w:p w14:paraId="13B37F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3E578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B16A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424145" w14:textId="77777777" w:rsidR="00000000" w:rsidRDefault="001826C1">
            <w:pPr>
              <w:jc w:val="right"/>
              <w:rPr>
                <w:rFonts w:eastAsia="Times New Roman"/>
                <w:sz w:val="20"/>
                <w:szCs w:val="20"/>
              </w:rPr>
            </w:pPr>
            <w:r>
              <w:rPr>
                <w:rFonts w:eastAsia="Times New Roman"/>
                <w:sz w:val="20"/>
                <w:szCs w:val="20"/>
              </w:rPr>
              <w:t>3 Years</w:t>
            </w:r>
          </w:p>
        </w:tc>
        <w:tc>
          <w:tcPr>
            <w:tcW w:w="0" w:type="auto"/>
            <w:shd w:val="clear" w:color="auto" w:fill="CCEEFF"/>
            <w:vAlign w:val="bottom"/>
            <w:hideMark/>
          </w:tcPr>
          <w:p w14:paraId="5FCECB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6213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83438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27AA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9E7D54C" w14:textId="77777777" w:rsidR="00000000" w:rsidRDefault="001826C1">
            <w:pPr>
              <w:rPr>
                <w:rFonts w:eastAsia="Times New Roman"/>
                <w:sz w:val="20"/>
                <w:szCs w:val="20"/>
              </w:rPr>
            </w:pPr>
            <w:r>
              <w:rPr>
                <w:rFonts w:eastAsia="Times New Roman"/>
                <w:sz w:val="20"/>
                <w:szCs w:val="20"/>
              </w:rPr>
              <w:t> </w:t>
            </w:r>
          </w:p>
        </w:tc>
      </w:tr>
      <w:tr w:rsidR="00000000" w14:paraId="12825418" w14:textId="77777777">
        <w:tc>
          <w:tcPr>
            <w:tcW w:w="0" w:type="auto"/>
            <w:shd w:val="clear" w:color="auto" w:fill="FFFFFF"/>
            <w:vAlign w:val="bottom"/>
            <w:hideMark/>
          </w:tcPr>
          <w:p w14:paraId="05447ED5" w14:textId="77777777" w:rsidR="00000000" w:rsidRDefault="001826C1">
            <w:pPr>
              <w:rPr>
                <w:rFonts w:eastAsia="Times New Roman"/>
                <w:b/>
                <w:bCs/>
                <w:sz w:val="20"/>
                <w:szCs w:val="20"/>
                <w:u w:val="single"/>
              </w:rPr>
            </w:pPr>
            <w:r>
              <w:rPr>
                <w:rFonts w:eastAsia="Times New Roman"/>
                <w:b/>
                <w:bCs/>
                <w:sz w:val="20"/>
                <w:szCs w:val="20"/>
                <w:u w:val="single"/>
              </w:rPr>
              <w:t>ACCUMULATED AMORTIZATION</w:t>
            </w:r>
          </w:p>
        </w:tc>
        <w:tc>
          <w:tcPr>
            <w:tcW w:w="0" w:type="auto"/>
            <w:shd w:val="clear" w:color="auto" w:fill="FFFFFF"/>
            <w:vAlign w:val="bottom"/>
            <w:hideMark/>
          </w:tcPr>
          <w:p w14:paraId="2FC275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2D9A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A79E71D"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1A419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7AE3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88538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9DC546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49F1A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D728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3FF69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E31FB2"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343D5A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67D6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A002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8AB3F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B2701F1" w14:textId="77777777" w:rsidR="00000000" w:rsidRDefault="001826C1">
            <w:pPr>
              <w:rPr>
                <w:rFonts w:eastAsia="Times New Roman"/>
                <w:sz w:val="20"/>
                <w:szCs w:val="20"/>
              </w:rPr>
            </w:pPr>
            <w:r>
              <w:rPr>
                <w:rFonts w:eastAsia="Times New Roman"/>
                <w:sz w:val="20"/>
                <w:szCs w:val="20"/>
              </w:rPr>
              <w:t> </w:t>
            </w:r>
          </w:p>
        </w:tc>
      </w:tr>
      <w:tr w:rsidR="00000000" w14:paraId="5598A3FB" w14:textId="77777777">
        <w:tc>
          <w:tcPr>
            <w:tcW w:w="0" w:type="auto"/>
            <w:shd w:val="clear" w:color="auto" w:fill="CCEEFF"/>
            <w:vAlign w:val="bottom"/>
            <w:hideMark/>
          </w:tcPr>
          <w:p w14:paraId="2CE0D285" w14:textId="77777777" w:rsidR="00000000" w:rsidRDefault="001826C1">
            <w:pPr>
              <w:rPr>
                <w:rFonts w:eastAsia="Times New Roman"/>
                <w:sz w:val="20"/>
                <w:szCs w:val="20"/>
              </w:rPr>
            </w:pPr>
            <w:r>
              <w:rPr>
                <w:rFonts w:eastAsia="Times New Roman"/>
                <w:sz w:val="20"/>
                <w:szCs w:val="20"/>
              </w:rPr>
              <w:t>Balance, January 1, 2019</w:t>
            </w:r>
          </w:p>
        </w:tc>
        <w:tc>
          <w:tcPr>
            <w:tcW w:w="0" w:type="auto"/>
            <w:shd w:val="clear" w:color="auto" w:fill="CCEEFF"/>
            <w:vAlign w:val="bottom"/>
            <w:hideMark/>
          </w:tcPr>
          <w:p w14:paraId="47F8FB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5E1C0BE"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0AC12DD" w14:textId="77777777" w:rsidR="00000000" w:rsidRDefault="001826C1">
            <w:pPr>
              <w:jc w:val="right"/>
              <w:rPr>
                <w:rFonts w:eastAsia="Times New Roman"/>
                <w:sz w:val="20"/>
                <w:szCs w:val="20"/>
              </w:rPr>
            </w:pPr>
            <w:r>
              <w:rPr>
                <w:rFonts w:eastAsia="Times New Roman"/>
                <w:sz w:val="20"/>
                <w:szCs w:val="20"/>
              </w:rPr>
              <w:t>16,457,878</w:t>
            </w:r>
          </w:p>
        </w:tc>
        <w:tc>
          <w:tcPr>
            <w:tcW w:w="0" w:type="auto"/>
            <w:shd w:val="clear" w:color="auto" w:fill="CCEEFF"/>
            <w:vAlign w:val="bottom"/>
            <w:hideMark/>
          </w:tcPr>
          <w:p w14:paraId="545C79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BF85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D41E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A86A020" w14:textId="77777777" w:rsidR="00000000" w:rsidRDefault="001826C1">
            <w:pPr>
              <w:jc w:val="right"/>
              <w:rPr>
                <w:rFonts w:eastAsia="Times New Roman"/>
                <w:sz w:val="20"/>
                <w:szCs w:val="20"/>
              </w:rPr>
            </w:pPr>
            <w:r>
              <w:rPr>
                <w:rFonts w:eastAsia="Times New Roman"/>
                <w:sz w:val="20"/>
                <w:szCs w:val="20"/>
              </w:rPr>
              <w:t>1,234,774</w:t>
            </w:r>
          </w:p>
        </w:tc>
        <w:tc>
          <w:tcPr>
            <w:tcW w:w="0" w:type="auto"/>
            <w:shd w:val="clear" w:color="auto" w:fill="CCEEFF"/>
            <w:vAlign w:val="bottom"/>
            <w:hideMark/>
          </w:tcPr>
          <w:p w14:paraId="39B9B7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C56F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5FEC89"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C02196B" w14:textId="77777777" w:rsidR="00000000" w:rsidRDefault="001826C1">
            <w:pPr>
              <w:jc w:val="right"/>
              <w:rPr>
                <w:rFonts w:eastAsia="Times New Roman"/>
                <w:sz w:val="20"/>
                <w:szCs w:val="20"/>
              </w:rPr>
            </w:pPr>
            <w:r>
              <w:rPr>
                <w:rFonts w:eastAsia="Times New Roman"/>
                <w:sz w:val="20"/>
                <w:szCs w:val="20"/>
              </w:rPr>
              <w:t>1,128,081</w:t>
            </w:r>
          </w:p>
        </w:tc>
        <w:tc>
          <w:tcPr>
            <w:tcW w:w="0" w:type="auto"/>
            <w:shd w:val="clear" w:color="auto" w:fill="CCEEFF"/>
            <w:vAlign w:val="bottom"/>
            <w:hideMark/>
          </w:tcPr>
          <w:p w14:paraId="4795C2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56CE7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3C244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76492264" w14:textId="77777777" w:rsidR="00000000" w:rsidRDefault="001826C1">
            <w:pPr>
              <w:jc w:val="right"/>
              <w:rPr>
                <w:rFonts w:eastAsia="Times New Roman"/>
                <w:sz w:val="20"/>
                <w:szCs w:val="20"/>
              </w:rPr>
            </w:pPr>
            <w:r>
              <w:rPr>
                <w:rFonts w:eastAsia="Times New Roman"/>
                <w:sz w:val="20"/>
                <w:szCs w:val="20"/>
              </w:rPr>
              <w:t>18,820,733</w:t>
            </w:r>
          </w:p>
        </w:tc>
        <w:tc>
          <w:tcPr>
            <w:tcW w:w="0" w:type="auto"/>
            <w:shd w:val="clear" w:color="auto" w:fill="CCEEFF"/>
            <w:vAlign w:val="bottom"/>
            <w:hideMark/>
          </w:tcPr>
          <w:p w14:paraId="6EB94BAA" w14:textId="77777777" w:rsidR="00000000" w:rsidRDefault="001826C1">
            <w:pPr>
              <w:rPr>
                <w:rFonts w:eastAsia="Times New Roman"/>
                <w:sz w:val="20"/>
                <w:szCs w:val="20"/>
              </w:rPr>
            </w:pPr>
            <w:r>
              <w:rPr>
                <w:rFonts w:eastAsia="Times New Roman"/>
                <w:sz w:val="20"/>
                <w:szCs w:val="20"/>
              </w:rPr>
              <w:t> </w:t>
            </w:r>
          </w:p>
        </w:tc>
      </w:tr>
      <w:tr w:rsidR="00000000" w14:paraId="54EE716E" w14:textId="77777777">
        <w:tc>
          <w:tcPr>
            <w:tcW w:w="0" w:type="auto"/>
            <w:shd w:val="clear" w:color="auto" w:fill="FFFFFF"/>
            <w:tcMar>
              <w:top w:w="0" w:type="dxa"/>
              <w:left w:w="0" w:type="dxa"/>
              <w:bottom w:w="30" w:type="dxa"/>
              <w:right w:w="0" w:type="dxa"/>
            </w:tcMar>
            <w:vAlign w:val="bottom"/>
            <w:hideMark/>
          </w:tcPr>
          <w:p w14:paraId="5BD7AB53" w14:textId="77777777" w:rsidR="00000000" w:rsidRDefault="001826C1">
            <w:pPr>
              <w:rPr>
                <w:rFonts w:eastAsia="Times New Roman"/>
                <w:sz w:val="20"/>
                <w:szCs w:val="20"/>
              </w:rPr>
            </w:pPr>
            <w:r>
              <w:rPr>
                <w:rFonts w:eastAsia="Times New Roman"/>
                <w:sz w:val="20"/>
                <w:szCs w:val="20"/>
              </w:rPr>
              <w:t>Amortization expense</w:t>
            </w:r>
          </w:p>
        </w:tc>
        <w:tc>
          <w:tcPr>
            <w:tcW w:w="0" w:type="auto"/>
            <w:shd w:val="clear" w:color="auto" w:fill="FFFFFF"/>
            <w:tcMar>
              <w:top w:w="0" w:type="dxa"/>
              <w:left w:w="0" w:type="dxa"/>
              <w:bottom w:w="30" w:type="dxa"/>
              <w:right w:w="0" w:type="dxa"/>
            </w:tcMar>
            <w:vAlign w:val="bottom"/>
            <w:hideMark/>
          </w:tcPr>
          <w:p w14:paraId="7BD4728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39B98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8F0A7E" w14:textId="77777777" w:rsidR="00000000" w:rsidRDefault="001826C1">
            <w:pPr>
              <w:jc w:val="right"/>
              <w:rPr>
                <w:rFonts w:eastAsia="Times New Roman"/>
                <w:sz w:val="20"/>
                <w:szCs w:val="20"/>
              </w:rPr>
            </w:pPr>
            <w:r>
              <w:rPr>
                <w:rFonts w:eastAsia="Times New Roman"/>
                <w:sz w:val="20"/>
                <w:szCs w:val="20"/>
              </w:rPr>
              <w:t>1,855,634</w:t>
            </w:r>
          </w:p>
        </w:tc>
        <w:tc>
          <w:tcPr>
            <w:tcW w:w="0" w:type="auto"/>
            <w:shd w:val="clear" w:color="auto" w:fill="FFFFFF"/>
            <w:tcMar>
              <w:top w:w="0" w:type="dxa"/>
              <w:left w:w="0" w:type="dxa"/>
              <w:bottom w:w="30" w:type="dxa"/>
              <w:right w:w="0" w:type="dxa"/>
            </w:tcMar>
            <w:vAlign w:val="bottom"/>
            <w:hideMark/>
          </w:tcPr>
          <w:p w14:paraId="4792622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5CD79D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C7317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2C1D409" w14:textId="77777777" w:rsidR="00000000" w:rsidRDefault="001826C1">
            <w:pPr>
              <w:jc w:val="right"/>
              <w:rPr>
                <w:rFonts w:eastAsia="Times New Roman"/>
                <w:sz w:val="20"/>
                <w:szCs w:val="20"/>
              </w:rPr>
            </w:pPr>
            <w:r>
              <w:rPr>
                <w:rFonts w:eastAsia="Times New Roman"/>
                <w:sz w:val="20"/>
                <w:szCs w:val="20"/>
              </w:rPr>
              <w:t>1,601</w:t>
            </w:r>
          </w:p>
        </w:tc>
        <w:tc>
          <w:tcPr>
            <w:tcW w:w="0" w:type="auto"/>
            <w:shd w:val="clear" w:color="auto" w:fill="FFFFFF"/>
            <w:tcMar>
              <w:top w:w="0" w:type="dxa"/>
              <w:left w:w="0" w:type="dxa"/>
              <w:bottom w:w="30" w:type="dxa"/>
              <w:right w:w="0" w:type="dxa"/>
            </w:tcMar>
            <w:vAlign w:val="bottom"/>
            <w:hideMark/>
          </w:tcPr>
          <w:p w14:paraId="40F038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AAFDCA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B0860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118298" w14:textId="77777777" w:rsidR="00000000" w:rsidRDefault="001826C1">
            <w:pPr>
              <w:jc w:val="right"/>
              <w:rPr>
                <w:rFonts w:eastAsia="Times New Roman"/>
                <w:sz w:val="20"/>
                <w:szCs w:val="20"/>
              </w:rPr>
            </w:pPr>
            <w:r>
              <w:rPr>
                <w:rFonts w:eastAsia="Times New Roman"/>
                <w:sz w:val="20"/>
                <w:szCs w:val="20"/>
              </w:rPr>
              <w:t>205,954</w:t>
            </w:r>
          </w:p>
        </w:tc>
        <w:tc>
          <w:tcPr>
            <w:tcW w:w="0" w:type="auto"/>
            <w:shd w:val="clear" w:color="auto" w:fill="FFFFFF"/>
            <w:tcMar>
              <w:top w:w="0" w:type="dxa"/>
              <w:left w:w="0" w:type="dxa"/>
              <w:bottom w:w="30" w:type="dxa"/>
              <w:right w:w="0" w:type="dxa"/>
            </w:tcMar>
            <w:vAlign w:val="bottom"/>
            <w:hideMark/>
          </w:tcPr>
          <w:p w14:paraId="4CCBDD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409FB5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DFBEC9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4B0D265" w14:textId="77777777" w:rsidR="00000000" w:rsidRDefault="001826C1">
            <w:pPr>
              <w:jc w:val="right"/>
              <w:rPr>
                <w:rFonts w:eastAsia="Times New Roman"/>
                <w:sz w:val="20"/>
                <w:szCs w:val="20"/>
              </w:rPr>
            </w:pPr>
            <w:r>
              <w:rPr>
                <w:rFonts w:eastAsia="Times New Roman"/>
                <w:sz w:val="20"/>
                <w:szCs w:val="20"/>
              </w:rPr>
              <w:t>2,063,189</w:t>
            </w:r>
          </w:p>
        </w:tc>
        <w:tc>
          <w:tcPr>
            <w:tcW w:w="0" w:type="auto"/>
            <w:shd w:val="clear" w:color="auto" w:fill="FFFFFF"/>
            <w:tcMar>
              <w:top w:w="0" w:type="dxa"/>
              <w:left w:w="0" w:type="dxa"/>
              <w:bottom w:w="30" w:type="dxa"/>
              <w:right w:w="0" w:type="dxa"/>
            </w:tcMar>
            <w:vAlign w:val="bottom"/>
            <w:hideMark/>
          </w:tcPr>
          <w:p w14:paraId="1E844F99" w14:textId="77777777" w:rsidR="00000000" w:rsidRDefault="001826C1">
            <w:pPr>
              <w:rPr>
                <w:rFonts w:eastAsia="Times New Roman"/>
                <w:sz w:val="20"/>
                <w:szCs w:val="20"/>
              </w:rPr>
            </w:pPr>
            <w:r>
              <w:rPr>
                <w:rFonts w:eastAsia="Times New Roman"/>
                <w:sz w:val="20"/>
                <w:szCs w:val="20"/>
              </w:rPr>
              <w:t> </w:t>
            </w:r>
          </w:p>
        </w:tc>
      </w:tr>
      <w:tr w:rsidR="00000000" w14:paraId="1E61E874" w14:textId="77777777">
        <w:tc>
          <w:tcPr>
            <w:tcW w:w="0" w:type="auto"/>
            <w:shd w:val="clear" w:color="auto" w:fill="CCEEFF"/>
            <w:tcMar>
              <w:top w:w="0" w:type="dxa"/>
              <w:left w:w="0" w:type="dxa"/>
              <w:bottom w:w="30" w:type="dxa"/>
              <w:right w:w="0" w:type="dxa"/>
            </w:tcMar>
            <w:vAlign w:val="bottom"/>
            <w:hideMark/>
          </w:tcPr>
          <w:p w14:paraId="5A82626D" w14:textId="77777777" w:rsidR="00000000" w:rsidRDefault="001826C1">
            <w:pPr>
              <w:rPr>
                <w:rFonts w:eastAsia="Times New Roman"/>
                <w:sz w:val="20"/>
                <w:szCs w:val="20"/>
              </w:rPr>
            </w:pPr>
            <w:r>
              <w:rPr>
                <w:rFonts w:eastAsia="Times New Roman"/>
                <w:sz w:val="20"/>
                <w:szCs w:val="20"/>
              </w:rPr>
              <w:t>Balance, December 31, 2019</w:t>
            </w:r>
          </w:p>
        </w:tc>
        <w:tc>
          <w:tcPr>
            <w:tcW w:w="0" w:type="auto"/>
            <w:shd w:val="clear" w:color="auto" w:fill="CCEEFF"/>
            <w:tcMar>
              <w:top w:w="0" w:type="dxa"/>
              <w:left w:w="0" w:type="dxa"/>
              <w:bottom w:w="30" w:type="dxa"/>
              <w:right w:w="0" w:type="dxa"/>
            </w:tcMar>
            <w:vAlign w:val="bottom"/>
            <w:hideMark/>
          </w:tcPr>
          <w:p w14:paraId="5706C4C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9B8676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62C096" w14:textId="77777777" w:rsidR="00000000" w:rsidRDefault="001826C1">
            <w:pPr>
              <w:jc w:val="right"/>
              <w:rPr>
                <w:rFonts w:eastAsia="Times New Roman"/>
                <w:sz w:val="20"/>
                <w:szCs w:val="20"/>
              </w:rPr>
            </w:pPr>
            <w:r>
              <w:rPr>
                <w:rFonts w:eastAsia="Times New Roman"/>
                <w:sz w:val="20"/>
                <w:szCs w:val="20"/>
              </w:rPr>
              <w:t>18,313,512</w:t>
            </w:r>
          </w:p>
        </w:tc>
        <w:tc>
          <w:tcPr>
            <w:tcW w:w="0" w:type="auto"/>
            <w:shd w:val="clear" w:color="auto" w:fill="CCEEFF"/>
            <w:tcMar>
              <w:top w:w="0" w:type="dxa"/>
              <w:left w:w="0" w:type="dxa"/>
              <w:bottom w:w="30" w:type="dxa"/>
              <w:right w:w="0" w:type="dxa"/>
            </w:tcMar>
            <w:vAlign w:val="bottom"/>
            <w:hideMark/>
          </w:tcPr>
          <w:p w14:paraId="51833E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2F6AA6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BF43D3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DDFE64" w14:textId="77777777" w:rsidR="00000000" w:rsidRDefault="001826C1">
            <w:pPr>
              <w:jc w:val="right"/>
              <w:rPr>
                <w:rFonts w:eastAsia="Times New Roman"/>
                <w:sz w:val="20"/>
                <w:szCs w:val="20"/>
              </w:rPr>
            </w:pPr>
            <w:r>
              <w:rPr>
                <w:rFonts w:eastAsia="Times New Roman"/>
                <w:sz w:val="20"/>
                <w:szCs w:val="20"/>
              </w:rPr>
              <w:t>1,236,375</w:t>
            </w:r>
          </w:p>
        </w:tc>
        <w:tc>
          <w:tcPr>
            <w:tcW w:w="0" w:type="auto"/>
            <w:shd w:val="clear" w:color="auto" w:fill="CCEEFF"/>
            <w:tcMar>
              <w:top w:w="0" w:type="dxa"/>
              <w:left w:w="0" w:type="dxa"/>
              <w:bottom w:w="30" w:type="dxa"/>
              <w:right w:w="0" w:type="dxa"/>
            </w:tcMar>
            <w:vAlign w:val="bottom"/>
            <w:hideMark/>
          </w:tcPr>
          <w:p w14:paraId="167502C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1F7FB2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16A30B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DB2BB4" w14:textId="77777777" w:rsidR="00000000" w:rsidRDefault="001826C1">
            <w:pPr>
              <w:jc w:val="right"/>
              <w:rPr>
                <w:rFonts w:eastAsia="Times New Roman"/>
                <w:sz w:val="20"/>
                <w:szCs w:val="20"/>
              </w:rPr>
            </w:pPr>
            <w:r>
              <w:rPr>
                <w:rFonts w:eastAsia="Times New Roman"/>
                <w:sz w:val="20"/>
                <w:szCs w:val="20"/>
              </w:rPr>
              <w:t>1,334,035</w:t>
            </w:r>
          </w:p>
        </w:tc>
        <w:tc>
          <w:tcPr>
            <w:tcW w:w="0" w:type="auto"/>
            <w:shd w:val="clear" w:color="auto" w:fill="CCEEFF"/>
            <w:tcMar>
              <w:top w:w="0" w:type="dxa"/>
              <w:left w:w="0" w:type="dxa"/>
              <w:bottom w:w="30" w:type="dxa"/>
              <w:right w:w="0" w:type="dxa"/>
            </w:tcMar>
            <w:vAlign w:val="bottom"/>
            <w:hideMark/>
          </w:tcPr>
          <w:p w14:paraId="702868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5946038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02442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FDA4DF" w14:textId="77777777" w:rsidR="00000000" w:rsidRDefault="001826C1">
            <w:pPr>
              <w:jc w:val="right"/>
              <w:rPr>
                <w:rFonts w:eastAsia="Times New Roman"/>
                <w:sz w:val="20"/>
                <w:szCs w:val="20"/>
              </w:rPr>
            </w:pPr>
            <w:r>
              <w:rPr>
                <w:rFonts w:eastAsia="Times New Roman"/>
                <w:sz w:val="20"/>
                <w:szCs w:val="20"/>
              </w:rPr>
              <w:t>20,883,922</w:t>
            </w:r>
          </w:p>
        </w:tc>
        <w:tc>
          <w:tcPr>
            <w:tcW w:w="0" w:type="auto"/>
            <w:shd w:val="clear" w:color="auto" w:fill="CCEEFF"/>
            <w:tcMar>
              <w:top w:w="0" w:type="dxa"/>
              <w:left w:w="0" w:type="dxa"/>
              <w:bottom w:w="30" w:type="dxa"/>
              <w:right w:w="0" w:type="dxa"/>
            </w:tcMar>
            <w:vAlign w:val="bottom"/>
            <w:hideMark/>
          </w:tcPr>
          <w:p w14:paraId="08AAE00C" w14:textId="77777777" w:rsidR="00000000" w:rsidRDefault="001826C1">
            <w:pPr>
              <w:rPr>
                <w:rFonts w:eastAsia="Times New Roman"/>
                <w:sz w:val="20"/>
                <w:szCs w:val="20"/>
              </w:rPr>
            </w:pPr>
            <w:r>
              <w:rPr>
                <w:rFonts w:eastAsia="Times New Roman"/>
                <w:sz w:val="20"/>
                <w:szCs w:val="20"/>
              </w:rPr>
              <w:t> </w:t>
            </w:r>
          </w:p>
        </w:tc>
      </w:tr>
      <w:tr w:rsidR="00000000" w14:paraId="39D254B7" w14:textId="77777777">
        <w:tc>
          <w:tcPr>
            <w:tcW w:w="0" w:type="auto"/>
            <w:shd w:val="clear" w:color="auto" w:fill="FFFFFF"/>
            <w:tcMar>
              <w:top w:w="0" w:type="dxa"/>
              <w:left w:w="0" w:type="dxa"/>
              <w:bottom w:w="50" w:type="dxa"/>
              <w:right w:w="0" w:type="dxa"/>
            </w:tcMar>
            <w:vAlign w:val="bottom"/>
            <w:hideMark/>
          </w:tcPr>
          <w:p w14:paraId="2D1F778B" w14:textId="77777777" w:rsidR="00000000" w:rsidRDefault="001826C1">
            <w:pPr>
              <w:rPr>
                <w:rFonts w:eastAsia="Times New Roman"/>
                <w:b/>
                <w:bCs/>
                <w:sz w:val="20"/>
                <w:szCs w:val="20"/>
              </w:rPr>
            </w:pPr>
            <w:r>
              <w:rPr>
                <w:rFonts w:eastAsia="Times New Roman"/>
                <w:b/>
                <w:bCs/>
                <w:sz w:val="20"/>
                <w:szCs w:val="20"/>
              </w:rPr>
              <w:t>Net book value</w:t>
            </w:r>
          </w:p>
        </w:tc>
        <w:tc>
          <w:tcPr>
            <w:tcW w:w="0" w:type="auto"/>
            <w:shd w:val="clear" w:color="auto" w:fill="FFFFFF"/>
            <w:tcMar>
              <w:top w:w="0" w:type="dxa"/>
              <w:left w:w="0" w:type="dxa"/>
              <w:bottom w:w="50" w:type="dxa"/>
              <w:right w:w="0" w:type="dxa"/>
            </w:tcMar>
            <w:vAlign w:val="bottom"/>
            <w:hideMark/>
          </w:tcPr>
          <w:p w14:paraId="2B39DB5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59FD21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F4BE5D8" w14:textId="77777777" w:rsidR="00000000" w:rsidRDefault="001826C1">
            <w:pPr>
              <w:jc w:val="right"/>
              <w:rPr>
                <w:rFonts w:eastAsia="Times New Roman"/>
                <w:sz w:val="20"/>
                <w:szCs w:val="20"/>
              </w:rPr>
            </w:pPr>
            <w:r>
              <w:rPr>
                <w:rFonts w:eastAsia="Times New Roman"/>
                <w:sz w:val="20"/>
                <w:szCs w:val="20"/>
              </w:rPr>
              <w:t>5,283,788</w:t>
            </w:r>
          </w:p>
        </w:tc>
        <w:tc>
          <w:tcPr>
            <w:tcW w:w="0" w:type="auto"/>
            <w:shd w:val="clear" w:color="auto" w:fill="FFFFFF"/>
            <w:tcMar>
              <w:top w:w="0" w:type="dxa"/>
              <w:left w:w="0" w:type="dxa"/>
              <w:bottom w:w="50" w:type="dxa"/>
              <w:right w:w="0" w:type="dxa"/>
            </w:tcMar>
            <w:vAlign w:val="bottom"/>
            <w:hideMark/>
          </w:tcPr>
          <w:p w14:paraId="5DBD64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5C015E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515421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B9654C3" w14:textId="77777777" w:rsidR="00000000" w:rsidRDefault="001826C1">
            <w:pPr>
              <w:jc w:val="right"/>
              <w:rPr>
                <w:rFonts w:eastAsia="Times New Roman"/>
                <w:sz w:val="20"/>
                <w:szCs w:val="20"/>
              </w:rPr>
            </w:pPr>
            <w:r>
              <w:rPr>
                <w:rFonts w:eastAsia="Times New Roman"/>
                <w:sz w:val="20"/>
                <w:szCs w:val="20"/>
              </w:rPr>
              <w:t>2</w:t>
            </w:r>
          </w:p>
        </w:tc>
        <w:tc>
          <w:tcPr>
            <w:tcW w:w="0" w:type="auto"/>
            <w:shd w:val="clear" w:color="auto" w:fill="FFFFFF"/>
            <w:tcMar>
              <w:top w:w="0" w:type="dxa"/>
              <w:left w:w="0" w:type="dxa"/>
              <w:bottom w:w="50" w:type="dxa"/>
              <w:right w:w="0" w:type="dxa"/>
            </w:tcMar>
            <w:vAlign w:val="bottom"/>
            <w:hideMark/>
          </w:tcPr>
          <w:p w14:paraId="613E8AF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766F70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420CA8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9073D5D" w14:textId="77777777" w:rsidR="00000000" w:rsidRDefault="001826C1">
            <w:pPr>
              <w:jc w:val="right"/>
              <w:rPr>
                <w:rFonts w:eastAsia="Times New Roman"/>
                <w:sz w:val="20"/>
                <w:szCs w:val="20"/>
              </w:rPr>
            </w:pPr>
            <w:r>
              <w:rPr>
                <w:rFonts w:eastAsia="Times New Roman"/>
                <w:sz w:val="20"/>
                <w:szCs w:val="20"/>
              </w:rPr>
              <w:t>693,435</w:t>
            </w:r>
          </w:p>
        </w:tc>
        <w:tc>
          <w:tcPr>
            <w:tcW w:w="0" w:type="auto"/>
            <w:shd w:val="clear" w:color="auto" w:fill="FFFFFF"/>
            <w:tcMar>
              <w:top w:w="0" w:type="dxa"/>
              <w:left w:w="0" w:type="dxa"/>
              <w:bottom w:w="50" w:type="dxa"/>
              <w:right w:w="0" w:type="dxa"/>
            </w:tcMar>
            <w:vAlign w:val="bottom"/>
            <w:hideMark/>
          </w:tcPr>
          <w:p w14:paraId="25CA17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4E876C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520E703"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A4B4592" w14:textId="77777777" w:rsidR="00000000" w:rsidRDefault="001826C1">
            <w:pPr>
              <w:jc w:val="right"/>
              <w:rPr>
                <w:rFonts w:eastAsia="Times New Roman"/>
                <w:sz w:val="20"/>
                <w:szCs w:val="20"/>
              </w:rPr>
            </w:pPr>
            <w:r>
              <w:rPr>
                <w:rFonts w:eastAsia="Times New Roman"/>
                <w:sz w:val="20"/>
                <w:szCs w:val="20"/>
              </w:rPr>
              <w:t>5,977,225</w:t>
            </w:r>
          </w:p>
        </w:tc>
        <w:tc>
          <w:tcPr>
            <w:tcW w:w="0" w:type="auto"/>
            <w:shd w:val="clear" w:color="auto" w:fill="FFFFFF"/>
            <w:tcMar>
              <w:top w:w="0" w:type="dxa"/>
              <w:left w:w="0" w:type="dxa"/>
              <w:bottom w:w="50" w:type="dxa"/>
              <w:right w:w="0" w:type="dxa"/>
            </w:tcMar>
            <w:vAlign w:val="bottom"/>
            <w:hideMark/>
          </w:tcPr>
          <w:p w14:paraId="04B89FAD" w14:textId="77777777" w:rsidR="00000000" w:rsidRDefault="001826C1">
            <w:pPr>
              <w:rPr>
                <w:rFonts w:eastAsia="Times New Roman"/>
                <w:sz w:val="20"/>
                <w:szCs w:val="20"/>
              </w:rPr>
            </w:pPr>
            <w:r>
              <w:rPr>
                <w:rFonts w:eastAsia="Times New Roman"/>
                <w:sz w:val="20"/>
                <w:szCs w:val="20"/>
              </w:rPr>
              <w:t> </w:t>
            </w:r>
          </w:p>
        </w:tc>
      </w:tr>
      <w:tr w:rsidR="00000000" w14:paraId="0B47F6F7" w14:textId="77777777">
        <w:tc>
          <w:tcPr>
            <w:tcW w:w="0" w:type="auto"/>
            <w:shd w:val="clear" w:color="auto" w:fill="CCEEFF"/>
            <w:vAlign w:val="bottom"/>
            <w:hideMark/>
          </w:tcPr>
          <w:p w14:paraId="5508B2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327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29ECA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69BD81"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597E6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62CD3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C68383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41390C"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2365B8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A6104A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FD767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B71C6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FC9A5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EAE2D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0D60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4ED905"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EE89279" w14:textId="77777777" w:rsidR="00000000" w:rsidRDefault="001826C1">
            <w:pPr>
              <w:rPr>
                <w:rFonts w:eastAsia="Times New Roman"/>
                <w:sz w:val="20"/>
                <w:szCs w:val="20"/>
              </w:rPr>
            </w:pPr>
            <w:r>
              <w:rPr>
                <w:rFonts w:eastAsia="Times New Roman"/>
                <w:sz w:val="20"/>
                <w:szCs w:val="20"/>
              </w:rPr>
              <w:t> </w:t>
            </w:r>
          </w:p>
        </w:tc>
      </w:tr>
      <w:tr w:rsidR="00000000" w14:paraId="69618BF0" w14:textId="77777777">
        <w:tc>
          <w:tcPr>
            <w:tcW w:w="0" w:type="auto"/>
            <w:shd w:val="clear" w:color="auto" w:fill="FFFFFF"/>
            <w:vAlign w:val="bottom"/>
            <w:hideMark/>
          </w:tcPr>
          <w:p w14:paraId="62DA0E63" w14:textId="77777777" w:rsidR="00000000" w:rsidRDefault="001826C1">
            <w:pPr>
              <w:rPr>
                <w:rFonts w:eastAsia="Times New Roman"/>
                <w:b/>
                <w:bCs/>
                <w:sz w:val="20"/>
                <w:szCs w:val="20"/>
                <w:u w:val="single"/>
              </w:rPr>
            </w:pPr>
            <w:r>
              <w:rPr>
                <w:rFonts w:eastAsia="Times New Roman"/>
                <w:b/>
                <w:bCs/>
                <w:sz w:val="20"/>
                <w:szCs w:val="20"/>
                <w:u w:val="single"/>
              </w:rPr>
              <w:t>COST</w:t>
            </w:r>
          </w:p>
        </w:tc>
        <w:tc>
          <w:tcPr>
            <w:tcW w:w="0" w:type="auto"/>
            <w:shd w:val="clear" w:color="auto" w:fill="FFFFFF"/>
            <w:vAlign w:val="bottom"/>
            <w:hideMark/>
          </w:tcPr>
          <w:p w14:paraId="6266CF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3AB0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F8F8B2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0DB63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80BA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82DC7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4FADA0"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C48D0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63C87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0F80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BD1E0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736824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31E3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EB8E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BBDFB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56828CD4" w14:textId="77777777" w:rsidR="00000000" w:rsidRDefault="001826C1">
            <w:pPr>
              <w:rPr>
                <w:rFonts w:eastAsia="Times New Roman"/>
                <w:sz w:val="20"/>
                <w:szCs w:val="20"/>
              </w:rPr>
            </w:pPr>
            <w:r>
              <w:rPr>
                <w:rFonts w:eastAsia="Times New Roman"/>
                <w:sz w:val="20"/>
                <w:szCs w:val="20"/>
              </w:rPr>
              <w:t> </w:t>
            </w:r>
          </w:p>
        </w:tc>
      </w:tr>
      <w:tr w:rsidR="00000000" w14:paraId="2B1BAC45" w14:textId="77777777">
        <w:tc>
          <w:tcPr>
            <w:tcW w:w="0" w:type="auto"/>
            <w:shd w:val="clear" w:color="auto" w:fill="CCEEFF"/>
            <w:vAlign w:val="bottom"/>
            <w:hideMark/>
          </w:tcPr>
          <w:p w14:paraId="5E4257BE" w14:textId="77777777" w:rsidR="00000000" w:rsidRDefault="001826C1">
            <w:pPr>
              <w:rPr>
                <w:rFonts w:eastAsia="Times New Roman"/>
                <w:sz w:val="20"/>
                <w:szCs w:val="20"/>
              </w:rPr>
            </w:pPr>
            <w:r>
              <w:rPr>
                <w:rFonts w:eastAsia="Times New Roman"/>
                <w:sz w:val="20"/>
                <w:szCs w:val="20"/>
              </w:rPr>
              <w:t>Balance, January 1, 2018</w:t>
            </w:r>
          </w:p>
        </w:tc>
        <w:tc>
          <w:tcPr>
            <w:tcW w:w="0" w:type="auto"/>
            <w:shd w:val="clear" w:color="auto" w:fill="CCEEFF"/>
            <w:vAlign w:val="bottom"/>
            <w:hideMark/>
          </w:tcPr>
          <w:p w14:paraId="322D00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88281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97788A0" w14:textId="77777777" w:rsidR="00000000" w:rsidRDefault="001826C1">
            <w:pPr>
              <w:jc w:val="right"/>
              <w:rPr>
                <w:rFonts w:eastAsia="Times New Roman"/>
                <w:sz w:val="20"/>
                <w:szCs w:val="20"/>
              </w:rPr>
            </w:pPr>
            <w:r>
              <w:rPr>
                <w:rFonts w:eastAsia="Times New Roman"/>
                <w:sz w:val="20"/>
                <w:szCs w:val="20"/>
              </w:rPr>
              <w:t>16,491,300</w:t>
            </w:r>
          </w:p>
        </w:tc>
        <w:tc>
          <w:tcPr>
            <w:tcW w:w="0" w:type="auto"/>
            <w:shd w:val="clear" w:color="auto" w:fill="CCEEFF"/>
            <w:vAlign w:val="bottom"/>
            <w:hideMark/>
          </w:tcPr>
          <w:p w14:paraId="19C11C6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C1AD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4ED8D6"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1E17A0F" w14:textId="77777777" w:rsidR="00000000" w:rsidRDefault="001826C1">
            <w:pPr>
              <w:jc w:val="right"/>
              <w:rPr>
                <w:rFonts w:eastAsia="Times New Roman"/>
                <w:sz w:val="20"/>
                <w:szCs w:val="20"/>
              </w:rPr>
            </w:pPr>
            <w:r>
              <w:rPr>
                <w:rFonts w:eastAsia="Times New Roman"/>
                <w:sz w:val="20"/>
                <w:szCs w:val="20"/>
              </w:rPr>
              <w:t>1,236,377</w:t>
            </w:r>
          </w:p>
        </w:tc>
        <w:tc>
          <w:tcPr>
            <w:tcW w:w="0" w:type="auto"/>
            <w:shd w:val="clear" w:color="auto" w:fill="CCEEFF"/>
            <w:vAlign w:val="bottom"/>
            <w:hideMark/>
          </w:tcPr>
          <w:p w14:paraId="221476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02B4F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E3FC3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550413F" w14:textId="77777777" w:rsidR="00000000" w:rsidRDefault="001826C1">
            <w:pPr>
              <w:jc w:val="right"/>
              <w:rPr>
                <w:rFonts w:eastAsia="Times New Roman"/>
                <w:sz w:val="20"/>
                <w:szCs w:val="20"/>
              </w:rPr>
            </w:pPr>
            <w:r>
              <w:rPr>
                <w:rFonts w:eastAsia="Times New Roman"/>
                <w:sz w:val="20"/>
                <w:szCs w:val="20"/>
              </w:rPr>
              <w:t>1,498,417</w:t>
            </w:r>
          </w:p>
        </w:tc>
        <w:tc>
          <w:tcPr>
            <w:tcW w:w="0" w:type="auto"/>
            <w:shd w:val="clear" w:color="auto" w:fill="CCEEFF"/>
            <w:vAlign w:val="bottom"/>
            <w:hideMark/>
          </w:tcPr>
          <w:p w14:paraId="62E3D1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DF43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1BB8B8"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A8A1568" w14:textId="77777777" w:rsidR="00000000" w:rsidRDefault="001826C1">
            <w:pPr>
              <w:jc w:val="right"/>
              <w:rPr>
                <w:rFonts w:eastAsia="Times New Roman"/>
                <w:sz w:val="20"/>
                <w:szCs w:val="20"/>
              </w:rPr>
            </w:pPr>
            <w:r>
              <w:rPr>
                <w:rFonts w:eastAsia="Times New Roman"/>
                <w:sz w:val="20"/>
                <w:szCs w:val="20"/>
              </w:rPr>
              <w:t>19,226,094</w:t>
            </w:r>
          </w:p>
        </w:tc>
        <w:tc>
          <w:tcPr>
            <w:tcW w:w="0" w:type="auto"/>
            <w:shd w:val="clear" w:color="auto" w:fill="CCEEFF"/>
            <w:vAlign w:val="bottom"/>
            <w:hideMark/>
          </w:tcPr>
          <w:p w14:paraId="0E63F0DB" w14:textId="77777777" w:rsidR="00000000" w:rsidRDefault="001826C1">
            <w:pPr>
              <w:rPr>
                <w:rFonts w:eastAsia="Times New Roman"/>
                <w:sz w:val="20"/>
                <w:szCs w:val="20"/>
              </w:rPr>
            </w:pPr>
            <w:r>
              <w:rPr>
                <w:rFonts w:eastAsia="Times New Roman"/>
                <w:sz w:val="20"/>
                <w:szCs w:val="20"/>
              </w:rPr>
              <w:t> </w:t>
            </w:r>
          </w:p>
        </w:tc>
      </w:tr>
      <w:tr w:rsidR="00000000" w14:paraId="04ECEFA5" w14:textId="77777777">
        <w:tc>
          <w:tcPr>
            <w:tcW w:w="0" w:type="auto"/>
            <w:shd w:val="clear" w:color="auto" w:fill="FFFFFF"/>
            <w:vAlign w:val="bottom"/>
            <w:hideMark/>
          </w:tcPr>
          <w:p w14:paraId="5FAC9B12" w14:textId="77777777" w:rsidR="00000000" w:rsidRDefault="001826C1">
            <w:pPr>
              <w:rPr>
                <w:rFonts w:eastAsia="Times New Roman"/>
                <w:sz w:val="20"/>
                <w:szCs w:val="20"/>
              </w:rPr>
            </w:pPr>
            <w:r>
              <w:rPr>
                <w:rFonts w:eastAsia="Times New Roman"/>
                <w:sz w:val="20"/>
                <w:szCs w:val="20"/>
              </w:rPr>
              <w:t>Capitalized software costs and other intangible assets</w:t>
            </w:r>
          </w:p>
        </w:tc>
        <w:tc>
          <w:tcPr>
            <w:tcW w:w="0" w:type="auto"/>
            <w:shd w:val="clear" w:color="auto" w:fill="FFFFFF"/>
            <w:vAlign w:val="bottom"/>
            <w:hideMark/>
          </w:tcPr>
          <w:p w14:paraId="7BC5F0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B125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E74BF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D59763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197DE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FF601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16C23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C2508E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D443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245E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4AC240" w14:textId="77777777" w:rsidR="00000000" w:rsidRDefault="001826C1">
            <w:pPr>
              <w:jc w:val="right"/>
              <w:rPr>
                <w:rFonts w:eastAsia="Times New Roman"/>
                <w:sz w:val="20"/>
                <w:szCs w:val="20"/>
              </w:rPr>
            </w:pPr>
            <w:r>
              <w:rPr>
                <w:rFonts w:eastAsia="Times New Roman"/>
                <w:sz w:val="20"/>
                <w:szCs w:val="20"/>
              </w:rPr>
              <w:t>108,552</w:t>
            </w:r>
          </w:p>
        </w:tc>
        <w:tc>
          <w:tcPr>
            <w:tcW w:w="0" w:type="auto"/>
            <w:shd w:val="clear" w:color="auto" w:fill="FFFFFF"/>
            <w:vAlign w:val="bottom"/>
            <w:hideMark/>
          </w:tcPr>
          <w:p w14:paraId="4E0AD1F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26AE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FB8B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25D71F" w14:textId="77777777" w:rsidR="00000000" w:rsidRDefault="001826C1">
            <w:pPr>
              <w:jc w:val="right"/>
              <w:rPr>
                <w:rFonts w:eastAsia="Times New Roman"/>
                <w:sz w:val="20"/>
                <w:szCs w:val="20"/>
              </w:rPr>
            </w:pPr>
            <w:r>
              <w:rPr>
                <w:rFonts w:eastAsia="Times New Roman"/>
                <w:sz w:val="20"/>
                <w:szCs w:val="20"/>
              </w:rPr>
              <w:t>108,552</w:t>
            </w:r>
          </w:p>
        </w:tc>
        <w:tc>
          <w:tcPr>
            <w:tcW w:w="0" w:type="auto"/>
            <w:shd w:val="clear" w:color="auto" w:fill="FFFFFF"/>
            <w:vAlign w:val="bottom"/>
            <w:hideMark/>
          </w:tcPr>
          <w:p w14:paraId="25BAA8DD" w14:textId="77777777" w:rsidR="00000000" w:rsidRDefault="001826C1">
            <w:pPr>
              <w:rPr>
                <w:rFonts w:eastAsia="Times New Roman"/>
                <w:sz w:val="20"/>
                <w:szCs w:val="20"/>
              </w:rPr>
            </w:pPr>
            <w:r>
              <w:rPr>
                <w:rFonts w:eastAsia="Times New Roman"/>
                <w:sz w:val="20"/>
                <w:szCs w:val="20"/>
              </w:rPr>
              <w:t> </w:t>
            </w:r>
          </w:p>
        </w:tc>
      </w:tr>
      <w:tr w:rsidR="00000000" w14:paraId="4C359719" w14:textId="77777777">
        <w:tc>
          <w:tcPr>
            <w:tcW w:w="0" w:type="auto"/>
            <w:shd w:val="clear" w:color="auto" w:fill="CCEEFF"/>
            <w:vAlign w:val="bottom"/>
            <w:hideMark/>
          </w:tcPr>
          <w:p w14:paraId="10B239C0" w14:textId="77777777" w:rsidR="00000000" w:rsidRDefault="001826C1">
            <w:pPr>
              <w:rPr>
                <w:rFonts w:eastAsia="Times New Roman"/>
                <w:sz w:val="20"/>
                <w:szCs w:val="20"/>
              </w:rPr>
            </w:pPr>
            <w:r>
              <w:rPr>
                <w:rFonts w:eastAsia="Times New Roman"/>
                <w:sz w:val="20"/>
                <w:szCs w:val="20"/>
              </w:rPr>
              <w:t>Translation loss</w:t>
            </w:r>
          </w:p>
        </w:tc>
        <w:tc>
          <w:tcPr>
            <w:tcW w:w="0" w:type="auto"/>
            <w:shd w:val="clear" w:color="auto" w:fill="CCEEFF"/>
            <w:vAlign w:val="bottom"/>
            <w:hideMark/>
          </w:tcPr>
          <w:p w14:paraId="205E46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B24F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A533A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76BB13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DCE96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F275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803CE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24AD2C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95034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AAE9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D52384" w14:textId="77777777" w:rsidR="00000000" w:rsidRDefault="001826C1">
            <w:pPr>
              <w:jc w:val="right"/>
              <w:rPr>
                <w:rFonts w:eastAsia="Times New Roman"/>
                <w:sz w:val="20"/>
                <w:szCs w:val="20"/>
              </w:rPr>
            </w:pPr>
            <w:r>
              <w:rPr>
                <w:rFonts w:eastAsia="Times New Roman"/>
                <w:sz w:val="20"/>
                <w:szCs w:val="20"/>
              </w:rPr>
              <w:t>(129,910</w:t>
            </w:r>
          </w:p>
        </w:tc>
        <w:tc>
          <w:tcPr>
            <w:tcW w:w="0" w:type="auto"/>
            <w:shd w:val="clear" w:color="auto" w:fill="CCEEFF"/>
            <w:vAlign w:val="bottom"/>
            <w:hideMark/>
          </w:tcPr>
          <w:p w14:paraId="57C05977"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93514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6DC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4D6164" w14:textId="77777777" w:rsidR="00000000" w:rsidRDefault="001826C1">
            <w:pPr>
              <w:jc w:val="right"/>
              <w:rPr>
                <w:rFonts w:eastAsia="Times New Roman"/>
                <w:sz w:val="20"/>
                <w:szCs w:val="20"/>
              </w:rPr>
            </w:pPr>
            <w:r>
              <w:rPr>
                <w:rFonts w:eastAsia="Times New Roman"/>
                <w:sz w:val="20"/>
                <w:szCs w:val="20"/>
              </w:rPr>
              <w:t>(129,910</w:t>
            </w:r>
          </w:p>
        </w:tc>
        <w:tc>
          <w:tcPr>
            <w:tcW w:w="0" w:type="auto"/>
            <w:shd w:val="clear" w:color="auto" w:fill="CCEEFF"/>
            <w:vAlign w:val="bottom"/>
            <w:hideMark/>
          </w:tcPr>
          <w:p w14:paraId="6A9E0BBF" w14:textId="77777777" w:rsidR="00000000" w:rsidRDefault="001826C1">
            <w:pPr>
              <w:rPr>
                <w:rFonts w:eastAsia="Times New Roman"/>
                <w:sz w:val="20"/>
                <w:szCs w:val="20"/>
              </w:rPr>
            </w:pPr>
            <w:r>
              <w:rPr>
                <w:rFonts w:eastAsia="Times New Roman"/>
                <w:sz w:val="20"/>
                <w:szCs w:val="20"/>
              </w:rPr>
              <w:t>)</w:t>
            </w:r>
          </w:p>
        </w:tc>
      </w:tr>
      <w:tr w:rsidR="00000000" w14:paraId="01DBBC90" w14:textId="77777777">
        <w:tc>
          <w:tcPr>
            <w:tcW w:w="0" w:type="auto"/>
            <w:shd w:val="clear" w:color="auto" w:fill="FFFFFF"/>
            <w:tcMar>
              <w:top w:w="0" w:type="dxa"/>
              <w:left w:w="0" w:type="dxa"/>
              <w:bottom w:w="30" w:type="dxa"/>
              <w:right w:w="0" w:type="dxa"/>
            </w:tcMar>
            <w:vAlign w:val="bottom"/>
            <w:hideMark/>
          </w:tcPr>
          <w:p w14:paraId="3EF26576" w14:textId="77777777" w:rsidR="00000000" w:rsidRDefault="001826C1">
            <w:pPr>
              <w:rPr>
                <w:rFonts w:eastAsia="Times New Roman"/>
                <w:sz w:val="20"/>
                <w:szCs w:val="20"/>
              </w:rPr>
            </w:pPr>
            <w:r>
              <w:rPr>
                <w:rFonts w:eastAsia="Times New Roman"/>
                <w:sz w:val="20"/>
                <w:szCs w:val="20"/>
              </w:rPr>
              <w:t>Allocation from 2018 acquisition</w:t>
            </w:r>
          </w:p>
        </w:tc>
        <w:tc>
          <w:tcPr>
            <w:tcW w:w="0" w:type="auto"/>
            <w:shd w:val="clear" w:color="auto" w:fill="FFFFFF"/>
            <w:tcMar>
              <w:top w:w="0" w:type="dxa"/>
              <w:left w:w="0" w:type="dxa"/>
              <w:bottom w:w="30" w:type="dxa"/>
              <w:right w:w="0" w:type="dxa"/>
            </w:tcMar>
            <w:vAlign w:val="bottom"/>
            <w:hideMark/>
          </w:tcPr>
          <w:p w14:paraId="742B2F5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C4F84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A756814" w14:textId="77777777" w:rsidR="00000000" w:rsidRDefault="001826C1">
            <w:pPr>
              <w:jc w:val="right"/>
              <w:rPr>
                <w:rFonts w:eastAsia="Times New Roman"/>
                <w:sz w:val="20"/>
                <w:szCs w:val="20"/>
              </w:rPr>
            </w:pPr>
            <w:r>
              <w:rPr>
                <w:rFonts w:eastAsia="Times New Roman"/>
                <w:sz w:val="20"/>
                <w:szCs w:val="20"/>
              </w:rPr>
              <w:t>6,250,000</w:t>
            </w:r>
          </w:p>
        </w:tc>
        <w:tc>
          <w:tcPr>
            <w:tcW w:w="0" w:type="auto"/>
            <w:shd w:val="clear" w:color="auto" w:fill="FFFFFF"/>
            <w:tcMar>
              <w:top w:w="0" w:type="dxa"/>
              <w:left w:w="0" w:type="dxa"/>
              <w:bottom w:w="30" w:type="dxa"/>
              <w:right w:w="0" w:type="dxa"/>
            </w:tcMar>
            <w:vAlign w:val="bottom"/>
            <w:hideMark/>
          </w:tcPr>
          <w:p w14:paraId="252688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242258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A73C7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0C8259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9578CD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EC3E72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C87CBF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0A80657"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90802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341EEB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37033E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84190F" w14:textId="77777777" w:rsidR="00000000" w:rsidRDefault="001826C1">
            <w:pPr>
              <w:jc w:val="right"/>
              <w:rPr>
                <w:rFonts w:eastAsia="Times New Roman"/>
                <w:sz w:val="20"/>
                <w:szCs w:val="20"/>
              </w:rPr>
            </w:pPr>
            <w:r>
              <w:rPr>
                <w:rFonts w:eastAsia="Times New Roman"/>
                <w:sz w:val="20"/>
                <w:szCs w:val="20"/>
              </w:rPr>
              <w:t>6,250,000</w:t>
            </w:r>
          </w:p>
        </w:tc>
        <w:tc>
          <w:tcPr>
            <w:tcW w:w="0" w:type="auto"/>
            <w:shd w:val="clear" w:color="auto" w:fill="FFFFFF"/>
            <w:tcMar>
              <w:top w:w="0" w:type="dxa"/>
              <w:left w:w="0" w:type="dxa"/>
              <w:bottom w:w="30" w:type="dxa"/>
              <w:right w:w="0" w:type="dxa"/>
            </w:tcMar>
            <w:vAlign w:val="bottom"/>
            <w:hideMark/>
          </w:tcPr>
          <w:p w14:paraId="10C21CE8" w14:textId="77777777" w:rsidR="00000000" w:rsidRDefault="001826C1">
            <w:pPr>
              <w:rPr>
                <w:rFonts w:eastAsia="Times New Roman"/>
                <w:sz w:val="20"/>
                <w:szCs w:val="20"/>
              </w:rPr>
            </w:pPr>
            <w:r>
              <w:rPr>
                <w:rFonts w:eastAsia="Times New Roman"/>
                <w:sz w:val="20"/>
                <w:szCs w:val="20"/>
              </w:rPr>
              <w:t> </w:t>
            </w:r>
          </w:p>
        </w:tc>
      </w:tr>
      <w:tr w:rsidR="00000000" w14:paraId="0658F13A" w14:textId="77777777">
        <w:tc>
          <w:tcPr>
            <w:tcW w:w="0" w:type="auto"/>
            <w:shd w:val="clear" w:color="auto" w:fill="CCEEFF"/>
            <w:tcMar>
              <w:top w:w="0" w:type="dxa"/>
              <w:left w:w="0" w:type="dxa"/>
              <w:bottom w:w="30" w:type="dxa"/>
              <w:right w:w="0" w:type="dxa"/>
            </w:tcMar>
            <w:vAlign w:val="bottom"/>
            <w:hideMark/>
          </w:tcPr>
          <w:p w14:paraId="65DD9057" w14:textId="77777777" w:rsidR="00000000" w:rsidRDefault="001826C1">
            <w:pPr>
              <w:rPr>
                <w:rFonts w:eastAsia="Times New Roman"/>
                <w:sz w:val="20"/>
                <w:szCs w:val="20"/>
              </w:rPr>
            </w:pPr>
            <w:r>
              <w:rPr>
                <w:rFonts w:eastAsia="Times New Roman"/>
                <w:sz w:val="20"/>
                <w:szCs w:val="20"/>
              </w:rPr>
              <w:t>Balance, December 31, 2018</w:t>
            </w:r>
          </w:p>
        </w:tc>
        <w:tc>
          <w:tcPr>
            <w:tcW w:w="0" w:type="auto"/>
            <w:shd w:val="clear" w:color="auto" w:fill="CCEEFF"/>
            <w:tcMar>
              <w:top w:w="0" w:type="dxa"/>
              <w:left w:w="0" w:type="dxa"/>
              <w:bottom w:w="30" w:type="dxa"/>
              <w:right w:w="0" w:type="dxa"/>
            </w:tcMar>
            <w:vAlign w:val="bottom"/>
            <w:hideMark/>
          </w:tcPr>
          <w:p w14:paraId="7FF7440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F8C882" w14:textId="77777777" w:rsidR="00000000" w:rsidRDefault="001826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2230FDAB" w14:textId="77777777" w:rsidR="00000000" w:rsidRDefault="001826C1">
            <w:pPr>
              <w:jc w:val="right"/>
              <w:rPr>
                <w:rFonts w:eastAsia="Times New Roman"/>
                <w:sz w:val="20"/>
                <w:szCs w:val="20"/>
              </w:rPr>
            </w:pPr>
            <w:r>
              <w:rPr>
                <w:rFonts w:eastAsia="Times New Roman"/>
                <w:sz w:val="20"/>
                <w:szCs w:val="20"/>
              </w:rPr>
              <w:t>22,741,300</w:t>
            </w:r>
          </w:p>
        </w:tc>
        <w:tc>
          <w:tcPr>
            <w:tcW w:w="0" w:type="auto"/>
            <w:shd w:val="clear" w:color="auto" w:fill="CCEEFF"/>
            <w:tcMar>
              <w:top w:w="0" w:type="dxa"/>
              <w:left w:w="0" w:type="dxa"/>
              <w:bottom w:w="30" w:type="dxa"/>
              <w:right w:w="0" w:type="dxa"/>
            </w:tcMar>
            <w:vAlign w:val="bottom"/>
            <w:hideMark/>
          </w:tcPr>
          <w:p w14:paraId="4C8045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0031B5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3CF68E" w14:textId="77777777" w:rsidR="00000000" w:rsidRDefault="001826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37CB7B88" w14:textId="77777777" w:rsidR="00000000" w:rsidRDefault="001826C1">
            <w:pPr>
              <w:jc w:val="right"/>
              <w:rPr>
                <w:rFonts w:eastAsia="Times New Roman"/>
                <w:sz w:val="20"/>
                <w:szCs w:val="20"/>
              </w:rPr>
            </w:pPr>
            <w:r>
              <w:rPr>
                <w:rFonts w:eastAsia="Times New Roman"/>
                <w:sz w:val="20"/>
                <w:szCs w:val="20"/>
              </w:rPr>
              <w:t>1,236,377</w:t>
            </w:r>
          </w:p>
        </w:tc>
        <w:tc>
          <w:tcPr>
            <w:tcW w:w="0" w:type="auto"/>
            <w:shd w:val="clear" w:color="auto" w:fill="CCEEFF"/>
            <w:tcMar>
              <w:top w:w="0" w:type="dxa"/>
              <w:left w:w="0" w:type="dxa"/>
              <w:bottom w:w="30" w:type="dxa"/>
              <w:right w:w="0" w:type="dxa"/>
            </w:tcMar>
            <w:vAlign w:val="bottom"/>
            <w:hideMark/>
          </w:tcPr>
          <w:p w14:paraId="144ED0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EB4902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0A962F" w14:textId="77777777" w:rsidR="00000000" w:rsidRDefault="001826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11307280" w14:textId="77777777" w:rsidR="00000000" w:rsidRDefault="001826C1">
            <w:pPr>
              <w:jc w:val="right"/>
              <w:rPr>
                <w:rFonts w:eastAsia="Times New Roman"/>
                <w:sz w:val="20"/>
                <w:szCs w:val="20"/>
              </w:rPr>
            </w:pPr>
            <w:r>
              <w:rPr>
                <w:rFonts w:eastAsia="Times New Roman"/>
                <w:sz w:val="20"/>
                <w:szCs w:val="20"/>
              </w:rPr>
              <w:t>1,477,059</w:t>
            </w:r>
          </w:p>
        </w:tc>
        <w:tc>
          <w:tcPr>
            <w:tcW w:w="0" w:type="auto"/>
            <w:shd w:val="clear" w:color="auto" w:fill="CCEEFF"/>
            <w:tcMar>
              <w:top w:w="0" w:type="dxa"/>
              <w:left w:w="0" w:type="dxa"/>
              <w:bottom w:w="30" w:type="dxa"/>
              <w:right w:w="0" w:type="dxa"/>
            </w:tcMar>
            <w:vAlign w:val="bottom"/>
            <w:hideMark/>
          </w:tcPr>
          <w:p w14:paraId="0AA561C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5A501D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6452459" w14:textId="77777777" w:rsidR="00000000" w:rsidRDefault="001826C1">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14:paraId="4590327D" w14:textId="77777777" w:rsidR="00000000" w:rsidRDefault="001826C1">
            <w:pPr>
              <w:jc w:val="right"/>
              <w:rPr>
                <w:rFonts w:eastAsia="Times New Roman"/>
                <w:sz w:val="20"/>
                <w:szCs w:val="20"/>
              </w:rPr>
            </w:pPr>
            <w:r>
              <w:rPr>
                <w:rFonts w:eastAsia="Times New Roman"/>
                <w:sz w:val="20"/>
                <w:szCs w:val="20"/>
              </w:rPr>
              <w:t>25,454,736</w:t>
            </w:r>
          </w:p>
        </w:tc>
        <w:tc>
          <w:tcPr>
            <w:tcW w:w="0" w:type="auto"/>
            <w:shd w:val="clear" w:color="auto" w:fill="CCEEFF"/>
            <w:tcMar>
              <w:top w:w="0" w:type="dxa"/>
              <w:left w:w="0" w:type="dxa"/>
              <w:bottom w:w="30" w:type="dxa"/>
              <w:right w:w="0" w:type="dxa"/>
            </w:tcMar>
            <w:vAlign w:val="bottom"/>
            <w:hideMark/>
          </w:tcPr>
          <w:p w14:paraId="47EDBC2D" w14:textId="77777777" w:rsidR="00000000" w:rsidRDefault="001826C1">
            <w:pPr>
              <w:rPr>
                <w:rFonts w:eastAsia="Times New Roman"/>
                <w:sz w:val="20"/>
                <w:szCs w:val="20"/>
              </w:rPr>
            </w:pPr>
            <w:r>
              <w:rPr>
                <w:rFonts w:eastAsia="Times New Roman"/>
                <w:sz w:val="20"/>
                <w:szCs w:val="20"/>
              </w:rPr>
              <w:t> </w:t>
            </w:r>
          </w:p>
        </w:tc>
      </w:tr>
      <w:tr w:rsidR="00000000" w14:paraId="1D9C6779" w14:textId="77777777">
        <w:tc>
          <w:tcPr>
            <w:tcW w:w="0" w:type="auto"/>
            <w:shd w:val="clear" w:color="auto" w:fill="FFFFFF"/>
            <w:vAlign w:val="bottom"/>
            <w:hideMark/>
          </w:tcPr>
          <w:p w14:paraId="1D2B009C" w14:textId="77777777" w:rsidR="00000000" w:rsidRDefault="001826C1">
            <w:pPr>
              <w:rPr>
                <w:rFonts w:eastAsia="Times New Roman"/>
                <w:sz w:val="20"/>
                <w:szCs w:val="20"/>
              </w:rPr>
            </w:pPr>
            <w:r>
              <w:rPr>
                <w:rFonts w:eastAsia="Times New Roman"/>
                <w:sz w:val="20"/>
                <w:szCs w:val="20"/>
              </w:rPr>
              <w:t>Useful lives</w:t>
            </w:r>
          </w:p>
        </w:tc>
        <w:tc>
          <w:tcPr>
            <w:tcW w:w="0" w:type="auto"/>
            <w:shd w:val="clear" w:color="auto" w:fill="FFFFFF"/>
            <w:vAlign w:val="bottom"/>
            <w:hideMark/>
          </w:tcPr>
          <w:p w14:paraId="15C31F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9DB3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084C17" w14:textId="77777777" w:rsidR="00000000" w:rsidRDefault="001826C1">
            <w:pPr>
              <w:jc w:val="right"/>
              <w:rPr>
                <w:rFonts w:eastAsia="Times New Roman"/>
                <w:sz w:val="20"/>
                <w:szCs w:val="20"/>
              </w:rPr>
            </w:pPr>
            <w:r>
              <w:rPr>
                <w:rFonts w:eastAsia="Times New Roman"/>
                <w:sz w:val="20"/>
                <w:szCs w:val="20"/>
              </w:rPr>
              <w:t>3-12 Years</w:t>
            </w:r>
          </w:p>
        </w:tc>
        <w:tc>
          <w:tcPr>
            <w:tcW w:w="0" w:type="auto"/>
            <w:shd w:val="clear" w:color="auto" w:fill="FFFFFF"/>
            <w:vAlign w:val="bottom"/>
            <w:hideMark/>
          </w:tcPr>
          <w:p w14:paraId="035BEF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5CB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93A7D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9B47B7" w14:textId="77777777" w:rsidR="00000000" w:rsidRDefault="001826C1">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14:paraId="171AF2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C59E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5A33D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83FDA6" w14:textId="77777777" w:rsidR="00000000" w:rsidRDefault="001826C1">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14:paraId="18A69F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4C39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5758D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F83A3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10DD874E" w14:textId="77777777" w:rsidR="00000000" w:rsidRDefault="001826C1">
            <w:pPr>
              <w:rPr>
                <w:rFonts w:eastAsia="Times New Roman"/>
                <w:sz w:val="20"/>
                <w:szCs w:val="20"/>
              </w:rPr>
            </w:pPr>
            <w:r>
              <w:rPr>
                <w:rFonts w:eastAsia="Times New Roman"/>
                <w:sz w:val="20"/>
                <w:szCs w:val="20"/>
              </w:rPr>
              <w:t> </w:t>
            </w:r>
          </w:p>
        </w:tc>
      </w:tr>
      <w:tr w:rsidR="00000000" w14:paraId="670AD8BF" w14:textId="77777777">
        <w:tc>
          <w:tcPr>
            <w:tcW w:w="0" w:type="auto"/>
            <w:shd w:val="clear" w:color="auto" w:fill="CCEEFF"/>
            <w:vAlign w:val="bottom"/>
            <w:hideMark/>
          </w:tcPr>
          <w:p w14:paraId="143A3FE9" w14:textId="77777777" w:rsidR="00000000" w:rsidRDefault="001826C1">
            <w:pPr>
              <w:rPr>
                <w:rFonts w:eastAsia="Times New Roman"/>
                <w:b/>
                <w:bCs/>
                <w:sz w:val="20"/>
                <w:szCs w:val="20"/>
                <w:u w:val="single"/>
              </w:rPr>
            </w:pPr>
            <w:r>
              <w:rPr>
                <w:rFonts w:eastAsia="Times New Roman"/>
                <w:b/>
                <w:bCs/>
                <w:sz w:val="20"/>
                <w:szCs w:val="20"/>
                <w:u w:val="single"/>
              </w:rPr>
              <w:t>ACCUMULATED AMORTIZATION</w:t>
            </w:r>
          </w:p>
        </w:tc>
        <w:tc>
          <w:tcPr>
            <w:tcW w:w="0" w:type="auto"/>
            <w:shd w:val="clear" w:color="auto" w:fill="CCEEFF"/>
            <w:vAlign w:val="bottom"/>
            <w:hideMark/>
          </w:tcPr>
          <w:p w14:paraId="19B294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0731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0E045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2C9AE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442B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408B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3EB72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404D14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DE15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F3134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37347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DE41FA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A0325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3B9506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4DB2B1"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3ACD0A24" w14:textId="77777777" w:rsidR="00000000" w:rsidRDefault="001826C1">
            <w:pPr>
              <w:rPr>
                <w:rFonts w:eastAsia="Times New Roman"/>
                <w:sz w:val="20"/>
                <w:szCs w:val="20"/>
              </w:rPr>
            </w:pPr>
            <w:r>
              <w:rPr>
                <w:rFonts w:eastAsia="Times New Roman"/>
                <w:sz w:val="20"/>
                <w:szCs w:val="20"/>
              </w:rPr>
              <w:t> </w:t>
            </w:r>
          </w:p>
        </w:tc>
      </w:tr>
      <w:tr w:rsidR="00000000" w14:paraId="12652F15" w14:textId="77777777">
        <w:tc>
          <w:tcPr>
            <w:tcW w:w="0" w:type="auto"/>
            <w:shd w:val="clear" w:color="auto" w:fill="FFFFFF"/>
            <w:vAlign w:val="bottom"/>
            <w:hideMark/>
          </w:tcPr>
          <w:p w14:paraId="262A1724" w14:textId="77777777" w:rsidR="00000000" w:rsidRDefault="001826C1">
            <w:pPr>
              <w:rPr>
                <w:rFonts w:eastAsia="Times New Roman"/>
                <w:sz w:val="20"/>
                <w:szCs w:val="20"/>
              </w:rPr>
            </w:pPr>
            <w:r>
              <w:rPr>
                <w:rFonts w:eastAsia="Times New Roman"/>
                <w:sz w:val="20"/>
                <w:szCs w:val="20"/>
              </w:rPr>
              <w:t>Balance, January 1, 2018</w:t>
            </w:r>
          </w:p>
        </w:tc>
        <w:tc>
          <w:tcPr>
            <w:tcW w:w="0" w:type="auto"/>
            <w:shd w:val="clear" w:color="auto" w:fill="FFFFFF"/>
            <w:vAlign w:val="bottom"/>
            <w:hideMark/>
          </w:tcPr>
          <w:p w14:paraId="37C68E4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4E1216"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918C855" w14:textId="77777777" w:rsidR="00000000" w:rsidRDefault="001826C1">
            <w:pPr>
              <w:jc w:val="right"/>
              <w:rPr>
                <w:rFonts w:eastAsia="Times New Roman"/>
                <w:sz w:val="20"/>
                <w:szCs w:val="20"/>
              </w:rPr>
            </w:pPr>
            <w:r>
              <w:rPr>
                <w:rFonts w:eastAsia="Times New Roman"/>
                <w:sz w:val="20"/>
                <w:szCs w:val="20"/>
              </w:rPr>
              <w:t>14,685,190</w:t>
            </w:r>
          </w:p>
        </w:tc>
        <w:tc>
          <w:tcPr>
            <w:tcW w:w="0" w:type="auto"/>
            <w:shd w:val="clear" w:color="auto" w:fill="FFFFFF"/>
            <w:vAlign w:val="bottom"/>
            <w:hideMark/>
          </w:tcPr>
          <w:p w14:paraId="76CA45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E31E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108511"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0CDA841" w14:textId="77777777" w:rsidR="00000000" w:rsidRDefault="001826C1">
            <w:pPr>
              <w:jc w:val="right"/>
              <w:rPr>
                <w:rFonts w:eastAsia="Times New Roman"/>
                <w:sz w:val="20"/>
                <w:szCs w:val="20"/>
              </w:rPr>
            </w:pPr>
            <w:r>
              <w:rPr>
                <w:rFonts w:eastAsia="Times New Roman"/>
                <w:sz w:val="20"/>
                <w:szCs w:val="20"/>
              </w:rPr>
              <w:t>1,227,601</w:t>
            </w:r>
          </w:p>
        </w:tc>
        <w:tc>
          <w:tcPr>
            <w:tcW w:w="0" w:type="auto"/>
            <w:shd w:val="clear" w:color="auto" w:fill="FFFFFF"/>
            <w:vAlign w:val="bottom"/>
            <w:hideMark/>
          </w:tcPr>
          <w:p w14:paraId="5CBC9F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43B68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FBF36BB"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65A39945" w14:textId="77777777" w:rsidR="00000000" w:rsidRDefault="001826C1">
            <w:pPr>
              <w:jc w:val="right"/>
              <w:rPr>
                <w:rFonts w:eastAsia="Times New Roman"/>
                <w:sz w:val="20"/>
                <w:szCs w:val="20"/>
              </w:rPr>
            </w:pPr>
            <w:r>
              <w:rPr>
                <w:rFonts w:eastAsia="Times New Roman"/>
                <w:sz w:val="20"/>
                <w:szCs w:val="20"/>
              </w:rPr>
              <w:t>803,759</w:t>
            </w:r>
          </w:p>
        </w:tc>
        <w:tc>
          <w:tcPr>
            <w:tcW w:w="0" w:type="auto"/>
            <w:shd w:val="clear" w:color="auto" w:fill="FFFFFF"/>
            <w:vAlign w:val="bottom"/>
            <w:hideMark/>
          </w:tcPr>
          <w:p w14:paraId="503BD7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BF08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C72EAB"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556082D" w14:textId="77777777" w:rsidR="00000000" w:rsidRDefault="001826C1">
            <w:pPr>
              <w:jc w:val="right"/>
              <w:rPr>
                <w:rFonts w:eastAsia="Times New Roman"/>
                <w:sz w:val="20"/>
                <w:szCs w:val="20"/>
              </w:rPr>
            </w:pPr>
            <w:r>
              <w:rPr>
                <w:rFonts w:eastAsia="Times New Roman"/>
                <w:sz w:val="20"/>
                <w:szCs w:val="20"/>
              </w:rPr>
              <w:t>16,716,550</w:t>
            </w:r>
          </w:p>
        </w:tc>
        <w:tc>
          <w:tcPr>
            <w:tcW w:w="0" w:type="auto"/>
            <w:shd w:val="clear" w:color="auto" w:fill="FFFFFF"/>
            <w:vAlign w:val="bottom"/>
            <w:hideMark/>
          </w:tcPr>
          <w:p w14:paraId="208466B7" w14:textId="77777777" w:rsidR="00000000" w:rsidRDefault="001826C1">
            <w:pPr>
              <w:rPr>
                <w:rFonts w:eastAsia="Times New Roman"/>
                <w:sz w:val="20"/>
                <w:szCs w:val="20"/>
              </w:rPr>
            </w:pPr>
            <w:r>
              <w:rPr>
                <w:rFonts w:eastAsia="Times New Roman"/>
                <w:sz w:val="20"/>
                <w:szCs w:val="20"/>
              </w:rPr>
              <w:t> </w:t>
            </w:r>
          </w:p>
        </w:tc>
      </w:tr>
      <w:tr w:rsidR="00000000" w14:paraId="5B72D67E" w14:textId="77777777">
        <w:tc>
          <w:tcPr>
            <w:tcW w:w="0" w:type="auto"/>
            <w:shd w:val="clear" w:color="auto" w:fill="CCEEFF"/>
            <w:tcMar>
              <w:top w:w="0" w:type="dxa"/>
              <w:left w:w="0" w:type="dxa"/>
              <w:bottom w:w="30" w:type="dxa"/>
              <w:right w:w="0" w:type="dxa"/>
            </w:tcMar>
            <w:vAlign w:val="bottom"/>
            <w:hideMark/>
          </w:tcPr>
          <w:p w14:paraId="4ECBFFBC" w14:textId="77777777" w:rsidR="00000000" w:rsidRDefault="001826C1">
            <w:pPr>
              <w:rPr>
                <w:rFonts w:eastAsia="Times New Roman"/>
                <w:sz w:val="20"/>
                <w:szCs w:val="20"/>
              </w:rPr>
            </w:pPr>
            <w:r>
              <w:rPr>
                <w:rFonts w:eastAsia="Times New Roman"/>
                <w:sz w:val="20"/>
                <w:szCs w:val="20"/>
              </w:rPr>
              <w:t>Amortization expense</w:t>
            </w:r>
          </w:p>
        </w:tc>
        <w:tc>
          <w:tcPr>
            <w:tcW w:w="0" w:type="auto"/>
            <w:shd w:val="clear" w:color="auto" w:fill="CCEEFF"/>
            <w:tcMar>
              <w:top w:w="0" w:type="dxa"/>
              <w:left w:w="0" w:type="dxa"/>
              <w:bottom w:w="30" w:type="dxa"/>
              <w:right w:w="0" w:type="dxa"/>
            </w:tcMar>
            <w:vAlign w:val="bottom"/>
            <w:hideMark/>
          </w:tcPr>
          <w:p w14:paraId="031EB79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763C6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EF90541" w14:textId="77777777" w:rsidR="00000000" w:rsidRDefault="001826C1">
            <w:pPr>
              <w:jc w:val="right"/>
              <w:rPr>
                <w:rFonts w:eastAsia="Times New Roman"/>
                <w:sz w:val="20"/>
                <w:szCs w:val="20"/>
              </w:rPr>
            </w:pPr>
            <w:r>
              <w:rPr>
                <w:rFonts w:eastAsia="Times New Roman"/>
                <w:sz w:val="20"/>
                <w:szCs w:val="20"/>
              </w:rPr>
              <w:t>1,772,688</w:t>
            </w:r>
          </w:p>
        </w:tc>
        <w:tc>
          <w:tcPr>
            <w:tcW w:w="0" w:type="auto"/>
            <w:shd w:val="clear" w:color="auto" w:fill="CCEEFF"/>
            <w:tcMar>
              <w:top w:w="0" w:type="dxa"/>
              <w:left w:w="0" w:type="dxa"/>
              <w:bottom w:w="30" w:type="dxa"/>
              <w:right w:w="0" w:type="dxa"/>
            </w:tcMar>
            <w:vAlign w:val="bottom"/>
            <w:hideMark/>
          </w:tcPr>
          <w:p w14:paraId="624B6F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2FE4FC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47ABC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9608B9" w14:textId="77777777" w:rsidR="00000000" w:rsidRDefault="001826C1">
            <w:pPr>
              <w:jc w:val="right"/>
              <w:rPr>
                <w:rFonts w:eastAsia="Times New Roman"/>
                <w:sz w:val="20"/>
                <w:szCs w:val="20"/>
              </w:rPr>
            </w:pPr>
            <w:r>
              <w:rPr>
                <w:rFonts w:eastAsia="Times New Roman"/>
                <w:sz w:val="20"/>
                <w:szCs w:val="20"/>
              </w:rPr>
              <w:t>7,173</w:t>
            </w:r>
          </w:p>
        </w:tc>
        <w:tc>
          <w:tcPr>
            <w:tcW w:w="0" w:type="auto"/>
            <w:shd w:val="clear" w:color="auto" w:fill="CCEEFF"/>
            <w:tcMar>
              <w:top w:w="0" w:type="dxa"/>
              <w:left w:w="0" w:type="dxa"/>
              <w:bottom w:w="30" w:type="dxa"/>
              <w:right w:w="0" w:type="dxa"/>
            </w:tcMar>
            <w:vAlign w:val="bottom"/>
            <w:hideMark/>
          </w:tcPr>
          <w:p w14:paraId="47D995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01519EF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4D465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6918B05" w14:textId="77777777" w:rsidR="00000000" w:rsidRDefault="001826C1">
            <w:pPr>
              <w:jc w:val="right"/>
              <w:rPr>
                <w:rFonts w:eastAsia="Times New Roman"/>
                <w:sz w:val="20"/>
                <w:szCs w:val="20"/>
              </w:rPr>
            </w:pPr>
            <w:r>
              <w:rPr>
                <w:rFonts w:eastAsia="Times New Roman"/>
                <w:sz w:val="20"/>
                <w:szCs w:val="20"/>
              </w:rPr>
              <w:t>324,322</w:t>
            </w:r>
          </w:p>
        </w:tc>
        <w:tc>
          <w:tcPr>
            <w:tcW w:w="0" w:type="auto"/>
            <w:shd w:val="clear" w:color="auto" w:fill="CCEEFF"/>
            <w:tcMar>
              <w:top w:w="0" w:type="dxa"/>
              <w:left w:w="0" w:type="dxa"/>
              <w:bottom w:w="30" w:type="dxa"/>
              <w:right w:w="0" w:type="dxa"/>
            </w:tcMar>
            <w:vAlign w:val="bottom"/>
            <w:hideMark/>
          </w:tcPr>
          <w:p w14:paraId="088F22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625F5F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95AF18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F1BE2A" w14:textId="77777777" w:rsidR="00000000" w:rsidRDefault="001826C1">
            <w:pPr>
              <w:jc w:val="right"/>
              <w:rPr>
                <w:rFonts w:eastAsia="Times New Roman"/>
                <w:sz w:val="20"/>
                <w:szCs w:val="20"/>
              </w:rPr>
            </w:pPr>
            <w:r>
              <w:rPr>
                <w:rFonts w:eastAsia="Times New Roman"/>
                <w:sz w:val="20"/>
                <w:szCs w:val="20"/>
              </w:rPr>
              <w:t>2,104,183</w:t>
            </w:r>
          </w:p>
        </w:tc>
        <w:tc>
          <w:tcPr>
            <w:tcW w:w="0" w:type="auto"/>
            <w:shd w:val="clear" w:color="auto" w:fill="CCEEFF"/>
            <w:tcMar>
              <w:top w:w="0" w:type="dxa"/>
              <w:left w:w="0" w:type="dxa"/>
              <w:bottom w:w="30" w:type="dxa"/>
              <w:right w:w="0" w:type="dxa"/>
            </w:tcMar>
            <w:vAlign w:val="bottom"/>
            <w:hideMark/>
          </w:tcPr>
          <w:p w14:paraId="7519021C" w14:textId="77777777" w:rsidR="00000000" w:rsidRDefault="001826C1">
            <w:pPr>
              <w:rPr>
                <w:rFonts w:eastAsia="Times New Roman"/>
                <w:sz w:val="20"/>
                <w:szCs w:val="20"/>
              </w:rPr>
            </w:pPr>
            <w:r>
              <w:rPr>
                <w:rFonts w:eastAsia="Times New Roman"/>
                <w:sz w:val="20"/>
                <w:szCs w:val="20"/>
              </w:rPr>
              <w:t> </w:t>
            </w:r>
          </w:p>
        </w:tc>
      </w:tr>
      <w:tr w:rsidR="00000000" w14:paraId="5DA810FA" w14:textId="77777777">
        <w:tc>
          <w:tcPr>
            <w:tcW w:w="0" w:type="auto"/>
            <w:shd w:val="clear" w:color="auto" w:fill="FFFFFF"/>
            <w:tcMar>
              <w:top w:w="0" w:type="dxa"/>
              <w:left w:w="0" w:type="dxa"/>
              <w:bottom w:w="30" w:type="dxa"/>
              <w:right w:w="0" w:type="dxa"/>
            </w:tcMar>
            <w:vAlign w:val="bottom"/>
            <w:hideMark/>
          </w:tcPr>
          <w:p w14:paraId="5F9B9662" w14:textId="77777777" w:rsidR="00000000" w:rsidRDefault="001826C1">
            <w:pPr>
              <w:rPr>
                <w:rFonts w:eastAsia="Times New Roman"/>
                <w:sz w:val="20"/>
                <w:szCs w:val="20"/>
              </w:rPr>
            </w:pPr>
            <w:r>
              <w:rPr>
                <w:rFonts w:eastAsia="Times New Roman"/>
                <w:sz w:val="20"/>
                <w:szCs w:val="20"/>
              </w:rPr>
              <w:t>Balance, December 31, 2018</w:t>
            </w:r>
          </w:p>
        </w:tc>
        <w:tc>
          <w:tcPr>
            <w:tcW w:w="0" w:type="auto"/>
            <w:shd w:val="clear" w:color="auto" w:fill="FFFFFF"/>
            <w:tcMar>
              <w:top w:w="0" w:type="dxa"/>
              <w:left w:w="0" w:type="dxa"/>
              <w:bottom w:w="30" w:type="dxa"/>
              <w:right w:w="0" w:type="dxa"/>
            </w:tcMar>
            <w:vAlign w:val="bottom"/>
            <w:hideMark/>
          </w:tcPr>
          <w:p w14:paraId="6EE51C0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671C82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618919B" w14:textId="77777777" w:rsidR="00000000" w:rsidRDefault="001826C1">
            <w:pPr>
              <w:jc w:val="right"/>
              <w:rPr>
                <w:rFonts w:eastAsia="Times New Roman"/>
                <w:sz w:val="20"/>
                <w:szCs w:val="20"/>
              </w:rPr>
            </w:pPr>
            <w:r>
              <w:rPr>
                <w:rFonts w:eastAsia="Times New Roman"/>
                <w:sz w:val="20"/>
                <w:szCs w:val="20"/>
              </w:rPr>
              <w:t>16,457,878</w:t>
            </w:r>
          </w:p>
        </w:tc>
        <w:tc>
          <w:tcPr>
            <w:tcW w:w="0" w:type="auto"/>
            <w:shd w:val="clear" w:color="auto" w:fill="FFFFFF"/>
            <w:tcMar>
              <w:top w:w="0" w:type="dxa"/>
              <w:left w:w="0" w:type="dxa"/>
              <w:bottom w:w="30" w:type="dxa"/>
              <w:right w:w="0" w:type="dxa"/>
            </w:tcMar>
            <w:vAlign w:val="bottom"/>
            <w:hideMark/>
          </w:tcPr>
          <w:p w14:paraId="6796B07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AFB9D5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1CF041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DCD420" w14:textId="77777777" w:rsidR="00000000" w:rsidRDefault="001826C1">
            <w:pPr>
              <w:jc w:val="right"/>
              <w:rPr>
                <w:rFonts w:eastAsia="Times New Roman"/>
                <w:sz w:val="20"/>
                <w:szCs w:val="20"/>
              </w:rPr>
            </w:pPr>
            <w:r>
              <w:rPr>
                <w:rFonts w:eastAsia="Times New Roman"/>
                <w:sz w:val="20"/>
                <w:szCs w:val="20"/>
              </w:rPr>
              <w:t>1,234,774</w:t>
            </w:r>
          </w:p>
        </w:tc>
        <w:tc>
          <w:tcPr>
            <w:tcW w:w="0" w:type="auto"/>
            <w:shd w:val="clear" w:color="auto" w:fill="FFFFFF"/>
            <w:tcMar>
              <w:top w:w="0" w:type="dxa"/>
              <w:left w:w="0" w:type="dxa"/>
              <w:bottom w:w="30" w:type="dxa"/>
              <w:right w:w="0" w:type="dxa"/>
            </w:tcMar>
            <w:vAlign w:val="bottom"/>
            <w:hideMark/>
          </w:tcPr>
          <w:p w14:paraId="5BC2AD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684650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25628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411DAC" w14:textId="77777777" w:rsidR="00000000" w:rsidRDefault="001826C1">
            <w:pPr>
              <w:jc w:val="right"/>
              <w:rPr>
                <w:rFonts w:eastAsia="Times New Roman"/>
                <w:sz w:val="20"/>
                <w:szCs w:val="20"/>
              </w:rPr>
            </w:pPr>
            <w:r>
              <w:rPr>
                <w:rFonts w:eastAsia="Times New Roman"/>
                <w:sz w:val="20"/>
                <w:szCs w:val="20"/>
              </w:rPr>
              <w:t>1,128,081</w:t>
            </w:r>
          </w:p>
        </w:tc>
        <w:tc>
          <w:tcPr>
            <w:tcW w:w="0" w:type="auto"/>
            <w:shd w:val="clear" w:color="auto" w:fill="FFFFFF"/>
            <w:tcMar>
              <w:top w:w="0" w:type="dxa"/>
              <w:left w:w="0" w:type="dxa"/>
              <w:bottom w:w="30" w:type="dxa"/>
              <w:right w:w="0" w:type="dxa"/>
            </w:tcMar>
            <w:vAlign w:val="bottom"/>
            <w:hideMark/>
          </w:tcPr>
          <w:p w14:paraId="4E1C206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2814163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5A50D0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F29A18" w14:textId="77777777" w:rsidR="00000000" w:rsidRDefault="001826C1">
            <w:pPr>
              <w:jc w:val="right"/>
              <w:rPr>
                <w:rFonts w:eastAsia="Times New Roman"/>
                <w:sz w:val="20"/>
                <w:szCs w:val="20"/>
              </w:rPr>
            </w:pPr>
            <w:r>
              <w:rPr>
                <w:rFonts w:eastAsia="Times New Roman"/>
                <w:sz w:val="20"/>
                <w:szCs w:val="20"/>
              </w:rPr>
              <w:t>18,820,733</w:t>
            </w:r>
          </w:p>
        </w:tc>
        <w:tc>
          <w:tcPr>
            <w:tcW w:w="0" w:type="auto"/>
            <w:shd w:val="clear" w:color="auto" w:fill="FFFFFF"/>
            <w:tcMar>
              <w:top w:w="0" w:type="dxa"/>
              <w:left w:w="0" w:type="dxa"/>
              <w:bottom w:w="30" w:type="dxa"/>
              <w:right w:w="0" w:type="dxa"/>
            </w:tcMar>
            <w:vAlign w:val="bottom"/>
            <w:hideMark/>
          </w:tcPr>
          <w:p w14:paraId="410E538D" w14:textId="77777777" w:rsidR="00000000" w:rsidRDefault="001826C1">
            <w:pPr>
              <w:rPr>
                <w:rFonts w:eastAsia="Times New Roman"/>
                <w:sz w:val="20"/>
                <w:szCs w:val="20"/>
              </w:rPr>
            </w:pPr>
            <w:r>
              <w:rPr>
                <w:rFonts w:eastAsia="Times New Roman"/>
                <w:sz w:val="20"/>
                <w:szCs w:val="20"/>
              </w:rPr>
              <w:t> </w:t>
            </w:r>
          </w:p>
        </w:tc>
      </w:tr>
      <w:tr w:rsidR="00000000" w14:paraId="1CBCF7FC" w14:textId="77777777">
        <w:tc>
          <w:tcPr>
            <w:tcW w:w="0" w:type="auto"/>
            <w:shd w:val="clear" w:color="auto" w:fill="CCEEFF"/>
            <w:tcMar>
              <w:top w:w="0" w:type="dxa"/>
              <w:left w:w="0" w:type="dxa"/>
              <w:bottom w:w="50" w:type="dxa"/>
              <w:right w:w="0" w:type="dxa"/>
            </w:tcMar>
            <w:vAlign w:val="bottom"/>
            <w:hideMark/>
          </w:tcPr>
          <w:p w14:paraId="13A02EF9" w14:textId="77777777" w:rsidR="00000000" w:rsidRDefault="001826C1">
            <w:pPr>
              <w:rPr>
                <w:rFonts w:eastAsia="Times New Roman"/>
                <w:b/>
                <w:bCs/>
                <w:sz w:val="20"/>
                <w:szCs w:val="20"/>
              </w:rPr>
            </w:pPr>
            <w:r>
              <w:rPr>
                <w:rFonts w:eastAsia="Times New Roman"/>
                <w:b/>
                <w:bCs/>
                <w:sz w:val="20"/>
                <w:szCs w:val="20"/>
              </w:rPr>
              <w:t>Net book value</w:t>
            </w:r>
          </w:p>
        </w:tc>
        <w:tc>
          <w:tcPr>
            <w:tcW w:w="0" w:type="auto"/>
            <w:shd w:val="clear" w:color="auto" w:fill="CCEEFF"/>
            <w:tcMar>
              <w:top w:w="0" w:type="dxa"/>
              <w:left w:w="0" w:type="dxa"/>
              <w:bottom w:w="50" w:type="dxa"/>
              <w:right w:w="0" w:type="dxa"/>
            </w:tcMar>
            <w:vAlign w:val="bottom"/>
            <w:hideMark/>
          </w:tcPr>
          <w:p w14:paraId="0336CC5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84AF7A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F0CBDA2" w14:textId="77777777" w:rsidR="00000000" w:rsidRDefault="001826C1">
            <w:pPr>
              <w:jc w:val="right"/>
              <w:rPr>
                <w:rFonts w:eastAsia="Times New Roman"/>
                <w:sz w:val="20"/>
                <w:szCs w:val="20"/>
              </w:rPr>
            </w:pPr>
            <w:r>
              <w:rPr>
                <w:rFonts w:eastAsia="Times New Roman"/>
                <w:sz w:val="20"/>
                <w:szCs w:val="20"/>
              </w:rPr>
              <w:t>6,283,422</w:t>
            </w:r>
          </w:p>
        </w:tc>
        <w:tc>
          <w:tcPr>
            <w:tcW w:w="0" w:type="auto"/>
            <w:shd w:val="clear" w:color="auto" w:fill="CCEEFF"/>
            <w:tcMar>
              <w:top w:w="0" w:type="dxa"/>
              <w:left w:w="0" w:type="dxa"/>
              <w:bottom w:w="50" w:type="dxa"/>
              <w:right w:w="0" w:type="dxa"/>
            </w:tcMar>
            <w:vAlign w:val="bottom"/>
            <w:hideMark/>
          </w:tcPr>
          <w:p w14:paraId="46D3BE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4432B0E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7B8E2AF"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ADD34D5" w14:textId="77777777" w:rsidR="00000000" w:rsidRDefault="001826C1">
            <w:pPr>
              <w:jc w:val="right"/>
              <w:rPr>
                <w:rFonts w:eastAsia="Times New Roman"/>
                <w:sz w:val="20"/>
                <w:szCs w:val="20"/>
              </w:rPr>
            </w:pPr>
            <w:r>
              <w:rPr>
                <w:rFonts w:eastAsia="Times New Roman"/>
                <w:sz w:val="20"/>
                <w:szCs w:val="20"/>
              </w:rPr>
              <w:t>1,603</w:t>
            </w:r>
          </w:p>
        </w:tc>
        <w:tc>
          <w:tcPr>
            <w:tcW w:w="0" w:type="auto"/>
            <w:shd w:val="clear" w:color="auto" w:fill="CCEEFF"/>
            <w:tcMar>
              <w:top w:w="0" w:type="dxa"/>
              <w:left w:w="0" w:type="dxa"/>
              <w:bottom w:w="50" w:type="dxa"/>
              <w:right w:w="0" w:type="dxa"/>
            </w:tcMar>
            <w:vAlign w:val="bottom"/>
            <w:hideMark/>
          </w:tcPr>
          <w:p w14:paraId="5340A0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1556A46"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4DAF2B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E9F51D9" w14:textId="77777777" w:rsidR="00000000" w:rsidRDefault="001826C1">
            <w:pPr>
              <w:jc w:val="right"/>
              <w:rPr>
                <w:rFonts w:eastAsia="Times New Roman"/>
                <w:sz w:val="20"/>
                <w:szCs w:val="20"/>
              </w:rPr>
            </w:pPr>
            <w:r>
              <w:rPr>
                <w:rFonts w:eastAsia="Times New Roman"/>
                <w:sz w:val="20"/>
                <w:szCs w:val="20"/>
              </w:rPr>
              <w:t>348,978</w:t>
            </w:r>
          </w:p>
        </w:tc>
        <w:tc>
          <w:tcPr>
            <w:tcW w:w="0" w:type="auto"/>
            <w:shd w:val="clear" w:color="auto" w:fill="CCEEFF"/>
            <w:tcMar>
              <w:top w:w="0" w:type="dxa"/>
              <w:left w:w="0" w:type="dxa"/>
              <w:bottom w:w="50" w:type="dxa"/>
              <w:right w:w="0" w:type="dxa"/>
            </w:tcMar>
            <w:vAlign w:val="bottom"/>
            <w:hideMark/>
          </w:tcPr>
          <w:p w14:paraId="111397D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37B430A7"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6BB3696"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729C9A6" w14:textId="77777777" w:rsidR="00000000" w:rsidRDefault="001826C1">
            <w:pPr>
              <w:jc w:val="right"/>
              <w:rPr>
                <w:rFonts w:eastAsia="Times New Roman"/>
                <w:sz w:val="20"/>
                <w:szCs w:val="20"/>
              </w:rPr>
            </w:pPr>
            <w:r>
              <w:rPr>
                <w:rFonts w:eastAsia="Times New Roman"/>
                <w:sz w:val="20"/>
                <w:szCs w:val="20"/>
              </w:rPr>
              <w:t>6,634,003</w:t>
            </w:r>
          </w:p>
        </w:tc>
        <w:tc>
          <w:tcPr>
            <w:tcW w:w="0" w:type="auto"/>
            <w:shd w:val="clear" w:color="auto" w:fill="CCEEFF"/>
            <w:tcMar>
              <w:top w:w="0" w:type="dxa"/>
              <w:left w:w="0" w:type="dxa"/>
              <w:bottom w:w="50" w:type="dxa"/>
              <w:right w:w="0" w:type="dxa"/>
            </w:tcMar>
            <w:vAlign w:val="bottom"/>
            <w:hideMark/>
          </w:tcPr>
          <w:p w14:paraId="09299EC7" w14:textId="77777777" w:rsidR="00000000" w:rsidRDefault="001826C1">
            <w:pPr>
              <w:rPr>
                <w:rFonts w:eastAsia="Times New Roman"/>
                <w:sz w:val="20"/>
                <w:szCs w:val="20"/>
              </w:rPr>
            </w:pPr>
            <w:r>
              <w:rPr>
                <w:rFonts w:eastAsia="Times New Roman"/>
                <w:sz w:val="20"/>
                <w:szCs w:val="20"/>
              </w:rPr>
              <w:t> </w:t>
            </w:r>
          </w:p>
        </w:tc>
      </w:tr>
    </w:tbl>
    <w:p w14:paraId="18824129" w14:textId="77777777" w:rsidR="00000000" w:rsidRDefault="001826C1">
      <w:pPr>
        <w:pStyle w:val="a3"/>
        <w:spacing w:before="0" w:beforeAutospacing="0" w:after="0" w:afterAutospacing="0"/>
        <w:jc w:val="both"/>
        <w:rPr>
          <w:sz w:val="20"/>
          <w:szCs w:val="20"/>
        </w:rPr>
      </w:pPr>
      <w:r>
        <w:rPr>
          <w:sz w:val="20"/>
          <w:szCs w:val="20"/>
        </w:rPr>
        <w:t> </w:t>
      </w:r>
    </w:p>
    <w:p w14:paraId="580A87BA" w14:textId="77777777" w:rsidR="00000000" w:rsidRDefault="001826C1">
      <w:pPr>
        <w:pStyle w:val="a3"/>
        <w:spacing w:before="0" w:beforeAutospacing="0" w:after="0" w:afterAutospacing="0"/>
        <w:jc w:val="both"/>
        <w:rPr>
          <w:sz w:val="20"/>
          <w:szCs w:val="20"/>
        </w:rPr>
      </w:pPr>
      <w:r>
        <w:rPr>
          <w:sz w:val="20"/>
          <w:szCs w:val="20"/>
        </w:rPr>
        <w:t xml:space="preserve">Other intangible </w:t>
      </w:r>
      <w:r>
        <w:rPr>
          <w:sz w:val="20"/>
          <w:szCs w:val="20"/>
        </w:rPr>
        <w:t>assets primarily represent software costs. Amortization expense was approximately $2.1 million for both the years ended December 31, 2019 and 2018. The weighted-average amortization period is seven years.</w:t>
      </w:r>
    </w:p>
    <w:p w14:paraId="2705CF80" w14:textId="77777777" w:rsidR="00000000" w:rsidRDefault="001826C1">
      <w:pPr>
        <w:pStyle w:val="a3"/>
        <w:spacing w:before="0" w:beforeAutospacing="0" w:after="0" w:afterAutospacing="0"/>
        <w:jc w:val="both"/>
        <w:rPr>
          <w:sz w:val="20"/>
          <w:szCs w:val="20"/>
        </w:rPr>
      </w:pPr>
      <w:r>
        <w:rPr>
          <w:sz w:val="20"/>
          <w:szCs w:val="20"/>
        </w:rPr>
        <w:t> </w:t>
      </w:r>
    </w:p>
    <w:p w14:paraId="24F62EAE" w14:textId="77777777" w:rsidR="00000000" w:rsidRDefault="001826C1">
      <w:pPr>
        <w:pStyle w:val="a3"/>
        <w:spacing w:before="0" w:beforeAutospacing="0" w:after="0" w:afterAutospacing="0"/>
        <w:jc w:val="both"/>
        <w:rPr>
          <w:sz w:val="20"/>
          <w:szCs w:val="20"/>
        </w:rPr>
      </w:pPr>
      <w:r>
        <w:rPr>
          <w:sz w:val="20"/>
          <w:szCs w:val="20"/>
        </w:rPr>
        <w:t>As of December 31, 2019, future amortization expe</w:t>
      </w:r>
      <w:r>
        <w:rPr>
          <w:sz w:val="20"/>
          <w:szCs w:val="20"/>
        </w:rPr>
        <w:t>nse scheduled to be expensed is as follows:</w:t>
      </w:r>
    </w:p>
    <w:p w14:paraId="13698023" w14:textId="77777777" w:rsidR="00000000" w:rsidRDefault="001826C1">
      <w:pPr>
        <w:pStyle w:val="a3"/>
        <w:spacing w:before="0" w:beforeAutospacing="0" w:after="0" w:afterAutospacing="0"/>
        <w:jc w:val="both"/>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3153"/>
        <w:gridCol w:w="50"/>
        <w:gridCol w:w="100"/>
        <w:gridCol w:w="800"/>
        <w:gridCol w:w="50"/>
      </w:tblGrid>
      <w:tr w:rsidR="00000000" w14:paraId="3F95A9A4" w14:textId="77777777">
        <w:tc>
          <w:tcPr>
            <w:tcW w:w="0" w:type="auto"/>
            <w:vAlign w:val="bottom"/>
            <w:hideMark/>
          </w:tcPr>
          <w:p w14:paraId="516577A9" w14:textId="77777777" w:rsidR="00000000" w:rsidRDefault="001826C1">
            <w:pPr>
              <w:rPr>
                <w:rFonts w:eastAsia="Times New Roman"/>
                <w:b/>
                <w:bCs/>
                <w:sz w:val="20"/>
                <w:szCs w:val="20"/>
              </w:rPr>
            </w:pPr>
            <w:r>
              <w:rPr>
                <w:rFonts w:eastAsia="Times New Roman"/>
                <w:b/>
                <w:bCs/>
                <w:sz w:val="20"/>
                <w:szCs w:val="20"/>
              </w:rPr>
              <w:t>Year ending</w:t>
            </w:r>
          </w:p>
        </w:tc>
        <w:tc>
          <w:tcPr>
            <w:tcW w:w="0" w:type="auto"/>
            <w:vAlign w:val="bottom"/>
            <w:hideMark/>
          </w:tcPr>
          <w:p w14:paraId="3CAC6A08"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3D6C945E" w14:textId="77777777" w:rsidR="00000000" w:rsidRDefault="001826C1">
            <w:pPr>
              <w:jc w:val="center"/>
              <w:rPr>
                <w:rFonts w:eastAsia="Times New Roman"/>
                <w:sz w:val="20"/>
                <w:szCs w:val="20"/>
              </w:rPr>
            </w:pPr>
            <w:r>
              <w:rPr>
                <w:rFonts w:eastAsia="Times New Roman"/>
                <w:sz w:val="20"/>
                <w:szCs w:val="20"/>
              </w:rPr>
              <w:t> </w:t>
            </w:r>
          </w:p>
        </w:tc>
        <w:tc>
          <w:tcPr>
            <w:tcW w:w="0" w:type="auto"/>
            <w:vAlign w:val="bottom"/>
            <w:hideMark/>
          </w:tcPr>
          <w:p w14:paraId="09849D5D" w14:textId="77777777" w:rsidR="00000000" w:rsidRDefault="001826C1">
            <w:pPr>
              <w:rPr>
                <w:rFonts w:eastAsia="Times New Roman"/>
                <w:sz w:val="20"/>
                <w:szCs w:val="20"/>
              </w:rPr>
            </w:pPr>
            <w:r>
              <w:rPr>
                <w:rFonts w:eastAsia="Times New Roman"/>
                <w:sz w:val="20"/>
                <w:szCs w:val="20"/>
              </w:rPr>
              <w:t> </w:t>
            </w:r>
          </w:p>
        </w:tc>
      </w:tr>
      <w:tr w:rsidR="00000000" w14:paraId="34895117" w14:textId="77777777">
        <w:tc>
          <w:tcPr>
            <w:tcW w:w="0" w:type="auto"/>
            <w:tcBorders>
              <w:bottom w:val="single" w:sz="12" w:space="0" w:color="000000"/>
            </w:tcBorders>
            <w:vAlign w:val="bottom"/>
            <w:hideMark/>
          </w:tcPr>
          <w:p w14:paraId="6B99BC89" w14:textId="77777777" w:rsidR="00000000" w:rsidRDefault="001826C1">
            <w:pP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03E2CA4F"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2E77F9F7" w14:textId="77777777" w:rsidR="00000000" w:rsidRDefault="001826C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BBD3439" w14:textId="77777777" w:rsidR="00000000" w:rsidRDefault="001826C1">
            <w:pPr>
              <w:rPr>
                <w:rFonts w:eastAsia="Times New Roman"/>
                <w:sz w:val="20"/>
                <w:szCs w:val="20"/>
              </w:rPr>
            </w:pPr>
            <w:r>
              <w:rPr>
                <w:rFonts w:eastAsia="Times New Roman"/>
                <w:sz w:val="20"/>
                <w:szCs w:val="20"/>
              </w:rPr>
              <w:t> </w:t>
            </w:r>
          </w:p>
        </w:tc>
      </w:tr>
      <w:tr w:rsidR="00000000" w14:paraId="68294F65" w14:textId="77777777">
        <w:tc>
          <w:tcPr>
            <w:tcW w:w="3900" w:type="pct"/>
            <w:shd w:val="clear" w:color="auto" w:fill="CCEEFF"/>
            <w:vAlign w:val="bottom"/>
            <w:hideMark/>
          </w:tcPr>
          <w:p w14:paraId="12F8A5CB" w14:textId="77777777" w:rsidR="00000000" w:rsidRDefault="001826C1">
            <w:pPr>
              <w:rPr>
                <w:rFonts w:eastAsia="Times New Roman"/>
                <w:sz w:val="20"/>
                <w:szCs w:val="20"/>
              </w:rPr>
            </w:pPr>
            <w:r>
              <w:rPr>
                <w:rFonts w:eastAsia="Times New Roman"/>
                <w:sz w:val="20"/>
                <w:szCs w:val="20"/>
              </w:rPr>
              <w:t>2020</w:t>
            </w:r>
          </w:p>
        </w:tc>
        <w:tc>
          <w:tcPr>
            <w:tcW w:w="100" w:type="pct"/>
            <w:shd w:val="clear" w:color="auto" w:fill="CCEEFF"/>
            <w:vAlign w:val="bottom"/>
            <w:hideMark/>
          </w:tcPr>
          <w:p w14:paraId="67FD0654"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0E8BD72"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2BB8C510" w14:textId="77777777" w:rsidR="00000000" w:rsidRDefault="001826C1">
            <w:pPr>
              <w:jc w:val="right"/>
              <w:rPr>
                <w:rFonts w:eastAsia="Times New Roman"/>
                <w:sz w:val="20"/>
                <w:szCs w:val="20"/>
              </w:rPr>
            </w:pPr>
            <w:r>
              <w:rPr>
                <w:rFonts w:eastAsia="Times New Roman"/>
                <w:sz w:val="20"/>
                <w:szCs w:val="20"/>
              </w:rPr>
              <w:t>1,437,324</w:t>
            </w:r>
          </w:p>
        </w:tc>
        <w:tc>
          <w:tcPr>
            <w:tcW w:w="50" w:type="pct"/>
            <w:shd w:val="clear" w:color="auto" w:fill="CCEEFF"/>
            <w:vAlign w:val="bottom"/>
            <w:hideMark/>
          </w:tcPr>
          <w:p w14:paraId="6A6CBA05" w14:textId="77777777" w:rsidR="00000000" w:rsidRDefault="001826C1">
            <w:pPr>
              <w:rPr>
                <w:rFonts w:eastAsia="Times New Roman"/>
                <w:sz w:val="20"/>
                <w:szCs w:val="20"/>
              </w:rPr>
            </w:pPr>
            <w:r>
              <w:rPr>
                <w:rFonts w:eastAsia="Times New Roman"/>
                <w:sz w:val="20"/>
                <w:szCs w:val="20"/>
              </w:rPr>
              <w:t> </w:t>
            </w:r>
          </w:p>
        </w:tc>
      </w:tr>
      <w:tr w:rsidR="00000000" w14:paraId="2F42D554" w14:textId="77777777">
        <w:tc>
          <w:tcPr>
            <w:tcW w:w="0" w:type="auto"/>
            <w:shd w:val="clear" w:color="auto" w:fill="FFFFFF"/>
            <w:vAlign w:val="bottom"/>
            <w:hideMark/>
          </w:tcPr>
          <w:p w14:paraId="13D7C005" w14:textId="77777777" w:rsidR="00000000" w:rsidRDefault="001826C1">
            <w:pPr>
              <w:rPr>
                <w:rFonts w:eastAsia="Times New Roman"/>
                <w:sz w:val="20"/>
                <w:szCs w:val="20"/>
              </w:rPr>
            </w:pPr>
            <w:r>
              <w:rPr>
                <w:rFonts w:eastAsia="Times New Roman"/>
                <w:sz w:val="20"/>
                <w:szCs w:val="20"/>
              </w:rPr>
              <w:t>2021</w:t>
            </w:r>
          </w:p>
        </w:tc>
        <w:tc>
          <w:tcPr>
            <w:tcW w:w="0" w:type="auto"/>
            <w:shd w:val="clear" w:color="auto" w:fill="FFFFFF"/>
            <w:vAlign w:val="bottom"/>
            <w:hideMark/>
          </w:tcPr>
          <w:p w14:paraId="56EE29A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9BFC6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32D5DE" w14:textId="77777777" w:rsidR="00000000" w:rsidRDefault="001826C1">
            <w:pPr>
              <w:jc w:val="right"/>
              <w:rPr>
                <w:rFonts w:eastAsia="Times New Roman"/>
                <w:sz w:val="20"/>
                <w:szCs w:val="20"/>
              </w:rPr>
            </w:pPr>
            <w:r>
              <w:rPr>
                <w:rFonts w:eastAsia="Times New Roman"/>
                <w:sz w:val="20"/>
                <w:szCs w:val="20"/>
              </w:rPr>
              <w:t>1,292,146</w:t>
            </w:r>
          </w:p>
        </w:tc>
        <w:tc>
          <w:tcPr>
            <w:tcW w:w="0" w:type="auto"/>
            <w:shd w:val="clear" w:color="auto" w:fill="FFFFFF"/>
            <w:vAlign w:val="bottom"/>
            <w:hideMark/>
          </w:tcPr>
          <w:p w14:paraId="424369E9" w14:textId="77777777" w:rsidR="00000000" w:rsidRDefault="001826C1">
            <w:pPr>
              <w:rPr>
                <w:rFonts w:eastAsia="Times New Roman"/>
                <w:sz w:val="20"/>
                <w:szCs w:val="20"/>
              </w:rPr>
            </w:pPr>
            <w:r>
              <w:rPr>
                <w:rFonts w:eastAsia="Times New Roman"/>
                <w:sz w:val="20"/>
                <w:szCs w:val="20"/>
              </w:rPr>
              <w:t> </w:t>
            </w:r>
          </w:p>
        </w:tc>
      </w:tr>
      <w:tr w:rsidR="00000000" w14:paraId="6FAEABCE" w14:textId="77777777">
        <w:tc>
          <w:tcPr>
            <w:tcW w:w="0" w:type="auto"/>
            <w:shd w:val="clear" w:color="auto" w:fill="CCEEFF"/>
            <w:vAlign w:val="bottom"/>
            <w:hideMark/>
          </w:tcPr>
          <w:p w14:paraId="31FECE82" w14:textId="77777777" w:rsidR="00000000" w:rsidRDefault="001826C1">
            <w:pPr>
              <w:rPr>
                <w:rFonts w:eastAsia="Times New Roman"/>
                <w:sz w:val="20"/>
                <w:szCs w:val="20"/>
              </w:rPr>
            </w:pPr>
            <w:r>
              <w:rPr>
                <w:rFonts w:eastAsia="Times New Roman"/>
                <w:sz w:val="20"/>
                <w:szCs w:val="20"/>
              </w:rPr>
              <w:t>2022</w:t>
            </w:r>
          </w:p>
        </w:tc>
        <w:tc>
          <w:tcPr>
            <w:tcW w:w="0" w:type="auto"/>
            <w:shd w:val="clear" w:color="auto" w:fill="CCEEFF"/>
            <w:vAlign w:val="bottom"/>
            <w:hideMark/>
          </w:tcPr>
          <w:p w14:paraId="174526A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E864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6382AC" w14:textId="77777777" w:rsidR="00000000" w:rsidRDefault="001826C1">
            <w:pPr>
              <w:jc w:val="right"/>
              <w:rPr>
                <w:rFonts w:eastAsia="Times New Roman"/>
                <w:sz w:val="20"/>
                <w:szCs w:val="20"/>
              </w:rPr>
            </w:pPr>
            <w:r>
              <w:rPr>
                <w:rFonts w:eastAsia="Times New Roman"/>
                <w:sz w:val="20"/>
                <w:szCs w:val="20"/>
              </w:rPr>
              <w:t>959,225</w:t>
            </w:r>
          </w:p>
        </w:tc>
        <w:tc>
          <w:tcPr>
            <w:tcW w:w="0" w:type="auto"/>
            <w:shd w:val="clear" w:color="auto" w:fill="CCEEFF"/>
            <w:vAlign w:val="bottom"/>
            <w:hideMark/>
          </w:tcPr>
          <w:p w14:paraId="5C98DEF8" w14:textId="77777777" w:rsidR="00000000" w:rsidRDefault="001826C1">
            <w:pPr>
              <w:rPr>
                <w:rFonts w:eastAsia="Times New Roman"/>
                <w:sz w:val="20"/>
                <w:szCs w:val="20"/>
              </w:rPr>
            </w:pPr>
            <w:r>
              <w:rPr>
                <w:rFonts w:eastAsia="Times New Roman"/>
                <w:sz w:val="20"/>
                <w:szCs w:val="20"/>
              </w:rPr>
              <w:t> </w:t>
            </w:r>
          </w:p>
        </w:tc>
      </w:tr>
      <w:tr w:rsidR="00000000" w14:paraId="46C66BD1" w14:textId="77777777">
        <w:tc>
          <w:tcPr>
            <w:tcW w:w="0" w:type="auto"/>
            <w:shd w:val="clear" w:color="auto" w:fill="FFFFFF"/>
            <w:vAlign w:val="bottom"/>
            <w:hideMark/>
          </w:tcPr>
          <w:p w14:paraId="1B01E444" w14:textId="77777777" w:rsidR="00000000" w:rsidRDefault="001826C1">
            <w:pPr>
              <w:rPr>
                <w:rFonts w:eastAsia="Times New Roman"/>
                <w:sz w:val="20"/>
                <w:szCs w:val="20"/>
              </w:rPr>
            </w:pPr>
            <w:r>
              <w:rPr>
                <w:rFonts w:eastAsia="Times New Roman"/>
                <w:sz w:val="20"/>
                <w:szCs w:val="20"/>
              </w:rPr>
              <w:t>2023</w:t>
            </w:r>
          </w:p>
        </w:tc>
        <w:tc>
          <w:tcPr>
            <w:tcW w:w="0" w:type="auto"/>
            <w:shd w:val="clear" w:color="auto" w:fill="FFFFFF"/>
            <w:vAlign w:val="bottom"/>
            <w:hideMark/>
          </w:tcPr>
          <w:p w14:paraId="329EC3D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CCFA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A7A5EF" w14:textId="77777777" w:rsidR="00000000" w:rsidRDefault="001826C1">
            <w:pPr>
              <w:jc w:val="right"/>
              <w:rPr>
                <w:rFonts w:eastAsia="Times New Roman"/>
                <w:sz w:val="20"/>
                <w:szCs w:val="20"/>
              </w:rPr>
            </w:pPr>
            <w:r>
              <w:rPr>
                <w:rFonts w:eastAsia="Times New Roman"/>
                <w:sz w:val="20"/>
                <w:szCs w:val="20"/>
              </w:rPr>
              <w:t>338,530</w:t>
            </w:r>
          </w:p>
        </w:tc>
        <w:tc>
          <w:tcPr>
            <w:tcW w:w="0" w:type="auto"/>
            <w:shd w:val="clear" w:color="auto" w:fill="FFFFFF"/>
            <w:vAlign w:val="bottom"/>
            <w:hideMark/>
          </w:tcPr>
          <w:p w14:paraId="4B95A421" w14:textId="77777777" w:rsidR="00000000" w:rsidRDefault="001826C1">
            <w:pPr>
              <w:rPr>
                <w:rFonts w:eastAsia="Times New Roman"/>
                <w:sz w:val="20"/>
                <w:szCs w:val="20"/>
              </w:rPr>
            </w:pPr>
            <w:r>
              <w:rPr>
                <w:rFonts w:eastAsia="Times New Roman"/>
                <w:sz w:val="20"/>
                <w:szCs w:val="20"/>
              </w:rPr>
              <w:t> </w:t>
            </w:r>
          </w:p>
        </w:tc>
      </w:tr>
      <w:tr w:rsidR="00000000" w14:paraId="692ABCA9" w14:textId="77777777">
        <w:tc>
          <w:tcPr>
            <w:tcW w:w="0" w:type="auto"/>
            <w:shd w:val="clear" w:color="auto" w:fill="CCEEFF"/>
            <w:vAlign w:val="bottom"/>
            <w:hideMark/>
          </w:tcPr>
          <w:p w14:paraId="452304FF" w14:textId="77777777" w:rsidR="00000000" w:rsidRDefault="001826C1">
            <w:pPr>
              <w:rPr>
                <w:rFonts w:eastAsia="Times New Roman"/>
                <w:sz w:val="20"/>
                <w:szCs w:val="20"/>
              </w:rPr>
            </w:pPr>
            <w:r>
              <w:rPr>
                <w:rFonts w:eastAsia="Times New Roman"/>
                <w:sz w:val="20"/>
                <w:szCs w:val="20"/>
              </w:rPr>
              <w:t>2024</w:t>
            </w:r>
          </w:p>
        </w:tc>
        <w:tc>
          <w:tcPr>
            <w:tcW w:w="0" w:type="auto"/>
            <w:shd w:val="clear" w:color="auto" w:fill="CCEEFF"/>
            <w:vAlign w:val="bottom"/>
            <w:hideMark/>
          </w:tcPr>
          <w:p w14:paraId="6B837CD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58DB2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DD71D1" w14:textId="77777777" w:rsidR="00000000" w:rsidRDefault="001826C1">
            <w:pPr>
              <w:jc w:val="right"/>
              <w:rPr>
                <w:rFonts w:eastAsia="Times New Roman"/>
                <w:sz w:val="20"/>
                <w:szCs w:val="20"/>
              </w:rPr>
            </w:pPr>
            <w:r>
              <w:rPr>
                <w:rFonts w:eastAsia="Times New Roman"/>
                <w:sz w:val="20"/>
                <w:szCs w:val="20"/>
              </w:rPr>
              <w:t>300,000</w:t>
            </w:r>
          </w:p>
        </w:tc>
        <w:tc>
          <w:tcPr>
            <w:tcW w:w="0" w:type="auto"/>
            <w:shd w:val="clear" w:color="auto" w:fill="CCEEFF"/>
            <w:vAlign w:val="bottom"/>
            <w:hideMark/>
          </w:tcPr>
          <w:p w14:paraId="47642D4D" w14:textId="77777777" w:rsidR="00000000" w:rsidRDefault="001826C1">
            <w:pPr>
              <w:rPr>
                <w:rFonts w:eastAsia="Times New Roman"/>
                <w:sz w:val="20"/>
                <w:szCs w:val="20"/>
              </w:rPr>
            </w:pPr>
            <w:r>
              <w:rPr>
                <w:rFonts w:eastAsia="Times New Roman"/>
                <w:sz w:val="20"/>
                <w:szCs w:val="20"/>
              </w:rPr>
              <w:t> </w:t>
            </w:r>
          </w:p>
        </w:tc>
      </w:tr>
      <w:tr w:rsidR="00000000" w14:paraId="0C4EF841" w14:textId="77777777">
        <w:tc>
          <w:tcPr>
            <w:tcW w:w="0" w:type="auto"/>
            <w:shd w:val="clear" w:color="auto" w:fill="FFFFFF"/>
            <w:tcMar>
              <w:top w:w="0" w:type="dxa"/>
              <w:left w:w="0" w:type="dxa"/>
              <w:bottom w:w="30" w:type="dxa"/>
              <w:right w:w="0" w:type="dxa"/>
            </w:tcMar>
            <w:vAlign w:val="bottom"/>
            <w:hideMark/>
          </w:tcPr>
          <w:p w14:paraId="2794897F" w14:textId="77777777" w:rsidR="00000000" w:rsidRDefault="001826C1">
            <w:pPr>
              <w:rPr>
                <w:rFonts w:eastAsia="Times New Roman"/>
                <w:sz w:val="20"/>
                <w:szCs w:val="20"/>
              </w:rPr>
            </w:pPr>
            <w:r>
              <w:rPr>
                <w:rFonts w:eastAsia="Times New Roman"/>
                <w:sz w:val="20"/>
                <w:szCs w:val="20"/>
              </w:rPr>
              <w:t>Thereafter</w:t>
            </w:r>
          </w:p>
        </w:tc>
        <w:tc>
          <w:tcPr>
            <w:tcW w:w="0" w:type="auto"/>
            <w:shd w:val="clear" w:color="auto" w:fill="FFFFFF"/>
            <w:tcMar>
              <w:top w:w="0" w:type="dxa"/>
              <w:left w:w="0" w:type="dxa"/>
              <w:bottom w:w="30" w:type="dxa"/>
              <w:right w:w="0" w:type="dxa"/>
            </w:tcMar>
            <w:vAlign w:val="bottom"/>
            <w:hideMark/>
          </w:tcPr>
          <w:p w14:paraId="086B886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05CCB4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EE75C6" w14:textId="77777777" w:rsidR="00000000" w:rsidRDefault="001826C1">
            <w:pPr>
              <w:jc w:val="right"/>
              <w:rPr>
                <w:rFonts w:eastAsia="Times New Roman"/>
                <w:sz w:val="20"/>
                <w:szCs w:val="20"/>
              </w:rPr>
            </w:pPr>
            <w:r>
              <w:rPr>
                <w:rFonts w:eastAsia="Times New Roman"/>
                <w:sz w:val="20"/>
                <w:szCs w:val="20"/>
              </w:rPr>
              <w:t>1,650,000</w:t>
            </w:r>
          </w:p>
        </w:tc>
        <w:tc>
          <w:tcPr>
            <w:tcW w:w="0" w:type="auto"/>
            <w:shd w:val="clear" w:color="auto" w:fill="FFFFFF"/>
            <w:tcMar>
              <w:top w:w="0" w:type="dxa"/>
              <w:left w:w="0" w:type="dxa"/>
              <w:bottom w:w="30" w:type="dxa"/>
              <w:right w:w="0" w:type="dxa"/>
            </w:tcMar>
            <w:vAlign w:val="bottom"/>
            <w:hideMark/>
          </w:tcPr>
          <w:p w14:paraId="3128FBC1" w14:textId="77777777" w:rsidR="00000000" w:rsidRDefault="001826C1">
            <w:pPr>
              <w:rPr>
                <w:rFonts w:eastAsia="Times New Roman"/>
                <w:sz w:val="20"/>
                <w:szCs w:val="20"/>
              </w:rPr>
            </w:pPr>
            <w:r>
              <w:rPr>
                <w:rFonts w:eastAsia="Times New Roman"/>
                <w:sz w:val="20"/>
                <w:szCs w:val="20"/>
              </w:rPr>
              <w:t> </w:t>
            </w:r>
          </w:p>
        </w:tc>
      </w:tr>
      <w:tr w:rsidR="00000000" w14:paraId="60E43ADE" w14:textId="77777777">
        <w:tc>
          <w:tcPr>
            <w:tcW w:w="0" w:type="auto"/>
            <w:shd w:val="clear" w:color="auto" w:fill="CCEEFF"/>
            <w:tcMar>
              <w:top w:w="0" w:type="dxa"/>
              <w:left w:w="0" w:type="dxa"/>
              <w:bottom w:w="50" w:type="dxa"/>
              <w:right w:w="0" w:type="dxa"/>
            </w:tcMar>
            <w:vAlign w:val="bottom"/>
            <w:hideMark/>
          </w:tcPr>
          <w:p w14:paraId="4C96809F"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44D137A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9506D4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D7D7A24" w14:textId="77777777" w:rsidR="00000000" w:rsidRDefault="001826C1">
            <w:pPr>
              <w:jc w:val="right"/>
              <w:rPr>
                <w:rFonts w:eastAsia="Times New Roman"/>
                <w:sz w:val="20"/>
                <w:szCs w:val="20"/>
              </w:rPr>
            </w:pPr>
            <w:r>
              <w:rPr>
                <w:rFonts w:eastAsia="Times New Roman"/>
                <w:sz w:val="20"/>
                <w:szCs w:val="20"/>
              </w:rPr>
              <w:t>5,977,225</w:t>
            </w:r>
          </w:p>
        </w:tc>
        <w:tc>
          <w:tcPr>
            <w:tcW w:w="0" w:type="auto"/>
            <w:shd w:val="clear" w:color="auto" w:fill="CCEEFF"/>
            <w:tcMar>
              <w:top w:w="0" w:type="dxa"/>
              <w:left w:w="0" w:type="dxa"/>
              <w:bottom w:w="50" w:type="dxa"/>
              <w:right w:w="0" w:type="dxa"/>
            </w:tcMar>
            <w:vAlign w:val="bottom"/>
            <w:hideMark/>
          </w:tcPr>
          <w:p w14:paraId="21C36AC8" w14:textId="77777777" w:rsidR="00000000" w:rsidRDefault="001826C1">
            <w:pPr>
              <w:rPr>
                <w:rFonts w:eastAsia="Times New Roman"/>
                <w:sz w:val="20"/>
                <w:szCs w:val="20"/>
              </w:rPr>
            </w:pPr>
            <w:r>
              <w:rPr>
                <w:rFonts w:eastAsia="Times New Roman"/>
                <w:sz w:val="20"/>
                <w:szCs w:val="20"/>
              </w:rPr>
              <w:t> </w:t>
            </w:r>
          </w:p>
        </w:tc>
      </w:tr>
    </w:tbl>
    <w:p w14:paraId="2EB34A0A" w14:textId="77777777" w:rsidR="00000000" w:rsidRDefault="001826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D5FF4BC" w14:textId="77777777">
        <w:trPr>
          <w:divId w:val="441799692"/>
        </w:trPr>
        <w:tc>
          <w:tcPr>
            <w:tcW w:w="5000" w:type="pct"/>
            <w:hideMark/>
          </w:tcPr>
          <w:p w14:paraId="2F2C30FC"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33801094" w14:textId="77777777">
        <w:tc>
          <w:tcPr>
            <w:tcW w:w="5000" w:type="pct"/>
            <w:hideMark/>
          </w:tcPr>
          <w:p w14:paraId="753CAB2F" w14:textId="77777777" w:rsidR="00000000" w:rsidRDefault="001826C1">
            <w:pPr>
              <w:jc w:val="center"/>
              <w:rPr>
                <w:rFonts w:eastAsia="Times New Roman"/>
                <w:sz w:val="20"/>
                <w:szCs w:val="20"/>
              </w:rPr>
            </w:pPr>
            <w:r>
              <w:rPr>
                <w:rFonts w:eastAsia="Times New Roman"/>
                <w:sz w:val="20"/>
                <w:szCs w:val="20"/>
              </w:rPr>
              <w:t> </w:t>
            </w:r>
          </w:p>
        </w:tc>
      </w:tr>
    </w:tbl>
    <w:p w14:paraId="5308C3D3" w14:textId="77777777" w:rsidR="00000000" w:rsidRDefault="001826C1">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6FD8D418" w14:textId="77777777">
        <w:tc>
          <w:tcPr>
            <w:tcW w:w="360" w:type="dxa"/>
            <w:hideMark/>
          </w:tcPr>
          <w:p w14:paraId="124D4920" w14:textId="77777777" w:rsidR="00000000" w:rsidRDefault="001826C1">
            <w:pPr>
              <w:rPr>
                <w:rFonts w:eastAsia="Times New Roman"/>
                <w:b/>
                <w:bCs/>
                <w:caps/>
                <w:sz w:val="20"/>
                <w:szCs w:val="20"/>
              </w:rPr>
            </w:pPr>
            <w:r>
              <w:rPr>
                <w:rFonts w:eastAsia="Times New Roman"/>
                <w:b/>
                <w:bCs/>
                <w:caps/>
                <w:sz w:val="20"/>
                <w:szCs w:val="20"/>
              </w:rPr>
              <w:t>5.</w:t>
            </w:r>
          </w:p>
        </w:tc>
        <w:tc>
          <w:tcPr>
            <w:tcW w:w="0" w:type="auto"/>
            <w:hideMark/>
          </w:tcPr>
          <w:p w14:paraId="39FB1170" w14:textId="77777777" w:rsidR="00000000" w:rsidRDefault="001826C1">
            <w:pPr>
              <w:rPr>
                <w:rFonts w:eastAsia="Times New Roman"/>
                <w:b/>
                <w:bCs/>
                <w:caps/>
                <w:sz w:val="20"/>
                <w:szCs w:val="20"/>
              </w:rPr>
            </w:pPr>
            <w:r>
              <w:rPr>
                <w:rFonts w:eastAsia="Times New Roman"/>
                <w:b/>
                <w:bCs/>
                <w:caps/>
                <w:sz w:val="20"/>
                <w:szCs w:val="20"/>
              </w:rPr>
              <w:t>Property and Equipment</w:t>
            </w:r>
          </w:p>
        </w:tc>
      </w:tr>
    </w:tbl>
    <w:p w14:paraId="6C4D97D3" w14:textId="77777777" w:rsidR="00000000" w:rsidRDefault="001826C1">
      <w:pPr>
        <w:pStyle w:val="a3"/>
        <w:spacing w:before="0" w:beforeAutospacing="0" w:after="0" w:afterAutospacing="0"/>
        <w:ind w:left="475"/>
        <w:jc w:val="both"/>
        <w:rPr>
          <w:sz w:val="20"/>
          <w:szCs w:val="20"/>
        </w:rPr>
      </w:pPr>
      <w:r>
        <w:rPr>
          <w:sz w:val="20"/>
          <w:szCs w:val="20"/>
        </w:rPr>
        <w:t> </w:t>
      </w:r>
    </w:p>
    <w:p w14:paraId="77C66446" w14:textId="77777777" w:rsidR="00000000" w:rsidRDefault="001826C1">
      <w:pPr>
        <w:pStyle w:val="a3"/>
        <w:spacing w:before="0" w:beforeAutospacing="0" w:after="0" w:afterAutospacing="0"/>
        <w:jc w:val="both"/>
        <w:rPr>
          <w:sz w:val="20"/>
          <w:szCs w:val="20"/>
        </w:rPr>
      </w:pPr>
      <w:r>
        <w:rPr>
          <w:sz w:val="20"/>
          <w:szCs w:val="20"/>
        </w:rPr>
        <w:t>Property and equipment as of December 31, 2019 and 2018 consisted of the following:</w:t>
      </w:r>
    </w:p>
    <w:p w14:paraId="1101BD8E" w14:textId="77777777" w:rsidR="00000000" w:rsidRDefault="001826C1">
      <w:pPr>
        <w:pStyle w:val="a3"/>
        <w:spacing w:before="0" w:beforeAutospacing="0" w:after="0" w:afterAutospacing="0"/>
        <w:ind w:left="405"/>
        <w:jc w:val="both"/>
        <w:rPr>
          <w:sz w:val="20"/>
          <w:szCs w:val="20"/>
        </w:rPr>
      </w:pPr>
      <w:r>
        <w:rPr>
          <w:sz w:val="20"/>
          <w:szCs w:val="20"/>
        </w:rPr>
        <w:t> </w:t>
      </w:r>
    </w:p>
    <w:tbl>
      <w:tblPr>
        <w:tblW w:w="3750" w:type="pct"/>
        <w:tblCellMar>
          <w:left w:w="0" w:type="dxa"/>
          <w:right w:w="0" w:type="dxa"/>
        </w:tblCellMar>
        <w:tblLook w:val="04A0" w:firstRow="1" w:lastRow="0" w:firstColumn="1" w:lastColumn="0" w:noHBand="0" w:noVBand="1"/>
      </w:tblPr>
      <w:tblGrid>
        <w:gridCol w:w="2972"/>
        <w:gridCol w:w="108"/>
        <w:gridCol w:w="100"/>
        <w:gridCol w:w="1354"/>
        <w:gridCol w:w="67"/>
        <w:gridCol w:w="108"/>
        <w:gridCol w:w="100"/>
        <w:gridCol w:w="1354"/>
        <w:gridCol w:w="67"/>
      </w:tblGrid>
      <w:tr w:rsidR="00000000" w14:paraId="72316669" w14:textId="77777777">
        <w:tc>
          <w:tcPr>
            <w:tcW w:w="0" w:type="auto"/>
            <w:vAlign w:val="bottom"/>
            <w:hideMark/>
          </w:tcPr>
          <w:p w14:paraId="0AD1A843" w14:textId="77777777" w:rsidR="00000000" w:rsidRDefault="001826C1">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830C43E"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1E55750" w14:textId="77777777" w:rsidR="00000000" w:rsidRDefault="001826C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06537B45"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BACCC6C" w14:textId="77777777" w:rsidR="00000000" w:rsidRDefault="001826C1">
            <w:pPr>
              <w:jc w:val="cente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F2B3A94" w14:textId="77777777" w:rsidR="00000000" w:rsidRDefault="001826C1">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78731674" w14:textId="77777777" w:rsidR="00000000" w:rsidRDefault="001826C1">
            <w:pPr>
              <w:jc w:val="center"/>
              <w:rPr>
                <w:rFonts w:eastAsia="Times New Roman"/>
                <w:b/>
                <w:bCs/>
                <w:sz w:val="20"/>
                <w:szCs w:val="20"/>
              </w:rPr>
            </w:pPr>
            <w:r>
              <w:rPr>
                <w:rFonts w:eastAsia="Times New Roman"/>
                <w:b/>
                <w:bCs/>
                <w:sz w:val="20"/>
                <w:szCs w:val="20"/>
              </w:rPr>
              <w:t> </w:t>
            </w:r>
          </w:p>
        </w:tc>
      </w:tr>
      <w:tr w:rsidR="00000000" w14:paraId="7357D34D" w14:textId="77777777">
        <w:tc>
          <w:tcPr>
            <w:tcW w:w="2400" w:type="pct"/>
            <w:shd w:val="clear" w:color="auto" w:fill="CCEEFF"/>
            <w:vAlign w:val="bottom"/>
            <w:hideMark/>
          </w:tcPr>
          <w:p w14:paraId="6C32B72A" w14:textId="77777777" w:rsidR="00000000" w:rsidRDefault="001826C1">
            <w:pPr>
              <w:rPr>
                <w:rFonts w:eastAsia="Times New Roman"/>
                <w:sz w:val="20"/>
                <w:szCs w:val="20"/>
              </w:rPr>
            </w:pPr>
            <w:r>
              <w:rPr>
                <w:rFonts w:eastAsia="Times New Roman"/>
                <w:sz w:val="20"/>
                <w:szCs w:val="20"/>
              </w:rPr>
              <w:t>Computer equipment</w:t>
            </w:r>
          </w:p>
        </w:tc>
        <w:tc>
          <w:tcPr>
            <w:tcW w:w="100" w:type="pct"/>
            <w:shd w:val="clear" w:color="auto" w:fill="CCEEFF"/>
            <w:vAlign w:val="bottom"/>
            <w:hideMark/>
          </w:tcPr>
          <w:p w14:paraId="70A9AB2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8191DB0" w14:textId="77777777" w:rsidR="00000000" w:rsidRDefault="001826C1">
            <w:pPr>
              <w:rPr>
                <w:rFonts w:eastAsia="Times New Roman"/>
                <w:sz w:val="20"/>
                <w:szCs w:val="20"/>
              </w:rPr>
            </w:pPr>
            <w:r>
              <w:rPr>
                <w:rFonts w:eastAsia="Times New Roman"/>
                <w:sz w:val="20"/>
                <w:szCs w:val="20"/>
              </w:rPr>
              <w:t>$</w:t>
            </w:r>
          </w:p>
        </w:tc>
        <w:tc>
          <w:tcPr>
            <w:tcW w:w="1100" w:type="pct"/>
            <w:shd w:val="clear" w:color="auto" w:fill="CCEEFF"/>
            <w:vAlign w:val="bottom"/>
            <w:hideMark/>
          </w:tcPr>
          <w:p w14:paraId="3694CD44" w14:textId="77777777" w:rsidR="00000000" w:rsidRDefault="001826C1">
            <w:pPr>
              <w:jc w:val="right"/>
              <w:rPr>
                <w:rFonts w:eastAsia="Times New Roman"/>
                <w:sz w:val="20"/>
                <w:szCs w:val="20"/>
              </w:rPr>
            </w:pPr>
            <w:r>
              <w:rPr>
                <w:rFonts w:eastAsia="Times New Roman"/>
                <w:sz w:val="20"/>
                <w:szCs w:val="20"/>
              </w:rPr>
              <w:t>2,905,892</w:t>
            </w:r>
          </w:p>
        </w:tc>
        <w:tc>
          <w:tcPr>
            <w:tcW w:w="50" w:type="pct"/>
            <w:shd w:val="clear" w:color="auto" w:fill="CCEEFF"/>
            <w:vAlign w:val="bottom"/>
            <w:hideMark/>
          </w:tcPr>
          <w:p w14:paraId="05938BDD"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8694ED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015DE0" w14:textId="77777777" w:rsidR="00000000" w:rsidRDefault="001826C1">
            <w:pPr>
              <w:rPr>
                <w:rFonts w:eastAsia="Times New Roman"/>
                <w:sz w:val="20"/>
                <w:szCs w:val="20"/>
              </w:rPr>
            </w:pPr>
            <w:r>
              <w:rPr>
                <w:rFonts w:eastAsia="Times New Roman"/>
                <w:sz w:val="20"/>
                <w:szCs w:val="20"/>
              </w:rPr>
              <w:t>$</w:t>
            </w:r>
          </w:p>
        </w:tc>
        <w:tc>
          <w:tcPr>
            <w:tcW w:w="1100" w:type="pct"/>
            <w:shd w:val="clear" w:color="auto" w:fill="CCEEFF"/>
            <w:vAlign w:val="bottom"/>
            <w:hideMark/>
          </w:tcPr>
          <w:p w14:paraId="0E7B2BD3" w14:textId="77777777" w:rsidR="00000000" w:rsidRDefault="001826C1">
            <w:pPr>
              <w:jc w:val="right"/>
              <w:rPr>
                <w:rFonts w:eastAsia="Times New Roman"/>
                <w:sz w:val="20"/>
                <w:szCs w:val="20"/>
              </w:rPr>
            </w:pPr>
            <w:r>
              <w:rPr>
                <w:rFonts w:eastAsia="Times New Roman"/>
                <w:sz w:val="20"/>
                <w:szCs w:val="20"/>
              </w:rPr>
              <w:t>2,389,865</w:t>
            </w:r>
          </w:p>
        </w:tc>
        <w:tc>
          <w:tcPr>
            <w:tcW w:w="50" w:type="pct"/>
            <w:shd w:val="clear" w:color="auto" w:fill="CCEEFF"/>
            <w:vAlign w:val="bottom"/>
            <w:hideMark/>
          </w:tcPr>
          <w:p w14:paraId="264D0224" w14:textId="77777777" w:rsidR="00000000" w:rsidRDefault="001826C1">
            <w:pPr>
              <w:rPr>
                <w:rFonts w:eastAsia="Times New Roman"/>
                <w:sz w:val="20"/>
                <w:szCs w:val="20"/>
              </w:rPr>
            </w:pPr>
            <w:r>
              <w:rPr>
                <w:rFonts w:eastAsia="Times New Roman"/>
                <w:sz w:val="20"/>
                <w:szCs w:val="20"/>
              </w:rPr>
              <w:t> </w:t>
            </w:r>
          </w:p>
        </w:tc>
      </w:tr>
      <w:tr w:rsidR="00000000" w14:paraId="16D6EB25" w14:textId="77777777">
        <w:tc>
          <w:tcPr>
            <w:tcW w:w="0" w:type="auto"/>
            <w:shd w:val="clear" w:color="auto" w:fill="FFFFFF"/>
            <w:vAlign w:val="bottom"/>
            <w:hideMark/>
          </w:tcPr>
          <w:p w14:paraId="0B5221F8" w14:textId="77777777" w:rsidR="00000000" w:rsidRDefault="001826C1">
            <w:pPr>
              <w:rPr>
                <w:rFonts w:eastAsia="Times New Roman"/>
                <w:sz w:val="20"/>
                <w:szCs w:val="20"/>
              </w:rPr>
            </w:pPr>
            <w:r>
              <w:rPr>
                <w:rFonts w:eastAsia="Times New Roman"/>
                <w:sz w:val="20"/>
                <w:szCs w:val="20"/>
              </w:rPr>
              <w:t>Office furniture and equipment</w:t>
            </w:r>
          </w:p>
        </w:tc>
        <w:tc>
          <w:tcPr>
            <w:tcW w:w="0" w:type="auto"/>
            <w:shd w:val="clear" w:color="auto" w:fill="FFFFFF"/>
            <w:vAlign w:val="bottom"/>
            <w:hideMark/>
          </w:tcPr>
          <w:p w14:paraId="68EDD74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686A6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C6C051" w14:textId="77777777" w:rsidR="00000000" w:rsidRDefault="001826C1">
            <w:pPr>
              <w:jc w:val="right"/>
              <w:rPr>
                <w:rFonts w:eastAsia="Times New Roman"/>
                <w:sz w:val="20"/>
                <w:szCs w:val="20"/>
              </w:rPr>
            </w:pPr>
            <w:r>
              <w:rPr>
                <w:rFonts w:eastAsia="Times New Roman"/>
                <w:sz w:val="20"/>
                <w:szCs w:val="20"/>
              </w:rPr>
              <w:t>1,145,617</w:t>
            </w:r>
          </w:p>
        </w:tc>
        <w:tc>
          <w:tcPr>
            <w:tcW w:w="0" w:type="auto"/>
            <w:shd w:val="clear" w:color="auto" w:fill="FFFFFF"/>
            <w:vAlign w:val="bottom"/>
            <w:hideMark/>
          </w:tcPr>
          <w:p w14:paraId="22CCC78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0F79A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DBB064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ECF9B4" w14:textId="77777777" w:rsidR="00000000" w:rsidRDefault="001826C1">
            <w:pPr>
              <w:jc w:val="right"/>
              <w:rPr>
                <w:rFonts w:eastAsia="Times New Roman"/>
                <w:sz w:val="20"/>
                <w:szCs w:val="20"/>
              </w:rPr>
            </w:pPr>
            <w:r>
              <w:rPr>
                <w:rFonts w:eastAsia="Times New Roman"/>
                <w:sz w:val="20"/>
                <w:szCs w:val="20"/>
              </w:rPr>
              <w:t>1,089,014</w:t>
            </w:r>
          </w:p>
        </w:tc>
        <w:tc>
          <w:tcPr>
            <w:tcW w:w="0" w:type="auto"/>
            <w:shd w:val="clear" w:color="auto" w:fill="FFFFFF"/>
            <w:vAlign w:val="bottom"/>
            <w:hideMark/>
          </w:tcPr>
          <w:p w14:paraId="203470C5" w14:textId="77777777" w:rsidR="00000000" w:rsidRDefault="001826C1">
            <w:pPr>
              <w:rPr>
                <w:rFonts w:eastAsia="Times New Roman"/>
                <w:sz w:val="20"/>
                <w:szCs w:val="20"/>
              </w:rPr>
            </w:pPr>
            <w:r>
              <w:rPr>
                <w:rFonts w:eastAsia="Times New Roman"/>
                <w:sz w:val="20"/>
                <w:szCs w:val="20"/>
              </w:rPr>
              <w:t> </w:t>
            </w:r>
          </w:p>
        </w:tc>
      </w:tr>
      <w:tr w:rsidR="00000000" w14:paraId="42705DB9" w14:textId="77777777">
        <w:tc>
          <w:tcPr>
            <w:tcW w:w="0" w:type="auto"/>
            <w:shd w:val="clear" w:color="auto" w:fill="CCEEFF"/>
            <w:vAlign w:val="bottom"/>
            <w:hideMark/>
          </w:tcPr>
          <w:p w14:paraId="4E07990C" w14:textId="77777777" w:rsidR="00000000" w:rsidRDefault="001826C1">
            <w:pPr>
              <w:rPr>
                <w:rFonts w:eastAsia="Times New Roman"/>
                <w:sz w:val="20"/>
                <w:szCs w:val="20"/>
              </w:rPr>
            </w:pPr>
            <w:r>
              <w:rPr>
                <w:rFonts w:eastAsia="Times New Roman"/>
                <w:sz w:val="20"/>
                <w:szCs w:val="20"/>
              </w:rPr>
              <w:t>Transportation equipment</w:t>
            </w:r>
          </w:p>
        </w:tc>
        <w:tc>
          <w:tcPr>
            <w:tcW w:w="0" w:type="auto"/>
            <w:shd w:val="clear" w:color="auto" w:fill="CCEEFF"/>
            <w:vAlign w:val="bottom"/>
            <w:hideMark/>
          </w:tcPr>
          <w:p w14:paraId="14873A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A267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038C03" w14:textId="77777777" w:rsidR="00000000" w:rsidRDefault="001826C1">
            <w:pPr>
              <w:jc w:val="right"/>
              <w:rPr>
                <w:rFonts w:eastAsia="Times New Roman"/>
                <w:sz w:val="20"/>
                <w:szCs w:val="20"/>
              </w:rPr>
            </w:pPr>
            <w:r>
              <w:rPr>
                <w:rFonts w:eastAsia="Times New Roman"/>
                <w:sz w:val="20"/>
                <w:szCs w:val="20"/>
              </w:rPr>
              <w:t>806,009</w:t>
            </w:r>
          </w:p>
        </w:tc>
        <w:tc>
          <w:tcPr>
            <w:tcW w:w="0" w:type="auto"/>
            <w:shd w:val="clear" w:color="auto" w:fill="CCEEFF"/>
            <w:vAlign w:val="bottom"/>
            <w:hideMark/>
          </w:tcPr>
          <w:p w14:paraId="711F19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24BEA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B29A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D39E8E" w14:textId="77777777" w:rsidR="00000000" w:rsidRDefault="001826C1">
            <w:pPr>
              <w:jc w:val="right"/>
              <w:rPr>
                <w:rFonts w:eastAsia="Times New Roman"/>
                <w:sz w:val="20"/>
                <w:szCs w:val="20"/>
              </w:rPr>
            </w:pPr>
            <w:r>
              <w:rPr>
                <w:rFonts w:eastAsia="Times New Roman"/>
                <w:sz w:val="20"/>
                <w:szCs w:val="20"/>
              </w:rPr>
              <w:t>828,417</w:t>
            </w:r>
          </w:p>
        </w:tc>
        <w:tc>
          <w:tcPr>
            <w:tcW w:w="0" w:type="auto"/>
            <w:shd w:val="clear" w:color="auto" w:fill="CCEEFF"/>
            <w:vAlign w:val="bottom"/>
            <w:hideMark/>
          </w:tcPr>
          <w:p w14:paraId="08766E41" w14:textId="77777777" w:rsidR="00000000" w:rsidRDefault="001826C1">
            <w:pPr>
              <w:rPr>
                <w:rFonts w:eastAsia="Times New Roman"/>
                <w:sz w:val="20"/>
                <w:szCs w:val="20"/>
              </w:rPr>
            </w:pPr>
            <w:r>
              <w:rPr>
                <w:rFonts w:eastAsia="Times New Roman"/>
                <w:sz w:val="20"/>
                <w:szCs w:val="20"/>
              </w:rPr>
              <w:t> </w:t>
            </w:r>
          </w:p>
        </w:tc>
      </w:tr>
      <w:tr w:rsidR="00000000" w14:paraId="26DFADDF" w14:textId="77777777">
        <w:tc>
          <w:tcPr>
            <w:tcW w:w="0" w:type="auto"/>
            <w:shd w:val="clear" w:color="auto" w:fill="FFFFFF"/>
            <w:vAlign w:val="bottom"/>
            <w:hideMark/>
          </w:tcPr>
          <w:p w14:paraId="6BC85F31" w14:textId="77777777" w:rsidR="00000000" w:rsidRDefault="001826C1">
            <w:pPr>
              <w:rPr>
                <w:rFonts w:eastAsia="Times New Roman"/>
                <w:sz w:val="20"/>
                <w:szCs w:val="20"/>
              </w:rPr>
            </w:pPr>
            <w:r>
              <w:rPr>
                <w:rFonts w:eastAsia="Times New Roman"/>
                <w:sz w:val="20"/>
                <w:szCs w:val="20"/>
              </w:rPr>
              <w:t>Leasehold improvements</w:t>
            </w:r>
          </w:p>
        </w:tc>
        <w:tc>
          <w:tcPr>
            <w:tcW w:w="0" w:type="auto"/>
            <w:shd w:val="clear" w:color="auto" w:fill="FFFFFF"/>
            <w:vAlign w:val="bottom"/>
            <w:hideMark/>
          </w:tcPr>
          <w:p w14:paraId="00F8C4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9B0DB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1699059" w14:textId="77777777" w:rsidR="00000000" w:rsidRDefault="001826C1">
            <w:pPr>
              <w:jc w:val="right"/>
              <w:rPr>
                <w:rFonts w:eastAsia="Times New Roman"/>
                <w:sz w:val="20"/>
                <w:szCs w:val="20"/>
              </w:rPr>
            </w:pPr>
            <w:r>
              <w:rPr>
                <w:rFonts w:eastAsia="Times New Roman"/>
                <w:sz w:val="20"/>
                <w:szCs w:val="20"/>
              </w:rPr>
              <w:t>931,955</w:t>
            </w:r>
          </w:p>
        </w:tc>
        <w:tc>
          <w:tcPr>
            <w:tcW w:w="0" w:type="auto"/>
            <w:shd w:val="clear" w:color="auto" w:fill="FFFFFF"/>
            <w:vAlign w:val="bottom"/>
            <w:hideMark/>
          </w:tcPr>
          <w:p w14:paraId="79D3A9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818C28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EC54F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856FD7" w14:textId="77777777" w:rsidR="00000000" w:rsidRDefault="001826C1">
            <w:pPr>
              <w:jc w:val="right"/>
              <w:rPr>
                <w:rFonts w:eastAsia="Times New Roman"/>
                <w:sz w:val="20"/>
                <w:szCs w:val="20"/>
              </w:rPr>
            </w:pPr>
            <w:r>
              <w:rPr>
                <w:rFonts w:eastAsia="Times New Roman"/>
                <w:sz w:val="20"/>
                <w:szCs w:val="20"/>
              </w:rPr>
              <w:t>727,519</w:t>
            </w:r>
          </w:p>
        </w:tc>
        <w:tc>
          <w:tcPr>
            <w:tcW w:w="0" w:type="auto"/>
            <w:shd w:val="clear" w:color="auto" w:fill="FFFFFF"/>
            <w:vAlign w:val="bottom"/>
            <w:hideMark/>
          </w:tcPr>
          <w:p w14:paraId="23203D62" w14:textId="77777777" w:rsidR="00000000" w:rsidRDefault="001826C1">
            <w:pPr>
              <w:rPr>
                <w:rFonts w:eastAsia="Times New Roman"/>
                <w:sz w:val="20"/>
                <w:szCs w:val="20"/>
              </w:rPr>
            </w:pPr>
            <w:r>
              <w:rPr>
                <w:rFonts w:eastAsia="Times New Roman"/>
                <w:sz w:val="20"/>
                <w:szCs w:val="20"/>
              </w:rPr>
              <w:t> </w:t>
            </w:r>
          </w:p>
        </w:tc>
      </w:tr>
      <w:tr w:rsidR="00000000" w14:paraId="186D0EA0" w14:textId="77777777">
        <w:tc>
          <w:tcPr>
            <w:tcW w:w="0" w:type="auto"/>
            <w:shd w:val="clear" w:color="auto" w:fill="CCEEFF"/>
            <w:tcMar>
              <w:top w:w="0" w:type="dxa"/>
              <w:left w:w="0" w:type="dxa"/>
              <w:bottom w:w="30" w:type="dxa"/>
              <w:right w:w="0" w:type="dxa"/>
            </w:tcMar>
            <w:vAlign w:val="bottom"/>
            <w:hideMark/>
          </w:tcPr>
          <w:p w14:paraId="6E1E129C" w14:textId="77777777" w:rsidR="00000000" w:rsidRDefault="001826C1">
            <w:pPr>
              <w:rPr>
                <w:rFonts w:eastAsia="Times New Roman"/>
                <w:sz w:val="20"/>
                <w:szCs w:val="20"/>
              </w:rPr>
            </w:pPr>
            <w:r>
              <w:rPr>
                <w:rFonts w:eastAsia="Times New Roman"/>
                <w:sz w:val="20"/>
                <w:szCs w:val="20"/>
              </w:rPr>
              <w:t>Assets not placed in service</w:t>
            </w:r>
          </w:p>
        </w:tc>
        <w:tc>
          <w:tcPr>
            <w:tcW w:w="0" w:type="auto"/>
            <w:shd w:val="clear" w:color="auto" w:fill="CCEEFF"/>
            <w:tcMar>
              <w:top w:w="0" w:type="dxa"/>
              <w:left w:w="0" w:type="dxa"/>
              <w:bottom w:w="30" w:type="dxa"/>
              <w:right w:w="0" w:type="dxa"/>
            </w:tcMar>
            <w:vAlign w:val="bottom"/>
            <w:hideMark/>
          </w:tcPr>
          <w:p w14:paraId="12BCD94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E7E37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0D2271" w14:textId="77777777" w:rsidR="00000000" w:rsidRDefault="001826C1">
            <w:pPr>
              <w:jc w:val="right"/>
              <w:rPr>
                <w:rFonts w:eastAsia="Times New Roman"/>
                <w:sz w:val="20"/>
                <w:szCs w:val="20"/>
              </w:rPr>
            </w:pPr>
            <w:r>
              <w:rPr>
                <w:rFonts w:eastAsia="Times New Roman"/>
                <w:sz w:val="20"/>
                <w:szCs w:val="20"/>
              </w:rPr>
              <w:t>1,004,252</w:t>
            </w:r>
          </w:p>
        </w:tc>
        <w:tc>
          <w:tcPr>
            <w:tcW w:w="0" w:type="auto"/>
            <w:shd w:val="clear" w:color="auto" w:fill="CCEEFF"/>
            <w:tcMar>
              <w:top w:w="0" w:type="dxa"/>
              <w:left w:w="0" w:type="dxa"/>
              <w:bottom w:w="30" w:type="dxa"/>
              <w:right w:w="0" w:type="dxa"/>
            </w:tcMar>
            <w:vAlign w:val="bottom"/>
            <w:hideMark/>
          </w:tcPr>
          <w:p w14:paraId="5AEF327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5703B9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DAB4F2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008343B" w14:textId="77777777" w:rsidR="00000000" w:rsidRDefault="001826C1">
            <w:pPr>
              <w:jc w:val="right"/>
              <w:rPr>
                <w:rFonts w:eastAsia="Times New Roman"/>
                <w:sz w:val="20"/>
                <w:szCs w:val="20"/>
              </w:rPr>
            </w:pPr>
            <w:r>
              <w:rPr>
                <w:rFonts w:eastAsia="Times New Roman"/>
                <w:sz w:val="20"/>
                <w:szCs w:val="20"/>
              </w:rPr>
              <w:t>50,362</w:t>
            </w:r>
          </w:p>
        </w:tc>
        <w:tc>
          <w:tcPr>
            <w:tcW w:w="0" w:type="auto"/>
            <w:shd w:val="clear" w:color="auto" w:fill="CCEEFF"/>
            <w:tcMar>
              <w:top w:w="0" w:type="dxa"/>
              <w:left w:w="0" w:type="dxa"/>
              <w:bottom w:w="30" w:type="dxa"/>
              <w:right w:w="0" w:type="dxa"/>
            </w:tcMar>
            <w:vAlign w:val="bottom"/>
            <w:hideMark/>
          </w:tcPr>
          <w:p w14:paraId="25C88397" w14:textId="77777777" w:rsidR="00000000" w:rsidRDefault="001826C1">
            <w:pPr>
              <w:rPr>
                <w:rFonts w:eastAsia="Times New Roman"/>
                <w:sz w:val="20"/>
                <w:szCs w:val="20"/>
              </w:rPr>
            </w:pPr>
            <w:r>
              <w:rPr>
                <w:rFonts w:eastAsia="Times New Roman"/>
                <w:sz w:val="20"/>
                <w:szCs w:val="20"/>
              </w:rPr>
              <w:t> </w:t>
            </w:r>
          </w:p>
        </w:tc>
      </w:tr>
      <w:tr w:rsidR="00000000" w14:paraId="7479EFDE" w14:textId="77777777">
        <w:tc>
          <w:tcPr>
            <w:tcW w:w="0" w:type="auto"/>
            <w:shd w:val="clear" w:color="auto" w:fill="FFFFFF"/>
            <w:tcMar>
              <w:top w:w="0" w:type="dxa"/>
              <w:left w:w="200" w:type="dxa"/>
              <w:bottom w:w="0" w:type="dxa"/>
              <w:right w:w="0" w:type="dxa"/>
            </w:tcMar>
            <w:vAlign w:val="bottom"/>
            <w:hideMark/>
          </w:tcPr>
          <w:p w14:paraId="2AD6D0A4" w14:textId="77777777" w:rsidR="00000000" w:rsidRDefault="001826C1">
            <w:pPr>
              <w:rPr>
                <w:rFonts w:eastAsia="Times New Roman"/>
                <w:sz w:val="20"/>
                <w:szCs w:val="20"/>
              </w:rPr>
            </w:pPr>
            <w:r>
              <w:rPr>
                <w:rFonts w:eastAsia="Times New Roman"/>
                <w:sz w:val="20"/>
                <w:szCs w:val="20"/>
              </w:rPr>
              <w:t>Total property and equipment</w:t>
            </w:r>
          </w:p>
        </w:tc>
        <w:tc>
          <w:tcPr>
            <w:tcW w:w="0" w:type="auto"/>
            <w:shd w:val="clear" w:color="auto" w:fill="FFFFFF"/>
            <w:vAlign w:val="bottom"/>
            <w:hideMark/>
          </w:tcPr>
          <w:p w14:paraId="0E0EE6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9ECB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FBE0E4" w14:textId="77777777" w:rsidR="00000000" w:rsidRDefault="001826C1">
            <w:pPr>
              <w:jc w:val="right"/>
              <w:rPr>
                <w:rFonts w:eastAsia="Times New Roman"/>
                <w:sz w:val="20"/>
                <w:szCs w:val="20"/>
              </w:rPr>
            </w:pPr>
            <w:r>
              <w:rPr>
                <w:rFonts w:eastAsia="Times New Roman"/>
                <w:sz w:val="20"/>
                <w:szCs w:val="20"/>
              </w:rPr>
              <w:t>6,793,725</w:t>
            </w:r>
          </w:p>
        </w:tc>
        <w:tc>
          <w:tcPr>
            <w:tcW w:w="0" w:type="auto"/>
            <w:shd w:val="clear" w:color="auto" w:fill="FFFFFF"/>
            <w:vAlign w:val="bottom"/>
            <w:hideMark/>
          </w:tcPr>
          <w:p w14:paraId="33EF57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075C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62B0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62AE811" w14:textId="77777777" w:rsidR="00000000" w:rsidRDefault="001826C1">
            <w:pPr>
              <w:jc w:val="right"/>
              <w:rPr>
                <w:rFonts w:eastAsia="Times New Roman"/>
                <w:sz w:val="20"/>
                <w:szCs w:val="20"/>
              </w:rPr>
            </w:pPr>
            <w:r>
              <w:rPr>
                <w:rFonts w:eastAsia="Times New Roman"/>
                <w:sz w:val="20"/>
                <w:szCs w:val="20"/>
              </w:rPr>
              <w:t>5,085,177</w:t>
            </w:r>
          </w:p>
        </w:tc>
        <w:tc>
          <w:tcPr>
            <w:tcW w:w="0" w:type="auto"/>
            <w:shd w:val="clear" w:color="auto" w:fill="FFFFFF"/>
            <w:vAlign w:val="bottom"/>
            <w:hideMark/>
          </w:tcPr>
          <w:p w14:paraId="5715A579" w14:textId="77777777" w:rsidR="00000000" w:rsidRDefault="001826C1">
            <w:pPr>
              <w:rPr>
                <w:rFonts w:eastAsia="Times New Roman"/>
                <w:sz w:val="20"/>
                <w:szCs w:val="20"/>
              </w:rPr>
            </w:pPr>
            <w:r>
              <w:rPr>
                <w:rFonts w:eastAsia="Times New Roman"/>
                <w:sz w:val="20"/>
                <w:szCs w:val="20"/>
              </w:rPr>
              <w:t> </w:t>
            </w:r>
          </w:p>
        </w:tc>
      </w:tr>
      <w:tr w:rsidR="00000000" w14:paraId="07AE097E" w14:textId="77777777">
        <w:tc>
          <w:tcPr>
            <w:tcW w:w="0" w:type="auto"/>
            <w:shd w:val="clear" w:color="auto" w:fill="CCEEFF"/>
            <w:tcMar>
              <w:top w:w="0" w:type="dxa"/>
              <w:left w:w="0" w:type="dxa"/>
              <w:bottom w:w="30" w:type="dxa"/>
              <w:right w:w="0" w:type="dxa"/>
            </w:tcMar>
            <w:vAlign w:val="bottom"/>
            <w:hideMark/>
          </w:tcPr>
          <w:p w14:paraId="04F3FA7C" w14:textId="77777777" w:rsidR="00000000" w:rsidRDefault="001826C1">
            <w:pPr>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14:paraId="1EDD0AA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EDF3C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3AD9D43" w14:textId="77777777" w:rsidR="00000000" w:rsidRDefault="001826C1">
            <w:pPr>
              <w:jc w:val="right"/>
              <w:rPr>
                <w:rFonts w:eastAsia="Times New Roman"/>
                <w:sz w:val="20"/>
                <w:szCs w:val="20"/>
              </w:rPr>
            </w:pPr>
            <w:r>
              <w:rPr>
                <w:rFonts w:eastAsia="Times New Roman"/>
                <w:sz w:val="20"/>
                <w:szCs w:val="20"/>
              </w:rPr>
              <w:t>(3,886,209</w:t>
            </w:r>
          </w:p>
        </w:tc>
        <w:tc>
          <w:tcPr>
            <w:tcW w:w="0" w:type="auto"/>
            <w:shd w:val="clear" w:color="auto" w:fill="CCEEFF"/>
            <w:tcMar>
              <w:top w:w="0" w:type="dxa"/>
              <w:left w:w="0" w:type="dxa"/>
              <w:bottom w:w="30" w:type="dxa"/>
              <w:right w:w="0" w:type="dxa"/>
            </w:tcMar>
            <w:vAlign w:val="bottom"/>
            <w:hideMark/>
          </w:tcPr>
          <w:p w14:paraId="1677053C"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F1085D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EC82E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665EBC" w14:textId="77777777" w:rsidR="00000000" w:rsidRDefault="001826C1">
            <w:pPr>
              <w:jc w:val="right"/>
              <w:rPr>
                <w:rFonts w:eastAsia="Times New Roman"/>
                <w:sz w:val="20"/>
                <w:szCs w:val="20"/>
              </w:rPr>
            </w:pPr>
            <w:r>
              <w:rPr>
                <w:rFonts w:eastAsia="Times New Roman"/>
                <w:sz w:val="20"/>
                <w:szCs w:val="20"/>
              </w:rPr>
              <w:t>(3,252,990</w:t>
            </w:r>
          </w:p>
        </w:tc>
        <w:tc>
          <w:tcPr>
            <w:tcW w:w="0" w:type="auto"/>
            <w:shd w:val="clear" w:color="auto" w:fill="CCEEFF"/>
            <w:tcMar>
              <w:top w:w="0" w:type="dxa"/>
              <w:left w:w="0" w:type="dxa"/>
              <w:bottom w:w="30" w:type="dxa"/>
              <w:right w:w="0" w:type="dxa"/>
            </w:tcMar>
            <w:vAlign w:val="bottom"/>
            <w:hideMark/>
          </w:tcPr>
          <w:p w14:paraId="2D4D4071" w14:textId="77777777" w:rsidR="00000000" w:rsidRDefault="001826C1">
            <w:pPr>
              <w:rPr>
                <w:rFonts w:eastAsia="Times New Roman"/>
                <w:sz w:val="20"/>
                <w:szCs w:val="20"/>
              </w:rPr>
            </w:pPr>
            <w:r>
              <w:rPr>
                <w:rFonts w:eastAsia="Times New Roman"/>
                <w:sz w:val="20"/>
                <w:szCs w:val="20"/>
              </w:rPr>
              <w:t>)</w:t>
            </w:r>
          </w:p>
        </w:tc>
      </w:tr>
      <w:tr w:rsidR="00000000" w14:paraId="2405BE5E" w14:textId="77777777">
        <w:tc>
          <w:tcPr>
            <w:tcW w:w="0" w:type="auto"/>
            <w:shd w:val="clear" w:color="auto" w:fill="FFFFFF"/>
            <w:tcMar>
              <w:top w:w="0" w:type="dxa"/>
              <w:left w:w="0" w:type="dxa"/>
              <w:bottom w:w="50" w:type="dxa"/>
              <w:right w:w="0" w:type="dxa"/>
            </w:tcMar>
            <w:vAlign w:val="bottom"/>
            <w:hideMark/>
          </w:tcPr>
          <w:p w14:paraId="3AAEE377" w14:textId="77777777" w:rsidR="00000000" w:rsidRDefault="001826C1">
            <w:pPr>
              <w:rPr>
                <w:rFonts w:eastAsia="Times New Roman"/>
                <w:sz w:val="20"/>
                <w:szCs w:val="20"/>
              </w:rPr>
            </w:pPr>
            <w:r>
              <w:rPr>
                <w:rFonts w:eastAsia="Times New Roman"/>
                <w:sz w:val="20"/>
                <w:szCs w:val="20"/>
              </w:rPr>
              <w:t>Property and equipment – net</w:t>
            </w:r>
          </w:p>
        </w:tc>
        <w:tc>
          <w:tcPr>
            <w:tcW w:w="0" w:type="auto"/>
            <w:shd w:val="clear" w:color="auto" w:fill="FFFFFF"/>
            <w:tcMar>
              <w:top w:w="0" w:type="dxa"/>
              <w:left w:w="0" w:type="dxa"/>
              <w:bottom w:w="50" w:type="dxa"/>
              <w:right w:w="0" w:type="dxa"/>
            </w:tcMar>
            <w:vAlign w:val="bottom"/>
            <w:hideMark/>
          </w:tcPr>
          <w:p w14:paraId="62592B0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1D409A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E8407CB" w14:textId="77777777" w:rsidR="00000000" w:rsidRDefault="001826C1">
            <w:pPr>
              <w:jc w:val="right"/>
              <w:rPr>
                <w:rFonts w:eastAsia="Times New Roman"/>
                <w:sz w:val="20"/>
                <w:szCs w:val="20"/>
              </w:rPr>
            </w:pPr>
            <w:r>
              <w:rPr>
                <w:rFonts w:eastAsia="Times New Roman"/>
                <w:sz w:val="20"/>
                <w:szCs w:val="20"/>
              </w:rPr>
              <w:t>2,907,516</w:t>
            </w:r>
          </w:p>
        </w:tc>
        <w:tc>
          <w:tcPr>
            <w:tcW w:w="0" w:type="auto"/>
            <w:shd w:val="clear" w:color="auto" w:fill="FFFFFF"/>
            <w:tcMar>
              <w:top w:w="0" w:type="dxa"/>
              <w:left w:w="0" w:type="dxa"/>
              <w:bottom w:w="50" w:type="dxa"/>
              <w:right w:w="0" w:type="dxa"/>
            </w:tcMar>
            <w:vAlign w:val="bottom"/>
            <w:hideMark/>
          </w:tcPr>
          <w:p w14:paraId="7A2BB7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A2527B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E72AB91"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02CCA25" w14:textId="77777777" w:rsidR="00000000" w:rsidRDefault="001826C1">
            <w:pPr>
              <w:jc w:val="right"/>
              <w:rPr>
                <w:rFonts w:eastAsia="Times New Roman"/>
                <w:sz w:val="20"/>
                <w:szCs w:val="20"/>
              </w:rPr>
            </w:pPr>
            <w:r>
              <w:rPr>
                <w:rFonts w:eastAsia="Times New Roman"/>
                <w:sz w:val="20"/>
                <w:szCs w:val="20"/>
              </w:rPr>
              <w:t>1,832,187</w:t>
            </w:r>
          </w:p>
        </w:tc>
        <w:tc>
          <w:tcPr>
            <w:tcW w:w="0" w:type="auto"/>
            <w:shd w:val="clear" w:color="auto" w:fill="FFFFFF"/>
            <w:tcMar>
              <w:top w:w="0" w:type="dxa"/>
              <w:left w:w="0" w:type="dxa"/>
              <w:bottom w:w="50" w:type="dxa"/>
              <w:right w:w="0" w:type="dxa"/>
            </w:tcMar>
            <w:vAlign w:val="bottom"/>
            <w:hideMark/>
          </w:tcPr>
          <w:p w14:paraId="2153B9A5" w14:textId="77777777" w:rsidR="00000000" w:rsidRDefault="001826C1">
            <w:pPr>
              <w:rPr>
                <w:rFonts w:eastAsia="Times New Roman"/>
                <w:sz w:val="20"/>
                <w:szCs w:val="20"/>
              </w:rPr>
            </w:pPr>
            <w:r>
              <w:rPr>
                <w:rFonts w:eastAsia="Times New Roman"/>
                <w:sz w:val="20"/>
                <w:szCs w:val="20"/>
              </w:rPr>
              <w:t> </w:t>
            </w:r>
          </w:p>
        </w:tc>
      </w:tr>
    </w:tbl>
    <w:p w14:paraId="0B64E44F" w14:textId="77777777" w:rsidR="00000000" w:rsidRDefault="001826C1">
      <w:pPr>
        <w:pStyle w:val="a3"/>
        <w:spacing w:before="0" w:beforeAutospacing="0" w:after="0" w:afterAutospacing="0"/>
        <w:ind w:left="405"/>
        <w:jc w:val="both"/>
        <w:rPr>
          <w:sz w:val="20"/>
          <w:szCs w:val="20"/>
        </w:rPr>
      </w:pPr>
      <w:r>
        <w:rPr>
          <w:sz w:val="20"/>
          <w:szCs w:val="20"/>
        </w:rPr>
        <w:t> </w:t>
      </w:r>
    </w:p>
    <w:p w14:paraId="38975B1B" w14:textId="77777777" w:rsidR="00000000" w:rsidRDefault="001826C1">
      <w:pPr>
        <w:pStyle w:val="a3"/>
        <w:spacing w:before="0" w:beforeAutospacing="0" w:after="0" w:afterAutospacing="0"/>
        <w:jc w:val="both"/>
        <w:rPr>
          <w:sz w:val="20"/>
          <w:szCs w:val="20"/>
        </w:rPr>
      </w:pPr>
      <w:r>
        <w:rPr>
          <w:sz w:val="20"/>
          <w:szCs w:val="20"/>
        </w:rPr>
        <w:t xml:space="preserve">Depreciation </w:t>
      </w:r>
      <w:r>
        <w:rPr>
          <w:sz w:val="20"/>
          <w:szCs w:val="20"/>
        </w:rPr>
        <w:t>expense was approximately $909,000 and $688,000 for the years ended December 31, 2019 and 2018, respectively.</w:t>
      </w:r>
    </w:p>
    <w:p w14:paraId="218EDB53"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3F29CE4F" w14:textId="77777777">
        <w:tc>
          <w:tcPr>
            <w:tcW w:w="360" w:type="dxa"/>
            <w:hideMark/>
          </w:tcPr>
          <w:p w14:paraId="0080C1B1" w14:textId="77777777" w:rsidR="00000000" w:rsidRDefault="001826C1">
            <w:pPr>
              <w:rPr>
                <w:rFonts w:eastAsia="Times New Roman"/>
                <w:b/>
                <w:bCs/>
                <w:caps/>
                <w:sz w:val="20"/>
                <w:szCs w:val="20"/>
              </w:rPr>
            </w:pPr>
            <w:r>
              <w:rPr>
                <w:rFonts w:eastAsia="Times New Roman"/>
                <w:b/>
                <w:bCs/>
                <w:caps/>
                <w:sz w:val="20"/>
                <w:szCs w:val="20"/>
              </w:rPr>
              <w:t>6.</w:t>
            </w:r>
          </w:p>
        </w:tc>
        <w:tc>
          <w:tcPr>
            <w:tcW w:w="0" w:type="auto"/>
            <w:hideMark/>
          </w:tcPr>
          <w:p w14:paraId="6693622A" w14:textId="77777777" w:rsidR="00000000" w:rsidRDefault="001826C1">
            <w:pPr>
              <w:rPr>
                <w:rFonts w:eastAsia="Times New Roman"/>
                <w:b/>
                <w:bCs/>
                <w:caps/>
                <w:sz w:val="20"/>
                <w:szCs w:val="20"/>
              </w:rPr>
            </w:pPr>
            <w:r>
              <w:rPr>
                <w:rFonts w:eastAsia="Times New Roman"/>
                <w:b/>
                <w:bCs/>
                <w:caps/>
                <w:sz w:val="20"/>
                <w:szCs w:val="20"/>
              </w:rPr>
              <w:t>Concentrations</w:t>
            </w:r>
          </w:p>
        </w:tc>
      </w:tr>
    </w:tbl>
    <w:p w14:paraId="41DC84F7" w14:textId="77777777" w:rsidR="00000000" w:rsidRDefault="001826C1">
      <w:pPr>
        <w:pStyle w:val="a3"/>
        <w:spacing w:before="0" w:beforeAutospacing="0" w:after="0" w:afterAutospacing="0"/>
        <w:ind w:left="475"/>
        <w:jc w:val="both"/>
        <w:rPr>
          <w:sz w:val="20"/>
          <w:szCs w:val="20"/>
        </w:rPr>
      </w:pPr>
      <w:r>
        <w:rPr>
          <w:sz w:val="20"/>
          <w:szCs w:val="20"/>
        </w:rPr>
        <w:t> </w:t>
      </w:r>
    </w:p>
    <w:p w14:paraId="43E5D085" w14:textId="77777777" w:rsidR="00000000" w:rsidRDefault="001826C1">
      <w:pPr>
        <w:pStyle w:val="a3"/>
        <w:spacing w:before="0" w:beforeAutospacing="0" w:after="0" w:afterAutospacing="0"/>
        <w:jc w:val="both"/>
        <w:rPr>
          <w:sz w:val="20"/>
          <w:szCs w:val="20"/>
        </w:rPr>
      </w:pPr>
      <w:r>
        <w:rPr>
          <w:b/>
          <w:bCs/>
          <w:sz w:val="20"/>
          <w:szCs w:val="20"/>
        </w:rPr>
        <w:t>Financial Risks</w:t>
      </w:r>
      <w:r>
        <w:rPr>
          <w:sz w:val="20"/>
          <w:szCs w:val="20"/>
        </w:rPr>
        <w:t xml:space="preserve"> — </w:t>
      </w:r>
      <w:r>
        <w:rPr>
          <w:sz w:val="20"/>
          <w:szCs w:val="20"/>
        </w:rPr>
        <w:t>As of December 31, 2019 and 2018, the Company held cash of approximately $1.0 million and $77,000 respectively, in the name of its subsidiaries, at banks in Pakistan and Sri Lanka. The banking systems in these countries do not provide deposit insurance cov</w:t>
      </w:r>
      <w:r>
        <w:rPr>
          <w:sz w:val="20"/>
          <w:szCs w:val="20"/>
        </w:rPr>
        <w:t>erage. Additionally, from time to time, the Company maintains cash balances at financial institutions in the United States in excess of federal insurance limits. The Company has not experienced any losses on such accounts.</w:t>
      </w:r>
    </w:p>
    <w:p w14:paraId="627D6185" w14:textId="77777777" w:rsidR="00000000" w:rsidRDefault="001826C1">
      <w:pPr>
        <w:pStyle w:val="a3"/>
        <w:spacing w:before="0" w:beforeAutospacing="0" w:after="0" w:afterAutospacing="0"/>
        <w:jc w:val="both"/>
        <w:rPr>
          <w:sz w:val="20"/>
          <w:szCs w:val="20"/>
        </w:rPr>
      </w:pPr>
      <w:r>
        <w:rPr>
          <w:sz w:val="20"/>
          <w:szCs w:val="20"/>
        </w:rPr>
        <w:t> </w:t>
      </w:r>
    </w:p>
    <w:p w14:paraId="7F131809" w14:textId="77777777" w:rsidR="00000000" w:rsidRDefault="001826C1">
      <w:pPr>
        <w:pStyle w:val="a3"/>
        <w:spacing w:before="0" w:beforeAutospacing="0" w:after="0" w:afterAutospacing="0"/>
        <w:jc w:val="both"/>
        <w:rPr>
          <w:sz w:val="20"/>
          <w:szCs w:val="20"/>
        </w:rPr>
      </w:pPr>
      <w:r>
        <w:rPr>
          <w:sz w:val="20"/>
          <w:szCs w:val="20"/>
        </w:rPr>
        <w:t>Concentrations of credit risk w</w:t>
      </w:r>
      <w:r>
        <w:rPr>
          <w:sz w:val="20"/>
          <w:szCs w:val="20"/>
        </w:rPr>
        <w:t>ith respect to trade accounts receivable are managed by periodic credit evaluations of customers. The Company does not require collateral for outstanding trade accounts receivable. As of December 31, 2019, two customers individually accounted for approxima</w:t>
      </w:r>
      <w:r>
        <w:rPr>
          <w:sz w:val="20"/>
          <w:szCs w:val="20"/>
        </w:rPr>
        <w:t>tely 9% and 5% of accounts receivable, respectively. As of December 31, 2018, two customers individually accounted for approximately 8% and 7% of accounts receivable respectively. During both the years ended December 31, 2019 and 2018, there was one custom</w:t>
      </w:r>
      <w:r>
        <w:rPr>
          <w:sz w:val="20"/>
          <w:szCs w:val="20"/>
        </w:rPr>
        <w:t>er with sales of approximately 10% of total revenue.</w:t>
      </w:r>
    </w:p>
    <w:p w14:paraId="1A8E009E" w14:textId="77777777" w:rsidR="00000000" w:rsidRDefault="001826C1">
      <w:pPr>
        <w:pStyle w:val="a3"/>
        <w:spacing w:before="0" w:beforeAutospacing="0" w:after="0" w:afterAutospacing="0"/>
        <w:jc w:val="both"/>
        <w:rPr>
          <w:sz w:val="20"/>
          <w:szCs w:val="20"/>
        </w:rPr>
      </w:pPr>
      <w:r>
        <w:rPr>
          <w:sz w:val="20"/>
          <w:szCs w:val="20"/>
        </w:rPr>
        <w:t> </w:t>
      </w:r>
    </w:p>
    <w:p w14:paraId="54BA5DE0" w14:textId="77777777" w:rsidR="00000000" w:rsidRDefault="001826C1">
      <w:pPr>
        <w:pStyle w:val="a3"/>
        <w:spacing w:before="0" w:beforeAutospacing="0" w:after="0" w:afterAutospacing="0"/>
        <w:jc w:val="both"/>
        <w:rPr>
          <w:sz w:val="20"/>
          <w:szCs w:val="20"/>
        </w:rPr>
      </w:pPr>
      <w:r>
        <w:rPr>
          <w:b/>
          <w:bCs/>
          <w:sz w:val="20"/>
          <w:szCs w:val="20"/>
        </w:rPr>
        <w:t>Geographical Risks</w:t>
      </w:r>
      <w:r>
        <w:rPr>
          <w:sz w:val="20"/>
          <w:szCs w:val="20"/>
        </w:rPr>
        <w:t xml:space="preserve"> — The Company’s offices in Islamabad and Bagh, Pakistan, and Colombo, Sri Lanka conduct significant back-office operations for the Company. The Company has no revenue earned outside </w:t>
      </w:r>
      <w:r>
        <w:rPr>
          <w:sz w:val="20"/>
          <w:szCs w:val="20"/>
        </w:rPr>
        <w:t>of the United States. The office in Bagh is located in a different territory of Pakistan from the Islamabad office. The Bagh office was opened in 2009 for the purpose of providing operational support and operating as a backup to the Islamabad office. The C</w:t>
      </w:r>
      <w:r>
        <w:rPr>
          <w:sz w:val="20"/>
          <w:szCs w:val="20"/>
        </w:rPr>
        <w:t xml:space="preserve">ompany’s operations outside the United States are subject to special considerations and significant risks not typically associated with companies in the United States. The Company’s business, financial condition and results of operations may be influenced </w:t>
      </w:r>
      <w:r>
        <w:rPr>
          <w:sz w:val="20"/>
          <w:szCs w:val="20"/>
        </w:rPr>
        <w:t>by the political, economic, and legal environment in the countries in which it operates and by the general state of these countries’ economies. The Company’s results may be adversely affected by, among other things, changes in governmental policies with re</w:t>
      </w:r>
      <w:r>
        <w:rPr>
          <w:sz w:val="20"/>
          <w:szCs w:val="20"/>
        </w:rPr>
        <w:t>spect to laws and regulations, changes in local countries’ telecommunications industries, regulatory rules and policies, anti-inflationary measures, currency conversion and remittance, and rates and methods of taxation.</w:t>
      </w:r>
    </w:p>
    <w:p w14:paraId="0CB04839"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E3397DD" w14:textId="77777777">
        <w:trPr>
          <w:divId w:val="657811669"/>
        </w:trPr>
        <w:tc>
          <w:tcPr>
            <w:tcW w:w="5000" w:type="pct"/>
            <w:hideMark/>
          </w:tcPr>
          <w:p w14:paraId="61CF711F"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1551B033" w14:textId="77777777">
        <w:tc>
          <w:tcPr>
            <w:tcW w:w="5000" w:type="pct"/>
            <w:hideMark/>
          </w:tcPr>
          <w:p w14:paraId="4C55DED0" w14:textId="77777777" w:rsidR="00000000" w:rsidRDefault="001826C1">
            <w:pPr>
              <w:jc w:val="center"/>
              <w:rPr>
                <w:rFonts w:eastAsia="Times New Roman"/>
                <w:sz w:val="20"/>
                <w:szCs w:val="20"/>
              </w:rPr>
            </w:pPr>
            <w:r>
              <w:rPr>
                <w:rFonts w:eastAsia="Times New Roman"/>
                <w:sz w:val="20"/>
                <w:szCs w:val="20"/>
              </w:rPr>
              <w:t> </w:t>
            </w:r>
          </w:p>
        </w:tc>
      </w:tr>
    </w:tbl>
    <w:p w14:paraId="79E157CF" w14:textId="77777777" w:rsidR="00000000" w:rsidRDefault="001826C1">
      <w:pPr>
        <w:pStyle w:val="a3"/>
        <w:spacing w:before="0" w:beforeAutospacing="0" w:after="0" w:afterAutospacing="0"/>
        <w:jc w:val="both"/>
        <w:rPr>
          <w:sz w:val="20"/>
          <w:szCs w:val="20"/>
        </w:rPr>
      </w:pPr>
      <w:r>
        <w:rPr>
          <w:sz w:val="20"/>
          <w:szCs w:val="20"/>
        </w:rPr>
        <w:t> </w:t>
      </w:r>
    </w:p>
    <w:p w14:paraId="54F2A4BF" w14:textId="77777777" w:rsidR="00000000" w:rsidRDefault="001826C1">
      <w:pPr>
        <w:pStyle w:val="a3"/>
        <w:spacing w:before="0" w:beforeAutospacing="0" w:after="0" w:afterAutospacing="0"/>
        <w:jc w:val="both"/>
        <w:rPr>
          <w:sz w:val="20"/>
          <w:szCs w:val="20"/>
        </w:rPr>
      </w:pPr>
      <w:r>
        <w:rPr>
          <w:sz w:val="20"/>
          <w:szCs w:val="20"/>
        </w:rPr>
        <w:t>Carrying amounts of ne</w:t>
      </w:r>
      <w:r>
        <w:rPr>
          <w:sz w:val="20"/>
          <w:szCs w:val="20"/>
        </w:rPr>
        <w:t>t assets located outside the United States were approximately $1.7 million and $162,000 as of December 31, 2019 and 2018, respectively. These balances exclude intercompany receivables of approximately $7.1 million and $7.6 million as of December 31, 2019 a</w:t>
      </w:r>
      <w:r>
        <w:rPr>
          <w:sz w:val="20"/>
          <w:szCs w:val="20"/>
        </w:rPr>
        <w:t>nd 2018, respectively. The following is a summary of the net assets located outside the United States as of December 31, 2019 and 2018:</w:t>
      </w:r>
    </w:p>
    <w:p w14:paraId="7BA719A9" w14:textId="77777777" w:rsidR="00000000" w:rsidRDefault="001826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39"/>
        <w:gridCol w:w="119"/>
        <w:gridCol w:w="100"/>
        <w:gridCol w:w="916"/>
        <w:gridCol w:w="67"/>
        <w:gridCol w:w="120"/>
        <w:gridCol w:w="100"/>
        <w:gridCol w:w="917"/>
        <w:gridCol w:w="67"/>
      </w:tblGrid>
      <w:tr w:rsidR="00000000" w14:paraId="2E752E2C" w14:textId="77777777">
        <w:tc>
          <w:tcPr>
            <w:tcW w:w="0" w:type="auto"/>
            <w:tcMar>
              <w:top w:w="0" w:type="dxa"/>
              <w:left w:w="0" w:type="dxa"/>
              <w:bottom w:w="30" w:type="dxa"/>
              <w:right w:w="0" w:type="dxa"/>
            </w:tcMar>
            <w:vAlign w:val="bottom"/>
            <w:hideMark/>
          </w:tcPr>
          <w:p w14:paraId="54906646"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2B06B43"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50FCF65"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4A94184D" w14:textId="77777777" w:rsidR="00000000" w:rsidRDefault="001826C1">
            <w:pPr>
              <w:rPr>
                <w:rFonts w:eastAsia="Times New Roman"/>
                <w:b/>
                <w:bCs/>
                <w:sz w:val="20"/>
                <w:szCs w:val="20"/>
              </w:rPr>
            </w:pPr>
            <w:r>
              <w:rPr>
                <w:rFonts w:eastAsia="Times New Roman"/>
                <w:b/>
                <w:bCs/>
                <w:sz w:val="20"/>
                <w:szCs w:val="20"/>
              </w:rPr>
              <w:t> </w:t>
            </w:r>
          </w:p>
        </w:tc>
      </w:tr>
      <w:tr w:rsidR="00000000" w14:paraId="2160AEB5" w14:textId="77777777">
        <w:tc>
          <w:tcPr>
            <w:tcW w:w="0" w:type="auto"/>
            <w:vAlign w:val="bottom"/>
            <w:hideMark/>
          </w:tcPr>
          <w:p w14:paraId="60790C8C"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EE34A67"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0AA0858"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660ED0E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1717CA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9C7A566"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5B2123A1" w14:textId="77777777" w:rsidR="00000000" w:rsidRDefault="001826C1">
            <w:pPr>
              <w:rPr>
                <w:rFonts w:eastAsia="Times New Roman"/>
                <w:b/>
                <w:bCs/>
                <w:sz w:val="20"/>
                <w:szCs w:val="20"/>
              </w:rPr>
            </w:pPr>
            <w:r>
              <w:rPr>
                <w:rFonts w:eastAsia="Times New Roman"/>
                <w:b/>
                <w:bCs/>
                <w:sz w:val="20"/>
                <w:szCs w:val="20"/>
              </w:rPr>
              <w:t> </w:t>
            </w:r>
          </w:p>
        </w:tc>
      </w:tr>
      <w:tr w:rsidR="00000000" w14:paraId="4F799726" w14:textId="77777777">
        <w:tc>
          <w:tcPr>
            <w:tcW w:w="3200" w:type="pct"/>
            <w:shd w:val="clear" w:color="auto" w:fill="CCEEFF"/>
            <w:vAlign w:val="bottom"/>
            <w:hideMark/>
          </w:tcPr>
          <w:p w14:paraId="151B19B8" w14:textId="77777777" w:rsidR="00000000" w:rsidRDefault="001826C1">
            <w:pPr>
              <w:rPr>
                <w:rFonts w:eastAsia="Times New Roman"/>
                <w:sz w:val="20"/>
                <w:szCs w:val="20"/>
              </w:rPr>
            </w:pPr>
            <w:r>
              <w:rPr>
                <w:rFonts w:eastAsia="Times New Roman"/>
                <w:sz w:val="20"/>
                <w:szCs w:val="20"/>
              </w:rPr>
              <w:t>Current assets</w:t>
            </w:r>
          </w:p>
        </w:tc>
        <w:tc>
          <w:tcPr>
            <w:tcW w:w="100" w:type="pct"/>
            <w:shd w:val="clear" w:color="auto" w:fill="CCEEFF"/>
            <w:vAlign w:val="bottom"/>
            <w:hideMark/>
          </w:tcPr>
          <w:p w14:paraId="4BB651A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C675B25"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14206E5D" w14:textId="77777777" w:rsidR="00000000" w:rsidRDefault="001826C1">
            <w:pPr>
              <w:jc w:val="right"/>
              <w:rPr>
                <w:rFonts w:eastAsia="Times New Roman"/>
                <w:sz w:val="20"/>
                <w:szCs w:val="20"/>
              </w:rPr>
            </w:pPr>
            <w:r>
              <w:rPr>
                <w:rFonts w:eastAsia="Times New Roman"/>
                <w:sz w:val="20"/>
                <w:szCs w:val="20"/>
              </w:rPr>
              <w:t>1,082,233</w:t>
            </w:r>
          </w:p>
        </w:tc>
        <w:tc>
          <w:tcPr>
            <w:tcW w:w="50" w:type="pct"/>
            <w:shd w:val="clear" w:color="auto" w:fill="CCEEFF"/>
            <w:vAlign w:val="bottom"/>
            <w:hideMark/>
          </w:tcPr>
          <w:p w14:paraId="3B36AA0C"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B26540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87300FD"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7EF9BF53" w14:textId="77777777" w:rsidR="00000000" w:rsidRDefault="001826C1">
            <w:pPr>
              <w:jc w:val="right"/>
              <w:rPr>
                <w:rFonts w:eastAsia="Times New Roman"/>
                <w:sz w:val="20"/>
                <w:szCs w:val="20"/>
              </w:rPr>
            </w:pPr>
            <w:r>
              <w:rPr>
                <w:rFonts w:eastAsia="Times New Roman"/>
                <w:sz w:val="20"/>
                <w:szCs w:val="20"/>
              </w:rPr>
              <w:t>156,265</w:t>
            </w:r>
          </w:p>
        </w:tc>
        <w:tc>
          <w:tcPr>
            <w:tcW w:w="50" w:type="pct"/>
            <w:shd w:val="clear" w:color="auto" w:fill="CCEEFF"/>
            <w:vAlign w:val="bottom"/>
            <w:hideMark/>
          </w:tcPr>
          <w:p w14:paraId="4E2DD60D" w14:textId="77777777" w:rsidR="00000000" w:rsidRDefault="001826C1">
            <w:pPr>
              <w:rPr>
                <w:rFonts w:eastAsia="Times New Roman"/>
                <w:sz w:val="20"/>
                <w:szCs w:val="20"/>
              </w:rPr>
            </w:pPr>
            <w:r>
              <w:rPr>
                <w:rFonts w:eastAsia="Times New Roman"/>
                <w:sz w:val="20"/>
                <w:szCs w:val="20"/>
              </w:rPr>
              <w:t> </w:t>
            </w:r>
          </w:p>
        </w:tc>
      </w:tr>
      <w:tr w:rsidR="00000000" w14:paraId="12351C3F" w14:textId="77777777">
        <w:tc>
          <w:tcPr>
            <w:tcW w:w="0" w:type="auto"/>
            <w:shd w:val="clear" w:color="auto" w:fill="FFFFFF"/>
            <w:tcMar>
              <w:top w:w="0" w:type="dxa"/>
              <w:left w:w="0" w:type="dxa"/>
              <w:bottom w:w="30" w:type="dxa"/>
              <w:right w:w="0" w:type="dxa"/>
            </w:tcMar>
            <w:vAlign w:val="bottom"/>
            <w:hideMark/>
          </w:tcPr>
          <w:p w14:paraId="06A87243" w14:textId="77777777" w:rsidR="00000000" w:rsidRDefault="001826C1">
            <w:pPr>
              <w:rPr>
                <w:rFonts w:eastAsia="Times New Roman"/>
                <w:sz w:val="20"/>
                <w:szCs w:val="20"/>
              </w:rPr>
            </w:pPr>
            <w:r>
              <w:rPr>
                <w:rFonts w:eastAsia="Times New Roman"/>
                <w:sz w:val="20"/>
                <w:szCs w:val="20"/>
              </w:rPr>
              <w:t>Non-current assets</w:t>
            </w:r>
          </w:p>
        </w:tc>
        <w:tc>
          <w:tcPr>
            <w:tcW w:w="0" w:type="auto"/>
            <w:shd w:val="clear" w:color="auto" w:fill="FFFFFF"/>
            <w:tcMar>
              <w:top w:w="0" w:type="dxa"/>
              <w:left w:w="0" w:type="dxa"/>
              <w:bottom w:w="30" w:type="dxa"/>
              <w:right w:w="0" w:type="dxa"/>
            </w:tcMar>
            <w:vAlign w:val="bottom"/>
            <w:hideMark/>
          </w:tcPr>
          <w:p w14:paraId="0734259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92127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DBB440" w14:textId="77777777" w:rsidR="00000000" w:rsidRDefault="001826C1">
            <w:pPr>
              <w:jc w:val="right"/>
              <w:rPr>
                <w:rFonts w:eastAsia="Times New Roman"/>
                <w:sz w:val="20"/>
                <w:szCs w:val="20"/>
              </w:rPr>
            </w:pPr>
            <w:r>
              <w:rPr>
                <w:rFonts w:eastAsia="Times New Roman"/>
                <w:sz w:val="20"/>
                <w:szCs w:val="20"/>
              </w:rPr>
              <w:t>2,242,816</w:t>
            </w:r>
          </w:p>
        </w:tc>
        <w:tc>
          <w:tcPr>
            <w:tcW w:w="0" w:type="auto"/>
            <w:shd w:val="clear" w:color="auto" w:fill="FFFFFF"/>
            <w:tcMar>
              <w:top w:w="0" w:type="dxa"/>
              <w:left w:w="0" w:type="dxa"/>
              <w:bottom w:w="30" w:type="dxa"/>
              <w:right w:w="0" w:type="dxa"/>
            </w:tcMar>
            <w:vAlign w:val="bottom"/>
            <w:hideMark/>
          </w:tcPr>
          <w:p w14:paraId="739EE4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1B78A2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93AE05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2BD46F8" w14:textId="77777777" w:rsidR="00000000" w:rsidRDefault="001826C1">
            <w:pPr>
              <w:jc w:val="right"/>
              <w:rPr>
                <w:rFonts w:eastAsia="Times New Roman"/>
                <w:sz w:val="20"/>
                <w:szCs w:val="20"/>
              </w:rPr>
            </w:pPr>
            <w:r>
              <w:rPr>
                <w:rFonts w:eastAsia="Times New Roman"/>
                <w:sz w:val="20"/>
                <w:szCs w:val="20"/>
              </w:rPr>
              <w:t>1,259,446</w:t>
            </w:r>
          </w:p>
        </w:tc>
        <w:tc>
          <w:tcPr>
            <w:tcW w:w="0" w:type="auto"/>
            <w:shd w:val="clear" w:color="auto" w:fill="FFFFFF"/>
            <w:tcMar>
              <w:top w:w="0" w:type="dxa"/>
              <w:left w:w="0" w:type="dxa"/>
              <w:bottom w:w="30" w:type="dxa"/>
              <w:right w:w="0" w:type="dxa"/>
            </w:tcMar>
            <w:vAlign w:val="bottom"/>
            <w:hideMark/>
          </w:tcPr>
          <w:p w14:paraId="02585803" w14:textId="77777777" w:rsidR="00000000" w:rsidRDefault="001826C1">
            <w:pPr>
              <w:rPr>
                <w:rFonts w:eastAsia="Times New Roman"/>
                <w:sz w:val="20"/>
                <w:szCs w:val="20"/>
              </w:rPr>
            </w:pPr>
            <w:r>
              <w:rPr>
                <w:rFonts w:eastAsia="Times New Roman"/>
                <w:sz w:val="20"/>
                <w:szCs w:val="20"/>
              </w:rPr>
              <w:t> </w:t>
            </w:r>
          </w:p>
        </w:tc>
      </w:tr>
      <w:tr w:rsidR="00000000" w14:paraId="018ACEAF" w14:textId="77777777">
        <w:tc>
          <w:tcPr>
            <w:tcW w:w="0" w:type="auto"/>
            <w:shd w:val="clear" w:color="auto" w:fill="CCEEFF"/>
            <w:vAlign w:val="bottom"/>
            <w:hideMark/>
          </w:tcPr>
          <w:p w14:paraId="1A8956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C2DE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CFDE7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958213" w14:textId="77777777" w:rsidR="00000000" w:rsidRDefault="001826C1">
            <w:pPr>
              <w:jc w:val="right"/>
              <w:rPr>
                <w:rFonts w:eastAsia="Times New Roman"/>
                <w:sz w:val="20"/>
                <w:szCs w:val="20"/>
              </w:rPr>
            </w:pPr>
            <w:r>
              <w:rPr>
                <w:rFonts w:eastAsia="Times New Roman"/>
                <w:sz w:val="20"/>
                <w:szCs w:val="20"/>
              </w:rPr>
              <w:t>3,325,049</w:t>
            </w:r>
          </w:p>
        </w:tc>
        <w:tc>
          <w:tcPr>
            <w:tcW w:w="0" w:type="auto"/>
            <w:shd w:val="clear" w:color="auto" w:fill="CCEEFF"/>
            <w:vAlign w:val="bottom"/>
            <w:hideMark/>
          </w:tcPr>
          <w:p w14:paraId="02ABD16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8CD5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F6C57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021673" w14:textId="77777777" w:rsidR="00000000" w:rsidRDefault="001826C1">
            <w:pPr>
              <w:jc w:val="right"/>
              <w:rPr>
                <w:rFonts w:eastAsia="Times New Roman"/>
                <w:sz w:val="20"/>
                <w:szCs w:val="20"/>
              </w:rPr>
            </w:pPr>
            <w:r>
              <w:rPr>
                <w:rFonts w:eastAsia="Times New Roman"/>
                <w:sz w:val="20"/>
                <w:szCs w:val="20"/>
              </w:rPr>
              <w:t>1,415,711</w:t>
            </w:r>
          </w:p>
        </w:tc>
        <w:tc>
          <w:tcPr>
            <w:tcW w:w="0" w:type="auto"/>
            <w:shd w:val="clear" w:color="auto" w:fill="CCEEFF"/>
            <w:vAlign w:val="bottom"/>
            <w:hideMark/>
          </w:tcPr>
          <w:p w14:paraId="6A23FC16" w14:textId="77777777" w:rsidR="00000000" w:rsidRDefault="001826C1">
            <w:pPr>
              <w:rPr>
                <w:rFonts w:eastAsia="Times New Roman"/>
                <w:sz w:val="20"/>
                <w:szCs w:val="20"/>
              </w:rPr>
            </w:pPr>
            <w:r>
              <w:rPr>
                <w:rFonts w:eastAsia="Times New Roman"/>
                <w:sz w:val="20"/>
                <w:szCs w:val="20"/>
              </w:rPr>
              <w:t> </w:t>
            </w:r>
          </w:p>
        </w:tc>
      </w:tr>
      <w:tr w:rsidR="00000000" w14:paraId="4F629ECC" w14:textId="77777777">
        <w:tc>
          <w:tcPr>
            <w:tcW w:w="0" w:type="auto"/>
            <w:shd w:val="clear" w:color="auto" w:fill="FFFFFF"/>
            <w:vAlign w:val="bottom"/>
            <w:hideMark/>
          </w:tcPr>
          <w:p w14:paraId="4527B843" w14:textId="77777777" w:rsidR="00000000" w:rsidRDefault="001826C1">
            <w:pPr>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14:paraId="1FD4AE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24C6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D7E1DE" w14:textId="77777777" w:rsidR="00000000" w:rsidRDefault="001826C1">
            <w:pPr>
              <w:jc w:val="right"/>
              <w:rPr>
                <w:rFonts w:eastAsia="Times New Roman"/>
                <w:sz w:val="20"/>
                <w:szCs w:val="20"/>
              </w:rPr>
            </w:pPr>
            <w:r>
              <w:rPr>
                <w:rFonts w:eastAsia="Times New Roman"/>
                <w:sz w:val="20"/>
                <w:szCs w:val="20"/>
              </w:rPr>
              <w:t>(1,270,015</w:t>
            </w:r>
          </w:p>
        </w:tc>
        <w:tc>
          <w:tcPr>
            <w:tcW w:w="0" w:type="auto"/>
            <w:shd w:val="clear" w:color="auto" w:fill="FFFFFF"/>
            <w:vAlign w:val="bottom"/>
            <w:hideMark/>
          </w:tcPr>
          <w:p w14:paraId="6300EB72"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55560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6545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30E83A" w14:textId="77777777" w:rsidR="00000000" w:rsidRDefault="001826C1">
            <w:pPr>
              <w:jc w:val="right"/>
              <w:rPr>
                <w:rFonts w:eastAsia="Times New Roman"/>
                <w:sz w:val="20"/>
                <w:szCs w:val="20"/>
              </w:rPr>
            </w:pPr>
            <w:r>
              <w:rPr>
                <w:rFonts w:eastAsia="Times New Roman"/>
                <w:sz w:val="20"/>
                <w:szCs w:val="20"/>
              </w:rPr>
              <w:t>(1,044,539</w:t>
            </w:r>
          </w:p>
        </w:tc>
        <w:tc>
          <w:tcPr>
            <w:tcW w:w="0" w:type="auto"/>
            <w:shd w:val="clear" w:color="auto" w:fill="FFFFFF"/>
            <w:vAlign w:val="bottom"/>
            <w:hideMark/>
          </w:tcPr>
          <w:p w14:paraId="3649FC58" w14:textId="77777777" w:rsidR="00000000" w:rsidRDefault="001826C1">
            <w:pPr>
              <w:rPr>
                <w:rFonts w:eastAsia="Times New Roman"/>
                <w:sz w:val="20"/>
                <w:szCs w:val="20"/>
              </w:rPr>
            </w:pPr>
            <w:r>
              <w:rPr>
                <w:rFonts w:eastAsia="Times New Roman"/>
                <w:sz w:val="20"/>
                <w:szCs w:val="20"/>
              </w:rPr>
              <w:t>)</w:t>
            </w:r>
          </w:p>
        </w:tc>
      </w:tr>
      <w:tr w:rsidR="00000000" w14:paraId="4DF92EA0" w14:textId="77777777">
        <w:tc>
          <w:tcPr>
            <w:tcW w:w="0" w:type="auto"/>
            <w:shd w:val="clear" w:color="auto" w:fill="CCEEFF"/>
            <w:tcMar>
              <w:top w:w="0" w:type="dxa"/>
              <w:left w:w="0" w:type="dxa"/>
              <w:bottom w:w="30" w:type="dxa"/>
              <w:right w:w="0" w:type="dxa"/>
            </w:tcMar>
            <w:vAlign w:val="bottom"/>
            <w:hideMark/>
          </w:tcPr>
          <w:p w14:paraId="1572E85B" w14:textId="77777777" w:rsidR="00000000" w:rsidRDefault="001826C1">
            <w:pPr>
              <w:rPr>
                <w:rFonts w:eastAsia="Times New Roman"/>
                <w:sz w:val="20"/>
                <w:szCs w:val="20"/>
              </w:rPr>
            </w:pPr>
            <w:r>
              <w:rPr>
                <w:rFonts w:eastAsia="Times New Roman"/>
                <w:sz w:val="20"/>
                <w:szCs w:val="20"/>
              </w:rPr>
              <w:t>Non-current liabilities</w:t>
            </w:r>
          </w:p>
        </w:tc>
        <w:tc>
          <w:tcPr>
            <w:tcW w:w="0" w:type="auto"/>
            <w:shd w:val="clear" w:color="auto" w:fill="CCEEFF"/>
            <w:tcMar>
              <w:top w:w="0" w:type="dxa"/>
              <w:left w:w="0" w:type="dxa"/>
              <w:bottom w:w="30" w:type="dxa"/>
              <w:right w:w="0" w:type="dxa"/>
            </w:tcMar>
            <w:vAlign w:val="bottom"/>
            <w:hideMark/>
          </w:tcPr>
          <w:p w14:paraId="7448A24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18678F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EDBD9F9" w14:textId="77777777" w:rsidR="00000000" w:rsidRDefault="001826C1">
            <w:pPr>
              <w:jc w:val="right"/>
              <w:rPr>
                <w:rFonts w:eastAsia="Times New Roman"/>
                <w:sz w:val="20"/>
                <w:szCs w:val="20"/>
              </w:rPr>
            </w:pPr>
            <w:r>
              <w:rPr>
                <w:rFonts w:eastAsia="Times New Roman"/>
                <w:sz w:val="20"/>
                <w:szCs w:val="20"/>
              </w:rPr>
              <w:t>(332,276</w:t>
            </w:r>
          </w:p>
        </w:tc>
        <w:tc>
          <w:tcPr>
            <w:tcW w:w="0" w:type="auto"/>
            <w:shd w:val="clear" w:color="auto" w:fill="CCEEFF"/>
            <w:tcMar>
              <w:top w:w="0" w:type="dxa"/>
              <w:left w:w="0" w:type="dxa"/>
              <w:bottom w:w="30" w:type="dxa"/>
              <w:right w:w="0" w:type="dxa"/>
            </w:tcMar>
            <w:vAlign w:val="bottom"/>
            <w:hideMark/>
          </w:tcPr>
          <w:p w14:paraId="1346066B"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070EC0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1A672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F45B5A" w14:textId="77777777" w:rsidR="00000000" w:rsidRDefault="001826C1">
            <w:pPr>
              <w:jc w:val="right"/>
              <w:rPr>
                <w:rFonts w:eastAsia="Times New Roman"/>
                <w:sz w:val="20"/>
                <w:szCs w:val="20"/>
              </w:rPr>
            </w:pPr>
            <w:r>
              <w:rPr>
                <w:rFonts w:eastAsia="Times New Roman"/>
                <w:sz w:val="20"/>
                <w:szCs w:val="20"/>
              </w:rPr>
              <w:t>(209,333</w:t>
            </w:r>
          </w:p>
        </w:tc>
        <w:tc>
          <w:tcPr>
            <w:tcW w:w="0" w:type="auto"/>
            <w:shd w:val="clear" w:color="auto" w:fill="CCEEFF"/>
            <w:tcMar>
              <w:top w:w="0" w:type="dxa"/>
              <w:left w:w="0" w:type="dxa"/>
              <w:bottom w:w="30" w:type="dxa"/>
              <w:right w:w="0" w:type="dxa"/>
            </w:tcMar>
            <w:vAlign w:val="bottom"/>
            <w:hideMark/>
          </w:tcPr>
          <w:p w14:paraId="2B61474D" w14:textId="77777777" w:rsidR="00000000" w:rsidRDefault="001826C1">
            <w:pPr>
              <w:rPr>
                <w:rFonts w:eastAsia="Times New Roman"/>
                <w:sz w:val="20"/>
                <w:szCs w:val="20"/>
              </w:rPr>
            </w:pPr>
            <w:r>
              <w:rPr>
                <w:rFonts w:eastAsia="Times New Roman"/>
                <w:sz w:val="20"/>
                <w:szCs w:val="20"/>
              </w:rPr>
              <w:t>)</w:t>
            </w:r>
          </w:p>
        </w:tc>
      </w:tr>
      <w:tr w:rsidR="00000000" w14:paraId="7DCC36BB" w14:textId="77777777">
        <w:tc>
          <w:tcPr>
            <w:tcW w:w="0" w:type="auto"/>
            <w:shd w:val="clear" w:color="auto" w:fill="FFFFFF"/>
            <w:tcMar>
              <w:top w:w="0" w:type="dxa"/>
              <w:left w:w="0" w:type="dxa"/>
              <w:bottom w:w="50" w:type="dxa"/>
              <w:right w:w="0" w:type="dxa"/>
            </w:tcMar>
            <w:vAlign w:val="bottom"/>
            <w:hideMark/>
          </w:tcPr>
          <w:p w14:paraId="6B7E838E" w14:textId="77777777" w:rsidR="00000000" w:rsidRDefault="001826C1">
            <w:pPr>
              <w:rPr>
                <w:rFonts w:eastAsia="Times New Roman"/>
                <w:sz w:val="20"/>
                <w:szCs w:val="20"/>
              </w:rPr>
            </w:pPr>
            <w:r>
              <w:rPr>
                <w:rFonts w:eastAsia="Times New Roman"/>
                <w:sz w:val="20"/>
                <w:szCs w:val="20"/>
              </w:rPr>
              <w:t>Net assets</w:t>
            </w:r>
          </w:p>
        </w:tc>
        <w:tc>
          <w:tcPr>
            <w:tcW w:w="0" w:type="auto"/>
            <w:shd w:val="clear" w:color="auto" w:fill="FFFFFF"/>
            <w:tcMar>
              <w:top w:w="0" w:type="dxa"/>
              <w:left w:w="0" w:type="dxa"/>
              <w:bottom w:w="50" w:type="dxa"/>
              <w:right w:w="0" w:type="dxa"/>
            </w:tcMar>
            <w:vAlign w:val="bottom"/>
            <w:hideMark/>
          </w:tcPr>
          <w:p w14:paraId="6F89D56B"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5CD6D6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4E9A6F6" w14:textId="77777777" w:rsidR="00000000" w:rsidRDefault="001826C1">
            <w:pPr>
              <w:jc w:val="right"/>
              <w:rPr>
                <w:rFonts w:eastAsia="Times New Roman"/>
                <w:sz w:val="20"/>
                <w:szCs w:val="20"/>
              </w:rPr>
            </w:pPr>
            <w:r>
              <w:rPr>
                <w:rFonts w:eastAsia="Times New Roman"/>
                <w:sz w:val="20"/>
                <w:szCs w:val="20"/>
              </w:rPr>
              <w:t>1,722,758</w:t>
            </w:r>
          </w:p>
        </w:tc>
        <w:tc>
          <w:tcPr>
            <w:tcW w:w="0" w:type="auto"/>
            <w:shd w:val="clear" w:color="auto" w:fill="FFFFFF"/>
            <w:tcMar>
              <w:top w:w="0" w:type="dxa"/>
              <w:left w:w="0" w:type="dxa"/>
              <w:bottom w:w="50" w:type="dxa"/>
              <w:right w:w="0" w:type="dxa"/>
            </w:tcMar>
            <w:vAlign w:val="bottom"/>
            <w:hideMark/>
          </w:tcPr>
          <w:p w14:paraId="12B6EF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F1C58C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D86E1A6"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A8B73D9" w14:textId="77777777" w:rsidR="00000000" w:rsidRDefault="001826C1">
            <w:pPr>
              <w:jc w:val="right"/>
              <w:rPr>
                <w:rFonts w:eastAsia="Times New Roman"/>
                <w:sz w:val="20"/>
                <w:szCs w:val="20"/>
              </w:rPr>
            </w:pPr>
            <w:r>
              <w:rPr>
                <w:rFonts w:eastAsia="Times New Roman"/>
                <w:sz w:val="20"/>
                <w:szCs w:val="20"/>
              </w:rPr>
              <w:t>161,839</w:t>
            </w:r>
          </w:p>
        </w:tc>
        <w:tc>
          <w:tcPr>
            <w:tcW w:w="0" w:type="auto"/>
            <w:shd w:val="clear" w:color="auto" w:fill="FFFFFF"/>
            <w:tcMar>
              <w:top w:w="0" w:type="dxa"/>
              <w:left w:w="0" w:type="dxa"/>
              <w:bottom w:w="50" w:type="dxa"/>
              <w:right w:w="0" w:type="dxa"/>
            </w:tcMar>
            <w:vAlign w:val="bottom"/>
            <w:hideMark/>
          </w:tcPr>
          <w:p w14:paraId="62E81DCD" w14:textId="77777777" w:rsidR="00000000" w:rsidRDefault="001826C1">
            <w:pPr>
              <w:rPr>
                <w:rFonts w:eastAsia="Times New Roman"/>
                <w:sz w:val="20"/>
                <w:szCs w:val="20"/>
              </w:rPr>
            </w:pPr>
            <w:r>
              <w:rPr>
                <w:rFonts w:eastAsia="Times New Roman"/>
                <w:sz w:val="20"/>
                <w:szCs w:val="20"/>
              </w:rPr>
              <w:t> </w:t>
            </w:r>
          </w:p>
        </w:tc>
      </w:tr>
    </w:tbl>
    <w:p w14:paraId="1E5CAE67"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7EE7B40F" w14:textId="77777777">
        <w:tc>
          <w:tcPr>
            <w:tcW w:w="360" w:type="dxa"/>
            <w:hideMark/>
          </w:tcPr>
          <w:p w14:paraId="649B72AB" w14:textId="77777777" w:rsidR="00000000" w:rsidRDefault="001826C1">
            <w:pPr>
              <w:rPr>
                <w:rFonts w:eastAsia="Times New Roman"/>
                <w:b/>
                <w:bCs/>
                <w:caps/>
                <w:sz w:val="20"/>
                <w:szCs w:val="20"/>
              </w:rPr>
            </w:pPr>
            <w:r>
              <w:rPr>
                <w:rFonts w:eastAsia="Times New Roman"/>
                <w:b/>
                <w:bCs/>
                <w:caps/>
                <w:sz w:val="20"/>
                <w:szCs w:val="20"/>
              </w:rPr>
              <w:t>7.</w:t>
            </w:r>
          </w:p>
        </w:tc>
        <w:tc>
          <w:tcPr>
            <w:tcW w:w="0" w:type="auto"/>
            <w:hideMark/>
          </w:tcPr>
          <w:p w14:paraId="3A8AEE60" w14:textId="77777777" w:rsidR="00000000" w:rsidRDefault="001826C1">
            <w:pPr>
              <w:rPr>
                <w:rFonts w:eastAsia="Times New Roman"/>
                <w:b/>
                <w:bCs/>
                <w:caps/>
                <w:sz w:val="20"/>
                <w:szCs w:val="20"/>
              </w:rPr>
            </w:pPr>
            <w:r>
              <w:rPr>
                <w:rFonts w:eastAsia="Times New Roman"/>
                <w:b/>
                <w:bCs/>
                <w:caps/>
                <w:sz w:val="20"/>
                <w:szCs w:val="20"/>
              </w:rPr>
              <w:t xml:space="preserve">NET </w:t>
            </w:r>
            <w:r>
              <w:rPr>
                <w:rFonts w:eastAsia="Times New Roman"/>
                <w:b/>
                <w:bCs/>
                <w:caps/>
                <w:sz w:val="20"/>
                <w:szCs w:val="20"/>
              </w:rPr>
              <w:t xml:space="preserve">LOss per COMMON share </w:t>
            </w:r>
          </w:p>
        </w:tc>
      </w:tr>
    </w:tbl>
    <w:p w14:paraId="19F3A5D4" w14:textId="77777777" w:rsidR="00000000" w:rsidRDefault="001826C1">
      <w:pPr>
        <w:pStyle w:val="a3"/>
        <w:spacing w:before="0" w:beforeAutospacing="0" w:after="0" w:afterAutospacing="0"/>
        <w:ind w:left="475"/>
        <w:jc w:val="both"/>
        <w:rPr>
          <w:sz w:val="20"/>
          <w:szCs w:val="20"/>
        </w:rPr>
      </w:pPr>
      <w:r>
        <w:rPr>
          <w:sz w:val="20"/>
          <w:szCs w:val="20"/>
        </w:rPr>
        <w:t> </w:t>
      </w:r>
    </w:p>
    <w:p w14:paraId="332D6B97" w14:textId="77777777" w:rsidR="00000000" w:rsidRDefault="001826C1">
      <w:pPr>
        <w:pStyle w:val="a3"/>
        <w:spacing w:before="0" w:beforeAutospacing="0" w:after="0" w:afterAutospacing="0"/>
        <w:ind w:left="45"/>
        <w:jc w:val="both"/>
        <w:rPr>
          <w:sz w:val="20"/>
          <w:szCs w:val="20"/>
        </w:rPr>
      </w:pPr>
      <w:r>
        <w:rPr>
          <w:sz w:val="20"/>
          <w:szCs w:val="20"/>
        </w:rPr>
        <w:t>The following table reconciles the weighted-average shares outstanding for basic and diluted net loss per common share for the years ended December 31, 2019 and 2018:</w:t>
      </w:r>
    </w:p>
    <w:p w14:paraId="708554D2" w14:textId="77777777" w:rsidR="00000000" w:rsidRDefault="001826C1">
      <w:pPr>
        <w:pStyle w:val="a3"/>
        <w:spacing w:before="0" w:beforeAutospacing="0" w:after="0" w:afterAutospacing="0"/>
        <w:ind w:left="45"/>
        <w:jc w:val="both"/>
        <w:rPr>
          <w:sz w:val="20"/>
          <w:szCs w:val="20"/>
        </w:rPr>
      </w:pPr>
      <w:r>
        <w:rPr>
          <w:sz w:val="20"/>
          <w:szCs w:val="20"/>
        </w:rPr>
        <w:t> </w:t>
      </w:r>
    </w:p>
    <w:tbl>
      <w:tblPr>
        <w:tblW w:w="4250" w:type="pct"/>
        <w:tblCellMar>
          <w:left w:w="0" w:type="dxa"/>
          <w:right w:w="0" w:type="dxa"/>
        </w:tblCellMar>
        <w:tblLook w:val="04A0" w:firstRow="1" w:lastRow="0" w:firstColumn="1" w:lastColumn="0" w:noHBand="0" w:noVBand="1"/>
      </w:tblPr>
      <w:tblGrid>
        <w:gridCol w:w="4508"/>
        <w:gridCol w:w="131"/>
        <w:gridCol w:w="100"/>
        <w:gridCol w:w="979"/>
        <w:gridCol w:w="67"/>
        <w:gridCol w:w="128"/>
        <w:gridCol w:w="100"/>
        <w:gridCol w:w="980"/>
        <w:gridCol w:w="67"/>
      </w:tblGrid>
      <w:tr w:rsidR="00000000" w14:paraId="41000A14" w14:textId="77777777">
        <w:tc>
          <w:tcPr>
            <w:tcW w:w="0" w:type="auto"/>
            <w:vAlign w:val="bottom"/>
            <w:hideMark/>
          </w:tcPr>
          <w:p w14:paraId="4613FBBE"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07AD80D1"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vAlign w:val="bottom"/>
            <w:hideMark/>
          </w:tcPr>
          <w:p w14:paraId="26338EC5" w14:textId="77777777" w:rsidR="00000000" w:rsidRDefault="001826C1">
            <w:pPr>
              <w:jc w:val="center"/>
              <w:rPr>
                <w:rFonts w:eastAsia="Times New Roman"/>
                <w:b/>
                <w:bCs/>
                <w:sz w:val="20"/>
                <w:szCs w:val="20"/>
              </w:rPr>
            </w:pPr>
            <w:r>
              <w:rPr>
                <w:rFonts w:eastAsia="Times New Roman"/>
                <w:b/>
                <w:bCs/>
                <w:sz w:val="20"/>
                <w:szCs w:val="20"/>
              </w:rPr>
              <w:t>Year Ended</w:t>
            </w:r>
          </w:p>
        </w:tc>
        <w:tc>
          <w:tcPr>
            <w:tcW w:w="0" w:type="auto"/>
            <w:vAlign w:val="bottom"/>
            <w:hideMark/>
          </w:tcPr>
          <w:p w14:paraId="22F8E1ED" w14:textId="77777777" w:rsidR="00000000" w:rsidRDefault="001826C1">
            <w:pPr>
              <w:rPr>
                <w:rFonts w:eastAsia="Times New Roman"/>
                <w:b/>
                <w:bCs/>
                <w:sz w:val="20"/>
                <w:szCs w:val="20"/>
              </w:rPr>
            </w:pPr>
            <w:r>
              <w:rPr>
                <w:rFonts w:eastAsia="Times New Roman"/>
                <w:b/>
                <w:bCs/>
                <w:sz w:val="20"/>
                <w:szCs w:val="20"/>
              </w:rPr>
              <w:t> </w:t>
            </w:r>
          </w:p>
        </w:tc>
      </w:tr>
      <w:tr w:rsidR="00000000" w14:paraId="3B7C573E" w14:textId="77777777">
        <w:tc>
          <w:tcPr>
            <w:tcW w:w="0" w:type="auto"/>
            <w:vAlign w:val="bottom"/>
            <w:hideMark/>
          </w:tcPr>
          <w:p w14:paraId="398F77F5"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FF9D1E9"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DF6C4AA"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3EE3929D" w14:textId="77777777" w:rsidR="00000000" w:rsidRDefault="001826C1">
            <w:pPr>
              <w:rPr>
                <w:rFonts w:eastAsia="Times New Roman"/>
                <w:b/>
                <w:bCs/>
                <w:sz w:val="20"/>
                <w:szCs w:val="20"/>
              </w:rPr>
            </w:pPr>
            <w:r>
              <w:rPr>
                <w:rFonts w:eastAsia="Times New Roman"/>
                <w:b/>
                <w:bCs/>
                <w:sz w:val="20"/>
                <w:szCs w:val="20"/>
              </w:rPr>
              <w:t> </w:t>
            </w:r>
          </w:p>
        </w:tc>
      </w:tr>
      <w:tr w:rsidR="00000000" w14:paraId="2A43CC45" w14:textId="77777777">
        <w:tc>
          <w:tcPr>
            <w:tcW w:w="0" w:type="auto"/>
            <w:vAlign w:val="bottom"/>
            <w:hideMark/>
          </w:tcPr>
          <w:p w14:paraId="2C2BC6EF"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67B776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9A03CD9"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34B44E5"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99EECE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0F2CFA8"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1E1517EE" w14:textId="77777777" w:rsidR="00000000" w:rsidRDefault="001826C1">
            <w:pPr>
              <w:rPr>
                <w:rFonts w:eastAsia="Times New Roman"/>
                <w:b/>
                <w:bCs/>
                <w:sz w:val="20"/>
                <w:szCs w:val="20"/>
              </w:rPr>
            </w:pPr>
            <w:r>
              <w:rPr>
                <w:rFonts w:eastAsia="Times New Roman"/>
                <w:b/>
                <w:bCs/>
                <w:sz w:val="20"/>
                <w:szCs w:val="20"/>
              </w:rPr>
              <w:t> </w:t>
            </w:r>
          </w:p>
        </w:tc>
      </w:tr>
      <w:tr w:rsidR="00000000" w14:paraId="5B35A8DB" w14:textId="77777777">
        <w:tc>
          <w:tcPr>
            <w:tcW w:w="0" w:type="auto"/>
            <w:shd w:val="clear" w:color="auto" w:fill="CCEEFF"/>
            <w:vAlign w:val="bottom"/>
            <w:hideMark/>
          </w:tcPr>
          <w:p w14:paraId="06003F7F" w14:textId="77777777" w:rsidR="00000000" w:rsidRDefault="001826C1">
            <w:pPr>
              <w:rPr>
                <w:rFonts w:eastAsia="Times New Roman"/>
                <w:sz w:val="20"/>
                <w:szCs w:val="20"/>
              </w:rPr>
            </w:pPr>
            <w:r>
              <w:rPr>
                <w:rFonts w:eastAsia="Times New Roman"/>
                <w:sz w:val="20"/>
                <w:szCs w:val="20"/>
              </w:rPr>
              <w:t>Basic and Diluted:</w:t>
            </w:r>
          </w:p>
        </w:tc>
        <w:tc>
          <w:tcPr>
            <w:tcW w:w="0" w:type="auto"/>
            <w:shd w:val="clear" w:color="auto" w:fill="CCEEFF"/>
            <w:vAlign w:val="bottom"/>
            <w:hideMark/>
          </w:tcPr>
          <w:p w14:paraId="5290A9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B42C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1FE7D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540DD9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4CBF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5CAF4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BC2B3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40D23485" w14:textId="77777777" w:rsidR="00000000" w:rsidRDefault="001826C1">
            <w:pPr>
              <w:rPr>
                <w:rFonts w:eastAsia="Times New Roman"/>
                <w:sz w:val="20"/>
                <w:szCs w:val="20"/>
              </w:rPr>
            </w:pPr>
            <w:r>
              <w:rPr>
                <w:rFonts w:eastAsia="Times New Roman"/>
                <w:sz w:val="20"/>
                <w:szCs w:val="20"/>
              </w:rPr>
              <w:t> </w:t>
            </w:r>
          </w:p>
        </w:tc>
      </w:tr>
      <w:tr w:rsidR="00000000" w14:paraId="4E49E32D" w14:textId="77777777">
        <w:tc>
          <w:tcPr>
            <w:tcW w:w="3200" w:type="pct"/>
            <w:shd w:val="clear" w:color="auto" w:fill="FFFFFF"/>
            <w:tcMar>
              <w:top w:w="0" w:type="dxa"/>
              <w:left w:w="0" w:type="dxa"/>
              <w:bottom w:w="50" w:type="dxa"/>
              <w:right w:w="0" w:type="dxa"/>
            </w:tcMar>
            <w:vAlign w:val="bottom"/>
            <w:hideMark/>
          </w:tcPr>
          <w:p w14:paraId="349BD1E5" w14:textId="77777777" w:rsidR="00000000" w:rsidRDefault="001826C1">
            <w:pPr>
              <w:rPr>
                <w:rFonts w:eastAsia="Times New Roman"/>
                <w:sz w:val="20"/>
                <w:szCs w:val="20"/>
              </w:rPr>
            </w:pPr>
            <w:r>
              <w:rPr>
                <w:rFonts w:eastAsia="Times New Roman"/>
                <w:sz w:val="20"/>
                <w:szCs w:val="20"/>
              </w:rPr>
              <w:t>Net loss attributable to common shareholders</w:t>
            </w:r>
          </w:p>
        </w:tc>
        <w:tc>
          <w:tcPr>
            <w:tcW w:w="100" w:type="pct"/>
            <w:shd w:val="clear" w:color="auto" w:fill="FFFFFF"/>
            <w:tcMar>
              <w:top w:w="0" w:type="dxa"/>
              <w:left w:w="0" w:type="dxa"/>
              <w:bottom w:w="50" w:type="dxa"/>
              <w:right w:w="0" w:type="dxa"/>
            </w:tcMar>
            <w:vAlign w:val="bottom"/>
            <w:hideMark/>
          </w:tcPr>
          <w:p w14:paraId="58D00D17" w14:textId="77777777" w:rsidR="00000000" w:rsidRDefault="001826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40930F76" w14:textId="77777777" w:rsidR="00000000" w:rsidRDefault="001826C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64C4EF1E" w14:textId="77777777" w:rsidR="00000000" w:rsidRDefault="001826C1">
            <w:pPr>
              <w:jc w:val="right"/>
              <w:rPr>
                <w:rFonts w:eastAsia="Times New Roman"/>
                <w:sz w:val="20"/>
                <w:szCs w:val="20"/>
              </w:rPr>
            </w:pPr>
            <w:r>
              <w:rPr>
                <w:rFonts w:eastAsia="Times New Roman"/>
                <w:sz w:val="20"/>
                <w:szCs w:val="20"/>
              </w:rPr>
              <w:t>(7,257,954</w:t>
            </w:r>
          </w:p>
        </w:tc>
        <w:tc>
          <w:tcPr>
            <w:tcW w:w="50" w:type="pct"/>
            <w:shd w:val="clear" w:color="auto" w:fill="FFFFFF"/>
            <w:tcMar>
              <w:top w:w="0" w:type="dxa"/>
              <w:left w:w="0" w:type="dxa"/>
              <w:bottom w:w="50" w:type="dxa"/>
              <w:right w:w="0" w:type="dxa"/>
            </w:tcMar>
            <w:vAlign w:val="bottom"/>
            <w:hideMark/>
          </w:tcPr>
          <w:p w14:paraId="72163626" w14:textId="77777777" w:rsidR="00000000" w:rsidRDefault="001826C1">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50" w:type="dxa"/>
              <w:right w:w="0" w:type="dxa"/>
            </w:tcMar>
            <w:vAlign w:val="bottom"/>
            <w:hideMark/>
          </w:tcPr>
          <w:p w14:paraId="5928515B" w14:textId="77777777" w:rsidR="00000000" w:rsidRDefault="001826C1">
            <w:pPr>
              <w:rPr>
                <w:rFonts w:eastAsia="Times New Roman"/>
                <w:sz w:val="20"/>
                <w:szCs w:val="20"/>
              </w:rPr>
            </w:pPr>
            <w:r>
              <w:rPr>
                <w:rFonts w:eastAsia="Times New Roman"/>
                <w:sz w:val="20"/>
                <w:szCs w:val="20"/>
              </w:rPr>
              <w:t> </w:t>
            </w:r>
          </w:p>
        </w:tc>
        <w:tc>
          <w:tcPr>
            <w:tcW w:w="50" w:type="pct"/>
            <w:tcBorders>
              <w:bottom w:val="double" w:sz="6" w:space="0" w:color="000000"/>
            </w:tcBorders>
            <w:shd w:val="clear" w:color="auto" w:fill="FFFFFF"/>
            <w:vAlign w:val="bottom"/>
            <w:hideMark/>
          </w:tcPr>
          <w:p w14:paraId="7AC5EC24" w14:textId="77777777" w:rsidR="00000000" w:rsidRDefault="001826C1">
            <w:pPr>
              <w:rPr>
                <w:rFonts w:eastAsia="Times New Roman"/>
                <w:sz w:val="20"/>
                <w:szCs w:val="20"/>
              </w:rPr>
            </w:pPr>
            <w:r>
              <w:rPr>
                <w:rFonts w:eastAsia="Times New Roman"/>
                <w:sz w:val="20"/>
                <w:szCs w:val="20"/>
              </w:rPr>
              <w:t>$</w:t>
            </w:r>
          </w:p>
        </w:tc>
        <w:tc>
          <w:tcPr>
            <w:tcW w:w="700" w:type="pct"/>
            <w:tcBorders>
              <w:bottom w:val="double" w:sz="6" w:space="0" w:color="000000"/>
            </w:tcBorders>
            <w:shd w:val="clear" w:color="auto" w:fill="FFFFFF"/>
            <w:vAlign w:val="bottom"/>
            <w:hideMark/>
          </w:tcPr>
          <w:p w14:paraId="16012A5A" w14:textId="77777777" w:rsidR="00000000" w:rsidRDefault="001826C1">
            <w:pPr>
              <w:jc w:val="right"/>
              <w:rPr>
                <w:rFonts w:eastAsia="Times New Roman"/>
                <w:sz w:val="20"/>
                <w:szCs w:val="20"/>
              </w:rPr>
            </w:pPr>
            <w:r>
              <w:rPr>
                <w:rFonts w:eastAsia="Times New Roman"/>
                <w:sz w:val="20"/>
                <w:szCs w:val="20"/>
              </w:rPr>
              <w:t>(6,962,467</w:t>
            </w:r>
          </w:p>
        </w:tc>
        <w:tc>
          <w:tcPr>
            <w:tcW w:w="50" w:type="pct"/>
            <w:shd w:val="clear" w:color="auto" w:fill="FFFFFF"/>
            <w:tcMar>
              <w:top w:w="0" w:type="dxa"/>
              <w:left w:w="0" w:type="dxa"/>
              <w:bottom w:w="50" w:type="dxa"/>
              <w:right w:w="0" w:type="dxa"/>
            </w:tcMar>
            <w:vAlign w:val="bottom"/>
            <w:hideMark/>
          </w:tcPr>
          <w:p w14:paraId="45C2692E" w14:textId="77777777" w:rsidR="00000000" w:rsidRDefault="001826C1">
            <w:pPr>
              <w:rPr>
                <w:rFonts w:eastAsia="Times New Roman"/>
                <w:sz w:val="20"/>
                <w:szCs w:val="20"/>
              </w:rPr>
            </w:pPr>
            <w:r>
              <w:rPr>
                <w:rFonts w:eastAsia="Times New Roman"/>
                <w:sz w:val="20"/>
                <w:szCs w:val="20"/>
              </w:rPr>
              <w:t>)</w:t>
            </w:r>
          </w:p>
        </w:tc>
      </w:tr>
      <w:tr w:rsidR="00000000" w14:paraId="3EAD7961" w14:textId="77777777">
        <w:tc>
          <w:tcPr>
            <w:tcW w:w="0" w:type="auto"/>
            <w:shd w:val="clear" w:color="auto" w:fill="CCEEFF"/>
            <w:tcMar>
              <w:top w:w="0" w:type="dxa"/>
              <w:left w:w="0" w:type="dxa"/>
              <w:bottom w:w="50" w:type="dxa"/>
              <w:right w:w="0" w:type="dxa"/>
            </w:tcMar>
            <w:vAlign w:val="bottom"/>
            <w:hideMark/>
          </w:tcPr>
          <w:p w14:paraId="039D0A8C" w14:textId="77777777" w:rsidR="00000000" w:rsidRDefault="001826C1">
            <w:pPr>
              <w:rPr>
                <w:rFonts w:eastAsia="Times New Roman"/>
                <w:sz w:val="20"/>
                <w:szCs w:val="20"/>
              </w:rPr>
            </w:pPr>
            <w:r>
              <w:rPr>
                <w:rFonts w:eastAsia="Times New Roman"/>
                <w:sz w:val="20"/>
                <w:szCs w:val="20"/>
              </w:rPr>
              <w:t>Weighted-average common shares used to compute basic and diluted loss per share</w:t>
            </w:r>
          </w:p>
        </w:tc>
        <w:tc>
          <w:tcPr>
            <w:tcW w:w="0" w:type="auto"/>
            <w:shd w:val="clear" w:color="auto" w:fill="CCEEFF"/>
            <w:tcMar>
              <w:top w:w="0" w:type="dxa"/>
              <w:left w:w="0" w:type="dxa"/>
              <w:bottom w:w="50" w:type="dxa"/>
              <w:right w:w="0" w:type="dxa"/>
            </w:tcMar>
            <w:vAlign w:val="bottom"/>
            <w:hideMark/>
          </w:tcPr>
          <w:p w14:paraId="3AAA3E2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01E4457"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4309AF8" w14:textId="77777777" w:rsidR="00000000" w:rsidRDefault="001826C1">
            <w:pPr>
              <w:jc w:val="right"/>
              <w:rPr>
                <w:rFonts w:eastAsia="Times New Roman"/>
                <w:sz w:val="20"/>
                <w:szCs w:val="20"/>
              </w:rPr>
            </w:pPr>
            <w:r>
              <w:rPr>
                <w:rFonts w:eastAsia="Times New Roman"/>
                <w:sz w:val="20"/>
                <w:szCs w:val="20"/>
              </w:rPr>
              <w:t>12,087,947</w:t>
            </w:r>
          </w:p>
        </w:tc>
        <w:tc>
          <w:tcPr>
            <w:tcW w:w="0" w:type="auto"/>
            <w:shd w:val="clear" w:color="auto" w:fill="CCEEFF"/>
            <w:tcMar>
              <w:top w:w="0" w:type="dxa"/>
              <w:left w:w="0" w:type="dxa"/>
              <w:bottom w:w="50" w:type="dxa"/>
              <w:right w:w="0" w:type="dxa"/>
            </w:tcMar>
            <w:vAlign w:val="bottom"/>
            <w:hideMark/>
          </w:tcPr>
          <w:p w14:paraId="27B5DC0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06C6103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769FA5B"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37B65B1D" w14:textId="77777777" w:rsidR="00000000" w:rsidRDefault="001826C1">
            <w:pPr>
              <w:jc w:val="right"/>
              <w:rPr>
                <w:rFonts w:eastAsia="Times New Roman"/>
                <w:sz w:val="20"/>
                <w:szCs w:val="20"/>
              </w:rPr>
            </w:pPr>
            <w:r>
              <w:rPr>
                <w:rFonts w:eastAsia="Times New Roman"/>
                <w:sz w:val="20"/>
                <w:szCs w:val="20"/>
              </w:rPr>
              <w:t>11,721,232</w:t>
            </w:r>
          </w:p>
        </w:tc>
        <w:tc>
          <w:tcPr>
            <w:tcW w:w="0" w:type="auto"/>
            <w:shd w:val="clear" w:color="auto" w:fill="CCEEFF"/>
            <w:tcMar>
              <w:top w:w="0" w:type="dxa"/>
              <w:left w:w="0" w:type="dxa"/>
              <w:bottom w:w="50" w:type="dxa"/>
              <w:right w:w="0" w:type="dxa"/>
            </w:tcMar>
            <w:vAlign w:val="bottom"/>
            <w:hideMark/>
          </w:tcPr>
          <w:p w14:paraId="69D22A4B" w14:textId="77777777" w:rsidR="00000000" w:rsidRDefault="001826C1">
            <w:pPr>
              <w:rPr>
                <w:rFonts w:eastAsia="Times New Roman"/>
                <w:sz w:val="20"/>
                <w:szCs w:val="20"/>
              </w:rPr>
            </w:pPr>
            <w:r>
              <w:rPr>
                <w:rFonts w:eastAsia="Times New Roman"/>
                <w:sz w:val="20"/>
                <w:szCs w:val="20"/>
              </w:rPr>
              <w:t> </w:t>
            </w:r>
          </w:p>
        </w:tc>
      </w:tr>
      <w:tr w:rsidR="00000000" w14:paraId="533CEDB0" w14:textId="77777777">
        <w:tc>
          <w:tcPr>
            <w:tcW w:w="0" w:type="auto"/>
            <w:shd w:val="clear" w:color="auto" w:fill="FFFFFF"/>
            <w:tcMar>
              <w:top w:w="0" w:type="dxa"/>
              <w:left w:w="0" w:type="dxa"/>
              <w:bottom w:w="50" w:type="dxa"/>
              <w:right w:w="0" w:type="dxa"/>
            </w:tcMar>
            <w:vAlign w:val="bottom"/>
            <w:hideMark/>
          </w:tcPr>
          <w:p w14:paraId="20165AED" w14:textId="77777777" w:rsidR="00000000" w:rsidRDefault="001826C1">
            <w:pPr>
              <w:rPr>
                <w:rFonts w:eastAsia="Times New Roman"/>
                <w:sz w:val="20"/>
                <w:szCs w:val="20"/>
              </w:rPr>
            </w:pPr>
            <w:r>
              <w:rPr>
                <w:rFonts w:eastAsia="Times New Roman"/>
                <w:sz w:val="20"/>
                <w:szCs w:val="20"/>
              </w:rPr>
              <w:t>Net loss attributable to common shareholders per share - Basic and Diluted</w:t>
            </w:r>
          </w:p>
        </w:tc>
        <w:tc>
          <w:tcPr>
            <w:tcW w:w="0" w:type="auto"/>
            <w:shd w:val="clear" w:color="auto" w:fill="FFFFFF"/>
            <w:tcMar>
              <w:top w:w="0" w:type="dxa"/>
              <w:left w:w="0" w:type="dxa"/>
              <w:bottom w:w="50" w:type="dxa"/>
              <w:right w:w="0" w:type="dxa"/>
            </w:tcMar>
            <w:vAlign w:val="bottom"/>
            <w:hideMark/>
          </w:tcPr>
          <w:p w14:paraId="14AB0407"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FC6306B"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13C7BB1" w14:textId="77777777" w:rsidR="00000000" w:rsidRDefault="001826C1">
            <w:pPr>
              <w:jc w:val="right"/>
              <w:rPr>
                <w:rFonts w:eastAsia="Times New Roman"/>
                <w:sz w:val="20"/>
                <w:szCs w:val="20"/>
              </w:rPr>
            </w:pPr>
            <w:r>
              <w:rPr>
                <w:rFonts w:eastAsia="Times New Roman"/>
                <w:sz w:val="20"/>
                <w:szCs w:val="20"/>
              </w:rPr>
              <w:t>(0.60</w:t>
            </w:r>
          </w:p>
        </w:tc>
        <w:tc>
          <w:tcPr>
            <w:tcW w:w="0" w:type="auto"/>
            <w:shd w:val="clear" w:color="auto" w:fill="FFFFFF"/>
            <w:tcMar>
              <w:top w:w="0" w:type="dxa"/>
              <w:left w:w="0" w:type="dxa"/>
              <w:bottom w:w="50" w:type="dxa"/>
              <w:right w:w="0" w:type="dxa"/>
            </w:tcMar>
            <w:vAlign w:val="bottom"/>
            <w:hideMark/>
          </w:tcPr>
          <w:p w14:paraId="38623B33"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B85DDC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99A1BB8"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826486C" w14:textId="77777777" w:rsidR="00000000" w:rsidRDefault="001826C1">
            <w:pPr>
              <w:jc w:val="right"/>
              <w:rPr>
                <w:rFonts w:eastAsia="Times New Roman"/>
                <w:sz w:val="20"/>
                <w:szCs w:val="20"/>
              </w:rPr>
            </w:pPr>
            <w:r>
              <w:rPr>
                <w:rFonts w:eastAsia="Times New Roman"/>
                <w:sz w:val="20"/>
                <w:szCs w:val="20"/>
              </w:rPr>
              <w:t>(0.59</w:t>
            </w:r>
          </w:p>
        </w:tc>
        <w:tc>
          <w:tcPr>
            <w:tcW w:w="0" w:type="auto"/>
            <w:shd w:val="clear" w:color="auto" w:fill="FFFFFF"/>
            <w:tcMar>
              <w:top w:w="0" w:type="dxa"/>
              <w:left w:w="0" w:type="dxa"/>
              <w:bottom w:w="50" w:type="dxa"/>
              <w:right w:w="0" w:type="dxa"/>
            </w:tcMar>
            <w:vAlign w:val="bottom"/>
            <w:hideMark/>
          </w:tcPr>
          <w:p w14:paraId="2FB52443" w14:textId="77777777" w:rsidR="00000000" w:rsidRDefault="001826C1">
            <w:pPr>
              <w:rPr>
                <w:rFonts w:eastAsia="Times New Roman"/>
                <w:sz w:val="20"/>
                <w:szCs w:val="20"/>
              </w:rPr>
            </w:pPr>
            <w:r>
              <w:rPr>
                <w:rFonts w:eastAsia="Times New Roman"/>
                <w:sz w:val="20"/>
                <w:szCs w:val="20"/>
              </w:rPr>
              <w:t>)</w:t>
            </w:r>
          </w:p>
        </w:tc>
      </w:tr>
    </w:tbl>
    <w:p w14:paraId="6377607D" w14:textId="77777777" w:rsidR="00000000" w:rsidRDefault="001826C1">
      <w:pPr>
        <w:pStyle w:val="a3"/>
        <w:spacing w:before="0" w:beforeAutospacing="0" w:after="0" w:afterAutospacing="0"/>
        <w:jc w:val="both"/>
        <w:rPr>
          <w:sz w:val="20"/>
          <w:szCs w:val="20"/>
        </w:rPr>
      </w:pPr>
      <w:r>
        <w:rPr>
          <w:sz w:val="20"/>
          <w:szCs w:val="20"/>
        </w:rPr>
        <w:t> </w:t>
      </w:r>
    </w:p>
    <w:p w14:paraId="75BD764C" w14:textId="77777777" w:rsidR="00000000" w:rsidRDefault="001826C1">
      <w:pPr>
        <w:pStyle w:val="a3"/>
        <w:spacing w:before="0" w:beforeAutospacing="0" w:after="0" w:afterAutospacing="0"/>
        <w:jc w:val="both"/>
        <w:rPr>
          <w:sz w:val="20"/>
          <w:szCs w:val="20"/>
        </w:rPr>
      </w:pPr>
      <w:r>
        <w:rPr>
          <w:sz w:val="20"/>
          <w:szCs w:val="20"/>
        </w:rPr>
        <w:t xml:space="preserve">All unvested </w:t>
      </w:r>
      <w:r>
        <w:rPr>
          <w:sz w:val="20"/>
          <w:szCs w:val="20"/>
        </w:rPr>
        <w:t>restricted stock units (“RSUs”), the 200,000 warrants granted to Opus Bank (“Opus”) and the 153,489 warrants granted to Silicon Valley Bank (“SVB”) have been excluded from the above calculations as they were anti-dilutive. Vested RSUs and vested restricted</w:t>
      </w:r>
      <w:r>
        <w:rPr>
          <w:sz w:val="20"/>
          <w:szCs w:val="20"/>
        </w:rPr>
        <w:t xml:space="preserve"> shares have been included in the above calculations.</w:t>
      </w:r>
    </w:p>
    <w:p w14:paraId="0070281E"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1EF99A95" w14:textId="77777777">
        <w:tc>
          <w:tcPr>
            <w:tcW w:w="360" w:type="dxa"/>
            <w:hideMark/>
          </w:tcPr>
          <w:p w14:paraId="69BFA697" w14:textId="77777777" w:rsidR="00000000" w:rsidRDefault="001826C1">
            <w:pPr>
              <w:rPr>
                <w:rFonts w:eastAsia="Times New Roman"/>
                <w:b/>
                <w:bCs/>
                <w:caps/>
                <w:sz w:val="20"/>
                <w:szCs w:val="20"/>
              </w:rPr>
            </w:pPr>
            <w:r>
              <w:rPr>
                <w:rFonts w:eastAsia="Times New Roman"/>
                <w:b/>
                <w:bCs/>
                <w:caps/>
                <w:sz w:val="20"/>
                <w:szCs w:val="20"/>
              </w:rPr>
              <w:t>8.</w:t>
            </w:r>
          </w:p>
        </w:tc>
        <w:tc>
          <w:tcPr>
            <w:tcW w:w="0" w:type="auto"/>
            <w:hideMark/>
          </w:tcPr>
          <w:p w14:paraId="7866E8B0" w14:textId="77777777" w:rsidR="00000000" w:rsidRDefault="001826C1">
            <w:pPr>
              <w:rPr>
                <w:rFonts w:eastAsia="Times New Roman"/>
                <w:b/>
                <w:bCs/>
                <w:caps/>
                <w:sz w:val="20"/>
                <w:szCs w:val="20"/>
              </w:rPr>
            </w:pPr>
            <w:r>
              <w:rPr>
                <w:rFonts w:eastAsia="Times New Roman"/>
                <w:b/>
                <w:bCs/>
                <w:caps/>
                <w:sz w:val="20"/>
                <w:szCs w:val="20"/>
              </w:rPr>
              <w:t>Debt</w:t>
            </w:r>
          </w:p>
        </w:tc>
      </w:tr>
    </w:tbl>
    <w:p w14:paraId="68ABF64E" w14:textId="77777777" w:rsidR="00000000" w:rsidRDefault="001826C1">
      <w:pPr>
        <w:pStyle w:val="a3"/>
        <w:spacing w:before="0" w:beforeAutospacing="0" w:after="0" w:afterAutospacing="0"/>
        <w:ind w:left="475"/>
        <w:jc w:val="both"/>
        <w:rPr>
          <w:sz w:val="20"/>
          <w:szCs w:val="20"/>
        </w:rPr>
      </w:pPr>
      <w:r>
        <w:rPr>
          <w:sz w:val="20"/>
          <w:szCs w:val="20"/>
        </w:rPr>
        <w:t> </w:t>
      </w:r>
    </w:p>
    <w:p w14:paraId="281506AC" w14:textId="77777777" w:rsidR="00000000" w:rsidRDefault="001826C1">
      <w:pPr>
        <w:pStyle w:val="a3"/>
        <w:spacing w:before="0" w:beforeAutospacing="0" w:after="0" w:afterAutospacing="0"/>
        <w:jc w:val="both"/>
        <w:rPr>
          <w:sz w:val="20"/>
          <w:szCs w:val="20"/>
        </w:rPr>
      </w:pPr>
      <w:r>
        <w:rPr>
          <w:i/>
          <w:iCs/>
          <w:sz w:val="20"/>
          <w:szCs w:val="20"/>
        </w:rPr>
        <w:t>SVB</w:t>
      </w:r>
      <w:r>
        <w:rPr>
          <w:sz w:val="20"/>
          <w:szCs w:val="20"/>
        </w:rPr>
        <w:t xml:space="preserve"> — During October 2017, the Company opened a revolving line of credit from SVB under a three-year agreement which replaced the previous credit facility from Opus. The SVB credit facility</w:t>
      </w:r>
      <w:r>
        <w:rPr>
          <w:sz w:val="20"/>
          <w:szCs w:val="20"/>
        </w:rPr>
        <w:t xml:space="preserve"> is a secured revolving line of credit where borrowings are based on a formula of 200% of repeatable revenue adjusted by an annualized attrition rate as defined in the credit agreement. During the third quarter of 2018, the credit line was increased from $</w:t>
      </w:r>
      <w:r>
        <w:rPr>
          <w:sz w:val="20"/>
          <w:szCs w:val="20"/>
        </w:rPr>
        <w:t>5 million to $10 million and the term was extended for an additional year. As of December 31, 2019, and 2018, there were no borrowings under the credit facility. Interest on the SVB revolving line of credit is currently charged at the prime rate plus 1.50%</w:t>
      </w:r>
      <w:r>
        <w:rPr>
          <w:sz w:val="20"/>
          <w:szCs w:val="20"/>
        </w:rPr>
        <w:t>. There is also a fee of one-half of 1% annually for the unused portion of the credit line. The debt is secured by all of the Company’s domestic assets and 65% of the shares in its offshore subsidiaries. Future acquisitions are subject to approval by SVB.</w:t>
      </w:r>
    </w:p>
    <w:p w14:paraId="49ADC362" w14:textId="77777777" w:rsidR="00000000" w:rsidRDefault="001826C1">
      <w:pPr>
        <w:pStyle w:val="a3"/>
        <w:spacing w:before="0" w:beforeAutospacing="0" w:after="0" w:afterAutospacing="0"/>
        <w:jc w:val="both"/>
        <w:rPr>
          <w:sz w:val="20"/>
          <w:szCs w:val="20"/>
        </w:rPr>
      </w:pPr>
      <w:r>
        <w:rPr>
          <w:sz w:val="20"/>
          <w:szCs w:val="20"/>
        </w:rPr>
        <w:t> </w:t>
      </w:r>
    </w:p>
    <w:p w14:paraId="2A2D6AB5" w14:textId="77777777" w:rsidR="00000000" w:rsidRDefault="001826C1">
      <w:pPr>
        <w:pStyle w:val="a3"/>
        <w:spacing w:before="0" w:beforeAutospacing="0" w:after="0" w:afterAutospacing="0"/>
        <w:jc w:val="both"/>
        <w:rPr>
          <w:sz w:val="20"/>
          <w:szCs w:val="20"/>
        </w:rPr>
      </w:pPr>
      <w:r>
        <w:rPr>
          <w:sz w:val="20"/>
          <w:szCs w:val="20"/>
        </w:rPr>
        <w:t>In connection with the original SVB debt agreement, the Company paid SVB approximately $50,000 of fees upfront and issued warrants for SVB to purchase 125,000 shares of its common stock, and committed to pay an annual anniversary fee of $50,000 a year. B</w:t>
      </w:r>
      <w:r>
        <w:rPr>
          <w:sz w:val="20"/>
          <w:szCs w:val="20"/>
        </w:rPr>
        <w:t>ased on the terms in the original SVB credit agreement, these warrants have a strike price equal to $3.92. They have a five-year exercise window and net exercise rights, and were valued at $3.12 per warrant. As a result of the revision in the SVB credit li</w:t>
      </w:r>
      <w:r>
        <w:rPr>
          <w:sz w:val="20"/>
          <w:szCs w:val="20"/>
        </w:rPr>
        <w:t>ne, which increased the credit line from $5 million to $10 million and reduced the interest rate by 25 basis points, the Company paid approximately $50,000 of fees upfront and issued an additional 28,489 warrants, with a strike price equal to $5.26, a five</w:t>
      </w:r>
      <w:r>
        <w:rPr>
          <w:sz w:val="20"/>
          <w:szCs w:val="20"/>
        </w:rPr>
        <w:t>-year exercise window and net exercise rights. The additional warrants were valued at $3.58 per warrant. The SVB credit agreement contains various covenants and conditions governing the revolving line of credit. These covenants include a minimum level of a</w:t>
      </w:r>
      <w:r>
        <w:rPr>
          <w:sz w:val="20"/>
          <w:szCs w:val="20"/>
        </w:rPr>
        <w:t>djusted EBITDA and a minimum liquidity ratio. At December 31, 2019 and 2018, the Company was in compliance with all covenants.</w:t>
      </w:r>
    </w:p>
    <w:p w14:paraId="2B636F02"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9625196" w14:textId="77777777">
        <w:trPr>
          <w:divId w:val="1541740648"/>
        </w:trPr>
        <w:tc>
          <w:tcPr>
            <w:tcW w:w="5000" w:type="pct"/>
            <w:hideMark/>
          </w:tcPr>
          <w:p w14:paraId="20A65D9F"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1</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38B907CD" w14:textId="77777777">
        <w:tc>
          <w:tcPr>
            <w:tcW w:w="5000" w:type="pct"/>
            <w:hideMark/>
          </w:tcPr>
          <w:p w14:paraId="3BE0C381" w14:textId="77777777" w:rsidR="00000000" w:rsidRDefault="001826C1">
            <w:pPr>
              <w:jc w:val="center"/>
              <w:rPr>
                <w:rFonts w:eastAsia="Times New Roman"/>
                <w:sz w:val="20"/>
                <w:szCs w:val="20"/>
              </w:rPr>
            </w:pPr>
            <w:r>
              <w:rPr>
                <w:rFonts w:eastAsia="Times New Roman"/>
                <w:sz w:val="20"/>
                <w:szCs w:val="20"/>
              </w:rPr>
              <w:t> </w:t>
            </w:r>
          </w:p>
        </w:tc>
      </w:tr>
    </w:tbl>
    <w:p w14:paraId="2D6D1871" w14:textId="77777777" w:rsidR="00000000" w:rsidRDefault="001826C1">
      <w:pPr>
        <w:pStyle w:val="a3"/>
        <w:spacing w:before="0" w:beforeAutospacing="0" w:after="0" w:afterAutospacing="0"/>
        <w:jc w:val="both"/>
        <w:rPr>
          <w:sz w:val="20"/>
          <w:szCs w:val="20"/>
        </w:rPr>
      </w:pPr>
      <w:r>
        <w:rPr>
          <w:sz w:val="20"/>
          <w:szCs w:val="20"/>
        </w:rPr>
        <w:t> </w:t>
      </w:r>
    </w:p>
    <w:p w14:paraId="4D4F8024" w14:textId="77777777" w:rsidR="00000000" w:rsidRDefault="001826C1">
      <w:pPr>
        <w:pStyle w:val="a3"/>
        <w:spacing w:before="0" w:beforeAutospacing="0" w:after="0" w:afterAutospacing="0"/>
        <w:jc w:val="both"/>
        <w:rPr>
          <w:sz w:val="20"/>
          <w:szCs w:val="20"/>
        </w:rPr>
      </w:pPr>
      <w:r>
        <w:rPr>
          <w:sz w:val="20"/>
          <w:szCs w:val="20"/>
        </w:rPr>
        <w:t xml:space="preserve">During November </w:t>
      </w:r>
      <w:r>
        <w:rPr>
          <w:sz w:val="20"/>
          <w:szCs w:val="20"/>
        </w:rPr>
        <w:t>2019 the Company modified its loan agreement with SVB, which adjusted the required monthly EBITDA amounts and does not require the Company to comply with financial covenants as long as there have been no borrowings on the revolving credit line for the prio</w:t>
      </w:r>
      <w:r>
        <w:rPr>
          <w:sz w:val="20"/>
          <w:szCs w:val="20"/>
        </w:rPr>
        <w:t>r six months.</w:t>
      </w:r>
    </w:p>
    <w:p w14:paraId="7DF3BDCA" w14:textId="77777777" w:rsidR="00000000" w:rsidRDefault="001826C1">
      <w:pPr>
        <w:pStyle w:val="a3"/>
        <w:spacing w:before="0" w:beforeAutospacing="0" w:after="0" w:afterAutospacing="0"/>
        <w:jc w:val="both"/>
        <w:rPr>
          <w:sz w:val="20"/>
          <w:szCs w:val="20"/>
        </w:rPr>
      </w:pPr>
      <w:r>
        <w:rPr>
          <w:sz w:val="20"/>
          <w:szCs w:val="20"/>
        </w:rPr>
        <w:t> </w:t>
      </w:r>
    </w:p>
    <w:p w14:paraId="0AC4F0FD" w14:textId="77777777" w:rsidR="00000000" w:rsidRDefault="001826C1">
      <w:pPr>
        <w:pStyle w:val="a3"/>
        <w:spacing w:before="0" w:beforeAutospacing="0" w:after="0" w:afterAutospacing="0"/>
        <w:jc w:val="both"/>
        <w:rPr>
          <w:sz w:val="20"/>
          <w:szCs w:val="20"/>
        </w:rPr>
      </w:pPr>
      <w:r>
        <w:rPr>
          <w:i/>
          <w:iCs/>
          <w:sz w:val="20"/>
          <w:szCs w:val="20"/>
        </w:rPr>
        <w:t>Vehicle Financing Notes</w:t>
      </w:r>
      <w:r>
        <w:rPr>
          <w:sz w:val="20"/>
          <w:szCs w:val="20"/>
        </w:rPr>
        <w:t xml:space="preserve"> — The Company financed certain vehicle purchases both in the United States and in Pakistan. The vehicle financing notes have three to six year terms and were issued at current market rates.</w:t>
      </w:r>
    </w:p>
    <w:p w14:paraId="405DBE1A" w14:textId="77777777" w:rsidR="00000000" w:rsidRDefault="001826C1">
      <w:pPr>
        <w:pStyle w:val="a3"/>
        <w:spacing w:before="0" w:beforeAutospacing="0" w:after="0" w:afterAutospacing="0"/>
        <w:jc w:val="both"/>
        <w:rPr>
          <w:sz w:val="20"/>
          <w:szCs w:val="20"/>
        </w:rPr>
      </w:pPr>
      <w:r>
        <w:rPr>
          <w:sz w:val="20"/>
          <w:szCs w:val="20"/>
        </w:rPr>
        <w:t> </w:t>
      </w:r>
    </w:p>
    <w:p w14:paraId="6752BB04" w14:textId="77777777" w:rsidR="00000000" w:rsidRDefault="001826C1">
      <w:pPr>
        <w:pStyle w:val="a3"/>
        <w:spacing w:before="0" w:beforeAutospacing="0" w:after="0" w:afterAutospacing="0"/>
        <w:jc w:val="both"/>
        <w:rPr>
          <w:sz w:val="20"/>
          <w:szCs w:val="20"/>
        </w:rPr>
      </w:pPr>
      <w:r>
        <w:rPr>
          <w:i/>
          <w:iCs/>
          <w:sz w:val="20"/>
          <w:szCs w:val="20"/>
        </w:rPr>
        <w:t>Insurance Financing</w:t>
      </w:r>
      <w:r>
        <w:rPr>
          <w:sz w:val="20"/>
          <w:szCs w:val="20"/>
        </w:rPr>
        <w:t xml:space="preserve"> — Th</w:t>
      </w:r>
      <w:r>
        <w:rPr>
          <w:sz w:val="20"/>
          <w:szCs w:val="20"/>
        </w:rPr>
        <w:t>e Company finances certain insurance purchases over the term of the policy life. The interest rate charged is 4.52%.</w:t>
      </w:r>
    </w:p>
    <w:p w14:paraId="6BDD84E8" w14:textId="77777777" w:rsidR="00000000" w:rsidRDefault="001826C1">
      <w:pPr>
        <w:pStyle w:val="a3"/>
        <w:spacing w:before="0" w:beforeAutospacing="0" w:after="0" w:afterAutospacing="0"/>
        <w:jc w:val="both"/>
        <w:rPr>
          <w:sz w:val="20"/>
          <w:szCs w:val="20"/>
        </w:rPr>
      </w:pPr>
      <w:r>
        <w:rPr>
          <w:sz w:val="20"/>
          <w:szCs w:val="20"/>
        </w:rPr>
        <w:t> </w:t>
      </w:r>
    </w:p>
    <w:p w14:paraId="2C40AD2C" w14:textId="77777777" w:rsidR="00000000" w:rsidRDefault="001826C1">
      <w:pPr>
        <w:pStyle w:val="a3"/>
        <w:spacing w:before="0" w:beforeAutospacing="0" w:after="0" w:afterAutospacing="0"/>
        <w:jc w:val="both"/>
        <w:rPr>
          <w:sz w:val="20"/>
          <w:szCs w:val="20"/>
        </w:rPr>
      </w:pPr>
      <w:r>
        <w:rPr>
          <w:i/>
          <w:iCs/>
          <w:sz w:val="20"/>
          <w:szCs w:val="20"/>
        </w:rPr>
        <w:t xml:space="preserve">Payable to Managed Practices — </w:t>
      </w:r>
      <w:r>
        <w:rPr>
          <w:sz w:val="20"/>
          <w:szCs w:val="20"/>
        </w:rPr>
        <w:t xml:space="preserve">As a result of the Orion acquisition, the Company assumed a payable to the managed practices at that time </w:t>
      </w:r>
      <w:r>
        <w:rPr>
          <w:sz w:val="20"/>
          <w:szCs w:val="20"/>
        </w:rPr>
        <w:t>of $236,000, which is non-interest bearing. As of December 31, 2019, the balance was $110,000.</w:t>
      </w:r>
    </w:p>
    <w:p w14:paraId="4840323F" w14:textId="77777777" w:rsidR="00000000" w:rsidRDefault="001826C1">
      <w:pPr>
        <w:pStyle w:val="a3"/>
        <w:spacing w:before="0" w:beforeAutospacing="0" w:after="0" w:afterAutospacing="0"/>
        <w:jc w:val="both"/>
        <w:rPr>
          <w:sz w:val="20"/>
          <w:szCs w:val="20"/>
        </w:rPr>
      </w:pPr>
      <w:r>
        <w:rPr>
          <w:sz w:val="20"/>
          <w:szCs w:val="20"/>
        </w:rPr>
        <w:t> </w:t>
      </w:r>
    </w:p>
    <w:p w14:paraId="61D47CBE" w14:textId="77777777" w:rsidR="00000000" w:rsidRDefault="001826C1">
      <w:pPr>
        <w:pStyle w:val="a3"/>
        <w:spacing w:before="0" w:beforeAutospacing="0" w:after="0" w:afterAutospacing="0"/>
        <w:jc w:val="both"/>
        <w:rPr>
          <w:sz w:val="20"/>
          <w:szCs w:val="20"/>
        </w:rPr>
      </w:pPr>
      <w:r>
        <w:rPr>
          <w:sz w:val="20"/>
          <w:szCs w:val="20"/>
        </w:rPr>
        <w:t>Maturities of the outstanding notes payable and other obligations as of December 31, 2019 are as follows:</w:t>
      </w:r>
    </w:p>
    <w:p w14:paraId="2FC26768" w14:textId="77777777" w:rsidR="00000000" w:rsidRDefault="001826C1">
      <w:pPr>
        <w:pStyle w:val="a3"/>
        <w:spacing w:before="0" w:beforeAutospacing="0" w:after="0" w:afterAutospacing="0"/>
        <w:jc w:val="both"/>
        <w:rPr>
          <w:sz w:val="20"/>
          <w:szCs w:val="20"/>
        </w:rPr>
      </w:pPr>
      <w:r>
        <w:rPr>
          <w:sz w:val="20"/>
          <w:szCs w:val="20"/>
        </w:rPr>
        <w:t> </w:t>
      </w:r>
    </w:p>
    <w:tbl>
      <w:tblPr>
        <w:tblW w:w="3750" w:type="pct"/>
        <w:tblCellMar>
          <w:left w:w="0" w:type="dxa"/>
          <w:right w:w="0" w:type="dxa"/>
        </w:tblCellMar>
        <w:tblLook w:val="04A0" w:firstRow="1" w:lastRow="0" w:firstColumn="1" w:lastColumn="0" w:noHBand="0" w:noVBand="1"/>
      </w:tblPr>
      <w:tblGrid>
        <w:gridCol w:w="1172"/>
        <w:gridCol w:w="51"/>
        <w:gridCol w:w="114"/>
        <w:gridCol w:w="101"/>
        <w:gridCol w:w="986"/>
        <w:gridCol w:w="51"/>
        <w:gridCol w:w="114"/>
        <w:gridCol w:w="101"/>
        <w:gridCol w:w="986"/>
        <w:gridCol w:w="51"/>
        <w:gridCol w:w="114"/>
        <w:gridCol w:w="101"/>
        <w:gridCol w:w="986"/>
        <w:gridCol w:w="51"/>
        <w:gridCol w:w="114"/>
        <w:gridCol w:w="100"/>
        <w:gridCol w:w="986"/>
        <w:gridCol w:w="51"/>
      </w:tblGrid>
      <w:tr w:rsidR="00000000" w14:paraId="0E9C41FD" w14:textId="77777777">
        <w:tc>
          <w:tcPr>
            <w:tcW w:w="0" w:type="auto"/>
            <w:tcBorders>
              <w:bottom w:val="single" w:sz="12" w:space="0" w:color="000000"/>
            </w:tcBorders>
            <w:vAlign w:val="bottom"/>
            <w:hideMark/>
          </w:tcPr>
          <w:p w14:paraId="5005C737" w14:textId="77777777" w:rsidR="00000000" w:rsidRDefault="001826C1">
            <w:pPr>
              <w:jc w:val="center"/>
              <w:rPr>
                <w:rFonts w:eastAsia="Times New Roman"/>
                <w:b/>
                <w:bCs/>
                <w:sz w:val="20"/>
                <w:szCs w:val="20"/>
              </w:rPr>
            </w:pPr>
            <w:r>
              <w:rPr>
                <w:rFonts w:eastAsia="Times New Roman"/>
                <w:b/>
                <w:bCs/>
                <w:sz w:val="20"/>
                <w:szCs w:val="20"/>
              </w:rPr>
              <w:t>Year ending December 31</w:t>
            </w:r>
          </w:p>
        </w:tc>
        <w:tc>
          <w:tcPr>
            <w:tcW w:w="0" w:type="auto"/>
            <w:tcMar>
              <w:top w:w="0" w:type="dxa"/>
              <w:left w:w="0" w:type="dxa"/>
              <w:bottom w:w="30" w:type="dxa"/>
              <w:right w:w="0" w:type="dxa"/>
            </w:tcMar>
            <w:vAlign w:val="bottom"/>
            <w:hideMark/>
          </w:tcPr>
          <w:p w14:paraId="08B858EF"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3387509"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7EE9430" w14:textId="77777777" w:rsidR="00000000" w:rsidRDefault="001826C1">
            <w:pPr>
              <w:jc w:val="center"/>
              <w:rPr>
                <w:rFonts w:eastAsia="Times New Roman"/>
                <w:b/>
                <w:bCs/>
                <w:sz w:val="20"/>
                <w:szCs w:val="20"/>
              </w:rPr>
            </w:pPr>
            <w:r>
              <w:rPr>
                <w:rFonts w:eastAsia="Times New Roman"/>
                <w:b/>
                <w:bCs/>
                <w:sz w:val="20"/>
                <w:szCs w:val="20"/>
              </w:rPr>
              <w:t>Vehicle</w:t>
            </w:r>
            <w:r>
              <w:rPr>
                <w:rFonts w:eastAsia="Times New Roman"/>
                <w:b/>
                <w:bCs/>
                <w:sz w:val="20"/>
                <w:szCs w:val="20"/>
              </w:rPr>
              <w:br/>
              <w:t>Financing</w:t>
            </w:r>
            <w:r>
              <w:rPr>
                <w:rFonts w:eastAsia="Times New Roman"/>
                <w:b/>
                <w:bCs/>
                <w:sz w:val="20"/>
                <w:szCs w:val="20"/>
              </w:rPr>
              <w:br/>
              <w:t>Notes</w:t>
            </w:r>
          </w:p>
        </w:tc>
        <w:tc>
          <w:tcPr>
            <w:tcW w:w="0" w:type="auto"/>
            <w:tcMar>
              <w:top w:w="0" w:type="dxa"/>
              <w:left w:w="0" w:type="dxa"/>
              <w:bottom w:w="30" w:type="dxa"/>
              <w:right w:w="0" w:type="dxa"/>
            </w:tcMar>
            <w:vAlign w:val="bottom"/>
            <w:hideMark/>
          </w:tcPr>
          <w:p w14:paraId="26B7DEF0"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6F06D6F"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0A329C6" w14:textId="77777777" w:rsidR="00000000" w:rsidRDefault="001826C1">
            <w:pPr>
              <w:jc w:val="center"/>
              <w:rPr>
                <w:rFonts w:eastAsia="Times New Roman"/>
                <w:b/>
                <w:bCs/>
                <w:sz w:val="20"/>
                <w:szCs w:val="20"/>
              </w:rPr>
            </w:pPr>
            <w:r>
              <w:rPr>
                <w:rFonts w:eastAsia="Times New Roman"/>
                <w:b/>
                <w:bCs/>
                <w:sz w:val="20"/>
                <w:szCs w:val="20"/>
              </w:rPr>
              <w:t>Insurance Financing</w:t>
            </w:r>
          </w:p>
        </w:tc>
        <w:tc>
          <w:tcPr>
            <w:tcW w:w="0" w:type="auto"/>
            <w:tcMar>
              <w:top w:w="0" w:type="dxa"/>
              <w:left w:w="0" w:type="dxa"/>
              <w:bottom w:w="30" w:type="dxa"/>
              <w:right w:w="0" w:type="dxa"/>
            </w:tcMar>
            <w:vAlign w:val="bottom"/>
            <w:hideMark/>
          </w:tcPr>
          <w:p w14:paraId="0E863A85"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E7FAC8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30A7C78" w14:textId="77777777" w:rsidR="00000000" w:rsidRDefault="001826C1">
            <w:pPr>
              <w:jc w:val="center"/>
              <w:rPr>
                <w:rFonts w:eastAsia="Times New Roman"/>
                <w:b/>
                <w:bCs/>
                <w:sz w:val="20"/>
                <w:szCs w:val="20"/>
              </w:rPr>
            </w:pPr>
            <w:r>
              <w:rPr>
                <w:rFonts w:eastAsia="Times New Roman"/>
                <w:b/>
                <w:bCs/>
                <w:sz w:val="20"/>
                <w:szCs w:val="20"/>
              </w:rPr>
              <w:t>Payable to Managed</w:t>
            </w:r>
            <w:r>
              <w:rPr>
                <w:rFonts w:eastAsia="Times New Roman"/>
                <w:b/>
                <w:bCs/>
                <w:sz w:val="20"/>
                <w:szCs w:val="20"/>
              </w:rPr>
              <w:br/>
              <w:t>Practices</w:t>
            </w:r>
          </w:p>
        </w:tc>
        <w:tc>
          <w:tcPr>
            <w:tcW w:w="0" w:type="auto"/>
            <w:tcMar>
              <w:top w:w="0" w:type="dxa"/>
              <w:left w:w="0" w:type="dxa"/>
              <w:bottom w:w="30" w:type="dxa"/>
              <w:right w:w="0" w:type="dxa"/>
            </w:tcMar>
            <w:vAlign w:val="bottom"/>
            <w:hideMark/>
          </w:tcPr>
          <w:p w14:paraId="1455B30E"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6C2E10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D4075B4" w14:textId="77777777" w:rsidR="00000000" w:rsidRDefault="001826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5CF06D41" w14:textId="77777777" w:rsidR="00000000" w:rsidRDefault="001826C1">
            <w:pPr>
              <w:rPr>
                <w:rFonts w:eastAsia="Times New Roman"/>
                <w:b/>
                <w:bCs/>
                <w:sz w:val="20"/>
                <w:szCs w:val="20"/>
              </w:rPr>
            </w:pPr>
            <w:r>
              <w:rPr>
                <w:rFonts w:eastAsia="Times New Roman"/>
                <w:b/>
                <w:bCs/>
                <w:sz w:val="20"/>
                <w:szCs w:val="20"/>
              </w:rPr>
              <w:t> </w:t>
            </w:r>
          </w:p>
        </w:tc>
      </w:tr>
      <w:tr w:rsidR="00000000" w14:paraId="25A55F35" w14:textId="77777777">
        <w:tc>
          <w:tcPr>
            <w:tcW w:w="950" w:type="pct"/>
            <w:shd w:val="clear" w:color="auto" w:fill="CCEEFF"/>
            <w:vAlign w:val="bottom"/>
            <w:hideMark/>
          </w:tcPr>
          <w:p w14:paraId="1B9C458E" w14:textId="77777777" w:rsidR="00000000" w:rsidRDefault="001826C1">
            <w:pPr>
              <w:rPr>
                <w:rFonts w:eastAsia="Times New Roman"/>
                <w:sz w:val="20"/>
                <w:szCs w:val="20"/>
              </w:rPr>
            </w:pPr>
            <w:r>
              <w:rPr>
                <w:rFonts w:eastAsia="Times New Roman"/>
                <w:sz w:val="20"/>
                <w:szCs w:val="20"/>
              </w:rPr>
              <w:t>2020</w:t>
            </w:r>
          </w:p>
        </w:tc>
        <w:tc>
          <w:tcPr>
            <w:tcW w:w="50" w:type="pct"/>
            <w:shd w:val="clear" w:color="auto" w:fill="CCEEFF"/>
            <w:vAlign w:val="bottom"/>
            <w:hideMark/>
          </w:tcPr>
          <w:p w14:paraId="5525065E"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8721D5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CDB65C0" w14:textId="77777777" w:rsidR="00000000" w:rsidRDefault="001826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27DB2881" w14:textId="77777777" w:rsidR="00000000" w:rsidRDefault="001826C1">
            <w:pPr>
              <w:jc w:val="right"/>
              <w:rPr>
                <w:rFonts w:eastAsia="Times New Roman"/>
                <w:sz w:val="20"/>
                <w:szCs w:val="20"/>
              </w:rPr>
            </w:pPr>
            <w:r>
              <w:rPr>
                <w:rFonts w:eastAsia="Times New Roman"/>
                <w:sz w:val="20"/>
                <w:szCs w:val="20"/>
              </w:rPr>
              <w:t>67,129</w:t>
            </w:r>
          </w:p>
        </w:tc>
        <w:tc>
          <w:tcPr>
            <w:tcW w:w="50" w:type="pct"/>
            <w:shd w:val="clear" w:color="auto" w:fill="CCEEFF"/>
            <w:vAlign w:val="bottom"/>
            <w:hideMark/>
          </w:tcPr>
          <w:p w14:paraId="1DADA7B8"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A0802E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0652A13" w14:textId="77777777" w:rsidR="00000000" w:rsidRDefault="001826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140BC491" w14:textId="77777777" w:rsidR="00000000" w:rsidRDefault="001826C1">
            <w:pPr>
              <w:jc w:val="right"/>
              <w:rPr>
                <w:rFonts w:eastAsia="Times New Roman"/>
                <w:sz w:val="20"/>
                <w:szCs w:val="20"/>
              </w:rPr>
            </w:pPr>
            <w:r>
              <w:rPr>
                <w:rFonts w:eastAsia="Times New Roman"/>
                <w:sz w:val="20"/>
                <w:szCs w:val="20"/>
              </w:rPr>
              <w:t>132,546</w:t>
            </w:r>
          </w:p>
        </w:tc>
        <w:tc>
          <w:tcPr>
            <w:tcW w:w="50" w:type="pct"/>
            <w:shd w:val="clear" w:color="auto" w:fill="CCEEFF"/>
            <w:vAlign w:val="bottom"/>
            <w:hideMark/>
          </w:tcPr>
          <w:p w14:paraId="2280A1DB"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3BCE045C"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98A00EE" w14:textId="77777777" w:rsidR="00000000" w:rsidRDefault="001826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6E529D8C" w14:textId="77777777" w:rsidR="00000000" w:rsidRDefault="001826C1">
            <w:pPr>
              <w:jc w:val="right"/>
              <w:rPr>
                <w:rFonts w:eastAsia="Times New Roman"/>
                <w:sz w:val="20"/>
                <w:szCs w:val="20"/>
              </w:rPr>
            </w:pPr>
            <w:r>
              <w:rPr>
                <w:rFonts w:eastAsia="Times New Roman"/>
                <w:sz w:val="20"/>
                <w:szCs w:val="20"/>
              </w:rPr>
              <w:t>84,000</w:t>
            </w:r>
          </w:p>
        </w:tc>
        <w:tc>
          <w:tcPr>
            <w:tcW w:w="50" w:type="pct"/>
            <w:shd w:val="clear" w:color="auto" w:fill="CCEEFF"/>
            <w:vAlign w:val="bottom"/>
            <w:hideMark/>
          </w:tcPr>
          <w:p w14:paraId="7273040F"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16FAB8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156D61" w14:textId="77777777" w:rsidR="00000000" w:rsidRDefault="001826C1">
            <w:pPr>
              <w:rPr>
                <w:rFonts w:eastAsia="Times New Roman"/>
                <w:sz w:val="20"/>
                <w:szCs w:val="20"/>
              </w:rPr>
            </w:pPr>
            <w:r>
              <w:rPr>
                <w:rFonts w:eastAsia="Times New Roman"/>
                <w:sz w:val="20"/>
                <w:szCs w:val="20"/>
              </w:rPr>
              <w:t>$</w:t>
            </w:r>
          </w:p>
        </w:tc>
        <w:tc>
          <w:tcPr>
            <w:tcW w:w="800" w:type="pct"/>
            <w:shd w:val="clear" w:color="auto" w:fill="CCEEFF"/>
            <w:vAlign w:val="bottom"/>
            <w:hideMark/>
          </w:tcPr>
          <w:p w14:paraId="751219AC" w14:textId="77777777" w:rsidR="00000000" w:rsidRDefault="001826C1">
            <w:pPr>
              <w:jc w:val="right"/>
              <w:rPr>
                <w:rFonts w:eastAsia="Times New Roman"/>
                <w:sz w:val="20"/>
                <w:szCs w:val="20"/>
              </w:rPr>
            </w:pPr>
            <w:r>
              <w:rPr>
                <w:rFonts w:eastAsia="Times New Roman"/>
                <w:sz w:val="20"/>
                <w:szCs w:val="20"/>
              </w:rPr>
              <w:t>283,675</w:t>
            </w:r>
          </w:p>
        </w:tc>
        <w:tc>
          <w:tcPr>
            <w:tcW w:w="50" w:type="pct"/>
            <w:shd w:val="clear" w:color="auto" w:fill="CCEEFF"/>
            <w:vAlign w:val="bottom"/>
            <w:hideMark/>
          </w:tcPr>
          <w:p w14:paraId="526FCA01" w14:textId="77777777" w:rsidR="00000000" w:rsidRDefault="001826C1">
            <w:pPr>
              <w:rPr>
                <w:rFonts w:eastAsia="Times New Roman"/>
                <w:sz w:val="20"/>
                <w:szCs w:val="20"/>
              </w:rPr>
            </w:pPr>
            <w:r>
              <w:rPr>
                <w:rFonts w:eastAsia="Times New Roman"/>
                <w:sz w:val="20"/>
                <w:szCs w:val="20"/>
              </w:rPr>
              <w:t> </w:t>
            </w:r>
          </w:p>
        </w:tc>
      </w:tr>
      <w:tr w:rsidR="00000000" w14:paraId="196F9D99" w14:textId="77777777">
        <w:tc>
          <w:tcPr>
            <w:tcW w:w="0" w:type="auto"/>
            <w:shd w:val="clear" w:color="auto" w:fill="FFFFFF"/>
            <w:vAlign w:val="bottom"/>
            <w:hideMark/>
          </w:tcPr>
          <w:p w14:paraId="54423BBC" w14:textId="77777777" w:rsidR="00000000" w:rsidRDefault="001826C1">
            <w:pPr>
              <w:rPr>
                <w:rFonts w:eastAsia="Times New Roman"/>
                <w:sz w:val="20"/>
                <w:szCs w:val="20"/>
              </w:rPr>
            </w:pPr>
            <w:r>
              <w:rPr>
                <w:rFonts w:eastAsia="Times New Roman"/>
                <w:sz w:val="20"/>
                <w:szCs w:val="20"/>
              </w:rPr>
              <w:t>2021</w:t>
            </w:r>
          </w:p>
        </w:tc>
        <w:tc>
          <w:tcPr>
            <w:tcW w:w="0" w:type="auto"/>
            <w:shd w:val="clear" w:color="auto" w:fill="FFFFFF"/>
            <w:vAlign w:val="bottom"/>
            <w:hideMark/>
          </w:tcPr>
          <w:p w14:paraId="0BFA80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4103E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3AC06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F39AE3" w14:textId="77777777" w:rsidR="00000000" w:rsidRDefault="001826C1">
            <w:pPr>
              <w:jc w:val="right"/>
              <w:rPr>
                <w:rFonts w:eastAsia="Times New Roman"/>
                <w:sz w:val="20"/>
                <w:szCs w:val="20"/>
              </w:rPr>
            </w:pPr>
            <w:r>
              <w:rPr>
                <w:rFonts w:eastAsia="Times New Roman"/>
                <w:sz w:val="20"/>
                <w:szCs w:val="20"/>
              </w:rPr>
              <w:t>37,410</w:t>
            </w:r>
          </w:p>
        </w:tc>
        <w:tc>
          <w:tcPr>
            <w:tcW w:w="0" w:type="auto"/>
            <w:shd w:val="clear" w:color="auto" w:fill="FFFFFF"/>
            <w:vAlign w:val="bottom"/>
            <w:hideMark/>
          </w:tcPr>
          <w:p w14:paraId="7289D9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5C42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797F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12350D"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48A05E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1EC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9E52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C00ABC" w14:textId="77777777" w:rsidR="00000000" w:rsidRDefault="001826C1">
            <w:pPr>
              <w:jc w:val="right"/>
              <w:rPr>
                <w:rFonts w:eastAsia="Times New Roman"/>
                <w:sz w:val="20"/>
                <w:szCs w:val="20"/>
              </w:rPr>
            </w:pPr>
            <w:r>
              <w:rPr>
                <w:rFonts w:eastAsia="Times New Roman"/>
                <w:sz w:val="20"/>
                <w:szCs w:val="20"/>
              </w:rPr>
              <w:t>26,000</w:t>
            </w:r>
          </w:p>
        </w:tc>
        <w:tc>
          <w:tcPr>
            <w:tcW w:w="0" w:type="auto"/>
            <w:shd w:val="clear" w:color="auto" w:fill="FFFFFF"/>
            <w:vAlign w:val="bottom"/>
            <w:hideMark/>
          </w:tcPr>
          <w:p w14:paraId="566881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475A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6B9F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CC7478" w14:textId="77777777" w:rsidR="00000000" w:rsidRDefault="001826C1">
            <w:pPr>
              <w:jc w:val="right"/>
              <w:rPr>
                <w:rFonts w:eastAsia="Times New Roman"/>
                <w:sz w:val="20"/>
                <w:szCs w:val="20"/>
              </w:rPr>
            </w:pPr>
            <w:r>
              <w:rPr>
                <w:rFonts w:eastAsia="Times New Roman"/>
                <w:sz w:val="20"/>
                <w:szCs w:val="20"/>
              </w:rPr>
              <w:t>63,410</w:t>
            </w:r>
          </w:p>
        </w:tc>
        <w:tc>
          <w:tcPr>
            <w:tcW w:w="0" w:type="auto"/>
            <w:shd w:val="clear" w:color="auto" w:fill="FFFFFF"/>
            <w:vAlign w:val="bottom"/>
            <w:hideMark/>
          </w:tcPr>
          <w:p w14:paraId="639D0257" w14:textId="77777777" w:rsidR="00000000" w:rsidRDefault="001826C1">
            <w:pPr>
              <w:rPr>
                <w:rFonts w:eastAsia="Times New Roman"/>
                <w:sz w:val="20"/>
                <w:szCs w:val="20"/>
              </w:rPr>
            </w:pPr>
            <w:r>
              <w:rPr>
                <w:rFonts w:eastAsia="Times New Roman"/>
                <w:sz w:val="20"/>
                <w:szCs w:val="20"/>
              </w:rPr>
              <w:t> </w:t>
            </w:r>
          </w:p>
        </w:tc>
      </w:tr>
      <w:tr w:rsidR="00000000" w14:paraId="7EA27BB7" w14:textId="77777777">
        <w:tc>
          <w:tcPr>
            <w:tcW w:w="0" w:type="auto"/>
            <w:shd w:val="clear" w:color="auto" w:fill="CCEEFF"/>
            <w:vAlign w:val="bottom"/>
            <w:hideMark/>
          </w:tcPr>
          <w:p w14:paraId="69FDAFD3" w14:textId="77777777" w:rsidR="00000000" w:rsidRDefault="001826C1">
            <w:pPr>
              <w:rPr>
                <w:rFonts w:eastAsia="Times New Roman"/>
                <w:sz w:val="20"/>
                <w:szCs w:val="20"/>
              </w:rPr>
            </w:pPr>
            <w:r>
              <w:rPr>
                <w:rFonts w:eastAsia="Times New Roman"/>
                <w:sz w:val="20"/>
                <w:szCs w:val="20"/>
              </w:rPr>
              <w:t>2022</w:t>
            </w:r>
          </w:p>
        </w:tc>
        <w:tc>
          <w:tcPr>
            <w:tcW w:w="0" w:type="auto"/>
            <w:shd w:val="clear" w:color="auto" w:fill="CCEEFF"/>
            <w:vAlign w:val="bottom"/>
            <w:hideMark/>
          </w:tcPr>
          <w:p w14:paraId="444F292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EAFF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14E65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98F55B" w14:textId="77777777" w:rsidR="00000000" w:rsidRDefault="001826C1">
            <w:pPr>
              <w:jc w:val="right"/>
              <w:rPr>
                <w:rFonts w:eastAsia="Times New Roman"/>
                <w:sz w:val="20"/>
                <w:szCs w:val="20"/>
              </w:rPr>
            </w:pPr>
            <w:r>
              <w:rPr>
                <w:rFonts w:eastAsia="Times New Roman"/>
                <w:sz w:val="20"/>
                <w:szCs w:val="20"/>
              </w:rPr>
              <w:t>15,171</w:t>
            </w:r>
          </w:p>
        </w:tc>
        <w:tc>
          <w:tcPr>
            <w:tcW w:w="0" w:type="auto"/>
            <w:shd w:val="clear" w:color="auto" w:fill="CCEEFF"/>
            <w:vAlign w:val="bottom"/>
            <w:hideMark/>
          </w:tcPr>
          <w:p w14:paraId="720988A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CD9F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70C4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3D3E1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2847A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5317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1C348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D01D6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A04082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BA937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B741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66F077" w14:textId="77777777" w:rsidR="00000000" w:rsidRDefault="001826C1">
            <w:pPr>
              <w:jc w:val="right"/>
              <w:rPr>
                <w:rFonts w:eastAsia="Times New Roman"/>
                <w:sz w:val="20"/>
                <w:szCs w:val="20"/>
              </w:rPr>
            </w:pPr>
            <w:r>
              <w:rPr>
                <w:rFonts w:eastAsia="Times New Roman"/>
                <w:sz w:val="20"/>
                <w:szCs w:val="20"/>
              </w:rPr>
              <w:t>15,171</w:t>
            </w:r>
          </w:p>
        </w:tc>
        <w:tc>
          <w:tcPr>
            <w:tcW w:w="0" w:type="auto"/>
            <w:shd w:val="clear" w:color="auto" w:fill="CCEEFF"/>
            <w:vAlign w:val="bottom"/>
            <w:hideMark/>
          </w:tcPr>
          <w:p w14:paraId="2823C0A6" w14:textId="77777777" w:rsidR="00000000" w:rsidRDefault="001826C1">
            <w:pPr>
              <w:rPr>
                <w:rFonts w:eastAsia="Times New Roman"/>
                <w:sz w:val="20"/>
                <w:szCs w:val="20"/>
              </w:rPr>
            </w:pPr>
            <w:r>
              <w:rPr>
                <w:rFonts w:eastAsia="Times New Roman"/>
                <w:sz w:val="20"/>
                <w:szCs w:val="20"/>
              </w:rPr>
              <w:t> </w:t>
            </w:r>
          </w:p>
        </w:tc>
      </w:tr>
      <w:tr w:rsidR="00000000" w14:paraId="1869807E" w14:textId="77777777">
        <w:tc>
          <w:tcPr>
            <w:tcW w:w="0" w:type="auto"/>
            <w:shd w:val="clear" w:color="auto" w:fill="FFFFFF"/>
            <w:tcMar>
              <w:top w:w="0" w:type="dxa"/>
              <w:left w:w="0" w:type="dxa"/>
              <w:bottom w:w="30" w:type="dxa"/>
              <w:right w:w="0" w:type="dxa"/>
            </w:tcMar>
            <w:vAlign w:val="bottom"/>
            <w:hideMark/>
          </w:tcPr>
          <w:p w14:paraId="3A710C66" w14:textId="77777777" w:rsidR="00000000" w:rsidRDefault="001826C1">
            <w:pPr>
              <w:rPr>
                <w:rFonts w:eastAsia="Times New Roman"/>
                <w:sz w:val="20"/>
                <w:szCs w:val="20"/>
              </w:rPr>
            </w:pPr>
            <w:r>
              <w:rPr>
                <w:rFonts w:eastAsia="Times New Roman"/>
                <w:sz w:val="20"/>
                <w:szCs w:val="20"/>
              </w:rPr>
              <w:t>2023</w:t>
            </w:r>
          </w:p>
        </w:tc>
        <w:tc>
          <w:tcPr>
            <w:tcW w:w="0" w:type="auto"/>
            <w:shd w:val="clear" w:color="auto" w:fill="FFFFFF"/>
            <w:tcMar>
              <w:top w:w="0" w:type="dxa"/>
              <w:left w:w="0" w:type="dxa"/>
              <w:bottom w:w="30" w:type="dxa"/>
              <w:right w:w="0" w:type="dxa"/>
            </w:tcMar>
            <w:vAlign w:val="bottom"/>
            <w:hideMark/>
          </w:tcPr>
          <w:p w14:paraId="1DF574B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C8AFA7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AB6FE8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500292" w14:textId="77777777" w:rsidR="00000000" w:rsidRDefault="001826C1">
            <w:pPr>
              <w:jc w:val="right"/>
              <w:rPr>
                <w:rFonts w:eastAsia="Times New Roman"/>
                <w:sz w:val="20"/>
                <w:szCs w:val="20"/>
              </w:rPr>
            </w:pPr>
            <w:r>
              <w:rPr>
                <w:rFonts w:eastAsia="Times New Roman"/>
                <w:sz w:val="20"/>
                <w:szCs w:val="20"/>
              </w:rPr>
              <w:t>4,694</w:t>
            </w:r>
          </w:p>
        </w:tc>
        <w:tc>
          <w:tcPr>
            <w:tcW w:w="0" w:type="auto"/>
            <w:shd w:val="clear" w:color="auto" w:fill="FFFFFF"/>
            <w:tcMar>
              <w:top w:w="0" w:type="dxa"/>
              <w:left w:w="0" w:type="dxa"/>
              <w:bottom w:w="30" w:type="dxa"/>
              <w:right w:w="0" w:type="dxa"/>
            </w:tcMar>
            <w:vAlign w:val="bottom"/>
            <w:hideMark/>
          </w:tcPr>
          <w:p w14:paraId="1D7F805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F6B79A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925B7C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7093B0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1829F8D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D3C61F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08819D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0548C1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68F74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888334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C24002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C26145C" w14:textId="77777777" w:rsidR="00000000" w:rsidRDefault="001826C1">
            <w:pPr>
              <w:jc w:val="right"/>
              <w:rPr>
                <w:rFonts w:eastAsia="Times New Roman"/>
                <w:sz w:val="20"/>
                <w:szCs w:val="20"/>
              </w:rPr>
            </w:pPr>
            <w:r>
              <w:rPr>
                <w:rFonts w:eastAsia="Times New Roman"/>
                <w:sz w:val="20"/>
                <w:szCs w:val="20"/>
              </w:rPr>
              <w:t>4,694</w:t>
            </w:r>
          </w:p>
        </w:tc>
        <w:tc>
          <w:tcPr>
            <w:tcW w:w="0" w:type="auto"/>
            <w:shd w:val="clear" w:color="auto" w:fill="FFFFFF"/>
            <w:tcMar>
              <w:top w:w="0" w:type="dxa"/>
              <w:left w:w="0" w:type="dxa"/>
              <w:bottom w:w="30" w:type="dxa"/>
              <w:right w:w="0" w:type="dxa"/>
            </w:tcMar>
            <w:vAlign w:val="bottom"/>
            <w:hideMark/>
          </w:tcPr>
          <w:p w14:paraId="4BE7D880" w14:textId="77777777" w:rsidR="00000000" w:rsidRDefault="001826C1">
            <w:pPr>
              <w:rPr>
                <w:rFonts w:eastAsia="Times New Roman"/>
                <w:sz w:val="20"/>
                <w:szCs w:val="20"/>
              </w:rPr>
            </w:pPr>
            <w:r>
              <w:rPr>
                <w:rFonts w:eastAsia="Times New Roman"/>
                <w:sz w:val="20"/>
                <w:szCs w:val="20"/>
              </w:rPr>
              <w:t> </w:t>
            </w:r>
          </w:p>
        </w:tc>
      </w:tr>
      <w:tr w:rsidR="00000000" w14:paraId="74D49B84" w14:textId="77777777">
        <w:tc>
          <w:tcPr>
            <w:tcW w:w="0" w:type="auto"/>
            <w:shd w:val="clear" w:color="auto" w:fill="CCEEFF"/>
            <w:tcMar>
              <w:top w:w="0" w:type="dxa"/>
              <w:left w:w="0" w:type="dxa"/>
              <w:bottom w:w="50" w:type="dxa"/>
              <w:right w:w="0" w:type="dxa"/>
            </w:tcMar>
            <w:vAlign w:val="bottom"/>
            <w:hideMark/>
          </w:tcPr>
          <w:p w14:paraId="22731B05"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34E05FF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ECE55B5"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BAC576"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4362F5C" w14:textId="77777777" w:rsidR="00000000" w:rsidRDefault="001826C1">
            <w:pPr>
              <w:jc w:val="right"/>
              <w:rPr>
                <w:rFonts w:eastAsia="Times New Roman"/>
                <w:sz w:val="20"/>
                <w:szCs w:val="20"/>
              </w:rPr>
            </w:pPr>
            <w:r>
              <w:rPr>
                <w:rFonts w:eastAsia="Times New Roman"/>
                <w:sz w:val="20"/>
                <w:szCs w:val="20"/>
              </w:rPr>
              <w:t>124,404</w:t>
            </w:r>
          </w:p>
        </w:tc>
        <w:tc>
          <w:tcPr>
            <w:tcW w:w="0" w:type="auto"/>
            <w:shd w:val="clear" w:color="auto" w:fill="CCEEFF"/>
            <w:tcMar>
              <w:top w:w="0" w:type="dxa"/>
              <w:left w:w="0" w:type="dxa"/>
              <w:bottom w:w="50" w:type="dxa"/>
              <w:right w:w="0" w:type="dxa"/>
            </w:tcMar>
            <w:vAlign w:val="bottom"/>
            <w:hideMark/>
          </w:tcPr>
          <w:p w14:paraId="3DC3C1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9D1E76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4A6AEB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298A401C" w14:textId="77777777" w:rsidR="00000000" w:rsidRDefault="001826C1">
            <w:pPr>
              <w:jc w:val="right"/>
              <w:rPr>
                <w:rFonts w:eastAsia="Times New Roman"/>
                <w:sz w:val="20"/>
                <w:szCs w:val="20"/>
              </w:rPr>
            </w:pPr>
            <w:r>
              <w:rPr>
                <w:rFonts w:eastAsia="Times New Roman"/>
                <w:sz w:val="20"/>
                <w:szCs w:val="20"/>
              </w:rPr>
              <w:t>132,546</w:t>
            </w:r>
          </w:p>
        </w:tc>
        <w:tc>
          <w:tcPr>
            <w:tcW w:w="0" w:type="auto"/>
            <w:shd w:val="clear" w:color="auto" w:fill="CCEEFF"/>
            <w:tcMar>
              <w:top w:w="0" w:type="dxa"/>
              <w:left w:w="0" w:type="dxa"/>
              <w:bottom w:w="50" w:type="dxa"/>
              <w:right w:w="0" w:type="dxa"/>
            </w:tcMar>
            <w:vAlign w:val="bottom"/>
            <w:hideMark/>
          </w:tcPr>
          <w:p w14:paraId="37CA35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374878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8815B0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58E12D4" w14:textId="77777777" w:rsidR="00000000" w:rsidRDefault="001826C1">
            <w:pPr>
              <w:jc w:val="right"/>
              <w:rPr>
                <w:rFonts w:eastAsia="Times New Roman"/>
                <w:sz w:val="20"/>
                <w:szCs w:val="20"/>
              </w:rPr>
            </w:pPr>
            <w:r>
              <w:rPr>
                <w:rFonts w:eastAsia="Times New Roman"/>
                <w:sz w:val="20"/>
                <w:szCs w:val="20"/>
              </w:rPr>
              <w:t>110,000</w:t>
            </w:r>
          </w:p>
        </w:tc>
        <w:tc>
          <w:tcPr>
            <w:tcW w:w="0" w:type="auto"/>
            <w:shd w:val="clear" w:color="auto" w:fill="CCEEFF"/>
            <w:tcMar>
              <w:top w:w="0" w:type="dxa"/>
              <w:left w:w="0" w:type="dxa"/>
              <w:bottom w:w="50" w:type="dxa"/>
              <w:right w:w="0" w:type="dxa"/>
            </w:tcMar>
            <w:vAlign w:val="bottom"/>
            <w:hideMark/>
          </w:tcPr>
          <w:p w14:paraId="16752F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8AA1FD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194B63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11EB1B8" w14:textId="77777777" w:rsidR="00000000" w:rsidRDefault="001826C1">
            <w:pPr>
              <w:jc w:val="right"/>
              <w:rPr>
                <w:rFonts w:eastAsia="Times New Roman"/>
                <w:sz w:val="20"/>
                <w:szCs w:val="20"/>
              </w:rPr>
            </w:pPr>
            <w:r>
              <w:rPr>
                <w:rFonts w:eastAsia="Times New Roman"/>
                <w:sz w:val="20"/>
                <w:szCs w:val="20"/>
              </w:rPr>
              <w:t>366,950</w:t>
            </w:r>
          </w:p>
        </w:tc>
        <w:tc>
          <w:tcPr>
            <w:tcW w:w="0" w:type="auto"/>
            <w:shd w:val="clear" w:color="auto" w:fill="CCEEFF"/>
            <w:tcMar>
              <w:top w:w="0" w:type="dxa"/>
              <w:left w:w="0" w:type="dxa"/>
              <w:bottom w:w="50" w:type="dxa"/>
              <w:right w:w="0" w:type="dxa"/>
            </w:tcMar>
            <w:vAlign w:val="bottom"/>
            <w:hideMark/>
          </w:tcPr>
          <w:p w14:paraId="7194CEF6" w14:textId="77777777" w:rsidR="00000000" w:rsidRDefault="001826C1">
            <w:pPr>
              <w:rPr>
                <w:rFonts w:eastAsia="Times New Roman"/>
                <w:sz w:val="20"/>
                <w:szCs w:val="20"/>
              </w:rPr>
            </w:pPr>
            <w:r>
              <w:rPr>
                <w:rFonts w:eastAsia="Times New Roman"/>
                <w:sz w:val="20"/>
                <w:szCs w:val="20"/>
              </w:rPr>
              <w:t> </w:t>
            </w:r>
          </w:p>
        </w:tc>
      </w:tr>
    </w:tbl>
    <w:p w14:paraId="1B5F0360"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26ABA3BE" w14:textId="77777777">
        <w:tc>
          <w:tcPr>
            <w:tcW w:w="360" w:type="dxa"/>
            <w:hideMark/>
          </w:tcPr>
          <w:p w14:paraId="27114D6C" w14:textId="77777777" w:rsidR="00000000" w:rsidRDefault="001826C1">
            <w:pPr>
              <w:rPr>
                <w:rFonts w:eastAsia="Times New Roman"/>
                <w:b/>
                <w:bCs/>
                <w:caps/>
                <w:sz w:val="20"/>
                <w:szCs w:val="20"/>
              </w:rPr>
            </w:pPr>
            <w:r>
              <w:rPr>
                <w:rFonts w:eastAsia="Times New Roman"/>
                <w:b/>
                <w:bCs/>
                <w:caps/>
                <w:sz w:val="20"/>
                <w:szCs w:val="20"/>
              </w:rPr>
              <w:t>9.</w:t>
            </w:r>
          </w:p>
        </w:tc>
        <w:tc>
          <w:tcPr>
            <w:tcW w:w="0" w:type="auto"/>
            <w:hideMark/>
          </w:tcPr>
          <w:p w14:paraId="5DD3F004" w14:textId="77777777" w:rsidR="00000000" w:rsidRDefault="001826C1">
            <w:pPr>
              <w:rPr>
                <w:rFonts w:eastAsia="Times New Roman"/>
                <w:b/>
                <w:bCs/>
                <w:caps/>
                <w:sz w:val="20"/>
                <w:szCs w:val="20"/>
              </w:rPr>
            </w:pPr>
            <w:r>
              <w:rPr>
                <w:rFonts w:eastAsia="Times New Roman"/>
                <w:b/>
                <w:bCs/>
                <w:caps/>
                <w:sz w:val="20"/>
                <w:szCs w:val="20"/>
              </w:rPr>
              <w:t>REVENUE</w:t>
            </w:r>
          </w:p>
        </w:tc>
      </w:tr>
    </w:tbl>
    <w:p w14:paraId="21B58525" w14:textId="77777777" w:rsidR="00000000" w:rsidRDefault="001826C1">
      <w:pPr>
        <w:pStyle w:val="a3"/>
        <w:spacing w:before="0" w:beforeAutospacing="0" w:after="0" w:afterAutospacing="0"/>
        <w:jc w:val="both"/>
        <w:rPr>
          <w:sz w:val="20"/>
          <w:szCs w:val="20"/>
        </w:rPr>
      </w:pPr>
      <w:r>
        <w:rPr>
          <w:b/>
          <w:bCs/>
          <w:sz w:val="20"/>
          <w:szCs w:val="20"/>
        </w:rPr>
        <w:t> </w:t>
      </w:r>
    </w:p>
    <w:p w14:paraId="4BC19D1B" w14:textId="77777777" w:rsidR="00000000" w:rsidRDefault="001826C1">
      <w:pPr>
        <w:pStyle w:val="a3"/>
        <w:shd w:val="clear" w:color="auto" w:fill="FFFFFF"/>
        <w:spacing w:before="0" w:beforeAutospacing="0" w:after="0" w:afterAutospacing="0"/>
        <w:jc w:val="both"/>
        <w:rPr>
          <w:sz w:val="20"/>
          <w:szCs w:val="20"/>
        </w:rPr>
      </w:pPr>
      <w:r>
        <w:rPr>
          <w:i/>
          <w:iCs/>
          <w:sz w:val="20"/>
          <w:szCs w:val="20"/>
        </w:rPr>
        <w:t>Introduction</w:t>
      </w:r>
    </w:p>
    <w:p w14:paraId="5DB4E548"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7FCCD824"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The Company accounts for revenue in accordance with ASC 606, </w:t>
      </w:r>
      <w:r>
        <w:rPr>
          <w:i/>
          <w:iCs/>
          <w:sz w:val="20"/>
          <w:szCs w:val="20"/>
        </w:rPr>
        <w:t>Revenue from Contracts with Customers</w:t>
      </w:r>
      <w:r>
        <w:rPr>
          <w:sz w:val="20"/>
          <w:szCs w:val="20"/>
        </w:rPr>
        <w:t xml:space="preserve">, which was adopted January </w:t>
      </w:r>
      <w:r>
        <w:rPr>
          <w:sz w:val="20"/>
          <w:szCs w:val="20"/>
        </w:rPr>
        <w:t>1, 2018 using the modified retrospective method. All revenue is recognized as our performance obligations are satisfied. A performance obligation is a promise in a contract to transfer a distinct good or service to a customer, and is the unit of account un</w:t>
      </w:r>
      <w:r>
        <w:rPr>
          <w:sz w:val="20"/>
          <w:szCs w:val="20"/>
        </w:rPr>
        <w:t>der ASC 606. Under the new standard, the Company recognizes revenue when the revenue cycle management services begin on the medical billing claims, which is generally upon receipt of the claim from the provider. For revenue cycle management services, the C</w:t>
      </w:r>
      <w:r>
        <w:rPr>
          <w:sz w:val="20"/>
          <w:szCs w:val="20"/>
        </w:rPr>
        <w:t>ompany estimates the value of the consideration it will earn over the remaining contractual period as our services are provided and recognizes the fees over the term; this estimation involves predicting the amounts our clients will ultimately collect assoc</w:t>
      </w:r>
      <w:r>
        <w:rPr>
          <w:sz w:val="20"/>
          <w:szCs w:val="20"/>
        </w:rPr>
        <w:t>iated with the services they provided. Certain significant estimates, such as payment-to-charge ratios, effective billing rates and the estimated contractual payment periods are required to measure revenue cycle management revenue under the new standard. T</w:t>
      </w:r>
      <w:r>
        <w:rPr>
          <w:sz w:val="20"/>
          <w:szCs w:val="20"/>
        </w:rPr>
        <w:t>he timing of the revenue recognition of our other revenue streams were not materially impacted by the adoption of ASC 606.</w:t>
      </w:r>
    </w:p>
    <w:p w14:paraId="708CC6E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63B66B7F" w14:textId="77777777" w:rsidR="00000000" w:rsidRDefault="001826C1">
      <w:pPr>
        <w:pStyle w:val="a3"/>
        <w:shd w:val="clear" w:color="auto" w:fill="FFFFFF"/>
        <w:spacing w:before="0" w:beforeAutospacing="0" w:after="0" w:afterAutospacing="0"/>
        <w:jc w:val="both"/>
        <w:rPr>
          <w:sz w:val="20"/>
          <w:szCs w:val="20"/>
        </w:rPr>
      </w:pPr>
      <w:r>
        <w:rPr>
          <w:sz w:val="20"/>
          <w:szCs w:val="20"/>
        </w:rPr>
        <w:t>Most of our current contracts with customers contain a single performance obligation. For contracts where we provide multiple servi</w:t>
      </w:r>
      <w:r>
        <w:rPr>
          <w:sz w:val="20"/>
          <w:szCs w:val="20"/>
        </w:rPr>
        <w:t>ces, such as where we perform multiple ancillary services, each service represents its own performance obligation. Selling prices are based on the contractual price for the service.</w:t>
      </w:r>
    </w:p>
    <w:p w14:paraId="6846C52B"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E07013F" w14:textId="77777777" w:rsidR="00000000" w:rsidRDefault="001826C1">
      <w:pPr>
        <w:pStyle w:val="a3"/>
        <w:spacing w:before="0" w:beforeAutospacing="0" w:after="0" w:afterAutospacing="0"/>
        <w:jc w:val="both"/>
        <w:rPr>
          <w:i/>
          <w:iCs/>
          <w:sz w:val="20"/>
          <w:szCs w:val="20"/>
        </w:rPr>
      </w:pPr>
      <w:r>
        <w:rPr>
          <w:sz w:val="20"/>
          <w:szCs w:val="20"/>
        </w:rPr>
        <w:t>We apply the portfolio approach as permitted by ASC 606 as a practical e</w:t>
      </w:r>
      <w:r>
        <w:rPr>
          <w:sz w:val="20"/>
          <w:szCs w:val="20"/>
        </w:rPr>
        <w:t>xpedient to contracts with similar characteristics and we use estimates and assumptions when accounting for those portfolios. Our contracts generally include standard commercial payment terms. We have no significant obligations for refunds, warranties or s</w:t>
      </w:r>
      <w:r>
        <w:rPr>
          <w:sz w:val="20"/>
          <w:szCs w:val="20"/>
        </w:rPr>
        <w:t>imilar obligations and our revenue does not include taxes collected from our customers.</w:t>
      </w:r>
    </w:p>
    <w:p w14:paraId="6DC7CD0A" w14:textId="77777777" w:rsidR="00000000" w:rsidRDefault="001826C1">
      <w:pPr>
        <w:pStyle w:val="a3"/>
        <w:spacing w:before="0" w:beforeAutospacing="0" w:after="0" w:afterAutospacing="0"/>
        <w:jc w:val="both"/>
        <w:rPr>
          <w:i/>
          <w:iCs/>
          <w:sz w:val="20"/>
          <w:szCs w:val="20"/>
        </w:rPr>
      </w:pPr>
      <w:r>
        <w:rPr>
          <w:i/>
          <w:iCs/>
          <w:sz w:val="20"/>
          <w:szCs w:val="20"/>
        </w:rPr>
        <w:t> </w:t>
      </w:r>
    </w:p>
    <w:p w14:paraId="2511DBEA" w14:textId="77777777" w:rsidR="00000000" w:rsidRDefault="001826C1">
      <w:pPr>
        <w:pStyle w:val="a3"/>
        <w:spacing w:before="0" w:beforeAutospacing="0" w:after="0" w:afterAutospacing="0"/>
        <w:jc w:val="both"/>
        <w:rPr>
          <w:i/>
          <w:iCs/>
          <w:sz w:val="20"/>
          <w:szCs w:val="20"/>
        </w:rPr>
      </w:pPr>
      <w:r>
        <w:rPr>
          <w:i/>
          <w:iCs/>
          <w:sz w:val="20"/>
          <w:szCs w:val="20"/>
        </w:rPr>
        <w:t>Disaggregation of Revenue from Contracts with Customers</w:t>
      </w:r>
    </w:p>
    <w:p w14:paraId="392E6D69" w14:textId="77777777" w:rsidR="00000000" w:rsidRDefault="001826C1">
      <w:pPr>
        <w:pStyle w:val="a3"/>
        <w:spacing w:before="0" w:beforeAutospacing="0" w:after="0" w:afterAutospacing="0"/>
        <w:jc w:val="both"/>
        <w:rPr>
          <w:sz w:val="20"/>
          <w:szCs w:val="20"/>
        </w:rPr>
      </w:pPr>
      <w:r>
        <w:rPr>
          <w:sz w:val="20"/>
          <w:szCs w:val="20"/>
        </w:rPr>
        <w:t> </w:t>
      </w:r>
    </w:p>
    <w:p w14:paraId="452820F9" w14:textId="77777777" w:rsidR="00000000" w:rsidRDefault="001826C1">
      <w:pPr>
        <w:pStyle w:val="a3"/>
        <w:shd w:val="clear" w:color="auto" w:fill="FFFFFF"/>
        <w:spacing w:before="0" w:beforeAutospacing="0" w:after="0" w:afterAutospacing="0"/>
        <w:jc w:val="both"/>
        <w:rPr>
          <w:sz w:val="20"/>
          <w:szCs w:val="20"/>
        </w:rPr>
      </w:pPr>
      <w:r>
        <w:rPr>
          <w:sz w:val="20"/>
          <w:szCs w:val="20"/>
        </w:rPr>
        <w:t>We derive revenue from seven primary sources: revenue cycle management services, practice management service</w:t>
      </w:r>
      <w:r>
        <w:rPr>
          <w:sz w:val="20"/>
          <w:szCs w:val="20"/>
        </w:rPr>
        <w:t>s, professional services, ancillary services, group purchasing services, printing and mailing services, and clearinghouse and EDI (electronic data interchange) services.</w:t>
      </w:r>
    </w:p>
    <w:p w14:paraId="2F85C367"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5A0709B" w14:textId="77777777">
        <w:trPr>
          <w:divId w:val="576090083"/>
        </w:trPr>
        <w:tc>
          <w:tcPr>
            <w:tcW w:w="5000" w:type="pct"/>
            <w:hideMark/>
          </w:tcPr>
          <w:p w14:paraId="39A6232E"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6EA5A4CB" w14:textId="77777777">
        <w:tc>
          <w:tcPr>
            <w:tcW w:w="5000" w:type="pct"/>
            <w:hideMark/>
          </w:tcPr>
          <w:p w14:paraId="670CBC6E" w14:textId="77777777" w:rsidR="00000000" w:rsidRDefault="001826C1">
            <w:pPr>
              <w:jc w:val="center"/>
              <w:rPr>
                <w:rFonts w:eastAsia="Times New Roman"/>
                <w:sz w:val="20"/>
                <w:szCs w:val="20"/>
              </w:rPr>
            </w:pPr>
            <w:r>
              <w:rPr>
                <w:rFonts w:eastAsia="Times New Roman"/>
                <w:sz w:val="20"/>
                <w:szCs w:val="20"/>
              </w:rPr>
              <w:t> </w:t>
            </w:r>
          </w:p>
        </w:tc>
      </w:tr>
    </w:tbl>
    <w:p w14:paraId="63B001F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72487B9B" w14:textId="77777777" w:rsidR="00000000" w:rsidRDefault="001826C1">
      <w:pPr>
        <w:pStyle w:val="a3"/>
        <w:shd w:val="clear" w:color="auto" w:fill="FFFFFF"/>
        <w:spacing w:before="0" w:beforeAutospacing="0" w:after="0" w:afterAutospacing="0"/>
        <w:jc w:val="both"/>
        <w:rPr>
          <w:sz w:val="20"/>
          <w:szCs w:val="20"/>
        </w:rPr>
      </w:pPr>
      <w:r>
        <w:rPr>
          <w:sz w:val="20"/>
          <w:szCs w:val="20"/>
        </w:rPr>
        <w:t>The following table represents a disaggregation of revenue for the years</w:t>
      </w:r>
      <w:r>
        <w:rPr>
          <w:sz w:val="20"/>
          <w:szCs w:val="20"/>
        </w:rPr>
        <w:t xml:space="preserve"> ended December 31, 2019 and 2018:</w:t>
      </w:r>
    </w:p>
    <w:p w14:paraId="61BAD47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755"/>
        <w:gridCol w:w="64"/>
        <w:gridCol w:w="100"/>
        <w:gridCol w:w="900"/>
        <w:gridCol w:w="50"/>
        <w:gridCol w:w="65"/>
        <w:gridCol w:w="100"/>
        <w:gridCol w:w="900"/>
        <w:gridCol w:w="50"/>
      </w:tblGrid>
      <w:tr w:rsidR="00000000" w14:paraId="29EE9550" w14:textId="77777777">
        <w:tc>
          <w:tcPr>
            <w:tcW w:w="0" w:type="auto"/>
            <w:tcMar>
              <w:top w:w="0" w:type="dxa"/>
              <w:left w:w="0" w:type="dxa"/>
              <w:bottom w:w="30" w:type="dxa"/>
              <w:right w:w="0" w:type="dxa"/>
            </w:tcMar>
            <w:vAlign w:val="bottom"/>
            <w:hideMark/>
          </w:tcPr>
          <w:p w14:paraId="57755CC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C742032"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1E03EDF7" w14:textId="77777777" w:rsidR="00000000" w:rsidRDefault="001826C1">
            <w:pPr>
              <w:jc w:val="center"/>
              <w:rPr>
                <w:rFonts w:eastAsia="Times New Roman"/>
                <w:b/>
                <w:bCs/>
                <w:sz w:val="20"/>
                <w:szCs w:val="20"/>
              </w:rPr>
            </w:pPr>
            <w:r>
              <w:rPr>
                <w:rFonts w:eastAsia="Times New Roman"/>
                <w:b/>
                <w:bCs/>
                <w:sz w:val="20"/>
                <w:szCs w:val="20"/>
              </w:rPr>
              <w:t xml:space="preserve">Year Ended </w:t>
            </w:r>
            <w:r>
              <w:rPr>
                <w:rFonts w:eastAsia="Times New Roman"/>
                <w:b/>
                <w:bCs/>
                <w:sz w:val="20"/>
                <w:szCs w:val="20"/>
                <w:u w:val="single"/>
              </w:rPr>
              <w:br/>
            </w:r>
            <w:r>
              <w:rPr>
                <w:rFonts w:eastAsia="Times New Roman"/>
                <w:b/>
                <w:bCs/>
                <w:sz w:val="20"/>
                <w:szCs w:val="20"/>
              </w:rPr>
              <w:t>December 31,</w:t>
            </w:r>
          </w:p>
        </w:tc>
        <w:tc>
          <w:tcPr>
            <w:tcW w:w="0" w:type="auto"/>
            <w:tcMar>
              <w:top w:w="0" w:type="dxa"/>
              <w:left w:w="0" w:type="dxa"/>
              <w:bottom w:w="30" w:type="dxa"/>
              <w:right w:w="0" w:type="dxa"/>
            </w:tcMar>
            <w:vAlign w:val="bottom"/>
            <w:hideMark/>
          </w:tcPr>
          <w:p w14:paraId="17CCE15E" w14:textId="77777777" w:rsidR="00000000" w:rsidRDefault="001826C1">
            <w:pPr>
              <w:rPr>
                <w:rFonts w:eastAsia="Times New Roman"/>
                <w:b/>
                <w:bCs/>
                <w:sz w:val="20"/>
                <w:szCs w:val="20"/>
              </w:rPr>
            </w:pPr>
            <w:r>
              <w:rPr>
                <w:rFonts w:eastAsia="Times New Roman"/>
                <w:b/>
                <w:bCs/>
                <w:sz w:val="20"/>
                <w:szCs w:val="20"/>
              </w:rPr>
              <w:t> </w:t>
            </w:r>
          </w:p>
        </w:tc>
      </w:tr>
      <w:tr w:rsidR="00000000" w14:paraId="66B0AFA0" w14:textId="77777777">
        <w:tc>
          <w:tcPr>
            <w:tcW w:w="0" w:type="auto"/>
            <w:tcMar>
              <w:top w:w="0" w:type="dxa"/>
              <w:left w:w="0" w:type="dxa"/>
              <w:bottom w:w="30" w:type="dxa"/>
              <w:right w:w="0" w:type="dxa"/>
            </w:tcMar>
            <w:vAlign w:val="bottom"/>
            <w:hideMark/>
          </w:tcPr>
          <w:p w14:paraId="40E2E07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AC97311"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D504477"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B5F7BA6"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91750D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862C04"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3C53675A" w14:textId="77777777" w:rsidR="00000000" w:rsidRDefault="001826C1">
            <w:pPr>
              <w:rPr>
                <w:rFonts w:eastAsia="Times New Roman"/>
                <w:b/>
                <w:bCs/>
                <w:sz w:val="20"/>
                <w:szCs w:val="20"/>
              </w:rPr>
            </w:pPr>
            <w:r>
              <w:rPr>
                <w:rFonts w:eastAsia="Times New Roman"/>
                <w:b/>
                <w:bCs/>
                <w:sz w:val="20"/>
                <w:szCs w:val="20"/>
              </w:rPr>
              <w:t> </w:t>
            </w:r>
          </w:p>
        </w:tc>
      </w:tr>
      <w:tr w:rsidR="00000000" w14:paraId="08DDFEB6" w14:textId="77777777">
        <w:tc>
          <w:tcPr>
            <w:tcW w:w="0" w:type="auto"/>
            <w:shd w:val="clear" w:color="auto" w:fill="CCEEFF"/>
            <w:vAlign w:val="bottom"/>
            <w:hideMark/>
          </w:tcPr>
          <w:p w14:paraId="234E755A" w14:textId="77777777" w:rsidR="00000000" w:rsidRDefault="001826C1">
            <w:pPr>
              <w:rPr>
                <w:rFonts w:eastAsia="Times New Roman"/>
                <w:b/>
                <w:bCs/>
                <w:sz w:val="20"/>
                <w:szCs w:val="20"/>
              </w:rPr>
            </w:pPr>
            <w:r>
              <w:rPr>
                <w:rFonts w:eastAsia="Times New Roman"/>
                <w:b/>
                <w:bCs/>
                <w:sz w:val="20"/>
                <w:szCs w:val="20"/>
              </w:rPr>
              <w:t>Healthcare IT:</w:t>
            </w:r>
          </w:p>
        </w:tc>
        <w:tc>
          <w:tcPr>
            <w:tcW w:w="0" w:type="auto"/>
            <w:shd w:val="clear" w:color="auto" w:fill="CCEEFF"/>
            <w:vAlign w:val="bottom"/>
            <w:hideMark/>
          </w:tcPr>
          <w:p w14:paraId="13F8CA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A802A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F75D5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9C546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022D9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406E4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6C49A5"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0521AE1" w14:textId="77777777" w:rsidR="00000000" w:rsidRDefault="001826C1">
            <w:pPr>
              <w:rPr>
                <w:rFonts w:eastAsia="Times New Roman"/>
                <w:sz w:val="20"/>
                <w:szCs w:val="20"/>
              </w:rPr>
            </w:pPr>
            <w:r>
              <w:rPr>
                <w:rFonts w:eastAsia="Times New Roman"/>
                <w:sz w:val="20"/>
                <w:szCs w:val="20"/>
              </w:rPr>
              <w:t> </w:t>
            </w:r>
          </w:p>
        </w:tc>
      </w:tr>
      <w:tr w:rsidR="00000000" w14:paraId="045DBF35" w14:textId="77777777">
        <w:tc>
          <w:tcPr>
            <w:tcW w:w="2800" w:type="pct"/>
            <w:shd w:val="clear" w:color="auto" w:fill="FFFFFF"/>
            <w:tcMar>
              <w:top w:w="0" w:type="dxa"/>
              <w:left w:w="200" w:type="dxa"/>
              <w:bottom w:w="0" w:type="dxa"/>
              <w:right w:w="0" w:type="dxa"/>
            </w:tcMar>
            <w:vAlign w:val="bottom"/>
            <w:hideMark/>
          </w:tcPr>
          <w:p w14:paraId="47813ED8" w14:textId="77777777" w:rsidR="00000000" w:rsidRDefault="001826C1">
            <w:pPr>
              <w:rPr>
                <w:rFonts w:eastAsia="Times New Roman"/>
                <w:sz w:val="20"/>
                <w:szCs w:val="20"/>
              </w:rPr>
            </w:pPr>
            <w:r>
              <w:rPr>
                <w:rFonts w:eastAsia="Times New Roman"/>
                <w:sz w:val="20"/>
                <w:szCs w:val="20"/>
              </w:rPr>
              <w:t>Revenue cycle management services</w:t>
            </w:r>
          </w:p>
        </w:tc>
        <w:tc>
          <w:tcPr>
            <w:tcW w:w="100" w:type="pct"/>
            <w:shd w:val="clear" w:color="auto" w:fill="FFFFFF"/>
            <w:vAlign w:val="bottom"/>
            <w:hideMark/>
          </w:tcPr>
          <w:p w14:paraId="4454BD2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01EA9051" w14:textId="77777777" w:rsidR="00000000" w:rsidRDefault="001826C1">
            <w:pPr>
              <w:rPr>
                <w:rFonts w:eastAsia="Times New Roman"/>
                <w:sz w:val="20"/>
                <w:szCs w:val="20"/>
              </w:rPr>
            </w:pPr>
            <w:r>
              <w:rPr>
                <w:rFonts w:eastAsia="Times New Roman"/>
                <w:sz w:val="20"/>
                <w:szCs w:val="20"/>
              </w:rPr>
              <w:t>$</w:t>
            </w:r>
          </w:p>
        </w:tc>
        <w:tc>
          <w:tcPr>
            <w:tcW w:w="900" w:type="pct"/>
            <w:shd w:val="clear" w:color="auto" w:fill="FFFFFF"/>
            <w:vAlign w:val="bottom"/>
            <w:hideMark/>
          </w:tcPr>
          <w:p w14:paraId="1EAF178B" w14:textId="77777777" w:rsidR="00000000" w:rsidRDefault="001826C1">
            <w:pPr>
              <w:jc w:val="right"/>
              <w:rPr>
                <w:rFonts w:eastAsia="Times New Roman"/>
                <w:sz w:val="20"/>
                <w:szCs w:val="20"/>
              </w:rPr>
            </w:pPr>
            <w:r>
              <w:rPr>
                <w:rFonts w:eastAsia="Times New Roman"/>
                <w:sz w:val="20"/>
                <w:szCs w:val="20"/>
              </w:rPr>
              <w:t>42,919,944</w:t>
            </w:r>
          </w:p>
        </w:tc>
        <w:tc>
          <w:tcPr>
            <w:tcW w:w="50" w:type="pct"/>
            <w:shd w:val="clear" w:color="auto" w:fill="FFFFFF"/>
            <w:vAlign w:val="bottom"/>
            <w:hideMark/>
          </w:tcPr>
          <w:p w14:paraId="3E26F81B"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7808EEA9" w14:textId="77777777" w:rsidR="00000000" w:rsidRDefault="001826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09B8B4D8" w14:textId="77777777" w:rsidR="00000000" w:rsidRDefault="001826C1">
            <w:pPr>
              <w:rPr>
                <w:rFonts w:eastAsia="Times New Roman"/>
                <w:sz w:val="20"/>
                <w:szCs w:val="20"/>
              </w:rPr>
            </w:pPr>
            <w:r>
              <w:rPr>
                <w:rFonts w:eastAsia="Times New Roman"/>
                <w:sz w:val="20"/>
                <w:szCs w:val="20"/>
              </w:rPr>
              <w:t>$</w:t>
            </w:r>
          </w:p>
        </w:tc>
        <w:tc>
          <w:tcPr>
            <w:tcW w:w="900" w:type="pct"/>
            <w:shd w:val="clear" w:color="auto" w:fill="FFFFFF"/>
            <w:vAlign w:val="bottom"/>
            <w:hideMark/>
          </w:tcPr>
          <w:p w14:paraId="0DFE883B" w14:textId="77777777" w:rsidR="00000000" w:rsidRDefault="001826C1">
            <w:pPr>
              <w:jc w:val="right"/>
              <w:rPr>
                <w:rFonts w:eastAsia="Times New Roman"/>
                <w:sz w:val="20"/>
                <w:szCs w:val="20"/>
              </w:rPr>
            </w:pPr>
            <w:r>
              <w:rPr>
                <w:rFonts w:eastAsia="Times New Roman"/>
                <w:sz w:val="20"/>
                <w:szCs w:val="20"/>
              </w:rPr>
              <w:t>38,559,180</w:t>
            </w:r>
          </w:p>
        </w:tc>
        <w:tc>
          <w:tcPr>
            <w:tcW w:w="50" w:type="pct"/>
            <w:shd w:val="clear" w:color="auto" w:fill="FFFFFF"/>
            <w:vAlign w:val="bottom"/>
            <w:hideMark/>
          </w:tcPr>
          <w:p w14:paraId="78BCF707" w14:textId="77777777" w:rsidR="00000000" w:rsidRDefault="001826C1">
            <w:pPr>
              <w:rPr>
                <w:rFonts w:eastAsia="Times New Roman"/>
                <w:sz w:val="20"/>
                <w:szCs w:val="20"/>
              </w:rPr>
            </w:pPr>
            <w:r>
              <w:rPr>
                <w:rFonts w:eastAsia="Times New Roman"/>
                <w:sz w:val="20"/>
                <w:szCs w:val="20"/>
              </w:rPr>
              <w:t> </w:t>
            </w:r>
          </w:p>
        </w:tc>
      </w:tr>
      <w:tr w:rsidR="00000000" w14:paraId="7D1AAEF3" w14:textId="77777777">
        <w:tc>
          <w:tcPr>
            <w:tcW w:w="0" w:type="auto"/>
            <w:shd w:val="clear" w:color="auto" w:fill="CCEEFF"/>
            <w:tcMar>
              <w:top w:w="0" w:type="dxa"/>
              <w:left w:w="200" w:type="dxa"/>
              <w:bottom w:w="0" w:type="dxa"/>
              <w:right w:w="0" w:type="dxa"/>
            </w:tcMar>
            <w:vAlign w:val="bottom"/>
            <w:hideMark/>
          </w:tcPr>
          <w:p w14:paraId="1B7D0AE1" w14:textId="77777777" w:rsidR="00000000" w:rsidRDefault="001826C1">
            <w:pPr>
              <w:rPr>
                <w:rFonts w:eastAsia="Times New Roman"/>
                <w:sz w:val="20"/>
                <w:szCs w:val="20"/>
              </w:rPr>
            </w:pPr>
            <w:r>
              <w:rPr>
                <w:rFonts w:eastAsia="Times New Roman"/>
                <w:sz w:val="20"/>
                <w:szCs w:val="20"/>
              </w:rPr>
              <w:t>Professional services</w:t>
            </w:r>
          </w:p>
        </w:tc>
        <w:tc>
          <w:tcPr>
            <w:tcW w:w="0" w:type="auto"/>
            <w:shd w:val="clear" w:color="auto" w:fill="CCEEFF"/>
            <w:vAlign w:val="bottom"/>
            <w:hideMark/>
          </w:tcPr>
          <w:p w14:paraId="27171D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CC70D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4EA2C5" w14:textId="77777777" w:rsidR="00000000" w:rsidRDefault="001826C1">
            <w:pPr>
              <w:jc w:val="right"/>
              <w:rPr>
                <w:rFonts w:eastAsia="Times New Roman"/>
                <w:sz w:val="20"/>
                <w:szCs w:val="20"/>
              </w:rPr>
            </w:pPr>
            <w:r>
              <w:rPr>
                <w:rFonts w:eastAsia="Times New Roman"/>
                <w:sz w:val="20"/>
                <w:szCs w:val="20"/>
              </w:rPr>
              <w:t>1,769,129</w:t>
            </w:r>
          </w:p>
        </w:tc>
        <w:tc>
          <w:tcPr>
            <w:tcW w:w="0" w:type="auto"/>
            <w:shd w:val="clear" w:color="auto" w:fill="CCEEFF"/>
            <w:vAlign w:val="bottom"/>
            <w:hideMark/>
          </w:tcPr>
          <w:p w14:paraId="52C730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EAA6B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DF3F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A6E384" w14:textId="77777777" w:rsidR="00000000" w:rsidRDefault="001826C1">
            <w:pPr>
              <w:jc w:val="right"/>
              <w:rPr>
                <w:rFonts w:eastAsia="Times New Roman"/>
                <w:sz w:val="20"/>
                <w:szCs w:val="20"/>
              </w:rPr>
            </w:pPr>
            <w:r>
              <w:rPr>
                <w:rFonts w:eastAsia="Times New Roman"/>
                <w:sz w:val="20"/>
                <w:szCs w:val="20"/>
              </w:rPr>
              <w:t>1,244,894</w:t>
            </w:r>
          </w:p>
        </w:tc>
        <w:tc>
          <w:tcPr>
            <w:tcW w:w="0" w:type="auto"/>
            <w:shd w:val="clear" w:color="auto" w:fill="CCEEFF"/>
            <w:vAlign w:val="bottom"/>
            <w:hideMark/>
          </w:tcPr>
          <w:p w14:paraId="0A731C8B" w14:textId="77777777" w:rsidR="00000000" w:rsidRDefault="001826C1">
            <w:pPr>
              <w:rPr>
                <w:rFonts w:eastAsia="Times New Roman"/>
                <w:sz w:val="20"/>
                <w:szCs w:val="20"/>
              </w:rPr>
            </w:pPr>
            <w:r>
              <w:rPr>
                <w:rFonts w:eastAsia="Times New Roman"/>
                <w:sz w:val="20"/>
                <w:szCs w:val="20"/>
              </w:rPr>
              <w:t> </w:t>
            </w:r>
          </w:p>
        </w:tc>
      </w:tr>
      <w:tr w:rsidR="00000000" w14:paraId="3631115A" w14:textId="77777777">
        <w:tc>
          <w:tcPr>
            <w:tcW w:w="0" w:type="auto"/>
            <w:shd w:val="clear" w:color="auto" w:fill="FFFFFF"/>
            <w:tcMar>
              <w:top w:w="0" w:type="dxa"/>
              <w:left w:w="200" w:type="dxa"/>
              <w:bottom w:w="0" w:type="dxa"/>
              <w:right w:w="0" w:type="dxa"/>
            </w:tcMar>
            <w:vAlign w:val="bottom"/>
            <w:hideMark/>
          </w:tcPr>
          <w:p w14:paraId="03B691CC" w14:textId="77777777" w:rsidR="00000000" w:rsidRDefault="001826C1">
            <w:pPr>
              <w:rPr>
                <w:rFonts w:eastAsia="Times New Roman"/>
                <w:sz w:val="20"/>
                <w:szCs w:val="20"/>
              </w:rPr>
            </w:pPr>
            <w:r>
              <w:rPr>
                <w:rFonts w:eastAsia="Times New Roman"/>
                <w:sz w:val="20"/>
                <w:szCs w:val="20"/>
              </w:rPr>
              <w:t>Ancillary services</w:t>
            </w:r>
          </w:p>
        </w:tc>
        <w:tc>
          <w:tcPr>
            <w:tcW w:w="0" w:type="auto"/>
            <w:shd w:val="clear" w:color="auto" w:fill="FFFFFF"/>
            <w:vAlign w:val="bottom"/>
            <w:hideMark/>
          </w:tcPr>
          <w:p w14:paraId="0E03F9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9229C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587828" w14:textId="77777777" w:rsidR="00000000" w:rsidRDefault="001826C1">
            <w:pPr>
              <w:jc w:val="right"/>
              <w:rPr>
                <w:rFonts w:eastAsia="Times New Roman"/>
                <w:sz w:val="20"/>
                <w:szCs w:val="20"/>
              </w:rPr>
            </w:pPr>
            <w:r>
              <w:rPr>
                <w:rFonts w:eastAsia="Times New Roman"/>
                <w:sz w:val="20"/>
                <w:szCs w:val="20"/>
              </w:rPr>
              <w:t>3,220,372</w:t>
            </w:r>
          </w:p>
        </w:tc>
        <w:tc>
          <w:tcPr>
            <w:tcW w:w="0" w:type="auto"/>
            <w:shd w:val="clear" w:color="auto" w:fill="FFFFFF"/>
            <w:vAlign w:val="bottom"/>
            <w:hideMark/>
          </w:tcPr>
          <w:p w14:paraId="68063B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3878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76C8E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05A7B8" w14:textId="77777777" w:rsidR="00000000" w:rsidRDefault="001826C1">
            <w:pPr>
              <w:jc w:val="right"/>
              <w:rPr>
                <w:rFonts w:eastAsia="Times New Roman"/>
                <w:sz w:val="20"/>
                <w:szCs w:val="20"/>
              </w:rPr>
            </w:pPr>
            <w:r>
              <w:rPr>
                <w:rFonts w:eastAsia="Times New Roman"/>
                <w:sz w:val="20"/>
                <w:szCs w:val="20"/>
              </w:rPr>
              <w:t>1,594,364</w:t>
            </w:r>
          </w:p>
        </w:tc>
        <w:tc>
          <w:tcPr>
            <w:tcW w:w="0" w:type="auto"/>
            <w:shd w:val="clear" w:color="auto" w:fill="FFFFFF"/>
            <w:vAlign w:val="bottom"/>
            <w:hideMark/>
          </w:tcPr>
          <w:p w14:paraId="2F003654" w14:textId="77777777" w:rsidR="00000000" w:rsidRDefault="001826C1">
            <w:pPr>
              <w:rPr>
                <w:rFonts w:eastAsia="Times New Roman"/>
                <w:sz w:val="20"/>
                <w:szCs w:val="20"/>
              </w:rPr>
            </w:pPr>
            <w:r>
              <w:rPr>
                <w:rFonts w:eastAsia="Times New Roman"/>
                <w:sz w:val="20"/>
                <w:szCs w:val="20"/>
              </w:rPr>
              <w:t> </w:t>
            </w:r>
          </w:p>
        </w:tc>
      </w:tr>
      <w:tr w:rsidR="00000000" w14:paraId="5A707768" w14:textId="77777777">
        <w:tc>
          <w:tcPr>
            <w:tcW w:w="0" w:type="auto"/>
            <w:shd w:val="clear" w:color="auto" w:fill="CCEEFF"/>
            <w:tcMar>
              <w:top w:w="0" w:type="dxa"/>
              <w:left w:w="200" w:type="dxa"/>
              <w:bottom w:w="0" w:type="dxa"/>
              <w:right w:w="0" w:type="dxa"/>
            </w:tcMar>
            <w:vAlign w:val="bottom"/>
            <w:hideMark/>
          </w:tcPr>
          <w:p w14:paraId="1373858F" w14:textId="77777777" w:rsidR="00000000" w:rsidRDefault="001826C1">
            <w:pPr>
              <w:rPr>
                <w:rFonts w:eastAsia="Times New Roman"/>
                <w:sz w:val="20"/>
                <w:szCs w:val="20"/>
              </w:rPr>
            </w:pPr>
            <w:r>
              <w:rPr>
                <w:rFonts w:eastAsia="Times New Roman"/>
                <w:sz w:val="20"/>
                <w:szCs w:val="20"/>
              </w:rPr>
              <w:t>Group purchasing services</w:t>
            </w:r>
          </w:p>
        </w:tc>
        <w:tc>
          <w:tcPr>
            <w:tcW w:w="0" w:type="auto"/>
            <w:shd w:val="clear" w:color="auto" w:fill="CCEEFF"/>
            <w:vAlign w:val="bottom"/>
            <w:hideMark/>
          </w:tcPr>
          <w:p w14:paraId="51D78CF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54723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5294AC1" w14:textId="77777777" w:rsidR="00000000" w:rsidRDefault="001826C1">
            <w:pPr>
              <w:jc w:val="right"/>
              <w:rPr>
                <w:rFonts w:eastAsia="Times New Roman"/>
                <w:sz w:val="20"/>
                <w:szCs w:val="20"/>
              </w:rPr>
            </w:pPr>
            <w:r>
              <w:rPr>
                <w:rFonts w:eastAsia="Times New Roman"/>
                <w:sz w:val="20"/>
                <w:szCs w:val="20"/>
              </w:rPr>
              <w:t>1,020,031</w:t>
            </w:r>
          </w:p>
        </w:tc>
        <w:tc>
          <w:tcPr>
            <w:tcW w:w="0" w:type="auto"/>
            <w:shd w:val="clear" w:color="auto" w:fill="CCEEFF"/>
            <w:vAlign w:val="bottom"/>
            <w:hideMark/>
          </w:tcPr>
          <w:p w14:paraId="3C2587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CC655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5774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287B92" w14:textId="77777777" w:rsidR="00000000" w:rsidRDefault="001826C1">
            <w:pPr>
              <w:jc w:val="right"/>
              <w:rPr>
                <w:rFonts w:eastAsia="Times New Roman"/>
                <w:sz w:val="20"/>
                <w:szCs w:val="20"/>
              </w:rPr>
            </w:pPr>
            <w:r>
              <w:rPr>
                <w:rFonts w:eastAsia="Times New Roman"/>
                <w:sz w:val="20"/>
                <w:szCs w:val="20"/>
              </w:rPr>
              <w:t>654,805</w:t>
            </w:r>
          </w:p>
        </w:tc>
        <w:tc>
          <w:tcPr>
            <w:tcW w:w="0" w:type="auto"/>
            <w:shd w:val="clear" w:color="auto" w:fill="CCEEFF"/>
            <w:vAlign w:val="bottom"/>
            <w:hideMark/>
          </w:tcPr>
          <w:p w14:paraId="04195221" w14:textId="77777777" w:rsidR="00000000" w:rsidRDefault="001826C1">
            <w:pPr>
              <w:rPr>
                <w:rFonts w:eastAsia="Times New Roman"/>
                <w:sz w:val="20"/>
                <w:szCs w:val="20"/>
              </w:rPr>
            </w:pPr>
            <w:r>
              <w:rPr>
                <w:rFonts w:eastAsia="Times New Roman"/>
                <w:sz w:val="20"/>
                <w:szCs w:val="20"/>
              </w:rPr>
              <w:t> </w:t>
            </w:r>
          </w:p>
        </w:tc>
      </w:tr>
      <w:tr w:rsidR="00000000" w14:paraId="762C0054" w14:textId="77777777">
        <w:tc>
          <w:tcPr>
            <w:tcW w:w="0" w:type="auto"/>
            <w:shd w:val="clear" w:color="auto" w:fill="FFFFFF"/>
            <w:tcMar>
              <w:top w:w="0" w:type="dxa"/>
              <w:left w:w="200" w:type="dxa"/>
              <w:bottom w:w="0" w:type="dxa"/>
              <w:right w:w="0" w:type="dxa"/>
            </w:tcMar>
            <w:vAlign w:val="bottom"/>
            <w:hideMark/>
          </w:tcPr>
          <w:p w14:paraId="27A1AC32" w14:textId="77777777" w:rsidR="00000000" w:rsidRDefault="001826C1">
            <w:pPr>
              <w:rPr>
                <w:rFonts w:eastAsia="Times New Roman"/>
                <w:sz w:val="20"/>
                <w:szCs w:val="20"/>
              </w:rPr>
            </w:pPr>
            <w:r>
              <w:rPr>
                <w:rFonts w:eastAsia="Times New Roman"/>
                <w:sz w:val="20"/>
                <w:szCs w:val="20"/>
              </w:rPr>
              <w:t>Printing and mailing services</w:t>
            </w:r>
          </w:p>
        </w:tc>
        <w:tc>
          <w:tcPr>
            <w:tcW w:w="0" w:type="auto"/>
            <w:shd w:val="clear" w:color="auto" w:fill="FFFFFF"/>
            <w:vAlign w:val="bottom"/>
            <w:hideMark/>
          </w:tcPr>
          <w:p w14:paraId="0057C4B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2296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F15CF7" w14:textId="77777777" w:rsidR="00000000" w:rsidRDefault="001826C1">
            <w:pPr>
              <w:jc w:val="right"/>
              <w:rPr>
                <w:rFonts w:eastAsia="Times New Roman"/>
                <w:sz w:val="20"/>
                <w:szCs w:val="20"/>
              </w:rPr>
            </w:pPr>
            <w:r>
              <w:rPr>
                <w:rFonts w:eastAsia="Times New Roman"/>
                <w:sz w:val="20"/>
                <w:szCs w:val="20"/>
              </w:rPr>
              <w:t>1,650,069</w:t>
            </w:r>
          </w:p>
        </w:tc>
        <w:tc>
          <w:tcPr>
            <w:tcW w:w="0" w:type="auto"/>
            <w:shd w:val="clear" w:color="auto" w:fill="FFFFFF"/>
            <w:vAlign w:val="bottom"/>
            <w:hideMark/>
          </w:tcPr>
          <w:p w14:paraId="1D884CA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F112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5C10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F93C3" w14:textId="77777777" w:rsidR="00000000" w:rsidRDefault="001826C1">
            <w:pPr>
              <w:jc w:val="right"/>
              <w:rPr>
                <w:rFonts w:eastAsia="Times New Roman"/>
                <w:sz w:val="20"/>
                <w:szCs w:val="20"/>
              </w:rPr>
            </w:pPr>
            <w:r>
              <w:rPr>
                <w:rFonts w:eastAsia="Times New Roman"/>
                <w:sz w:val="20"/>
                <w:szCs w:val="20"/>
              </w:rPr>
              <w:t>1,344,011</w:t>
            </w:r>
          </w:p>
        </w:tc>
        <w:tc>
          <w:tcPr>
            <w:tcW w:w="0" w:type="auto"/>
            <w:shd w:val="clear" w:color="auto" w:fill="FFFFFF"/>
            <w:vAlign w:val="bottom"/>
            <w:hideMark/>
          </w:tcPr>
          <w:p w14:paraId="4D349B05" w14:textId="77777777" w:rsidR="00000000" w:rsidRDefault="001826C1">
            <w:pPr>
              <w:rPr>
                <w:rFonts w:eastAsia="Times New Roman"/>
                <w:sz w:val="20"/>
                <w:szCs w:val="20"/>
              </w:rPr>
            </w:pPr>
            <w:r>
              <w:rPr>
                <w:rFonts w:eastAsia="Times New Roman"/>
                <w:sz w:val="20"/>
                <w:szCs w:val="20"/>
              </w:rPr>
              <w:t> </w:t>
            </w:r>
          </w:p>
        </w:tc>
      </w:tr>
      <w:tr w:rsidR="00000000" w14:paraId="5258D947" w14:textId="77777777">
        <w:tc>
          <w:tcPr>
            <w:tcW w:w="0" w:type="auto"/>
            <w:shd w:val="clear" w:color="auto" w:fill="CCEEFF"/>
            <w:tcMar>
              <w:top w:w="0" w:type="dxa"/>
              <w:left w:w="200" w:type="dxa"/>
              <w:bottom w:w="0" w:type="dxa"/>
              <w:right w:w="0" w:type="dxa"/>
            </w:tcMar>
            <w:vAlign w:val="bottom"/>
            <w:hideMark/>
          </w:tcPr>
          <w:p w14:paraId="11159DD7" w14:textId="77777777" w:rsidR="00000000" w:rsidRDefault="001826C1">
            <w:pPr>
              <w:rPr>
                <w:rFonts w:eastAsia="Times New Roman"/>
                <w:sz w:val="20"/>
                <w:szCs w:val="20"/>
              </w:rPr>
            </w:pPr>
            <w:r>
              <w:rPr>
                <w:rFonts w:eastAsia="Times New Roman"/>
                <w:sz w:val="20"/>
                <w:szCs w:val="20"/>
              </w:rPr>
              <w:t>Clearinghouse and EDI services</w:t>
            </w:r>
          </w:p>
        </w:tc>
        <w:tc>
          <w:tcPr>
            <w:tcW w:w="0" w:type="auto"/>
            <w:shd w:val="clear" w:color="auto" w:fill="CCEEFF"/>
            <w:vAlign w:val="bottom"/>
            <w:hideMark/>
          </w:tcPr>
          <w:p w14:paraId="0554F6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7CC6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DF843C" w14:textId="77777777" w:rsidR="00000000" w:rsidRDefault="001826C1">
            <w:pPr>
              <w:jc w:val="right"/>
              <w:rPr>
                <w:rFonts w:eastAsia="Times New Roman"/>
                <w:sz w:val="20"/>
                <w:szCs w:val="20"/>
              </w:rPr>
            </w:pPr>
            <w:r>
              <w:rPr>
                <w:rFonts w:eastAsia="Times New Roman"/>
                <w:sz w:val="20"/>
                <w:szCs w:val="20"/>
              </w:rPr>
              <w:t>591,963</w:t>
            </w:r>
          </w:p>
        </w:tc>
        <w:tc>
          <w:tcPr>
            <w:tcW w:w="0" w:type="auto"/>
            <w:shd w:val="clear" w:color="auto" w:fill="CCEEFF"/>
            <w:vAlign w:val="bottom"/>
            <w:hideMark/>
          </w:tcPr>
          <w:p w14:paraId="31E0EF6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D4C203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7C14B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F32FE82" w14:textId="77777777" w:rsidR="00000000" w:rsidRDefault="001826C1">
            <w:pPr>
              <w:jc w:val="right"/>
              <w:rPr>
                <w:rFonts w:eastAsia="Times New Roman"/>
                <w:sz w:val="20"/>
                <w:szCs w:val="20"/>
              </w:rPr>
            </w:pPr>
            <w:r>
              <w:rPr>
                <w:rFonts w:eastAsia="Times New Roman"/>
                <w:sz w:val="20"/>
                <w:szCs w:val="20"/>
              </w:rPr>
              <w:t>647,446</w:t>
            </w:r>
          </w:p>
        </w:tc>
        <w:tc>
          <w:tcPr>
            <w:tcW w:w="0" w:type="auto"/>
            <w:shd w:val="clear" w:color="auto" w:fill="CCEEFF"/>
            <w:vAlign w:val="bottom"/>
            <w:hideMark/>
          </w:tcPr>
          <w:p w14:paraId="325A6EC9" w14:textId="77777777" w:rsidR="00000000" w:rsidRDefault="001826C1">
            <w:pPr>
              <w:rPr>
                <w:rFonts w:eastAsia="Times New Roman"/>
                <w:sz w:val="20"/>
                <w:szCs w:val="20"/>
              </w:rPr>
            </w:pPr>
            <w:r>
              <w:rPr>
                <w:rFonts w:eastAsia="Times New Roman"/>
                <w:sz w:val="20"/>
                <w:szCs w:val="20"/>
              </w:rPr>
              <w:t> </w:t>
            </w:r>
          </w:p>
        </w:tc>
      </w:tr>
      <w:tr w:rsidR="00000000" w14:paraId="0AB3F54E" w14:textId="77777777">
        <w:tc>
          <w:tcPr>
            <w:tcW w:w="0" w:type="auto"/>
            <w:shd w:val="clear" w:color="auto" w:fill="FFFFFF"/>
            <w:vAlign w:val="bottom"/>
            <w:hideMark/>
          </w:tcPr>
          <w:p w14:paraId="359464D7" w14:textId="77777777" w:rsidR="00000000" w:rsidRDefault="001826C1">
            <w:pPr>
              <w:rPr>
                <w:rFonts w:eastAsia="Times New Roman"/>
                <w:b/>
                <w:bCs/>
                <w:sz w:val="20"/>
                <w:szCs w:val="20"/>
              </w:rPr>
            </w:pPr>
            <w:r>
              <w:rPr>
                <w:rFonts w:eastAsia="Times New Roman"/>
                <w:b/>
                <w:bCs/>
                <w:sz w:val="20"/>
                <w:szCs w:val="20"/>
              </w:rPr>
              <w:t>Practice Management:</w:t>
            </w:r>
          </w:p>
        </w:tc>
        <w:tc>
          <w:tcPr>
            <w:tcW w:w="0" w:type="auto"/>
            <w:shd w:val="clear" w:color="auto" w:fill="FFFFFF"/>
            <w:vAlign w:val="bottom"/>
            <w:hideMark/>
          </w:tcPr>
          <w:p w14:paraId="18ED631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FF8B8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78A0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B9761A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88EF3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4F1F9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7C170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E8B8D2E" w14:textId="77777777" w:rsidR="00000000" w:rsidRDefault="001826C1">
            <w:pPr>
              <w:rPr>
                <w:rFonts w:eastAsia="Times New Roman"/>
                <w:sz w:val="20"/>
                <w:szCs w:val="20"/>
              </w:rPr>
            </w:pPr>
            <w:r>
              <w:rPr>
                <w:rFonts w:eastAsia="Times New Roman"/>
                <w:sz w:val="20"/>
                <w:szCs w:val="20"/>
              </w:rPr>
              <w:t> </w:t>
            </w:r>
          </w:p>
        </w:tc>
      </w:tr>
      <w:tr w:rsidR="00000000" w14:paraId="6FD9A2CE" w14:textId="77777777">
        <w:tc>
          <w:tcPr>
            <w:tcW w:w="0" w:type="auto"/>
            <w:shd w:val="clear" w:color="auto" w:fill="CCEEFF"/>
            <w:tcMar>
              <w:top w:w="0" w:type="dxa"/>
              <w:left w:w="200" w:type="dxa"/>
              <w:bottom w:w="30" w:type="dxa"/>
              <w:right w:w="0" w:type="dxa"/>
            </w:tcMar>
            <w:vAlign w:val="bottom"/>
            <w:hideMark/>
          </w:tcPr>
          <w:p w14:paraId="34D671C6" w14:textId="77777777" w:rsidR="00000000" w:rsidRDefault="001826C1">
            <w:pPr>
              <w:rPr>
                <w:rFonts w:eastAsia="Times New Roman"/>
                <w:sz w:val="20"/>
                <w:szCs w:val="20"/>
              </w:rPr>
            </w:pPr>
            <w:r>
              <w:rPr>
                <w:rFonts w:eastAsia="Times New Roman"/>
                <w:sz w:val="20"/>
                <w:szCs w:val="20"/>
              </w:rPr>
              <w:t>Practice management services</w:t>
            </w:r>
          </w:p>
        </w:tc>
        <w:tc>
          <w:tcPr>
            <w:tcW w:w="0" w:type="auto"/>
            <w:shd w:val="clear" w:color="auto" w:fill="CCEEFF"/>
            <w:tcMar>
              <w:top w:w="0" w:type="dxa"/>
              <w:left w:w="0" w:type="dxa"/>
              <w:bottom w:w="30" w:type="dxa"/>
              <w:right w:w="0" w:type="dxa"/>
            </w:tcMar>
            <w:vAlign w:val="bottom"/>
            <w:hideMark/>
          </w:tcPr>
          <w:p w14:paraId="21D79AD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5CD34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F21E6BD" w14:textId="77777777" w:rsidR="00000000" w:rsidRDefault="001826C1">
            <w:pPr>
              <w:jc w:val="right"/>
              <w:rPr>
                <w:rFonts w:eastAsia="Times New Roman"/>
                <w:sz w:val="20"/>
                <w:szCs w:val="20"/>
              </w:rPr>
            </w:pPr>
            <w:r>
              <w:rPr>
                <w:rFonts w:eastAsia="Times New Roman"/>
                <w:sz w:val="20"/>
                <w:szCs w:val="20"/>
              </w:rPr>
              <w:t>13,267,086</w:t>
            </w:r>
          </w:p>
        </w:tc>
        <w:tc>
          <w:tcPr>
            <w:tcW w:w="0" w:type="auto"/>
            <w:shd w:val="clear" w:color="auto" w:fill="CCEEFF"/>
            <w:tcMar>
              <w:top w:w="0" w:type="dxa"/>
              <w:left w:w="0" w:type="dxa"/>
              <w:bottom w:w="30" w:type="dxa"/>
              <w:right w:w="0" w:type="dxa"/>
            </w:tcMar>
            <w:vAlign w:val="bottom"/>
            <w:hideMark/>
          </w:tcPr>
          <w:p w14:paraId="029DD7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7C5B406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C1BB4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A3A953E" w14:textId="77777777" w:rsidR="00000000" w:rsidRDefault="001826C1">
            <w:pPr>
              <w:jc w:val="right"/>
              <w:rPr>
                <w:rFonts w:eastAsia="Times New Roman"/>
                <w:sz w:val="20"/>
                <w:szCs w:val="20"/>
              </w:rPr>
            </w:pPr>
            <w:r>
              <w:rPr>
                <w:rFonts w:eastAsia="Times New Roman"/>
                <w:sz w:val="20"/>
                <w:szCs w:val="20"/>
              </w:rPr>
              <w:t>6,501,081</w:t>
            </w:r>
          </w:p>
        </w:tc>
        <w:tc>
          <w:tcPr>
            <w:tcW w:w="0" w:type="auto"/>
            <w:shd w:val="clear" w:color="auto" w:fill="CCEEFF"/>
            <w:tcMar>
              <w:top w:w="0" w:type="dxa"/>
              <w:left w:w="0" w:type="dxa"/>
              <w:bottom w:w="30" w:type="dxa"/>
              <w:right w:w="0" w:type="dxa"/>
            </w:tcMar>
            <w:vAlign w:val="bottom"/>
            <w:hideMark/>
          </w:tcPr>
          <w:p w14:paraId="447C4E6E" w14:textId="77777777" w:rsidR="00000000" w:rsidRDefault="001826C1">
            <w:pPr>
              <w:rPr>
                <w:rFonts w:eastAsia="Times New Roman"/>
                <w:sz w:val="20"/>
                <w:szCs w:val="20"/>
              </w:rPr>
            </w:pPr>
            <w:r>
              <w:rPr>
                <w:rFonts w:eastAsia="Times New Roman"/>
                <w:sz w:val="20"/>
                <w:szCs w:val="20"/>
              </w:rPr>
              <w:t> </w:t>
            </w:r>
          </w:p>
        </w:tc>
      </w:tr>
      <w:tr w:rsidR="00000000" w14:paraId="14EB3F90" w14:textId="77777777">
        <w:tc>
          <w:tcPr>
            <w:tcW w:w="0" w:type="auto"/>
            <w:shd w:val="clear" w:color="auto" w:fill="FFFFFF"/>
            <w:tcMar>
              <w:top w:w="0" w:type="dxa"/>
              <w:left w:w="0" w:type="dxa"/>
              <w:bottom w:w="50" w:type="dxa"/>
              <w:right w:w="0" w:type="dxa"/>
            </w:tcMar>
            <w:vAlign w:val="bottom"/>
            <w:hideMark/>
          </w:tcPr>
          <w:p w14:paraId="0B47B8AB"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14:paraId="5984271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DDCE60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E70EB90" w14:textId="77777777" w:rsidR="00000000" w:rsidRDefault="001826C1">
            <w:pPr>
              <w:jc w:val="right"/>
              <w:rPr>
                <w:rFonts w:eastAsia="Times New Roman"/>
                <w:sz w:val="20"/>
                <w:szCs w:val="20"/>
              </w:rPr>
            </w:pPr>
            <w:r>
              <w:rPr>
                <w:rFonts w:eastAsia="Times New Roman"/>
                <w:sz w:val="20"/>
                <w:szCs w:val="20"/>
              </w:rPr>
              <w:t>64,438,594</w:t>
            </w:r>
          </w:p>
        </w:tc>
        <w:tc>
          <w:tcPr>
            <w:tcW w:w="0" w:type="auto"/>
            <w:shd w:val="clear" w:color="auto" w:fill="FFFFFF"/>
            <w:tcMar>
              <w:top w:w="0" w:type="dxa"/>
              <w:left w:w="0" w:type="dxa"/>
              <w:bottom w:w="50" w:type="dxa"/>
              <w:right w:w="0" w:type="dxa"/>
            </w:tcMar>
            <w:vAlign w:val="bottom"/>
            <w:hideMark/>
          </w:tcPr>
          <w:p w14:paraId="2D09D16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6CB3FB77"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FC2FF43"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6C79113" w14:textId="77777777" w:rsidR="00000000" w:rsidRDefault="001826C1">
            <w:pPr>
              <w:jc w:val="right"/>
              <w:rPr>
                <w:rFonts w:eastAsia="Times New Roman"/>
                <w:sz w:val="20"/>
                <w:szCs w:val="20"/>
              </w:rPr>
            </w:pPr>
            <w:r>
              <w:rPr>
                <w:rFonts w:eastAsia="Times New Roman"/>
                <w:sz w:val="20"/>
                <w:szCs w:val="20"/>
              </w:rPr>
              <w:t>50,545,781</w:t>
            </w:r>
          </w:p>
        </w:tc>
        <w:tc>
          <w:tcPr>
            <w:tcW w:w="0" w:type="auto"/>
            <w:shd w:val="clear" w:color="auto" w:fill="FFFFFF"/>
            <w:tcMar>
              <w:top w:w="0" w:type="dxa"/>
              <w:left w:w="0" w:type="dxa"/>
              <w:bottom w:w="50" w:type="dxa"/>
              <w:right w:w="0" w:type="dxa"/>
            </w:tcMar>
            <w:vAlign w:val="bottom"/>
            <w:hideMark/>
          </w:tcPr>
          <w:p w14:paraId="31153050" w14:textId="77777777" w:rsidR="00000000" w:rsidRDefault="001826C1">
            <w:pPr>
              <w:rPr>
                <w:rFonts w:eastAsia="Times New Roman"/>
                <w:sz w:val="20"/>
                <w:szCs w:val="20"/>
              </w:rPr>
            </w:pPr>
            <w:r>
              <w:rPr>
                <w:rFonts w:eastAsia="Times New Roman"/>
                <w:sz w:val="20"/>
                <w:szCs w:val="20"/>
              </w:rPr>
              <w:t> </w:t>
            </w:r>
          </w:p>
        </w:tc>
      </w:tr>
    </w:tbl>
    <w:p w14:paraId="1FF22A44"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84C39F6" w14:textId="77777777" w:rsidR="00000000" w:rsidRDefault="001826C1">
      <w:pPr>
        <w:pStyle w:val="a3"/>
        <w:spacing w:before="0" w:beforeAutospacing="0" w:after="0" w:afterAutospacing="0"/>
        <w:jc w:val="both"/>
        <w:rPr>
          <w:sz w:val="20"/>
          <w:szCs w:val="20"/>
        </w:rPr>
      </w:pPr>
      <w:r>
        <w:rPr>
          <w:i/>
          <w:iCs/>
          <w:sz w:val="20"/>
          <w:szCs w:val="20"/>
        </w:rPr>
        <w:t>Revenue cycle management services:</w:t>
      </w:r>
    </w:p>
    <w:p w14:paraId="0F58623E" w14:textId="77777777" w:rsidR="00000000" w:rsidRDefault="001826C1">
      <w:pPr>
        <w:pStyle w:val="a3"/>
        <w:spacing w:before="0" w:beforeAutospacing="0" w:after="0" w:afterAutospacing="0"/>
        <w:jc w:val="both"/>
        <w:rPr>
          <w:sz w:val="20"/>
          <w:szCs w:val="20"/>
        </w:rPr>
      </w:pPr>
      <w:r>
        <w:rPr>
          <w:i/>
          <w:iCs/>
          <w:sz w:val="20"/>
          <w:szCs w:val="20"/>
        </w:rPr>
        <w:t> </w:t>
      </w:r>
    </w:p>
    <w:p w14:paraId="4CBDB020"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Revenue </w:t>
      </w:r>
      <w:r>
        <w:rPr>
          <w:sz w:val="20"/>
          <w:szCs w:val="20"/>
        </w:rPr>
        <w:t>cycle management services are the recurring process of submitting and following up on claims with health insurance companies in order for the healthcare providers to receive payment for the services they rendered. MTBC typically invoices customers on a mon</w:t>
      </w:r>
      <w:r>
        <w:rPr>
          <w:sz w:val="20"/>
          <w:szCs w:val="20"/>
        </w:rPr>
        <w:t>thly basis based on the actual collections received by its customers and the agreed-upon rate in the sales contract. The services include use of practice management software and related tools (on a software-as-a-service (“SaaS”) basis), electronic health r</w:t>
      </w:r>
      <w:r>
        <w:rPr>
          <w:sz w:val="20"/>
          <w:szCs w:val="20"/>
        </w:rPr>
        <w:t>ecords (on a SaaS basis), medical billing services and use of mobile health solutions. We consider the services to be one performance obligation since the promises are not distinct in the context of the contract. The performance obligation consists of a se</w:t>
      </w:r>
      <w:r>
        <w:rPr>
          <w:sz w:val="20"/>
          <w:szCs w:val="20"/>
        </w:rPr>
        <w:t>ries of distinct services that are substantially the same and have the same periodic pattern of transfer to our customers.</w:t>
      </w:r>
    </w:p>
    <w:p w14:paraId="241AA008"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C7A15AB" w14:textId="77777777" w:rsidR="00000000" w:rsidRDefault="001826C1">
      <w:pPr>
        <w:pStyle w:val="a3"/>
        <w:shd w:val="clear" w:color="auto" w:fill="FFFFFF"/>
        <w:spacing w:before="0" w:beforeAutospacing="0" w:after="0" w:afterAutospacing="0"/>
        <w:jc w:val="both"/>
        <w:rPr>
          <w:sz w:val="20"/>
          <w:szCs w:val="20"/>
        </w:rPr>
      </w:pPr>
      <w:r>
        <w:rPr>
          <w:sz w:val="20"/>
          <w:szCs w:val="20"/>
        </w:rPr>
        <w:t>In many cases, our clients may terminate their agreements with 90 days’ notice without cause, thereby limiting the term in which we</w:t>
      </w:r>
      <w:r>
        <w:rPr>
          <w:sz w:val="20"/>
          <w:szCs w:val="20"/>
        </w:rPr>
        <w:t xml:space="preserve"> have enforceable rights and obligations, although this time period can vary between clients. Our payment terms are normally net 30 days. Although our contracts typically have stated terms of one or more years, under ASC 606 our contracts are considered mo</w:t>
      </w:r>
      <w:r>
        <w:rPr>
          <w:sz w:val="20"/>
          <w:szCs w:val="20"/>
        </w:rPr>
        <w:t>nth-to-month and accordingly, there is no financing component.</w:t>
      </w:r>
    </w:p>
    <w:p w14:paraId="629E14E4" w14:textId="77777777" w:rsidR="00000000" w:rsidRDefault="001826C1">
      <w:pPr>
        <w:pStyle w:val="a3"/>
        <w:spacing w:before="0" w:beforeAutospacing="0" w:after="0" w:afterAutospacing="0"/>
        <w:jc w:val="both"/>
        <w:rPr>
          <w:sz w:val="20"/>
          <w:szCs w:val="20"/>
        </w:rPr>
      </w:pPr>
      <w:r>
        <w:rPr>
          <w:sz w:val="20"/>
          <w:szCs w:val="20"/>
        </w:rPr>
        <w:t> </w:t>
      </w:r>
    </w:p>
    <w:p w14:paraId="65944B83" w14:textId="77777777" w:rsidR="00000000" w:rsidRDefault="001826C1">
      <w:pPr>
        <w:pStyle w:val="a3"/>
        <w:spacing w:before="0" w:beforeAutospacing="0" w:after="0" w:afterAutospacing="0"/>
        <w:jc w:val="both"/>
        <w:rPr>
          <w:sz w:val="20"/>
          <w:szCs w:val="20"/>
        </w:rPr>
      </w:pPr>
      <w:r>
        <w:rPr>
          <w:sz w:val="20"/>
          <w:szCs w:val="20"/>
        </w:rPr>
        <w:t>For the majority of our revenue cycle management contracts, the total transaction price is variable because our obligation is to process an unknown quantity of claims, as and when requested b</w:t>
      </w:r>
      <w:r>
        <w:rPr>
          <w:sz w:val="20"/>
          <w:szCs w:val="20"/>
        </w:rPr>
        <w:t>y our customers over the contract period. When a contract includes variable consideration, we evaluate the estimate of the variable consideration to determine whether the estimate needs to be constrained; therefore, we include variable consideration in the</w:t>
      </w:r>
      <w:r>
        <w:rPr>
          <w:sz w:val="20"/>
          <w:szCs w:val="20"/>
        </w:rPr>
        <w:t xml:space="preserve"> transaction price only to the extent that it is probable that a significant reversal of the amount of cumulative revenue recognized will not occur when the uncertainty associated with variable consideration is subsequently resolved. Estimates to determine</w:t>
      </w:r>
      <w:r>
        <w:rPr>
          <w:sz w:val="20"/>
          <w:szCs w:val="20"/>
        </w:rPr>
        <w:t xml:space="preserve"> variable consideration such as payment to charge ratios, effective billing rates, and the estimated contractual payment periods are updated at each reporting date. Revenue is recognized over the performance period using the input method.</w:t>
      </w:r>
    </w:p>
    <w:p w14:paraId="0521D4E2" w14:textId="77777777" w:rsidR="00000000" w:rsidRDefault="001826C1">
      <w:pPr>
        <w:pStyle w:val="a3"/>
        <w:spacing w:before="0" w:beforeAutospacing="0" w:after="0" w:afterAutospacing="0"/>
        <w:jc w:val="both"/>
        <w:rPr>
          <w:sz w:val="20"/>
          <w:szCs w:val="20"/>
        </w:rPr>
      </w:pPr>
      <w:r>
        <w:rPr>
          <w:sz w:val="20"/>
          <w:szCs w:val="20"/>
        </w:rPr>
        <w:t> </w:t>
      </w:r>
    </w:p>
    <w:p w14:paraId="7DF091FA" w14:textId="77777777" w:rsidR="00000000" w:rsidRDefault="001826C1">
      <w:pPr>
        <w:pStyle w:val="a3"/>
        <w:shd w:val="clear" w:color="auto" w:fill="FFFFFF"/>
        <w:spacing w:before="0" w:beforeAutospacing="0" w:after="0" w:afterAutospacing="0"/>
        <w:jc w:val="both"/>
        <w:rPr>
          <w:sz w:val="20"/>
          <w:szCs w:val="20"/>
        </w:rPr>
      </w:pPr>
      <w:r>
        <w:rPr>
          <w:i/>
          <w:iCs/>
          <w:sz w:val="20"/>
          <w:szCs w:val="20"/>
        </w:rPr>
        <w:t>Other revenue s</w:t>
      </w:r>
      <w:r>
        <w:rPr>
          <w:i/>
          <w:iCs/>
          <w:sz w:val="20"/>
          <w:szCs w:val="20"/>
        </w:rPr>
        <w:t>treams:</w:t>
      </w:r>
    </w:p>
    <w:p w14:paraId="111D26A6"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660677A" w14:textId="77777777" w:rsidR="00000000" w:rsidRDefault="001826C1">
      <w:pPr>
        <w:pStyle w:val="a3"/>
        <w:shd w:val="clear" w:color="auto" w:fill="FFFFFF"/>
        <w:spacing w:before="0" w:beforeAutospacing="0" w:after="0" w:afterAutospacing="0"/>
        <w:jc w:val="both"/>
        <w:rPr>
          <w:sz w:val="20"/>
          <w:szCs w:val="20"/>
        </w:rPr>
      </w:pPr>
      <w:r>
        <w:rPr>
          <w:sz w:val="20"/>
          <w:szCs w:val="20"/>
        </w:rPr>
        <w:t>MTBC also provides implementation and professional services to clearinghouse and other customers and records revenue monthly on a time and materials or a fixed rate basis. This is a separate performance obligation from the clearinghouse and recur</w:t>
      </w:r>
      <w:r>
        <w:rPr>
          <w:sz w:val="20"/>
          <w:szCs w:val="20"/>
        </w:rPr>
        <w:t>ring EDI services provided, for which the Company receives and records monthly fees. The performance obligation is satisfied over time as the implementation or professional services are rendered.</w:t>
      </w:r>
    </w:p>
    <w:p w14:paraId="5B6E7D7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8D16A99" w14:textId="77777777" w:rsidR="00000000" w:rsidRDefault="001826C1">
      <w:pPr>
        <w:pStyle w:val="a3"/>
        <w:shd w:val="clear" w:color="auto" w:fill="FFFFFF"/>
        <w:spacing w:before="0" w:beforeAutospacing="0" w:after="0" w:afterAutospacing="0"/>
        <w:jc w:val="both"/>
        <w:rPr>
          <w:sz w:val="20"/>
          <w:szCs w:val="20"/>
        </w:rPr>
      </w:pPr>
      <w:r>
        <w:rPr>
          <w:sz w:val="20"/>
          <w:szCs w:val="20"/>
        </w:rPr>
        <w:t>Ancillary services represent services such as coding and t</w:t>
      </w:r>
      <w:r>
        <w:rPr>
          <w:sz w:val="20"/>
          <w:szCs w:val="20"/>
        </w:rPr>
        <w:t>ranscription that are rendered in connection with the delivery of revenue cycle management and related medical services. The Company invoices customers monthly, based on the actual amount of services performed at the agreed upon rate in the contract. These</w:t>
      </w:r>
      <w:r>
        <w:rPr>
          <w:sz w:val="20"/>
          <w:szCs w:val="20"/>
        </w:rPr>
        <w:t xml:space="preserve"> services are only offered to revenue cycle management customers. These services do not represent a material right because the services are optional to the customer and customers electing these services are charged the same price for those services as if t</w:t>
      </w:r>
      <w:r>
        <w:rPr>
          <w:sz w:val="20"/>
          <w:szCs w:val="20"/>
        </w:rPr>
        <w:t>hey were on a standalone basis. Each individual coding or transcription transaction processed represents a performance obligation, which is satisfied over time as that individual service is rendered.</w:t>
      </w:r>
    </w:p>
    <w:p w14:paraId="54F333EA"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8B1380C" w14:textId="77777777">
        <w:trPr>
          <w:divId w:val="1096511752"/>
        </w:trPr>
        <w:tc>
          <w:tcPr>
            <w:tcW w:w="5000" w:type="pct"/>
            <w:hideMark/>
          </w:tcPr>
          <w:p w14:paraId="111B8B07"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72AC40F7" w14:textId="77777777">
        <w:tc>
          <w:tcPr>
            <w:tcW w:w="5000" w:type="pct"/>
            <w:hideMark/>
          </w:tcPr>
          <w:p w14:paraId="71C02083" w14:textId="77777777" w:rsidR="00000000" w:rsidRDefault="001826C1">
            <w:pPr>
              <w:jc w:val="center"/>
              <w:rPr>
                <w:rFonts w:eastAsia="Times New Roman"/>
                <w:sz w:val="20"/>
                <w:szCs w:val="20"/>
              </w:rPr>
            </w:pPr>
            <w:r>
              <w:rPr>
                <w:rFonts w:eastAsia="Times New Roman"/>
                <w:sz w:val="20"/>
                <w:szCs w:val="20"/>
              </w:rPr>
              <w:t> </w:t>
            </w:r>
          </w:p>
        </w:tc>
      </w:tr>
    </w:tbl>
    <w:p w14:paraId="55453BD7" w14:textId="77777777" w:rsidR="00000000" w:rsidRDefault="001826C1">
      <w:pPr>
        <w:pStyle w:val="a3"/>
        <w:spacing w:before="0" w:beforeAutospacing="0" w:after="0" w:afterAutospacing="0"/>
        <w:jc w:val="both"/>
        <w:rPr>
          <w:sz w:val="20"/>
          <w:szCs w:val="20"/>
        </w:rPr>
      </w:pPr>
      <w:r>
        <w:rPr>
          <w:sz w:val="20"/>
          <w:szCs w:val="20"/>
        </w:rPr>
        <w:t> </w:t>
      </w:r>
    </w:p>
    <w:p w14:paraId="5C158789"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The </w:t>
      </w:r>
      <w:r>
        <w:rPr>
          <w:sz w:val="20"/>
          <w:szCs w:val="20"/>
        </w:rPr>
        <w:t xml:space="preserve">Company provides group purchasing services which enable medical providers to purchase various vaccines directly from selected pharmaceutical companies at a discounted price. Currently, there are approximately 4,056 medical providers who are members of the </w:t>
      </w:r>
      <w:r>
        <w:rPr>
          <w:sz w:val="20"/>
          <w:szCs w:val="20"/>
        </w:rPr>
        <w:t>program. Revenue is recognized as the vaccine shipments are made to the medical providers. Fees from the pharmaceutical companies are paid either quarterly or annually and the Company adjusts its revenue accrual at the time of payment. The Company makes si</w:t>
      </w:r>
      <w:r>
        <w:rPr>
          <w:sz w:val="20"/>
          <w:szCs w:val="20"/>
        </w:rPr>
        <w:t>gnificant judgments regarding the variable consideration which we expect to be entitled to for the group purchasing services which includes the anticipated shipments to the members enrolled in the program, anticipated volumes of purchases made by the membe</w:t>
      </w:r>
      <w:r>
        <w:rPr>
          <w:sz w:val="20"/>
          <w:szCs w:val="20"/>
        </w:rPr>
        <w:t>rs, and the changes in the number of members. The amounts recorded are constrained by estimates of decreases in shipments and loss of members to avoid a significant revenue reversal in the subsequent period. The only performance obligation is to provide th</w:t>
      </w:r>
      <w:r>
        <w:rPr>
          <w:sz w:val="20"/>
          <w:szCs w:val="20"/>
        </w:rPr>
        <w:t xml:space="preserve">e pharmaceutical companies with the medical providers who want to become members in order to purchase vaccines. The performance obligation is satisfied once the medical provider agrees to purchase a specific quantity of vaccines and the medical provider’s </w:t>
      </w:r>
      <w:r>
        <w:rPr>
          <w:sz w:val="20"/>
          <w:szCs w:val="20"/>
        </w:rPr>
        <w:t>information is forwarded to the vaccine suppliers. The Company records a contract asset for revenue earned and not paid as the ultimate payment is conditioned on achieving certain volume thresholds.</w:t>
      </w:r>
    </w:p>
    <w:p w14:paraId="40FD8A35"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59ABDB42"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The Company provides printing and mailing services for </w:t>
      </w:r>
      <w:r>
        <w:rPr>
          <w:sz w:val="20"/>
          <w:szCs w:val="20"/>
        </w:rPr>
        <w:t>both revenue cycle management customers and a non-revenue cycle management customer, and invoices on a monthly basis based on the number of prints, the agreed-upon rate per print and the postage incurred. The performance obligation is satisfied once the pr</w:t>
      </w:r>
      <w:r>
        <w:rPr>
          <w:sz w:val="20"/>
          <w:szCs w:val="20"/>
        </w:rPr>
        <w:t>inting and mailing is completed.</w:t>
      </w:r>
    </w:p>
    <w:p w14:paraId="3107622C"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34DFABE" w14:textId="77777777" w:rsidR="00000000" w:rsidRDefault="001826C1">
      <w:pPr>
        <w:pStyle w:val="a3"/>
        <w:shd w:val="clear" w:color="auto" w:fill="FFFFFF"/>
        <w:spacing w:before="0" w:beforeAutospacing="0" w:after="0" w:afterAutospacing="0"/>
        <w:jc w:val="both"/>
        <w:rPr>
          <w:sz w:val="20"/>
          <w:szCs w:val="20"/>
        </w:rPr>
      </w:pPr>
      <w:r>
        <w:rPr>
          <w:sz w:val="20"/>
          <w:szCs w:val="20"/>
        </w:rPr>
        <w:t>The medical billing clearinghouse service takes claim information from customers, checks the claims for errors and sends this information electronically to insurance companies. MTBC invoices customers on a monthly basis b</w:t>
      </w:r>
      <w:r>
        <w:rPr>
          <w:sz w:val="20"/>
          <w:szCs w:val="20"/>
        </w:rPr>
        <w:t xml:space="preserve">ased on the number of claims submitted and the agreed-upon rate in the agreement. This service is provided to medical practices and providers to medical practices who are not revenue cycle management customers. The performance obligation is satisfied once </w:t>
      </w:r>
      <w:r>
        <w:rPr>
          <w:sz w:val="20"/>
          <w:szCs w:val="20"/>
        </w:rPr>
        <w:t>the relevant submissions are completed.</w:t>
      </w:r>
    </w:p>
    <w:p w14:paraId="61990CCF"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478D4D79" w14:textId="77777777" w:rsidR="00000000" w:rsidRDefault="001826C1">
      <w:pPr>
        <w:pStyle w:val="a3"/>
        <w:shd w:val="clear" w:color="auto" w:fill="FFFFFF"/>
        <w:spacing w:before="0" w:beforeAutospacing="0" w:after="0" w:afterAutospacing="0"/>
        <w:jc w:val="both"/>
        <w:rPr>
          <w:sz w:val="20"/>
          <w:szCs w:val="20"/>
        </w:rPr>
      </w:pPr>
      <w:r>
        <w:rPr>
          <w:sz w:val="20"/>
          <w:szCs w:val="20"/>
        </w:rPr>
        <w:t>For all of the above revenue streams other than group purchasing services, revenue is recognized over time, which is typically one month or less, which closely matches the point in time that the customer simultaneo</w:t>
      </w:r>
      <w:r>
        <w:rPr>
          <w:sz w:val="20"/>
          <w:szCs w:val="20"/>
        </w:rPr>
        <w:t xml:space="preserve">usly receives and consumes the benefits provided by the Company. For the group purchasing services, revenue is recognized at a point in time. Each service is substantially the same and has the same periodic pattern of transfer to the customer. Each of the </w:t>
      </w:r>
      <w:r>
        <w:rPr>
          <w:sz w:val="20"/>
          <w:szCs w:val="20"/>
        </w:rPr>
        <w:t>services provided above is considered a separate performance obligation.</w:t>
      </w:r>
    </w:p>
    <w:p w14:paraId="12E1F77F" w14:textId="77777777" w:rsidR="00000000" w:rsidRDefault="001826C1">
      <w:pPr>
        <w:pStyle w:val="a3"/>
        <w:spacing w:before="0" w:beforeAutospacing="0" w:after="0" w:afterAutospacing="0"/>
        <w:jc w:val="both"/>
        <w:rPr>
          <w:sz w:val="20"/>
          <w:szCs w:val="20"/>
        </w:rPr>
      </w:pPr>
      <w:r>
        <w:rPr>
          <w:sz w:val="20"/>
          <w:szCs w:val="20"/>
        </w:rPr>
        <w:t> </w:t>
      </w:r>
    </w:p>
    <w:p w14:paraId="01E08321" w14:textId="77777777" w:rsidR="00000000" w:rsidRDefault="001826C1">
      <w:pPr>
        <w:pStyle w:val="a3"/>
        <w:shd w:val="clear" w:color="auto" w:fill="FFFFFF"/>
        <w:spacing w:before="0" w:beforeAutospacing="0" w:after="0" w:afterAutospacing="0"/>
        <w:jc w:val="both"/>
        <w:rPr>
          <w:sz w:val="20"/>
          <w:szCs w:val="20"/>
        </w:rPr>
      </w:pPr>
      <w:r>
        <w:rPr>
          <w:i/>
          <w:iCs/>
          <w:sz w:val="20"/>
          <w:szCs w:val="20"/>
        </w:rPr>
        <w:t>Practice management services:</w:t>
      </w:r>
    </w:p>
    <w:p w14:paraId="1D13411D" w14:textId="77777777" w:rsidR="00000000" w:rsidRDefault="001826C1">
      <w:pPr>
        <w:pStyle w:val="a3"/>
        <w:shd w:val="clear" w:color="auto" w:fill="FFFFFF"/>
        <w:spacing w:before="0" w:beforeAutospacing="0" w:after="0" w:afterAutospacing="0"/>
        <w:jc w:val="both"/>
        <w:rPr>
          <w:sz w:val="20"/>
          <w:szCs w:val="20"/>
        </w:rPr>
      </w:pPr>
      <w:r>
        <w:rPr>
          <w:i/>
          <w:iCs/>
          <w:sz w:val="20"/>
          <w:szCs w:val="20"/>
        </w:rPr>
        <w:t> </w:t>
      </w:r>
    </w:p>
    <w:p w14:paraId="06B5AAE4" w14:textId="77777777" w:rsidR="00000000" w:rsidRDefault="001826C1">
      <w:pPr>
        <w:pStyle w:val="a3"/>
        <w:shd w:val="clear" w:color="auto" w:fill="FFFFFF"/>
        <w:spacing w:before="0" w:beforeAutospacing="0" w:after="0" w:afterAutospacing="0"/>
        <w:jc w:val="both"/>
        <w:rPr>
          <w:sz w:val="20"/>
          <w:szCs w:val="20"/>
        </w:rPr>
      </w:pPr>
      <w:r>
        <w:rPr>
          <w:sz w:val="20"/>
          <w:szCs w:val="20"/>
        </w:rPr>
        <w:t>The Company also provides practice management services under long-term management service agreements to three medical practices. We provide the medic</w:t>
      </w:r>
      <w:r>
        <w:rPr>
          <w:sz w:val="20"/>
          <w:szCs w:val="20"/>
        </w:rPr>
        <w:t>al practices with the nurses, administrative support, facilities, supplies, equipment, marketing, RCM, accounting, and other non-clinical services needed to efficiently operate their practices. Revenue is recognized as the services are provided to the medi</w:t>
      </w:r>
      <w:r>
        <w:rPr>
          <w:sz w:val="20"/>
          <w:szCs w:val="20"/>
        </w:rPr>
        <w:t>cal practices. Revenue recorded in the consolidated statements of operations represents the reimbursement of costs paid by the Company for the practices and the management fee earned each month for managing the practice. The management fee is based on eith</w:t>
      </w:r>
      <w:r>
        <w:rPr>
          <w:sz w:val="20"/>
          <w:szCs w:val="20"/>
        </w:rPr>
        <w:t>er a fixed fee or a percentage of the net operating income.</w:t>
      </w:r>
    </w:p>
    <w:p w14:paraId="02699D8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28CD46CB"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The Company assumes all financial risk for the performance of the managed medical practices. Revenue is impacted by amount of the costs incurred by the practices and their operating income. The </w:t>
      </w:r>
      <w:r>
        <w:rPr>
          <w:sz w:val="20"/>
          <w:szCs w:val="20"/>
        </w:rPr>
        <w:t>gross billing of the practices is impacted by billing rates, changes in current procedural terminology code reimbursement and collection trends which in turn impacts the management fee that the Company is entitled to. Billing rates are reviewed at least an</w:t>
      </w:r>
      <w:r>
        <w:rPr>
          <w:sz w:val="20"/>
          <w:szCs w:val="20"/>
        </w:rPr>
        <w:t>nually and adjusted based on current insurer reimbursement practices. The performance obligation is satisfied as the management services are provided.</w:t>
      </w:r>
    </w:p>
    <w:p w14:paraId="6621B22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35BCCCA0" w14:textId="77777777" w:rsidR="00000000" w:rsidRDefault="001826C1">
      <w:pPr>
        <w:pStyle w:val="a3"/>
        <w:shd w:val="clear" w:color="auto" w:fill="FFFFFF"/>
        <w:spacing w:before="0" w:beforeAutospacing="0" w:after="0" w:afterAutospacing="0"/>
        <w:jc w:val="both"/>
        <w:rPr>
          <w:sz w:val="20"/>
          <w:szCs w:val="20"/>
        </w:rPr>
      </w:pPr>
      <w:r>
        <w:rPr>
          <w:sz w:val="20"/>
          <w:szCs w:val="20"/>
        </w:rPr>
        <w:t xml:space="preserve">Our contracts for practice management services have approximately an additional 20 years remaining and </w:t>
      </w:r>
      <w:r>
        <w:rPr>
          <w:sz w:val="20"/>
          <w:szCs w:val="20"/>
        </w:rPr>
        <w:t>are only cancellable under very limited circumstances. The Company receives a management fee each month for managing the day-to-day business operations of each medical group as a fixed fee or a percentage payment of the net operating income which is includ</w:t>
      </w:r>
      <w:r>
        <w:rPr>
          <w:sz w:val="20"/>
          <w:szCs w:val="20"/>
        </w:rPr>
        <w:t>ed in revenue in the consolidated statements of operations.</w:t>
      </w:r>
    </w:p>
    <w:p w14:paraId="2702E806"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56D7865" w14:textId="77777777">
        <w:trPr>
          <w:divId w:val="1955012261"/>
        </w:trPr>
        <w:tc>
          <w:tcPr>
            <w:tcW w:w="5000" w:type="pct"/>
            <w:hideMark/>
          </w:tcPr>
          <w:p w14:paraId="358BF61D"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0C0D6B3D" w14:textId="77777777">
        <w:tc>
          <w:tcPr>
            <w:tcW w:w="5000" w:type="pct"/>
            <w:hideMark/>
          </w:tcPr>
          <w:p w14:paraId="63B0ADEE" w14:textId="77777777" w:rsidR="00000000" w:rsidRDefault="001826C1">
            <w:pPr>
              <w:jc w:val="center"/>
              <w:rPr>
                <w:rFonts w:eastAsia="Times New Roman"/>
                <w:sz w:val="20"/>
                <w:szCs w:val="20"/>
              </w:rPr>
            </w:pPr>
            <w:r>
              <w:rPr>
                <w:rFonts w:eastAsia="Times New Roman"/>
                <w:sz w:val="20"/>
                <w:szCs w:val="20"/>
              </w:rPr>
              <w:t> </w:t>
            </w:r>
          </w:p>
        </w:tc>
      </w:tr>
    </w:tbl>
    <w:p w14:paraId="79D7CC96" w14:textId="77777777" w:rsidR="00000000" w:rsidRDefault="001826C1">
      <w:pPr>
        <w:pStyle w:val="a3"/>
        <w:spacing w:before="0" w:beforeAutospacing="0" w:after="0" w:afterAutospacing="0"/>
        <w:jc w:val="both"/>
        <w:rPr>
          <w:sz w:val="20"/>
          <w:szCs w:val="20"/>
        </w:rPr>
      </w:pPr>
      <w:r>
        <w:rPr>
          <w:sz w:val="20"/>
          <w:szCs w:val="20"/>
        </w:rPr>
        <w:t> </w:t>
      </w:r>
    </w:p>
    <w:p w14:paraId="66D096FE" w14:textId="77777777" w:rsidR="00000000" w:rsidRDefault="001826C1">
      <w:pPr>
        <w:pStyle w:val="a3"/>
        <w:spacing w:before="0" w:beforeAutospacing="0" w:after="0" w:afterAutospacing="0"/>
        <w:jc w:val="both"/>
        <w:rPr>
          <w:sz w:val="20"/>
          <w:szCs w:val="20"/>
        </w:rPr>
      </w:pPr>
      <w:r>
        <w:rPr>
          <w:sz w:val="20"/>
          <w:szCs w:val="20"/>
        </w:rPr>
        <w:t xml:space="preserve">Our practice </w:t>
      </w:r>
      <w:r>
        <w:rPr>
          <w:sz w:val="20"/>
          <w:szCs w:val="20"/>
        </w:rPr>
        <w:t>management services obligations consist of a series of distinct services that are substantially the same and have the same periodic pattern of transfer to our customers. Revenue is recognized over time, however for reporting and convenience purposes manage</w:t>
      </w:r>
      <w:r>
        <w:rPr>
          <w:sz w:val="20"/>
          <w:szCs w:val="20"/>
        </w:rPr>
        <w:t>ment fee is computed at each month end.</w:t>
      </w:r>
    </w:p>
    <w:p w14:paraId="6B3D7BE4" w14:textId="77777777" w:rsidR="00000000" w:rsidRDefault="001826C1">
      <w:pPr>
        <w:pStyle w:val="a3"/>
        <w:spacing w:before="0" w:beforeAutospacing="0" w:after="0" w:afterAutospacing="0"/>
        <w:jc w:val="both"/>
        <w:rPr>
          <w:sz w:val="20"/>
          <w:szCs w:val="20"/>
        </w:rPr>
      </w:pPr>
      <w:r>
        <w:rPr>
          <w:sz w:val="20"/>
          <w:szCs w:val="20"/>
        </w:rPr>
        <w:t> </w:t>
      </w:r>
    </w:p>
    <w:p w14:paraId="30C6D011" w14:textId="77777777" w:rsidR="00000000" w:rsidRDefault="001826C1">
      <w:pPr>
        <w:pStyle w:val="a3"/>
        <w:spacing w:before="0" w:beforeAutospacing="0" w:after="0" w:afterAutospacing="0"/>
        <w:jc w:val="both"/>
        <w:rPr>
          <w:sz w:val="20"/>
          <w:szCs w:val="20"/>
        </w:rPr>
      </w:pPr>
      <w:r>
        <w:rPr>
          <w:i/>
          <w:iCs/>
          <w:sz w:val="20"/>
          <w:szCs w:val="20"/>
        </w:rPr>
        <w:t>Information about contract balances:</w:t>
      </w:r>
    </w:p>
    <w:p w14:paraId="5628E7ED" w14:textId="77777777" w:rsidR="00000000" w:rsidRDefault="001826C1">
      <w:pPr>
        <w:pStyle w:val="a3"/>
        <w:spacing w:before="0" w:beforeAutospacing="0" w:after="0" w:afterAutospacing="0"/>
        <w:jc w:val="both"/>
        <w:rPr>
          <w:i/>
          <w:iCs/>
          <w:sz w:val="20"/>
          <w:szCs w:val="20"/>
        </w:rPr>
      </w:pPr>
      <w:r>
        <w:rPr>
          <w:i/>
          <w:iCs/>
          <w:sz w:val="20"/>
          <w:szCs w:val="20"/>
        </w:rPr>
        <w:t> </w:t>
      </w:r>
    </w:p>
    <w:p w14:paraId="7A56616F" w14:textId="77777777" w:rsidR="00000000" w:rsidRDefault="001826C1">
      <w:pPr>
        <w:pStyle w:val="a3"/>
        <w:spacing w:before="0" w:beforeAutospacing="0" w:after="0" w:afterAutospacing="0"/>
        <w:jc w:val="both"/>
        <w:rPr>
          <w:sz w:val="20"/>
          <w:szCs w:val="20"/>
        </w:rPr>
      </w:pPr>
      <w:r>
        <w:rPr>
          <w:sz w:val="20"/>
          <w:szCs w:val="20"/>
        </w:rPr>
        <w:t>As of December 31, 2019, the estimated revenue expected to be recognized in the future related to the remaining revenue cycle management performance obligations outstanding wa</w:t>
      </w:r>
      <w:r>
        <w:rPr>
          <w:sz w:val="20"/>
          <w:szCs w:val="20"/>
        </w:rPr>
        <w:t>s approximately $2.0 million. We expect to recognize substantially all of the revenue for the remaining performance obligations over the next three months. Approximately $374,000 of the contract asset represents revenue earned, not paid, from the group pur</w:t>
      </w:r>
      <w:r>
        <w:rPr>
          <w:sz w:val="20"/>
          <w:szCs w:val="20"/>
        </w:rPr>
        <w:t>chasing services.</w:t>
      </w:r>
    </w:p>
    <w:p w14:paraId="5EE4E691" w14:textId="77777777" w:rsidR="00000000" w:rsidRDefault="001826C1">
      <w:pPr>
        <w:pStyle w:val="a3"/>
        <w:spacing w:before="0" w:beforeAutospacing="0" w:after="0" w:afterAutospacing="0"/>
        <w:jc w:val="both"/>
        <w:rPr>
          <w:sz w:val="20"/>
          <w:szCs w:val="20"/>
        </w:rPr>
      </w:pPr>
      <w:r>
        <w:rPr>
          <w:sz w:val="20"/>
          <w:szCs w:val="20"/>
        </w:rPr>
        <w:t> </w:t>
      </w:r>
    </w:p>
    <w:p w14:paraId="0E6E43A3" w14:textId="77777777" w:rsidR="00000000" w:rsidRDefault="001826C1">
      <w:pPr>
        <w:pStyle w:val="a3"/>
        <w:spacing w:before="0" w:beforeAutospacing="0" w:after="0" w:afterAutospacing="0"/>
        <w:jc w:val="both"/>
        <w:rPr>
          <w:sz w:val="20"/>
          <w:szCs w:val="20"/>
        </w:rPr>
      </w:pPr>
      <w:r>
        <w:rPr>
          <w:sz w:val="20"/>
          <w:szCs w:val="20"/>
        </w:rPr>
        <w:t>Amounts that we are entitled to collect under the applicable contract are recorded as accounts receivable. Invoicing is performed at the end of each month when the services have been provided. The contract asset includes our right to pa</w:t>
      </w:r>
      <w:r>
        <w:rPr>
          <w:sz w:val="20"/>
          <w:szCs w:val="20"/>
        </w:rPr>
        <w:t>yment for services already transferred to a customer when the right to payment is conditional on something other than the passage of time. For example, contracts for revenue cycle management services where we recognize revenue over time but do not have a c</w:t>
      </w:r>
      <w:r>
        <w:rPr>
          <w:sz w:val="20"/>
          <w:szCs w:val="20"/>
        </w:rPr>
        <w:t>ontractual right to payment until the customer receives payment of their claim from the insurance provider. The contract asset also includes the revenue accrued, not received, for the group purchasing services.</w:t>
      </w:r>
    </w:p>
    <w:p w14:paraId="37257A77" w14:textId="77777777" w:rsidR="00000000" w:rsidRDefault="001826C1">
      <w:pPr>
        <w:pStyle w:val="a3"/>
        <w:spacing w:before="0" w:beforeAutospacing="0" w:after="0" w:afterAutospacing="0"/>
        <w:jc w:val="both"/>
        <w:rPr>
          <w:sz w:val="20"/>
          <w:szCs w:val="20"/>
        </w:rPr>
      </w:pPr>
      <w:r>
        <w:rPr>
          <w:sz w:val="20"/>
          <w:szCs w:val="20"/>
        </w:rPr>
        <w:t> </w:t>
      </w:r>
    </w:p>
    <w:p w14:paraId="33D7EE30" w14:textId="77777777" w:rsidR="00000000" w:rsidRDefault="001826C1">
      <w:pPr>
        <w:pStyle w:val="a3"/>
        <w:spacing w:before="0" w:beforeAutospacing="0" w:after="0" w:afterAutospacing="0"/>
        <w:jc w:val="both"/>
        <w:rPr>
          <w:sz w:val="20"/>
          <w:szCs w:val="20"/>
        </w:rPr>
      </w:pPr>
      <w:r>
        <w:rPr>
          <w:sz w:val="20"/>
          <w:szCs w:val="20"/>
        </w:rPr>
        <w:t xml:space="preserve">Changes in the contract asset are recorded </w:t>
      </w:r>
      <w:r>
        <w:rPr>
          <w:sz w:val="20"/>
          <w:szCs w:val="20"/>
        </w:rPr>
        <w:t xml:space="preserve">as adjustments to net revenue. The changes primarily result from providing services to revenue cycle management customers that result in additional consideration and are offset by our right to payment for services becoming unconditional and changes in the </w:t>
      </w:r>
      <w:r>
        <w:rPr>
          <w:sz w:val="20"/>
          <w:szCs w:val="20"/>
        </w:rPr>
        <w:t>revenue accrued for the group purchasing services. The contract asset for our group purchasing services is reduced when we receive payments from vaccine manufacturers and is increased for revenue earned, not received. The opening and closing balances of th</w:t>
      </w:r>
      <w:r>
        <w:rPr>
          <w:sz w:val="20"/>
          <w:szCs w:val="20"/>
        </w:rPr>
        <w:t>e Company’s accounts receivable, contract asset and deferred revenue are as follows:</w:t>
      </w:r>
    </w:p>
    <w:p w14:paraId="7DD981CC"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4"/>
        <w:gridCol w:w="160"/>
        <w:gridCol w:w="101"/>
        <w:gridCol w:w="991"/>
        <w:gridCol w:w="77"/>
        <w:gridCol w:w="160"/>
        <w:gridCol w:w="100"/>
        <w:gridCol w:w="992"/>
        <w:gridCol w:w="78"/>
        <w:gridCol w:w="161"/>
        <w:gridCol w:w="101"/>
        <w:gridCol w:w="992"/>
        <w:gridCol w:w="78"/>
        <w:gridCol w:w="161"/>
        <w:gridCol w:w="100"/>
        <w:gridCol w:w="992"/>
        <w:gridCol w:w="78"/>
      </w:tblGrid>
      <w:tr w:rsidR="00000000" w14:paraId="52D50B6E" w14:textId="77777777">
        <w:tc>
          <w:tcPr>
            <w:tcW w:w="0" w:type="auto"/>
            <w:vAlign w:val="bottom"/>
            <w:hideMark/>
          </w:tcPr>
          <w:p w14:paraId="1C55719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4F25DEF"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10A4B47" w14:textId="77777777" w:rsidR="00000000" w:rsidRDefault="001826C1">
            <w:pPr>
              <w:jc w:val="center"/>
              <w:rPr>
                <w:rFonts w:eastAsia="Times New Roman"/>
                <w:b/>
                <w:bCs/>
                <w:sz w:val="20"/>
                <w:szCs w:val="20"/>
              </w:rPr>
            </w:pPr>
            <w:r>
              <w:rPr>
                <w:rFonts w:eastAsia="Times New Roman"/>
                <w:b/>
                <w:bCs/>
                <w:sz w:val="20"/>
                <w:szCs w:val="20"/>
              </w:rPr>
              <w:t xml:space="preserve">Accounts Receivable, </w:t>
            </w:r>
            <w:r>
              <w:rPr>
                <w:rFonts w:eastAsia="Times New Roman"/>
                <w:b/>
                <w:bCs/>
                <w:sz w:val="20"/>
                <w:szCs w:val="20"/>
              </w:rPr>
              <w:br/>
              <w:t>Net</w:t>
            </w:r>
          </w:p>
        </w:tc>
        <w:tc>
          <w:tcPr>
            <w:tcW w:w="0" w:type="auto"/>
            <w:tcMar>
              <w:top w:w="0" w:type="dxa"/>
              <w:left w:w="0" w:type="dxa"/>
              <w:bottom w:w="30" w:type="dxa"/>
              <w:right w:w="0" w:type="dxa"/>
            </w:tcMar>
            <w:vAlign w:val="bottom"/>
            <w:hideMark/>
          </w:tcPr>
          <w:p w14:paraId="72F6B822"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E02EC4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2F70C7" w14:textId="77777777" w:rsidR="00000000" w:rsidRDefault="001826C1">
            <w:pPr>
              <w:jc w:val="center"/>
              <w:rPr>
                <w:rFonts w:eastAsia="Times New Roman"/>
                <w:b/>
                <w:bCs/>
                <w:sz w:val="20"/>
                <w:szCs w:val="20"/>
              </w:rPr>
            </w:pPr>
            <w:r>
              <w:rPr>
                <w:rFonts w:eastAsia="Times New Roman"/>
                <w:b/>
                <w:bCs/>
                <w:sz w:val="20"/>
                <w:szCs w:val="20"/>
              </w:rPr>
              <w:t xml:space="preserve">Contract </w:t>
            </w:r>
            <w:r>
              <w:rPr>
                <w:rFonts w:eastAsia="Times New Roman"/>
                <w:b/>
                <w:bCs/>
                <w:sz w:val="20"/>
                <w:szCs w:val="20"/>
              </w:rPr>
              <w:br/>
              <w:t>Asset</w:t>
            </w:r>
          </w:p>
        </w:tc>
        <w:tc>
          <w:tcPr>
            <w:tcW w:w="0" w:type="auto"/>
            <w:tcMar>
              <w:top w:w="0" w:type="dxa"/>
              <w:left w:w="0" w:type="dxa"/>
              <w:bottom w:w="30" w:type="dxa"/>
              <w:right w:w="0" w:type="dxa"/>
            </w:tcMar>
            <w:vAlign w:val="bottom"/>
            <w:hideMark/>
          </w:tcPr>
          <w:p w14:paraId="24066E6B"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5C6B67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352EAE4" w14:textId="77777777" w:rsidR="00000000" w:rsidRDefault="001826C1">
            <w:pPr>
              <w:jc w:val="center"/>
              <w:rPr>
                <w:rFonts w:eastAsia="Times New Roman"/>
                <w:b/>
                <w:bCs/>
                <w:sz w:val="20"/>
                <w:szCs w:val="20"/>
              </w:rPr>
            </w:pPr>
            <w:r>
              <w:rPr>
                <w:rFonts w:eastAsia="Times New Roman"/>
                <w:b/>
                <w:bCs/>
                <w:sz w:val="20"/>
                <w:szCs w:val="20"/>
              </w:rPr>
              <w:t>Deferred</w:t>
            </w:r>
            <w:r>
              <w:rPr>
                <w:rFonts w:eastAsia="Times New Roman"/>
                <w:b/>
                <w:bCs/>
                <w:sz w:val="20"/>
                <w:szCs w:val="20"/>
              </w:rPr>
              <w:br/>
              <w:t>Revenue</w:t>
            </w:r>
            <w:r>
              <w:rPr>
                <w:rFonts w:eastAsia="Times New Roman"/>
                <w:b/>
                <w:bCs/>
                <w:sz w:val="20"/>
                <w:szCs w:val="20"/>
              </w:rPr>
              <w:br/>
              <w:t>(current)</w:t>
            </w:r>
          </w:p>
        </w:tc>
        <w:tc>
          <w:tcPr>
            <w:tcW w:w="0" w:type="auto"/>
            <w:tcMar>
              <w:top w:w="0" w:type="dxa"/>
              <w:left w:w="0" w:type="dxa"/>
              <w:bottom w:w="30" w:type="dxa"/>
              <w:right w:w="0" w:type="dxa"/>
            </w:tcMar>
            <w:vAlign w:val="bottom"/>
            <w:hideMark/>
          </w:tcPr>
          <w:p w14:paraId="2F0A09BE"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F247A7E"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57BFDA8" w14:textId="77777777" w:rsidR="00000000" w:rsidRDefault="001826C1">
            <w:pPr>
              <w:jc w:val="center"/>
              <w:rPr>
                <w:rFonts w:eastAsia="Times New Roman"/>
                <w:b/>
                <w:bCs/>
                <w:sz w:val="20"/>
                <w:szCs w:val="20"/>
              </w:rPr>
            </w:pPr>
            <w:r>
              <w:rPr>
                <w:rFonts w:eastAsia="Times New Roman"/>
                <w:b/>
                <w:bCs/>
                <w:sz w:val="20"/>
                <w:szCs w:val="20"/>
              </w:rPr>
              <w:t>Deferred Revenue</w:t>
            </w:r>
            <w:r>
              <w:rPr>
                <w:rFonts w:eastAsia="Times New Roman"/>
                <w:b/>
                <w:bCs/>
                <w:sz w:val="20"/>
                <w:szCs w:val="20"/>
              </w:rPr>
              <w:br/>
              <w:t>(long term)</w:t>
            </w:r>
          </w:p>
        </w:tc>
        <w:tc>
          <w:tcPr>
            <w:tcW w:w="0" w:type="auto"/>
            <w:tcMar>
              <w:top w:w="0" w:type="dxa"/>
              <w:left w:w="0" w:type="dxa"/>
              <w:bottom w:w="30" w:type="dxa"/>
              <w:right w:w="0" w:type="dxa"/>
            </w:tcMar>
            <w:vAlign w:val="bottom"/>
            <w:hideMark/>
          </w:tcPr>
          <w:p w14:paraId="20BECD41" w14:textId="77777777" w:rsidR="00000000" w:rsidRDefault="001826C1">
            <w:pPr>
              <w:rPr>
                <w:rFonts w:eastAsia="Times New Roman"/>
                <w:b/>
                <w:bCs/>
                <w:sz w:val="20"/>
                <w:szCs w:val="20"/>
              </w:rPr>
            </w:pPr>
            <w:r>
              <w:rPr>
                <w:rFonts w:eastAsia="Times New Roman"/>
                <w:b/>
                <w:bCs/>
                <w:sz w:val="20"/>
                <w:szCs w:val="20"/>
              </w:rPr>
              <w:t> </w:t>
            </w:r>
          </w:p>
        </w:tc>
      </w:tr>
      <w:tr w:rsidR="00000000" w14:paraId="48E552B0" w14:textId="77777777">
        <w:tc>
          <w:tcPr>
            <w:tcW w:w="1800" w:type="pct"/>
            <w:shd w:val="clear" w:color="auto" w:fill="CCEEFF"/>
            <w:vAlign w:val="bottom"/>
            <w:hideMark/>
          </w:tcPr>
          <w:p w14:paraId="52246C7A" w14:textId="77777777" w:rsidR="00000000" w:rsidRDefault="001826C1">
            <w:pPr>
              <w:rPr>
                <w:rFonts w:eastAsia="Times New Roman"/>
                <w:sz w:val="20"/>
                <w:szCs w:val="20"/>
              </w:rPr>
            </w:pPr>
            <w:r>
              <w:rPr>
                <w:rFonts w:eastAsia="Times New Roman"/>
                <w:sz w:val="20"/>
                <w:szCs w:val="20"/>
              </w:rPr>
              <w:t>Balance as of January 1, 2018</w:t>
            </w:r>
          </w:p>
        </w:tc>
        <w:tc>
          <w:tcPr>
            <w:tcW w:w="100" w:type="pct"/>
            <w:shd w:val="clear" w:color="auto" w:fill="CCEEFF"/>
            <w:vAlign w:val="bottom"/>
            <w:hideMark/>
          </w:tcPr>
          <w:p w14:paraId="5A62654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BD43049"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664D0BAD" w14:textId="77777777" w:rsidR="00000000" w:rsidRDefault="001826C1">
            <w:pPr>
              <w:jc w:val="right"/>
              <w:rPr>
                <w:rFonts w:eastAsia="Times New Roman"/>
                <w:sz w:val="20"/>
                <w:szCs w:val="20"/>
              </w:rPr>
            </w:pPr>
            <w:r>
              <w:rPr>
                <w:rFonts w:eastAsia="Times New Roman"/>
                <w:sz w:val="20"/>
                <w:szCs w:val="20"/>
              </w:rPr>
              <w:t>3,879,463</w:t>
            </w:r>
          </w:p>
        </w:tc>
        <w:tc>
          <w:tcPr>
            <w:tcW w:w="50" w:type="pct"/>
            <w:shd w:val="clear" w:color="auto" w:fill="CCEEFF"/>
            <w:vAlign w:val="bottom"/>
            <w:hideMark/>
          </w:tcPr>
          <w:p w14:paraId="34C5DDAA"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5D5993A"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641114"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2FEFD8ED" w14:textId="77777777" w:rsidR="00000000" w:rsidRDefault="001826C1">
            <w:pPr>
              <w:jc w:val="right"/>
              <w:rPr>
                <w:rFonts w:eastAsia="Times New Roman"/>
                <w:sz w:val="20"/>
                <w:szCs w:val="20"/>
              </w:rPr>
            </w:pPr>
            <w:r>
              <w:rPr>
                <w:rFonts w:eastAsia="Times New Roman"/>
                <w:sz w:val="20"/>
                <w:szCs w:val="20"/>
              </w:rPr>
              <w:t>1,342,692</w:t>
            </w:r>
          </w:p>
        </w:tc>
        <w:tc>
          <w:tcPr>
            <w:tcW w:w="50" w:type="pct"/>
            <w:shd w:val="clear" w:color="auto" w:fill="CCEEFF"/>
            <w:vAlign w:val="bottom"/>
            <w:hideMark/>
          </w:tcPr>
          <w:p w14:paraId="1F61B977"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314DB02"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22287DC"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11C2DC3E" w14:textId="77777777" w:rsidR="00000000" w:rsidRDefault="001826C1">
            <w:pPr>
              <w:jc w:val="right"/>
              <w:rPr>
                <w:rFonts w:eastAsia="Times New Roman"/>
                <w:sz w:val="20"/>
                <w:szCs w:val="20"/>
              </w:rPr>
            </w:pPr>
            <w:r>
              <w:rPr>
                <w:rFonts w:eastAsia="Times New Roman"/>
                <w:sz w:val="20"/>
                <w:szCs w:val="20"/>
              </w:rPr>
              <w:t>62,104</w:t>
            </w:r>
          </w:p>
        </w:tc>
        <w:tc>
          <w:tcPr>
            <w:tcW w:w="50" w:type="pct"/>
            <w:shd w:val="clear" w:color="auto" w:fill="CCEEFF"/>
            <w:vAlign w:val="bottom"/>
            <w:hideMark/>
          </w:tcPr>
          <w:p w14:paraId="7B87EE6B"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8D26C0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B87AE80"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0F3E2970" w14:textId="77777777" w:rsidR="00000000" w:rsidRDefault="001826C1">
            <w:pPr>
              <w:jc w:val="right"/>
              <w:rPr>
                <w:rFonts w:eastAsia="Times New Roman"/>
                <w:sz w:val="20"/>
                <w:szCs w:val="20"/>
              </w:rPr>
            </w:pPr>
            <w:r>
              <w:rPr>
                <w:rFonts w:eastAsia="Times New Roman"/>
                <w:sz w:val="20"/>
                <w:szCs w:val="20"/>
              </w:rPr>
              <w:t>28,615</w:t>
            </w:r>
          </w:p>
        </w:tc>
        <w:tc>
          <w:tcPr>
            <w:tcW w:w="50" w:type="pct"/>
            <w:shd w:val="clear" w:color="auto" w:fill="CCEEFF"/>
            <w:vAlign w:val="bottom"/>
            <w:hideMark/>
          </w:tcPr>
          <w:p w14:paraId="5EC8655C" w14:textId="77777777" w:rsidR="00000000" w:rsidRDefault="001826C1">
            <w:pPr>
              <w:rPr>
                <w:rFonts w:eastAsia="Times New Roman"/>
                <w:sz w:val="20"/>
                <w:szCs w:val="20"/>
              </w:rPr>
            </w:pPr>
            <w:r>
              <w:rPr>
                <w:rFonts w:eastAsia="Times New Roman"/>
                <w:sz w:val="20"/>
                <w:szCs w:val="20"/>
              </w:rPr>
              <w:t> </w:t>
            </w:r>
          </w:p>
        </w:tc>
      </w:tr>
      <w:tr w:rsidR="00000000" w14:paraId="4D23C1E8" w14:textId="77777777">
        <w:tc>
          <w:tcPr>
            <w:tcW w:w="0" w:type="auto"/>
            <w:shd w:val="clear" w:color="auto" w:fill="FFFFFF"/>
            <w:vAlign w:val="bottom"/>
            <w:hideMark/>
          </w:tcPr>
          <w:p w14:paraId="20A202BB" w14:textId="77777777" w:rsidR="00000000" w:rsidRDefault="001826C1">
            <w:pPr>
              <w:rPr>
                <w:rFonts w:eastAsia="Times New Roman"/>
                <w:sz w:val="20"/>
                <w:szCs w:val="20"/>
              </w:rPr>
            </w:pPr>
            <w:r>
              <w:rPr>
                <w:rFonts w:eastAsia="Times New Roman"/>
                <w:sz w:val="20"/>
                <w:szCs w:val="20"/>
              </w:rPr>
              <w:t>Orion acquisition</w:t>
            </w:r>
          </w:p>
        </w:tc>
        <w:tc>
          <w:tcPr>
            <w:tcW w:w="0" w:type="auto"/>
            <w:shd w:val="clear" w:color="auto" w:fill="FFFFFF"/>
            <w:vAlign w:val="bottom"/>
            <w:hideMark/>
          </w:tcPr>
          <w:p w14:paraId="024F7C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72A4A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2363A6" w14:textId="77777777" w:rsidR="00000000" w:rsidRDefault="001826C1">
            <w:pPr>
              <w:jc w:val="right"/>
              <w:rPr>
                <w:rFonts w:eastAsia="Times New Roman"/>
                <w:sz w:val="20"/>
                <w:szCs w:val="20"/>
              </w:rPr>
            </w:pPr>
            <w:r>
              <w:rPr>
                <w:rFonts w:eastAsia="Times New Roman"/>
                <w:sz w:val="20"/>
                <w:szCs w:val="20"/>
              </w:rPr>
              <w:t>5,654,919</w:t>
            </w:r>
          </w:p>
        </w:tc>
        <w:tc>
          <w:tcPr>
            <w:tcW w:w="0" w:type="auto"/>
            <w:shd w:val="clear" w:color="auto" w:fill="FFFFFF"/>
            <w:vAlign w:val="bottom"/>
            <w:hideMark/>
          </w:tcPr>
          <w:p w14:paraId="1BB2C5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3C67D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6890F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8D9F0F" w14:textId="77777777" w:rsidR="00000000" w:rsidRDefault="001826C1">
            <w:pPr>
              <w:jc w:val="right"/>
              <w:rPr>
                <w:rFonts w:eastAsia="Times New Roman"/>
                <w:sz w:val="20"/>
                <w:szCs w:val="20"/>
              </w:rPr>
            </w:pPr>
            <w:r>
              <w:rPr>
                <w:rFonts w:eastAsia="Times New Roman"/>
                <w:sz w:val="20"/>
                <w:szCs w:val="20"/>
              </w:rPr>
              <w:t>861,341</w:t>
            </w:r>
          </w:p>
        </w:tc>
        <w:tc>
          <w:tcPr>
            <w:tcW w:w="0" w:type="auto"/>
            <w:shd w:val="clear" w:color="auto" w:fill="FFFFFF"/>
            <w:vAlign w:val="bottom"/>
            <w:hideMark/>
          </w:tcPr>
          <w:p w14:paraId="2E1BC1B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E262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E84DC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FD213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67F004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FA297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151E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24BB2C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D1581DC" w14:textId="77777777" w:rsidR="00000000" w:rsidRDefault="001826C1">
            <w:pPr>
              <w:rPr>
                <w:rFonts w:eastAsia="Times New Roman"/>
                <w:sz w:val="20"/>
                <w:szCs w:val="20"/>
              </w:rPr>
            </w:pPr>
            <w:r>
              <w:rPr>
                <w:rFonts w:eastAsia="Times New Roman"/>
                <w:sz w:val="20"/>
                <w:szCs w:val="20"/>
              </w:rPr>
              <w:t> </w:t>
            </w:r>
          </w:p>
        </w:tc>
      </w:tr>
      <w:tr w:rsidR="00000000" w14:paraId="06000992" w14:textId="77777777">
        <w:tc>
          <w:tcPr>
            <w:tcW w:w="0" w:type="auto"/>
            <w:shd w:val="clear" w:color="auto" w:fill="CCEEFF"/>
            <w:tcMar>
              <w:top w:w="0" w:type="dxa"/>
              <w:left w:w="0" w:type="dxa"/>
              <w:bottom w:w="30" w:type="dxa"/>
              <w:right w:w="0" w:type="dxa"/>
            </w:tcMar>
            <w:vAlign w:val="bottom"/>
            <w:hideMark/>
          </w:tcPr>
          <w:p w14:paraId="6FD2AF81" w14:textId="77777777" w:rsidR="00000000" w:rsidRDefault="001826C1">
            <w:pPr>
              <w:rPr>
                <w:rFonts w:eastAsia="Times New Roman"/>
                <w:sz w:val="20"/>
                <w:szCs w:val="20"/>
              </w:rPr>
            </w:pPr>
            <w:r>
              <w:rPr>
                <w:rFonts w:eastAsia="Times New Roman"/>
                <w:sz w:val="20"/>
                <w:szCs w:val="20"/>
              </w:rPr>
              <w:t>(Decrease) increase, net</w:t>
            </w:r>
          </w:p>
        </w:tc>
        <w:tc>
          <w:tcPr>
            <w:tcW w:w="0" w:type="auto"/>
            <w:shd w:val="clear" w:color="auto" w:fill="CCEEFF"/>
            <w:tcMar>
              <w:top w:w="0" w:type="dxa"/>
              <w:left w:w="0" w:type="dxa"/>
              <w:bottom w:w="30" w:type="dxa"/>
              <w:right w:w="0" w:type="dxa"/>
            </w:tcMar>
            <w:vAlign w:val="bottom"/>
            <w:hideMark/>
          </w:tcPr>
          <w:p w14:paraId="00A3D9F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8EE3E3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D66BA6" w14:textId="77777777" w:rsidR="00000000" w:rsidRDefault="001826C1">
            <w:pPr>
              <w:jc w:val="right"/>
              <w:rPr>
                <w:rFonts w:eastAsia="Times New Roman"/>
                <w:sz w:val="20"/>
                <w:szCs w:val="20"/>
              </w:rPr>
            </w:pPr>
            <w:r>
              <w:rPr>
                <w:rFonts w:eastAsia="Times New Roman"/>
                <w:sz w:val="20"/>
                <w:szCs w:val="20"/>
              </w:rPr>
              <w:t>(2,202,908</w:t>
            </w:r>
          </w:p>
        </w:tc>
        <w:tc>
          <w:tcPr>
            <w:tcW w:w="0" w:type="auto"/>
            <w:shd w:val="clear" w:color="auto" w:fill="CCEEFF"/>
            <w:tcMar>
              <w:top w:w="0" w:type="dxa"/>
              <w:left w:w="0" w:type="dxa"/>
              <w:bottom w:w="30" w:type="dxa"/>
              <w:right w:w="0" w:type="dxa"/>
            </w:tcMar>
            <w:vAlign w:val="bottom"/>
            <w:hideMark/>
          </w:tcPr>
          <w:p w14:paraId="7AEC9B33"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20AFE9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AD5EBD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C5F3D8" w14:textId="77777777" w:rsidR="00000000" w:rsidRDefault="001826C1">
            <w:pPr>
              <w:jc w:val="right"/>
              <w:rPr>
                <w:rFonts w:eastAsia="Times New Roman"/>
                <w:sz w:val="20"/>
                <w:szCs w:val="20"/>
              </w:rPr>
            </w:pPr>
            <w:r>
              <w:rPr>
                <w:rFonts w:eastAsia="Times New Roman"/>
                <w:sz w:val="20"/>
                <w:szCs w:val="20"/>
              </w:rPr>
              <w:t>404,598</w:t>
            </w:r>
          </w:p>
        </w:tc>
        <w:tc>
          <w:tcPr>
            <w:tcW w:w="0" w:type="auto"/>
            <w:shd w:val="clear" w:color="auto" w:fill="CCEEFF"/>
            <w:tcMar>
              <w:top w:w="0" w:type="dxa"/>
              <w:left w:w="0" w:type="dxa"/>
              <w:bottom w:w="30" w:type="dxa"/>
              <w:right w:w="0" w:type="dxa"/>
            </w:tcMar>
            <w:vAlign w:val="bottom"/>
            <w:hideMark/>
          </w:tcPr>
          <w:p w14:paraId="542883A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314F83D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82D28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D49BE6" w14:textId="77777777" w:rsidR="00000000" w:rsidRDefault="001826C1">
            <w:pPr>
              <w:jc w:val="right"/>
              <w:rPr>
                <w:rFonts w:eastAsia="Times New Roman"/>
                <w:sz w:val="20"/>
                <w:szCs w:val="20"/>
              </w:rPr>
            </w:pPr>
            <w:r>
              <w:rPr>
                <w:rFonts w:eastAsia="Times New Roman"/>
                <w:sz w:val="20"/>
                <w:szCs w:val="20"/>
              </w:rPr>
              <w:t>(36,749</w:t>
            </w:r>
          </w:p>
        </w:tc>
        <w:tc>
          <w:tcPr>
            <w:tcW w:w="0" w:type="auto"/>
            <w:shd w:val="clear" w:color="auto" w:fill="CCEEFF"/>
            <w:tcMar>
              <w:top w:w="0" w:type="dxa"/>
              <w:left w:w="0" w:type="dxa"/>
              <w:bottom w:w="30" w:type="dxa"/>
              <w:right w:w="0" w:type="dxa"/>
            </w:tcMar>
            <w:vAlign w:val="bottom"/>
            <w:hideMark/>
          </w:tcPr>
          <w:p w14:paraId="1A6DD299"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234FDC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F90FC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EDF9751" w14:textId="77777777" w:rsidR="00000000" w:rsidRDefault="001826C1">
            <w:pPr>
              <w:jc w:val="right"/>
              <w:rPr>
                <w:rFonts w:eastAsia="Times New Roman"/>
                <w:sz w:val="20"/>
                <w:szCs w:val="20"/>
              </w:rPr>
            </w:pPr>
            <w:r>
              <w:rPr>
                <w:rFonts w:eastAsia="Times New Roman"/>
                <w:sz w:val="20"/>
                <w:szCs w:val="20"/>
              </w:rPr>
              <w:t>(9,666</w:t>
            </w:r>
          </w:p>
        </w:tc>
        <w:tc>
          <w:tcPr>
            <w:tcW w:w="0" w:type="auto"/>
            <w:shd w:val="clear" w:color="auto" w:fill="CCEEFF"/>
            <w:tcMar>
              <w:top w:w="0" w:type="dxa"/>
              <w:left w:w="0" w:type="dxa"/>
              <w:bottom w:w="30" w:type="dxa"/>
              <w:right w:w="0" w:type="dxa"/>
            </w:tcMar>
            <w:vAlign w:val="bottom"/>
            <w:hideMark/>
          </w:tcPr>
          <w:p w14:paraId="62BCF496" w14:textId="77777777" w:rsidR="00000000" w:rsidRDefault="001826C1">
            <w:pPr>
              <w:rPr>
                <w:rFonts w:eastAsia="Times New Roman"/>
                <w:sz w:val="20"/>
                <w:szCs w:val="20"/>
              </w:rPr>
            </w:pPr>
            <w:r>
              <w:rPr>
                <w:rFonts w:eastAsia="Times New Roman"/>
                <w:sz w:val="20"/>
                <w:szCs w:val="20"/>
              </w:rPr>
              <w:t>)</w:t>
            </w:r>
          </w:p>
        </w:tc>
      </w:tr>
      <w:tr w:rsidR="00000000" w14:paraId="181A0710" w14:textId="77777777">
        <w:tc>
          <w:tcPr>
            <w:tcW w:w="0" w:type="auto"/>
            <w:shd w:val="clear" w:color="auto" w:fill="FFFFFF"/>
            <w:tcMar>
              <w:top w:w="0" w:type="dxa"/>
              <w:left w:w="0" w:type="dxa"/>
              <w:bottom w:w="50" w:type="dxa"/>
              <w:right w:w="0" w:type="dxa"/>
            </w:tcMar>
            <w:vAlign w:val="bottom"/>
            <w:hideMark/>
          </w:tcPr>
          <w:p w14:paraId="4A7BC8CE" w14:textId="77777777" w:rsidR="00000000" w:rsidRDefault="001826C1">
            <w:pPr>
              <w:rPr>
                <w:rFonts w:eastAsia="Times New Roman"/>
                <w:sz w:val="20"/>
                <w:szCs w:val="20"/>
              </w:rPr>
            </w:pPr>
            <w:r>
              <w:rPr>
                <w:rFonts w:eastAsia="Times New Roman"/>
                <w:sz w:val="20"/>
                <w:szCs w:val="20"/>
              </w:rPr>
              <w:t>Balance as of December 31, 2018</w:t>
            </w:r>
          </w:p>
        </w:tc>
        <w:tc>
          <w:tcPr>
            <w:tcW w:w="0" w:type="auto"/>
            <w:shd w:val="clear" w:color="auto" w:fill="FFFFFF"/>
            <w:tcMar>
              <w:top w:w="0" w:type="dxa"/>
              <w:left w:w="0" w:type="dxa"/>
              <w:bottom w:w="50" w:type="dxa"/>
              <w:right w:w="0" w:type="dxa"/>
            </w:tcMar>
            <w:vAlign w:val="bottom"/>
            <w:hideMark/>
          </w:tcPr>
          <w:p w14:paraId="09D36B7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ECE8BE6"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4D9BDF7" w14:textId="77777777" w:rsidR="00000000" w:rsidRDefault="001826C1">
            <w:pPr>
              <w:jc w:val="right"/>
              <w:rPr>
                <w:rFonts w:eastAsia="Times New Roman"/>
                <w:sz w:val="20"/>
                <w:szCs w:val="20"/>
              </w:rPr>
            </w:pPr>
            <w:r>
              <w:rPr>
                <w:rFonts w:eastAsia="Times New Roman"/>
                <w:sz w:val="20"/>
                <w:szCs w:val="20"/>
              </w:rPr>
              <w:t>7,331,474</w:t>
            </w:r>
          </w:p>
        </w:tc>
        <w:tc>
          <w:tcPr>
            <w:tcW w:w="0" w:type="auto"/>
            <w:shd w:val="clear" w:color="auto" w:fill="FFFFFF"/>
            <w:tcMar>
              <w:top w:w="0" w:type="dxa"/>
              <w:left w:w="0" w:type="dxa"/>
              <w:bottom w:w="50" w:type="dxa"/>
              <w:right w:w="0" w:type="dxa"/>
            </w:tcMar>
            <w:vAlign w:val="bottom"/>
            <w:hideMark/>
          </w:tcPr>
          <w:p w14:paraId="505964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1064FC1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D2723B2"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1911F62" w14:textId="77777777" w:rsidR="00000000" w:rsidRDefault="001826C1">
            <w:pPr>
              <w:jc w:val="right"/>
              <w:rPr>
                <w:rFonts w:eastAsia="Times New Roman"/>
                <w:sz w:val="20"/>
                <w:szCs w:val="20"/>
              </w:rPr>
            </w:pPr>
            <w:r>
              <w:rPr>
                <w:rFonts w:eastAsia="Times New Roman"/>
                <w:sz w:val="20"/>
                <w:szCs w:val="20"/>
              </w:rPr>
              <w:t>2,608,631</w:t>
            </w:r>
          </w:p>
        </w:tc>
        <w:tc>
          <w:tcPr>
            <w:tcW w:w="0" w:type="auto"/>
            <w:shd w:val="clear" w:color="auto" w:fill="FFFFFF"/>
            <w:tcMar>
              <w:top w:w="0" w:type="dxa"/>
              <w:left w:w="0" w:type="dxa"/>
              <w:bottom w:w="50" w:type="dxa"/>
              <w:right w:w="0" w:type="dxa"/>
            </w:tcMar>
            <w:vAlign w:val="bottom"/>
            <w:hideMark/>
          </w:tcPr>
          <w:p w14:paraId="276DC3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8F2CC1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58D459B"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7B439AE" w14:textId="77777777" w:rsidR="00000000" w:rsidRDefault="001826C1">
            <w:pPr>
              <w:jc w:val="right"/>
              <w:rPr>
                <w:rFonts w:eastAsia="Times New Roman"/>
                <w:sz w:val="20"/>
                <w:szCs w:val="20"/>
              </w:rPr>
            </w:pPr>
            <w:r>
              <w:rPr>
                <w:rFonts w:eastAsia="Times New Roman"/>
                <w:sz w:val="20"/>
                <w:szCs w:val="20"/>
              </w:rPr>
              <w:t>25,355</w:t>
            </w:r>
          </w:p>
        </w:tc>
        <w:tc>
          <w:tcPr>
            <w:tcW w:w="0" w:type="auto"/>
            <w:shd w:val="clear" w:color="auto" w:fill="FFFFFF"/>
            <w:tcMar>
              <w:top w:w="0" w:type="dxa"/>
              <w:left w:w="0" w:type="dxa"/>
              <w:bottom w:w="50" w:type="dxa"/>
              <w:right w:w="0" w:type="dxa"/>
            </w:tcMar>
            <w:vAlign w:val="bottom"/>
            <w:hideMark/>
          </w:tcPr>
          <w:p w14:paraId="481591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7E6A1BB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7B77CE6"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53F6FF9" w14:textId="77777777" w:rsidR="00000000" w:rsidRDefault="001826C1">
            <w:pPr>
              <w:jc w:val="right"/>
              <w:rPr>
                <w:rFonts w:eastAsia="Times New Roman"/>
                <w:sz w:val="20"/>
                <w:szCs w:val="20"/>
              </w:rPr>
            </w:pPr>
            <w:r>
              <w:rPr>
                <w:rFonts w:eastAsia="Times New Roman"/>
                <w:sz w:val="20"/>
                <w:szCs w:val="20"/>
              </w:rPr>
              <w:t>18,949</w:t>
            </w:r>
          </w:p>
        </w:tc>
        <w:tc>
          <w:tcPr>
            <w:tcW w:w="0" w:type="auto"/>
            <w:shd w:val="clear" w:color="auto" w:fill="FFFFFF"/>
            <w:tcMar>
              <w:top w:w="0" w:type="dxa"/>
              <w:left w:w="0" w:type="dxa"/>
              <w:bottom w:w="50" w:type="dxa"/>
              <w:right w:w="0" w:type="dxa"/>
            </w:tcMar>
            <w:vAlign w:val="bottom"/>
            <w:hideMark/>
          </w:tcPr>
          <w:p w14:paraId="4DB79D4A" w14:textId="77777777" w:rsidR="00000000" w:rsidRDefault="001826C1">
            <w:pPr>
              <w:rPr>
                <w:rFonts w:eastAsia="Times New Roman"/>
                <w:sz w:val="20"/>
                <w:szCs w:val="20"/>
              </w:rPr>
            </w:pPr>
            <w:r>
              <w:rPr>
                <w:rFonts w:eastAsia="Times New Roman"/>
                <w:sz w:val="20"/>
                <w:szCs w:val="20"/>
              </w:rPr>
              <w:t> </w:t>
            </w:r>
          </w:p>
        </w:tc>
      </w:tr>
      <w:tr w:rsidR="00000000" w14:paraId="17259EB1" w14:textId="77777777">
        <w:tc>
          <w:tcPr>
            <w:tcW w:w="0" w:type="auto"/>
            <w:shd w:val="clear" w:color="auto" w:fill="CCEEFF"/>
            <w:vAlign w:val="bottom"/>
            <w:hideMark/>
          </w:tcPr>
          <w:p w14:paraId="398DA8DC" w14:textId="77777777" w:rsidR="00000000" w:rsidRDefault="001826C1">
            <w:pPr>
              <w:rPr>
                <w:rFonts w:eastAsia="Times New Roman"/>
                <w:sz w:val="20"/>
                <w:szCs w:val="20"/>
              </w:rPr>
            </w:pPr>
            <w:r>
              <w:rPr>
                <w:rFonts w:eastAsia="Times New Roman"/>
                <w:sz w:val="20"/>
                <w:szCs w:val="20"/>
              </w:rPr>
              <w:t>Balance as of January 1, 2019</w:t>
            </w:r>
          </w:p>
        </w:tc>
        <w:tc>
          <w:tcPr>
            <w:tcW w:w="0" w:type="auto"/>
            <w:shd w:val="clear" w:color="auto" w:fill="CCEEFF"/>
            <w:vAlign w:val="bottom"/>
            <w:hideMark/>
          </w:tcPr>
          <w:p w14:paraId="0A93D4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52684E"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48785D6A" w14:textId="77777777" w:rsidR="00000000" w:rsidRDefault="001826C1">
            <w:pPr>
              <w:jc w:val="right"/>
              <w:rPr>
                <w:rFonts w:eastAsia="Times New Roman"/>
                <w:sz w:val="20"/>
                <w:szCs w:val="20"/>
              </w:rPr>
            </w:pPr>
            <w:r>
              <w:rPr>
                <w:rFonts w:eastAsia="Times New Roman"/>
                <w:sz w:val="20"/>
                <w:szCs w:val="20"/>
              </w:rPr>
              <w:t>7,331,474</w:t>
            </w:r>
          </w:p>
        </w:tc>
        <w:tc>
          <w:tcPr>
            <w:tcW w:w="0" w:type="auto"/>
            <w:shd w:val="clear" w:color="auto" w:fill="CCEEFF"/>
            <w:vAlign w:val="bottom"/>
            <w:hideMark/>
          </w:tcPr>
          <w:p w14:paraId="4CA486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CD56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687FCE6"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29FDB1CA" w14:textId="77777777" w:rsidR="00000000" w:rsidRDefault="001826C1">
            <w:pPr>
              <w:jc w:val="right"/>
              <w:rPr>
                <w:rFonts w:eastAsia="Times New Roman"/>
                <w:sz w:val="20"/>
                <w:szCs w:val="20"/>
              </w:rPr>
            </w:pPr>
            <w:r>
              <w:rPr>
                <w:rFonts w:eastAsia="Times New Roman"/>
                <w:sz w:val="20"/>
                <w:szCs w:val="20"/>
              </w:rPr>
              <w:t>2,608,631</w:t>
            </w:r>
          </w:p>
        </w:tc>
        <w:tc>
          <w:tcPr>
            <w:tcW w:w="0" w:type="auto"/>
            <w:shd w:val="clear" w:color="auto" w:fill="CCEEFF"/>
            <w:vAlign w:val="bottom"/>
            <w:hideMark/>
          </w:tcPr>
          <w:p w14:paraId="049A48A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E135C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DA2090"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2201066" w14:textId="77777777" w:rsidR="00000000" w:rsidRDefault="001826C1">
            <w:pPr>
              <w:jc w:val="right"/>
              <w:rPr>
                <w:rFonts w:eastAsia="Times New Roman"/>
                <w:sz w:val="20"/>
                <w:szCs w:val="20"/>
              </w:rPr>
            </w:pPr>
            <w:r>
              <w:rPr>
                <w:rFonts w:eastAsia="Times New Roman"/>
                <w:sz w:val="20"/>
                <w:szCs w:val="20"/>
              </w:rPr>
              <w:t>25,355</w:t>
            </w:r>
          </w:p>
        </w:tc>
        <w:tc>
          <w:tcPr>
            <w:tcW w:w="0" w:type="auto"/>
            <w:shd w:val="clear" w:color="auto" w:fill="CCEEFF"/>
            <w:vAlign w:val="bottom"/>
            <w:hideMark/>
          </w:tcPr>
          <w:p w14:paraId="3321FB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9CBDD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F2607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96ACA9B" w14:textId="77777777" w:rsidR="00000000" w:rsidRDefault="001826C1">
            <w:pPr>
              <w:jc w:val="right"/>
              <w:rPr>
                <w:rFonts w:eastAsia="Times New Roman"/>
                <w:sz w:val="20"/>
                <w:szCs w:val="20"/>
              </w:rPr>
            </w:pPr>
            <w:r>
              <w:rPr>
                <w:rFonts w:eastAsia="Times New Roman"/>
                <w:sz w:val="20"/>
                <w:szCs w:val="20"/>
              </w:rPr>
              <w:t>18,949</w:t>
            </w:r>
          </w:p>
        </w:tc>
        <w:tc>
          <w:tcPr>
            <w:tcW w:w="0" w:type="auto"/>
            <w:shd w:val="clear" w:color="auto" w:fill="CCEEFF"/>
            <w:vAlign w:val="bottom"/>
            <w:hideMark/>
          </w:tcPr>
          <w:p w14:paraId="70EB8A4D" w14:textId="77777777" w:rsidR="00000000" w:rsidRDefault="001826C1">
            <w:pPr>
              <w:rPr>
                <w:rFonts w:eastAsia="Times New Roman"/>
                <w:sz w:val="20"/>
                <w:szCs w:val="20"/>
              </w:rPr>
            </w:pPr>
            <w:r>
              <w:rPr>
                <w:rFonts w:eastAsia="Times New Roman"/>
                <w:sz w:val="20"/>
                <w:szCs w:val="20"/>
              </w:rPr>
              <w:t> </w:t>
            </w:r>
          </w:p>
        </w:tc>
      </w:tr>
      <w:tr w:rsidR="00000000" w14:paraId="17E0675D" w14:textId="77777777">
        <w:tc>
          <w:tcPr>
            <w:tcW w:w="0" w:type="auto"/>
            <w:shd w:val="clear" w:color="auto" w:fill="FFFFFF"/>
            <w:vAlign w:val="bottom"/>
            <w:hideMark/>
          </w:tcPr>
          <w:p w14:paraId="1945A360" w14:textId="77777777" w:rsidR="00000000" w:rsidRDefault="001826C1">
            <w:pPr>
              <w:rPr>
                <w:rFonts w:eastAsia="Times New Roman"/>
                <w:sz w:val="20"/>
                <w:szCs w:val="20"/>
              </w:rPr>
            </w:pPr>
            <w:r>
              <w:rPr>
                <w:rFonts w:eastAsia="Times New Roman"/>
                <w:sz w:val="20"/>
                <w:szCs w:val="20"/>
              </w:rPr>
              <w:t>ETM acquisition</w:t>
            </w:r>
          </w:p>
        </w:tc>
        <w:tc>
          <w:tcPr>
            <w:tcW w:w="0" w:type="auto"/>
            <w:shd w:val="clear" w:color="auto" w:fill="FFFFFF"/>
            <w:vAlign w:val="bottom"/>
            <w:hideMark/>
          </w:tcPr>
          <w:p w14:paraId="1F9960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21C5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B0DC3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7FD32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958F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B85A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651E0A" w14:textId="77777777" w:rsidR="00000000" w:rsidRDefault="001826C1">
            <w:pPr>
              <w:jc w:val="right"/>
              <w:rPr>
                <w:rFonts w:eastAsia="Times New Roman"/>
                <w:sz w:val="20"/>
                <w:szCs w:val="20"/>
              </w:rPr>
            </w:pPr>
            <w:r>
              <w:rPr>
                <w:rFonts w:eastAsia="Times New Roman"/>
                <w:sz w:val="20"/>
                <w:szCs w:val="20"/>
              </w:rPr>
              <w:t>139,169</w:t>
            </w:r>
          </w:p>
        </w:tc>
        <w:tc>
          <w:tcPr>
            <w:tcW w:w="0" w:type="auto"/>
            <w:shd w:val="clear" w:color="auto" w:fill="FFFFFF"/>
            <w:vAlign w:val="bottom"/>
            <w:hideMark/>
          </w:tcPr>
          <w:p w14:paraId="483E3E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FED7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A468C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3537F57"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54914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A57CC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AB089F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AA11B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4756CEC" w14:textId="77777777" w:rsidR="00000000" w:rsidRDefault="001826C1">
            <w:pPr>
              <w:rPr>
                <w:rFonts w:eastAsia="Times New Roman"/>
                <w:sz w:val="20"/>
                <w:szCs w:val="20"/>
              </w:rPr>
            </w:pPr>
            <w:r>
              <w:rPr>
                <w:rFonts w:eastAsia="Times New Roman"/>
                <w:sz w:val="20"/>
                <w:szCs w:val="20"/>
              </w:rPr>
              <w:t> </w:t>
            </w:r>
          </w:p>
        </w:tc>
      </w:tr>
      <w:tr w:rsidR="00000000" w14:paraId="29756C07" w14:textId="77777777">
        <w:tc>
          <w:tcPr>
            <w:tcW w:w="0" w:type="auto"/>
            <w:shd w:val="clear" w:color="auto" w:fill="CCEEFF"/>
            <w:tcMar>
              <w:top w:w="0" w:type="dxa"/>
              <w:left w:w="0" w:type="dxa"/>
              <w:bottom w:w="30" w:type="dxa"/>
              <w:right w:w="0" w:type="dxa"/>
            </w:tcMar>
            <w:vAlign w:val="bottom"/>
            <w:hideMark/>
          </w:tcPr>
          <w:p w14:paraId="16EA1528" w14:textId="77777777" w:rsidR="00000000" w:rsidRDefault="001826C1">
            <w:pPr>
              <w:rPr>
                <w:rFonts w:eastAsia="Times New Roman"/>
                <w:sz w:val="20"/>
                <w:szCs w:val="20"/>
              </w:rPr>
            </w:pPr>
            <w:r>
              <w:rPr>
                <w:rFonts w:eastAsia="Times New Roman"/>
                <w:sz w:val="20"/>
                <w:szCs w:val="20"/>
              </w:rPr>
              <w:t>Decrease, net</w:t>
            </w:r>
          </w:p>
        </w:tc>
        <w:tc>
          <w:tcPr>
            <w:tcW w:w="0" w:type="auto"/>
            <w:shd w:val="clear" w:color="auto" w:fill="CCEEFF"/>
            <w:tcMar>
              <w:top w:w="0" w:type="dxa"/>
              <w:left w:w="0" w:type="dxa"/>
              <w:bottom w:w="30" w:type="dxa"/>
              <w:right w:w="0" w:type="dxa"/>
            </w:tcMar>
            <w:vAlign w:val="bottom"/>
            <w:hideMark/>
          </w:tcPr>
          <w:p w14:paraId="2D3A661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46C446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889AD90" w14:textId="77777777" w:rsidR="00000000" w:rsidRDefault="001826C1">
            <w:pPr>
              <w:jc w:val="right"/>
              <w:rPr>
                <w:rFonts w:eastAsia="Times New Roman"/>
                <w:sz w:val="20"/>
                <w:szCs w:val="20"/>
              </w:rPr>
            </w:pPr>
            <w:r>
              <w:rPr>
                <w:rFonts w:eastAsia="Times New Roman"/>
                <w:sz w:val="20"/>
                <w:szCs w:val="20"/>
              </w:rPr>
              <w:t>(336,131</w:t>
            </w:r>
          </w:p>
        </w:tc>
        <w:tc>
          <w:tcPr>
            <w:tcW w:w="0" w:type="auto"/>
            <w:shd w:val="clear" w:color="auto" w:fill="CCEEFF"/>
            <w:tcMar>
              <w:top w:w="0" w:type="dxa"/>
              <w:left w:w="0" w:type="dxa"/>
              <w:bottom w:w="30" w:type="dxa"/>
              <w:right w:w="0" w:type="dxa"/>
            </w:tcMar>
            <w:vAlign w:val="bottom"/>
            <w:hideMark/>
          </w:tcPr>
          <w:p w14:paraId="14D44E59"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2FCE686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88EB0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BAC2AD4" w14:textId="77777777" w:rsidR="00000000" w:rsidRDefault="001826C1">
            <w:pPr>
              <w:jc w:val="right"/>
              <w:rPr>
                <w:rFonts w:eastAsia="Times New Roman"/>
                <w:sz w:val="20"/>
                <w:szCs w:val="20"/>
              </w:rPr>
            </w:pPr>
            <w:r>
              <w:rPr>
                <w:rFonts w:eastAsia="Times New Roman"/>
                <w:sz w:val="20"/>
                <w:szCs w:val="20"/>
              </w:rPr>
              <w:t>(362,466</w:t>
            </w:r>
          </w:p>
        </w:tc>
        <w:tc>
          <w:tcPr>
            <w:tcW w:w="0" w:type="auto"/>
            <w:shd w:val="clear" w:color="auto" w:fill="CCEEFF"/>
            <w:tcMar>
              <w:top w:w="0" w:type="dxa"/>
              <w:left w:w="0" w:type="dxa"/>
              <w:bottom w:w="30" w:type="dxa"/>
              <w:right w:w="0" w:type="dxa"/>
            </w:tcMar>
            <w:vAlign w:val="bottom"/>
            <w:hideMark/>
          </w:tcPr>
          <w:p w14:paraId="26F3D9F7"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3FD8F2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168B9E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9AFE54D" w14:textId="77777777" w:rsidR="00000000" w:rsidRDefault="001826C1">
            <w:pPr>
              <w:jc w:val="right"/>
              <w:rPr>
                <w:rFonts w:eastAsia="Times New Roman"/>
                <w:sz w:val="20"/>
                <w:szCs w:val="20"/>
              </w:rPr>
            </w:pPr>
            <w:r>
              <w:rPr>
                <w:rFonts w:eastAsia="Times New Roman"/>
                <w:sz w:val="20"/>
                <w:szCs w:val="20"/>
              </w:rPr>
              <w:t>(5,078</w:t>
            </w:r>
          </w:p>
        </w:tc>
        <w:tc>
          <w:tcPr>
            <w:tcW w:w="0" w:type="auto"/>
            <w:shd w:val="clear" w:color="auto" w:fill="CCEEFF"/>
            <w:tcMar>
              <w:top w:w="0" w:type="dxa"/>
              <w:left w:w="0" w:type="dxa"/>
              <w:bottom w:w="30" w:type="dxa"/>
              <w:right w:w="0" w:type="dxa"/>
            </w:tcMar>
            <w:vAlign w:val="bottom"/>
            <w:hideMark/>
          </w:tcPr>
          <w:p w14:paraId="3BFC786A"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5FA4523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DF42FA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D3E6D0" w14:textId="77777777" w:rsidR="00000000" w:rsidRDefault="001826C1">
            <w:pPr>
              <w:jc w:val="right"/>
              <w:rPr>
                <w:rFonts w:eastAsia="Times New Roman"/>
                <w:sz w:val="20"/>
                <w:szCs w:val="20"/>
              </w:rPr>
            </w:pPr>
            <w:r>
              <w:rPr>
                <w:rFonts w:eastAsia="Times New Roman"/>
                <w:sz w:val="20"/>
                <w:szCs w:val="20"/>
              </w:rPr>
              <w:t>(204</w:t>
            </w:r>
          </w:p>
        </w:tc>
        <w:tc>
          <w:tcPr>
            <w:tcW w:w="0" w:type="auto"/>
            <w:shd w:val="clear" w:color="auto" w:fill="CCEEFF"/>
            <w:tcMar>
              <w:top w:w="0" w:type="dxa"/>
              <w:left w:w="0" w:type="dxa"/>
              <w:bottom w:w="30" w:type="dxa"/>
              <w:right w:w="0" w:type="dxa"/>
            </w:tcMar>
            <w:vAlign w:val="bottom"/>
            <w:hideMark/>
          </w:tcPr>
          <w:p w14:paraId="6B4AA3A9" w14:textId="77777777" w:rsidR="00000000" w:rsidRDefault="001826C1">
            <w:pPr>
              <w:rPr>
                <w:rFonts w:eastAsia="Times New Roman"/>
                <w:sz w:val="20"/>
                <w:szCs w:val="20"/>
              </w:rPr>
            </w:pPr>
            <w:r>
              <w:rPr>
                <w:rFonts w:eastAsia="Times New Roman"/>
                <w:sz w:val="20"/>
                <w:szCs w:val="20"/>
              </w:rPr>
              <w:t>)</w:t>
            </w:r>
          </w:p>
        </w:tc>
      </w:tr>
      <w:tr w:rsidR="00000000" w14:paraId="185757A4" w14:textId="77777777">
        <w:tc>
          <w:tcPr>
            <w:tcW w:w="0" w:type="auto"/>
            <w:shd w:val="clear" w:color="auto" w:fill="FFFFFF"/>
            <w:tcMar>
              <w:top w:w="0" w:type="dxa"/>
              <w:left w:w="0" w:type="dxa"/>
              <w:bottom w:w="50" w:type="dxa"/>
              <w:right w:w="0" w:type="dxa"/>
            </w:tcMar>
            <w:vAlign w:val="bottom"/>
            <w:hideMark/>
          </w:tcPr>
          <w:p w14:paraId="18BE1619" w14:textId="77777777" w:rsidR="00000000" w:rsidRDefault="001826C1">
            <w:pPr>
              <w:rPr>
                <w:rFonts w:eastAsia="Times New Roman"/>
                <w:sz w:val="20"/>
                <w:szCs w:val="20"/>
              </w:rPr>
            </w:pPr>
            <w:r>
              <w:rPr>
                <w:rFonts w:eastAsia="Times New Roman"/>
                <w:sz w:val="20"/>
                <w:szCs w:val="20"/>
              </w:rPr>
              <w:t>Balance as of December 31, 2019</w:t>
            </w:r>
          </w:p>
        </w:tc>
        <w:tc>
          <w:tcPr>
            <w:tcW w:w="0" w:type="auto"/>
            <w:shd w:val="clear" w:color="auto" w:fill="FFFFFF"/>
            <w:tcMar>
              <w:top w:w="0" w:type="dxa"/>
              <w:left w:w="0" w:type="dxa"/>
              <w:bottom w:w="50" w:type="dxa"/>
              <w:right w:w="0" w:type="dxa"/>
            </w:tcMar>
            <w:vAlign w:val="bottom"/>
            <w:hideMark/>
          </w:tcPr>
          <w:p w14:paraId="4F62707B"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E820FC1"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EA31643" w14:textId="77777777" w:rsidR="00000000" w:rsidRDefault="001826C1">
            <w:pPr>
              <w:jc w:val="right"/>
              <w:rPr>
                <w:rFonts w:eastAsia="Times New Roman"/>
                <w:sz w:val="20"/>
                <w:szCs w:val="20"/>
              </w:rPr>
            </w:pPr>
            <w:r>
              <w:rPr>
                <w:rFonts w:eastAsia="Times New Roman"/>
                <w:sz w:val="20"/>
                <w:szCs w:val="20"/>
              </w:rPr>
              <w:t>6,995,343</w:t>
            </w:r>
          </w:p>
        </w:tc>
        <w:tc>
          <w:tcPr>
            <w:tcW w:w="0" w:type="auto"/>
            <w:shd w:val="clear" w:color="auto" w:fill="FFFFFF"/>
            <w:tcMar>
              <w:top w:w="0" w:type="dxa"/>
              <w:left w:w="0" w:type="dxa"/>
              <w:bottom w:w="50" w:type="dxa"/>
              <w:right w:w="0" w:type="dxa"/>
            </w:tcMar>
            <w:vAlign w:val="bottom"/>
            <w:hideMark/>
          </w:tcPr>
          <w:p w14:paraId="4199D6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5BAE51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DF2EA7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B1A760E" w14:textId="77777777" w:rsidR="00000000" w:rsidRDefault="001826C1">
            <w:pPr>
              <w:jc w:val="right"/>
              <w:rPr>
                <w:rFonts w:eastAsia="Times New Roman"/>
                <w:sz w:val="20"/>
                <w:szCs w:val="20"/>
              </w:rPr>
            </w:pPr>
            <w:r>
              <w:rPr>
                <w:rFonts w:eastAsia="Times New Roman"/>
                <w:sz w:val="20"/>
                <w:szCs w:val="20"/>
              </w:rPr>
              <w:t>2,385,334</w:t>
            </w:r>
          </w:p>
        </w:tc>
        <w:tc>
          <w:tcPr>
            <w:tcW w:w="0" w:type="auto"/>
            <w:shd w:val="clear" w:color="auto" w:fill="FFFFFF"/>
            <w:tcMar>
              <w:top w:w="0" w:type="dxa"/>
              <w:left w:w="0" w:type="dxa"/>
              <w:bottom w:w="50" w:type="dxa"/>
              <w:right w:w="0" w:type="dxa"/>
            </w:tcMar>
            <w:vAlign w:val="bottom"/>
            <w:hideMark/>
          </w:tcPr>
          <w:p w14:paraId="212FDD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446508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88D6606"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38FD97C" w14:textId="77777777" w:rsidR="00000000" w:rsidRDefault="001826C1">
            <w:pPr>
              <w:jc w:val="right"/>
              <w:rPr>
                <w:rFonts w:eastAsia="Times New Roman"/>
                <w:sz w:val="20"/>
                <w:szCs w:val="20"/>
              </w:rPr>
            </w:pPr>
            <w:r>
              <w:rPr>
                <w:rFonts w:eastAsia="Times New Roman"/>
                <w:sz w:val="20"/>
                <w:szCs w:val="20"/>
              </w:rPr>
              <w:t>20,277</w:t>
            </w:r>
          </w:p>
        </w:tc>
        <w:tc>
          <w:tcPr>
            <w:tcW w:w="0" w:type="auto"/>
            <w:shd w:val="clear" w:color="auto" w:fill="FFFFFF"/>
            <w:tcMar>
              <w:top w:w="0" w:type="dxa"/>
              <w:left w:w="0" w:type="dxa"/>
              <w:bottom w:w="50" w:type="dxa"/>
              <w:right w:w="0" w:type="dxa"/>
            </w:tcMar>
            <w:vAlign w:val="bottom"/>
            <w:hideMark/>
          </w:tcPr>
          <w:p w14:paraId="009733B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3A74912"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3AB18B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55E046B3" w14:textId="77777777" w:rsidR="00000000" w:rsidRDefault="001826C1">
            <w:pPr>
              <w:jc w:val="right"/>
              <w:rPr>
                <w:rFonts w:eastAsia="Times New Roman"/>
                <w:sz w:val="20"/>
                <w:szCs w:val="20"/>
              </w:rPr>
            </w:pPr>
            <w:r>
              <w:rPr>
                <w:rFonts w:eastAsia="Times New Roman"/>
                <w:sz w:val="20"/>
                <w:szCs w:val="20"/>
              </w:rPr>
              <w:t>18,745</w:t>
            </w:r>
          </w:p>
        </w:tc>
        <w:tc>
          <w:tcPr>
            <w:tcW w:w="0" w:type="auto"/>
            <w:shd w:val="clear" w:color="auto" w:fill="FFFFFF"/>
            <w:tcMar>
              <w:top w:w="0" w:type="dxa"/>
              <w:left w:w="0" w:type="dxa"/>
              <w:bottom w:w="50" w:type="dxa"/>
              <w:right w:w="0" w:type="dxa"/>
            </w:tcMar>
            <w:vAlign w:val="bottom"/>
            <w:hideMark/>
          </w:tcPr>
          <w:p w14:paraId="18052489" w14:textId="77777777" w:rsidR="00000000" w:rsidRDefault="001826C1">
            <w:pPr>
              <w:rPr>
                <w:rFonts w:eastAsia="Times New Roman"/>
                <w:sz w:val="20"/>
                <w:szCs w:val="20"/>
              </w:rPr>
            </w:pPr>
            <w:r>
              <w:rPr>
                <w:rFonts w:eastAsia="Times New Roman"/>
                <w:sz w:val="20"/>
                <w:szCs w:val="20"/>
              </w:rPr>
              <w:t> </w:t>
            </w:r>
          </w:p>
        </w:tc>
      </w:tr>
    </w:tbl>
    <w:p w14:paraId="69C9E712"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p w14:paraId="01B29C19" w14:textId="77777777" w:rsidR="00000000" w:rsidRDefault="001826C1">
      <w:pPr>
        <w:pStyle w:val="a3"/>
        <w:spacing w:before="0" w:beforeAutospacing="0" w:after="0" w:afterAutospacing="0"/>
        <w:jc w:val="both"/>
        <w:rPr>
          <w:sz w:val="20"/>
          <w:szCs w:val="20"/>
        </w:rPr>
      </w:pPr>
      <w:r>
        <w:rPr>
          <w:i/>
          <w:iCs/>
          <w:sz w:val="20"/>
          <w:szCs w:val="20"/>
        </w:rPr>
        <w:t>Deferred commissions:</w:t>
      </w:r>
    </w:p>
    <w:p w14:paraId="3C1B168A" w14:textId="77777777" w:rsidR="00000000" w:rsidRDefault="001826C1">
      <w:pPr>
        <w:pStyle w:val="a3"/>
        <w:spacing w:before="0" w:beforeAutospacing="0" w:after="0" w:afterAutospacing="0"/>
        <w:jc w:val="both"/>
        <w:rPr>
          <w:sz w:val="20"/>
          <w:szCs w:val="20"/>
        </w:rPr>
      </w:pPr>
      <w:r>
        <w:rPr>
          <w:i/>
          <w:iCs/>
          <w:sz w:val="20"/>
          <w:szCs w:val="20"/>
        </w:rPr>
        <w:t> </w:t>
      </w:r>
    </w:p>
    <w:p w14:paraId="763C9375" w14:textId="77777777" w:rsidR="00000000" w:rsidRDefault="001826C1">
      <w:pPr>
        <w:pStyle w:val="a3"/>
        <w:spacing w:before="0" w:beforeAutospacing="0" w:after="0" w:afterAutospacing="0"/>
        <w:jc w:val="both"/>
        <w:rPr>
          <w:sz w:val="20"/>
          <w:szCs w:val="20"/>
        </w:rPr>
      </w:pPr>
      <w:r>
        <w:rPr>
          <w:sz w:val="20"/>
          <w:szCs w:val="20"/>
        </w:rPr>
        <w:t xml:space="preserve">Our sales incentive </w:t>
      </w:r>
      <w:r>
        <w:rPr>
          <w:sz w:val="20"/>
          <w:szCs w:val="20"/>
        </w:rPr>
        <w:t>plans include commissions payable to employees and third parties at the time of initial contract execution that are capitalized as incremental costs to obtain a contract. The capitalized commissions are amortized over the period the related services are tr</w:t>
      </w:r>
      <w:r>
        <w:rPr>
          <w:sz w:val="20"/>
          <w:szCs w:val="20"/>
        </w:rPr>
        <w:t>ansferred. As we do not offer commissions on contract renewals, we have determined the amortization period to be the estimated client life, which is three years. Deferred commissions were approximately $29,000 and $93,000 at December 31, 2019 and 2018, res</w:t>
      </w:r>
      <w:r>
        <w:rPr>
          <w:sz w:val="20"/>
          <w:szCs w:val="20"/>
        </w:rPr>
        <w:t>pectively, and are included in the Other Assets lines in the consolidated balance sheets.</w:t>
      </w:r>
    </w:p>
    <w:p w14:paraId="0CF1F2DB"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2126E48B" w14:textId="77777777">
        <w:tc>
          <w:tcPr>
            <w:tcW w:w="360" w:type="dxa"/>
            <w:hideMark/>
          </w:tcPr>
          <w:p w14:paraId="38FE7F12" w14:textId="77777777" w:rsidR="00000000" w:rsidRDefault="001826C1">
            <w:pPr>
              <w:rPr>
                <w:rFonts w:eastAsia="Times New Roman"/>
                <w:b/>
                <w:bCs/>
                <w:caps/>
                <w:sz w:val="20"/>
                <w:szCs w:val="20"/>
              </w:rPr>
            </w:pPr>
            <w:r>
              <w:rPr>
                <w:rFonts w:eastAsia="Times New Roman"/>
                <w:b/>
                <w:bCs/>
                <w:caps/>
                <w:sz w:val="20"/>
                <w:szCs w:val="20"/>
              </w:rPr>
              <w:t>10.</w:t>
            </w:r>
          </w:p>
        </w:tc>
        <w:tc>
          <w:tcPr>
            <w:tcW w:w="0" w:type="auto"/>
            <w:hideMark/>
          </w:tcPr>
          <w:p w14:paraId="165DA245" w14:textId="77777777" w:rsidR="00000000" w:rsidRDefault="001826C1">
            <w:pPr>
              <w:rPr>
                <w:rFonts w:eastAsia="Times New Roman"/>
                <w:sz w:val="20"/>
                <w:szCs w:val="20"/>
              </w:rPr>
            </w:pPr>
            <w:r>
              <w:rPr>
                <w:rFonts w:eastAsia="Times New Roman"/>
                <w:b/>
                <w:bCs/>
                <w:sz w:val="20"/>
                <w:szCs w:val="20"/>
              </w:rPr>
              <w:t>SHAREHOLDERS’ EQUITY</w:t>
            </w:r>
          </w:p>
        </w:tc>
      </w:tr>
    </w:tbl>
    <w:p w14:paraId="6C1A7A2A" w14:textId="77777777" w:rsidR="00000000" w:rsidRDefault="001826C1">
      <w:pPr>
        <w:pStyle w:val="a3"/>
        <w:spacing w:before="0" w:beforeAutospacing="0" w:after="0" w:afterAutospacing="0"/>
        <w:ind w:left="475" w:hanging="475"/>
        <w:jc w:val="both"/>
        <w:rPr>
          <w:sz w:val="20"/>
          <w:szCs w:val="20"/>
        </w:rPr>
      </w:pPr>
      <w:r>
        <w:rPr>
          <w:b/>
          <w:bCs/>
          <w:sz w:val="20"/>
          <w:szCs w:val="20"/>
        </w:rPr>
        <w:t> </w:t>
      </w:r>
    </w:p>
    <w:p w14:paraId="4ECD9D03" w14:textId="77777777" w:rsidR="00000000" w:rsidRDefault="001826C1">
      <w:pPr>
        <w:pStyle w:val="a3"/>
        <w:spacing w:before="0" w:beforeAutospacing="0" w:after="0" w:afterAutospacing="0"/>
        <w:jc w:val="both"/>
        <w:rPr>
          <w:sz w:val="20"/>
          <w:szCs w:val="20"/>
        </w:rPr>
      </w:pPr>
      <w:r>
        <w:rPr>
          <w:i/>
          <w:iCs/>
          <w:sz w:val="20"/>
          <w:szCs w:val="20"/>
          <w:u w:val="single"/>
        </w:rPr>
        <w:t>Treasury stock</w:t>
      </w:r>
    </w:p>
    <w:p w14:paraId="410D4A64" w14:textId="77777777" w:rsidR="00000000" w:rsidRDefault="001826C1">
      <w:pPr>
        <w:pStyle w:val="a3"/>
        <w:spacing w:before="0" w:beforeAutospacing="0" w:after="0" w:afterAutospacing="0"/>
        <w:jc w:val="both"/>
        <w:rPr>
          <w:sz w:val="20"/>
          <w:szCs w:val="20"/>
        </w:rPr>
      </w:pPr>
      <w:r>
        <w:rPr>
          <w:i/>
          <w:iCs/>
          <w:sz w:val="20"/>
          <w:szCs w:val="20"/>
        </w:rPr>
        <w:t> </w:t>
      </w:r>
    </w:p>
    <w:p w14:paraId="35EBB10D" w14:textId="77777777" w:rsidR="00000000" w:rsidRDefault="001826C1">
      <w:pPr>
        <w:pStyle w:val="a3"/>
        <w:spacing w:before="0" w:beforeAutospacing="0" w:after="0" w:afterAutospacing="0"/>
        <w:jc w:val="both"/>
        <w:rPr>
          <w:sz w:val="20"/>
          <w:szCs w:val="20"/>
        </w:rPr>
      </w:pPr>
      <w:r>
        <w:rPr>
          <w:sz w:val="20"/>
          <w:szCs w:val="20"/>
        </w:rPr>
        <w:t xml:space="preserve">The Board of </w:t>
      </w:r>
      <w:r>
        <w:rPr>
          <w:sz w:val="20"/>
          <w:szCs w:val="20"/>
        </w:rPr>
        <w:t>Directors of the Company previously approved stock repurchase programs. The last program expired January 25, 2017. As a result of these stock repurchases, the Company has 740,799 shares held as treasury stock at an aggregate cost of $662,000.</w:t>
      </w:r>
    </w:p>
    <w:p w14:paraId="2DF40795"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21C8A92E" w14:textId="77777777">
        <w:trPr>
          <w:divId w:val="1973825709"/>
        </w:trPr>
        <w:tc>
          <w:tcPr>
            <w:tcW w:w="5000" w:type="pct"/>
            <w:hideMark/>
          </w:tcPr>
          <w:p w14:paraId="05D39A07"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1E1C34B4" w14:textId="77777777">
        <w:tc>
          <w:tcPr>
            <w:tcW w:w="5000" w:type="pct"/>
            <w:hideMark/>
          </w:tcPr>
          <w:p w14:paraId="2A0F0AC0" w14:textId="77777777" w:rsidR="00000000" w:rsidRDefault="001826C1">
            <w:pPr>
              <w:jc w:val="center"/>
              <w:rPr>
                <w:rFonts w:eastAsia="Times New Roman"/>
                <w:sz w:val="20"/>
                <w:szCs w:val="20"/>
              </w:rPr>
            </w:pPr>
            <w:r>
              <w:rPr>
                <w:rFonts w:eastAsia="Times New Roman"/>
                <w:sz w:val="20"/>
                <w:szCs w:val="20"/>
              </w:rPr>
              <w:t> </w:t>
            </w:r>
          </w:p>
        </w:tc>
      </w:tr>
    </w:tbl>
    <w:p w14:paraId="3B1EA5C6" w14:textId="77777777" w:rsidR="00000000" w:rsidRDefault="001826C1">
      <w:pPr>
        <w:pStyle w:val="a3"/>
        <w:spacing w:before="0" w:beforeAutospacing="0" w:after="0" w:afterAutospacing="0"/>
        <w:rPr>
          <w:sz w:val="20"/>
          <w:szCs w:val="20"/>
        </w:rPr>
      </w:pPr>
      <w:r>
        <w:rPr>
          <w:sz w:val="20"/>
          <w:szCs w:val="20"/>
        </w:rPr>
        <w:t> </w:t>
      </w:r>
    </w:p>
    <w:p w14:paraId="21CA623E" w14:textId="77777777" w:rsidR="00000000" w:rsidRDefault="001826C1">
      <w:pPr>
        <w:pStyle w:val="a3"/>
        <w:spacing w:before="0" w:beforeAutospacing="0" w:after="0" w:afterAutospacing="0"/>
        <w:rPr>
          <w:sz w:val="20"/>
          <w:szCs w:val="20"/>
        </w:rPr>
      </w:pPr>
      <w:r>
        <w:rPr>
          <w:i/>
          <w:iCs/>
          <w:sz w:val="20"/>
          <w:szCs w:val="20"/>
          <w:u w:val="single"/>
        </w:rPr>
        <w:t>Common stock</w:t>
      </w:r>
    </w:p>
    <w:p w14:paraId="6C2798AC" w14:textId="77777777" w:rsidR="00000000" w:rsidRDefault="001826C1">
      <w:pPr>
        <w:pStyle w:val="a3"/>
        <w:spacing w:before="0" w:beforeAutospacing="0" w:after="0" w:afterAutospacing="0"/>
        <w:jc w:val="both"/>
        <w:rPr>
          <w:sz w:val="20"/>
          <w:szCs w:val="20"/>
        </w:rPr>
      </w:pPr>
      <w:r>
        <w:rPr>
          <w:i/>
          <w:iCs/>
          <w:sz w:val="20"/>
          <w:szCs w:val="20"/>
        </w:rPr>
        <w:t> </w:t>
      </w:r>
    </w:p>
    <w:p w14:paraId="4618E882" w14:textId="77777777" w:rsidR="00000000" w:rsidRDefault="001826C1">
      <w:pPr>
        <w:pStyle w:val="a3"/>
        <w:spacing w:before="0" w:beforeAutospacing="0" w:after="0" w:afterAutospacing="0"/>
        <w:jc w:val="both"/>
        <w:rPr>
          <w:sz w:val="20"/>
          <w:szCs w:val="20"/>
        </w:rPr>
      </w:pPr>
      <w:r>
        <w:rPr>
          <w:sz w:val="20"/>
          <w:szCs w:val="20"/>
        </w:rPr>
        <w:t>There were no common stock offerings during 2019 and 2018.</w:t>
      </w:r>
    </w:p>
    <w:p w14:paraId="449C9DF7" w14:textId="77777777" w:rsidR="00000000" w:rsidRDefault="001826C1">
      <w:pPr>
        <w:pStyle w:val="a3"/>
        <w:spacing w:before="0" w:beforeAutospacing="0" w:after="0" w:afterAutospacing="0"/>
        <w:jc w:val="both"/>
        <w:rPr>
          <w:sz w:val="20"/>
          <w:szCs w:val="20"/>
        </w:rPr>
      </w:pPr>
      <w:r>
        <w:rPr>
          <w:sz w:val="20"/>
          <w:szCs w:val="20"/>
        </w:rPr>
        <w:t> </w:t>
      </w:r>
    </w:p>
    <w:p w14:paraId="4764E54C" w14:textId="77777777" w:rsidR="00000000" w:rsidRDefault="001826C1">
      <w:pPr>
        <w:pStyle w:val="a3"/>
        <w:spacing w:before="0" w:beforeAutospacing="0" w:after="0" w:afterAutospacing="0"/>
        <w:jc w:val="both"/>
        <w:rPr>
          <w:sz w:val="20"/>
          <w:szCs w:val="20"/>
        </w:rPr>
      </w:pPr>
      <w:r>
        <w:rPr>
          <w:sz w:val="20"/>
          <w:szCs w:val="20"/>
        </w:rPr>
        <w:t>Holders of our common stock are entitled to one vote for each share held on all matters properly submitted to a vote of shareholders on which holders of common stock are entitled</w:t>
      </w:r>
      <w:r>
        <w:rPr>
          <w:sz w:val="20"/>
          <w:szCs w:val="20"/>
        </w:rPr>
        <w:t xml:space="preserve"> to vote. Holders of common stocks are entitled to receive dividends only at times and amounts as determined by the Board of Directors. The common stock is not entitled to pre-emptive rights, and is not subject to conversion, redemption or sinking fund pro</w:t>
      </w:r>
      <w:r>
        <w:rPr>
          <w:sz w:val="20"/>
          <w:szCs w:val="20"/>
        </w:rPr>
        <w:t>visions.</w:t>
      </w:r>
    </w:p>
    <w:p w14:paraId="04BD62EA" w14:textId="77777777" w:rsidR="00000000" w:rsidRDefault="001826C1">
      <w:pPr>
        <w:pStyle w:val="a3"/>
        <w:spacing w:before="0" w:beforeAutospacing="0" w:after="0" w:afterAutospacing="0"/>
        <w:jc w:val="both"/>
        <w:rPr>
          <w:sz w:val="20"/>
          <w:szCs w:val="20"/>
        </w:rPr>
      </w:pPr>
      <w:r>
        <w:rPr>
          <w:sz w:val="20"/>
          <w:szCs w:val="20"/>
        </w:rPr>
        <w:t> </w:t>
      </w:r>
    </w:p>
    <w:p w14:paraId="7088575D" w14:textId="77777777" w:rsidR="00000000" w:rsidRDefault="001826C1">
      <w:pPr>
        <w:pStyle w:val="a3"/>
        <w:spacing w:before="0" w:beforeAutospacing="0" w:after="0" w:afterAutospacing="0"/>
        <w:jc w:val="both"/>
        <w:rPr>
          <w:sz w:val="20"/>
          <w:szCs w:val="20"/>
        </w:rPr>
      </w:pPr>
      <w:r>
        <w:rPr>
          <w:i/>
          <w:iCs/>
          <w:sz w:val="20"/>
          <w:szCs w:val="20"/>
          <w:u w:val="single"/>
        </w:rPr>
        <w:t>Preferred Stock</w:t>
      </w:r>
    </w:p>
    <w:p w14:paraId="398C7901" w14:textId="77777777" w:rsidR="00000000" w:rsidRDefault="001826C1">
      <w:pPr>
        <w:pStyle w:val="a3"/>
        <w:spacing w:before="0" w:beforeAutospacing="0" w:after="0" w:afterAutospacing="0"/>
        <w:jc w:val="both"/>
        <w:rPr>
          <w:sz w:val="20"/>
          <w:szCs w:val="20"/>
        </w:rPr>
      </w:pPr>
      <w:r>
        <w:rPr>
          <w:i/>
          <w:iCs/>
          <w:sz w:val="20"/>
          <w:szCs w:val="20"/>
        </w:rPr>
        <w:t> </w:t>
      </w:r>
    </w:p>
    <w:p w14:paraId="5D0AFCB2" w14:textId="77777777" w:rsidR="00000000" w:rsidRDefault="001826C1">
      <w:pPr>
        <w:pStyle w:val="a3"/>
        <w:spacing w:before="0" w:beforeAutospacing="0" w:after="0" w:afterAutospacing="0"/>
        <w:jc w:val="both"/>
        <w:rPr>
          <w:sz w:val="20"/>
          <w:szCs w:val="20"/>
        </w:rPr>
      </w:pPr>
      <w:r>
        <w:rPr>
          <w:sz w:val="20"/>
          <w:szCs w:val="20"/>
        </w:rPr>
        <w:t>During the year ended December 31, 2019, the Company completed a public offering of 373,000 shares of its Preferred Stock at the prevailing market price, raising net proceeds of approximately $9.6 million after underwriting com</w:t>
      </w:r>
      <w:r>
        <w:rPr>
          <w:sz w:val="20"/>
          <w:szCs w:val="20"/>
        </w:rPr>
        <w:t>missions and other directly attributable expenses.</w:t>
      </w:r>
    </w:p>
    <w:p w14:paraId="098D10A2" w14:textId="77777777" w:rsidR="00000000" w:rsidRDefault="001826C1">
      <w:pPr>
        <w:pStyle w:val="a3"/>
        <w:spacing w:before="0" w:beforeAutospacing="0" w:after="0" w:afterAutospacing="0"/>
        <w:jc w:val="both"/>
        <w:rPr>
          <w:sz w:val="20"/>
          <w:szCs w:val="20"/>
        </w:rPr>
      </w:pPr>
      <w:r>
        <w:rPr>
          <w:sz w:val="20"/>
          <w:szCs w:val="20"/>
        </w:rPr>
        <w:t> </w:t>
      </w:r>
    </w:p>
    <w:p w14:paraId="03C3D3C6" w14:textId="77777777" w:rsidR="00000000" w:rsidRDefault="001826C1">
      <w:pPr>
        <w:pStyle w:val="a3"/>
        <w:spacing w:before="0" w:beforeAutospacing="0" w:after="0" w:afterAutospacing="0"/>
        <w:jc w:val="both"/>
        <w:rPr>
          <w:sz w:val="20"/>
          <w:szCs w:val="20"/>
        </w:rPr>
      </w:pPr>
      <w:r>
        <w:rPr>
          <w:sz w:val="20"/>
          <w:szCs w:val="20"/>
        </w:rPr>
        <w:t>During the year ended December 31, 2018, the Company completed two public offerings of approximately one million shares of its Preferred Stock at $25.00 per share, raising net proceeds of approximately $</w:t>
      </w:r>
      <w:r>
        <w:rPr>
          <w:sz w:val="20"/>
          <w:szCs w:val="20"/>
        </w:rPr>
        <w:t>22.8 million after underwriting commissions and expenses.</w:t>
      </w:r>
    </w:p>
    <w:p w14:paraId="0A9FF9E5" w14:textId="77777777" w:rsidR="00000000" w:rsidRDefault="001826C1">
      <w:pPr>
        <w:pStyle w:val="a3"/>
        <w:spacing w:before="0" w:beforeAutospacing="0" w:after="0" w:afterAutospacing="0"/>
        <w:jc w:val="both"/>
        <w:rPr>
          <w:sz w:val="20"/>
          <w:szCs w:val="20"/>
        </w:rPr>
      </w:pPr>
      <w:r>
        <w:rPr>
          <w:sz w:val="20"/>
          <w:szCs w:val="20"/>
        </w:rPr>
        <w:t> </w:t>
      </w:r>
    </w:p>
    <w:p w14:paraId="36428B0D" w14:textId="77777777" w:rsidR="00000000" w:rsidRDefault="001826C1">
      <w:pPr>
        <w:pStyle w:val="a3"/>
        <w:spacing w:before="0" w:beforeAutospacing="0" w:after="0" w:afterAutospacing="0"/>
        <w:jc w:val="both"/>
        <w:rPr>
          <w:sz w:val="20"/>
          <w:szCs w:val="20"/>
        </w:rPr>
      </w:pPr>
      <w:r>
        <w:rPr>
          <w:sz w:val="20"/>
          <w:szCs w:val="20"/>
        </w:rPr>
        <w:t>Dividends on the Preferred Stock of $2.75 annually per share are cumulative from the date of issue and are payable each month when, as and if declared by the Company’s Board of Directors. As of De</w:t>
      </w:r>
      <w:r>
        <w:rPr>
          <w:sz w:val="20"/>
          <w:szCs w:val="20"/>
        </w:rPr>
        <w:t>cember 31, 2019, the Board of Directors has declared monthly dividends on the Preferred Stock payable through February 2020.</w:t>
      </w:r>
    </w:p>
    <w:p w14:paraId="31DD48CA" w14:textId="77777777" w:rsidR="00000000" w:rsidRDefault="001826C1">
      <w:pPr>
        <w:pStyle w:val="a3"/>
        <w:spacing w:before="0" w:beforeAutospacing="0" w:after="0" w:afterAutospacing="0"/>
        <w:jc w:val="both"/>
        <w:rPr>
          <w:sz w:val="20"/>
          <w:szCs w:val="20"/>
        </w:rPr>
      </w:pPr>
      <w:r>
        <w:rPr>
          <w:sz w:val="20"/>
          <w:szCs w:val="20"/>
        </w:rPr>
        <w:t> </w:t>
      </w:r>
    </w:p>
    <w:p w14:paraId="113E49C6" w14:textId="77777777" w:rsidR="00000000" w:rsidRDefault="001826C1">
      <w:pPr>
        <w:pStyle w:val="a3"/>
        <w:spacing w:before="0" w:beforeAutospacing="0" w:after="0" w:afterAutospacing="0"/>
        <w:jc w:val="both"/>
        <w:rPr>
          <w:sz w:val="20"/>
          <w:szCs w:val="20"/>
        </w:rPr>
      </w:pPr>
      <w:r>
        <w:rPr>
          <w:sz w:val="20"/>
          <w:szCs w:val="20"/>
        </w:rPr>
        <w:t>Commencing on or after November 4, 2020, the Company may redeem, at its option, the Preferred Stock, in whole or in part, at a ca</w:t>
      </w:r>
      <w:r>
        <w:rPr>
          <w:sz w:val="20"/>
          <w:szCs w:val="20"/>
        </w:rPr>
        <w:t xml:space="preserve">sh redemption price of $25.00 per share, plus all accrued and unpaid dividends to, but not including, the redemption date. The Preferred Stock has no stated maturity, is not subject to any sinking fund or other mandatory redemption, and is not convertible </w:t>
      </w:r>
      <w:r>
        <w:rPr>
          <w:sz w:val="20"/>
          <w:szCs w:val="20"/>
        </w:rPr>
        <w:t>into or exchangeable for any of the Company’s other securities. Holders of the Preferred Stock have no voting rights except for limited voting rights if dividends payable on the Preferred Stock are in arrears for eighteen or more consecutive or non-consecu</w:t>
      </w:r>
      <w:r>
        <w:rPr>
          <w:sz w:val="20"/>
          <w:szCs w:val="20"/>
        </w:rPr>
        <w:t xml:space="preserve">tive monthly dividend periods. If the Company were to liquidate, dissolve or wind up, the holders of the Preferred Stock will have the right to receive $25.00 per share, plus any accumulated and unpaid dividends to, but not including, the date of payment, </w:t>
      </w:r>
      <w:r>
        <w:rPr>
          <w:sz w:val="20"/>
          <w:szCs w:val="20"/>
        </w:rPr>
        <w:t>before any payment is made to the holders of the common stock. The Preferred Stock is listed on the Nasdaq Global Market under the trading symbol “MTBCP.”</w:t>
      </w:r>
    </w:p>
    <w:p w14:paraId="1DA0E2FC" w14:textId="77777777" w:rsidR="00000000" w:rsidRDefault="001826C1">
      <w:pPr>
        <w:pStyle w:val="a3"/>
        <w:spacing w:before="0" w:beforeAutospacing="0" w:after="0" w:afterAutospacing="0"/>
        <w:jc w:val="both"/>
        <w:rPr>
          <w:sz w:val="20"/>
          <w:szCs w:val="20"/>
        </w:rPr>
      </w:pPr>
      <w:r>
        <w:rPr>
          <w:i/>
          <w:iCs/>
          <w:sz w:val="20"/>
          <w:szCs w:val="20"/>
        </w:rPr>
        <w:t> </w:t>
      </w:r>
    </w:p>
    <w:p w14:paraId="40309DE9" w14:textId="77777777" w:rsidR="00000000" w:rsidRDefault="001826C1">
      <w:pPr>
        <w:pStyle w:val="a3"/>
        <w:spacing w:before="0" w:beforeAutospacing="0" w:after="0" w:afterAutospacing="0"/>
        <w:jc w:val="both"/>
        <w:rPr>
          <w:sz w:val="20"/>
          <w:szCs w:val="20"/>
        </w:rPr>
      </w:pPr>
      <w:r>
        <w:rPr>
          <w:i/>
          <w:iCs/>
          <w:sz w:val="20"/>
          <w:szCs w:val="20"/>
          <w:u w:val="single"/>
        </w:rPr>
        <w:t>Warrants</w:t>
      </w:r>
    </w:p>
    <w:p w14:paraId="2426CE9C" w14:textId="77777777" w:rsidR="00000000" w:rsidRDefault="001826C1">
      <w:pPr>
        <w:pStyle w:val="a3"/>
        <w:spacing w:before="0" w:beforeAutospacing="0" w:after="0" w:afterAutospacing="0"/>
        <w:jc w:val="both"/>
        <w:rPr>
          <w:sz w:val="20"/>
          <w:szCs w:val="20"/>
        </w:rPr>
      </w:pPr>
      <w:r>
        <w:rPr>
          <w:i/>
          <w:iCs/>
          <w:sz w:val="20"/>
          <w:szCs w:val="20"/>
        </w:rPr>
        <w:t> </w:t>
      </w:r>
    </w:p>
    <w:p w14:paraId="7FD0FDC6" w14:textId="77777777" w:rsidR="00000000" w:rsidRDefault="001826C1">
      <w:pPr>
        <w:pStyle w:val="a3"/>
        <w:spacing w:before="0" w:beforeAutospacing="0" w:after="0" w:afterAutospacing="0"/>
        <w:jc w:val="both"/>
        <w:rPr>
          <w:sz w:val="20"/>
          <w:szCs w:val="20"/>
        </w:rPr>
      </w:pPr>
      <w:r>
        <w:rPr>
          <w:sz w:val="20"/>
          <w:szCs w:val="20"/>
        </w:rPr>
        <w:t>The Company has issued 2,353,489 warrants for its common stock, of which 353,489 remaine</w:t>
      </w:r>
      <w:r>
        <w:rPr>
          <w:sz w:val="20"/>
          <w:szCs w:val="20"/>
        </w:rPr>
        <w:t>d outstanding at December 31, 2018. The 2,000,000 warrants previously issued at a $5 exercise price expired in May 2018. The outstanding warrants consist of 100,000 warrants at a $5 exercise price which will expire in September, 2022, 125,000 warrants at a</w:t>
      </w:r>
      <w:r>
        <w:rPr>
          <w:sz w:val="20"/>
          <w:szCs w:val="20"/>
        </w:rPr>
        <w:t xml:space="preserve"> $3.92 exercise price which will expire in October 2022, 100,000 warrants at a $5 exercise price which will expire in July 2023 and 28,489 warrants at a $5.26 exercise price which will expire in September 2023.</w:t>
      </w:r>
    </w:p>
    <w:p w14:paraId="0FA4A399"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38752C66" w14:textId="77777777">
        <w:tc>
          <w:tcPr>
            <w:tcW w:w="360" w:type="dxa"/>
            <w:hideMark/>
          </w:tcPr>
          <w:p w14:paraId="3A24D210" w14:textId="77777777" w:rsidR="00000000" w:rsidRDefault="001826C1">
            <w:pPr>
              <w:rPr>
                <w:rFonts w:eastAsia="Times New Roman"/>
                <w:b/>
                <w:bCs/>
                <w:caps/>
                <w:sz w:val="20"/>
                <w:szCs w:val="20"/>
              </w:rPr>
            </w:pPr>
            <w:r>
              <w:rPr>
                <w:rFonts w:eastAsia="Times New Roman"/>
                <w:b/>
                <w:bCs/>
                <w:caps/>
                <w:sz w:val="20"/>
                <w:szCs w:val="20"/>
              </w:rPr>
              <w:t>11.</w:t>
            </w:r>
          </w:p>
        </w:tc>
        <w:tc>
          <w:tcPr>
            <w:tcW w:w="0" w:type="auto"/>
            <w:hideMark/>
          </w:tcPr>
          <w:p w14:paraId="319B9378" w14:textId="77777777" w:rsidR="00000000" w:rsidRDefault="001826C1">
            <w:pPr>
              <w:rPr>
                <w:rFonts w:eastAsia="Times New Roman"/>
                <w:b/>
                <w:bCs/>
                <w:caps/>
                <w:sz w:val="20"/>
                <w:szCs w:val="20"/>
              </w:rPr>
            </w:pPr>
            <w:r>
              <w:rPr>
                <w:rFonts w:eastAsia="Times New Roman"/>
                <w:b/>
                <w:bCs/>
                <w:caps/>
                <w:sz w:val="20"/>
                <w:szCs w:val="20"/>
              </w:rPr>
              <w:t xml:space="preserve">Commitments </w:t>
            </w:r>
            <w:r>
              <w:rPr>
                <w:rFonts w:eastAsia="Times New Roman"/>
                <w:b/>
                <w:bCs/>
                <w:caps/>
                <w:sz w:val="20"/>
                <w:szCs w:val="20"/>
              </w:rPr>
              <w:t>and Contingencies</w:t>
            </w:r>
          </w:p>
        </w:tc>
      </w:tr>
    </w:tbl>
    <w:p w14:paraId="02351BAD" w14:textId="77777777" w:rsidR="00000000" w:rsidRDefault="001826C1">
      <w:pPr>
        <w:pStyle w:val="a3"/>
        <w:spacing w:before="0" w:beforeAutospacing="0" w:after="0" w:afterAutospacing="0"/>
        <w:ind w:left="475"/>
        <w:jc w:val="both"/>
        <w:rPr>
          <w:sz w:val="20"/>
          <w:szCs w:val="20"/>
        </w:rPr>
      </w:pPr>
      <w:r>
        <w:rPr>
          <w:sz w:val="20"/>
          <w:szCs w:val="20"/>
        </w:rPr>
        <w:t> </w:t>
      </w:r>
    </w:p>
    <w:p w14:paraId="4A736E6D" w14:textId="77777777" w:rsidR="00000000" w:rsidRDefault="001826C1">
      <w:pPr>
        <w:pStyle w:val="a3"/>
        <w:spacing w:before="0" w:beforeAutospacing="0" w:after="0" w:afterAutospacing="0"/>
        <w:jc w:val="both"/>
        <w:rPr>
          <w:sz w:val="20"/>
          <w:szCs w:val="20"/>
        </w:rPr>
      </w:pPr>
      <w:r>
        <w:rPr>
          <w:b/>
          <w:bCs/>
          <w:sz w:val="20"/>
          <w:szCs w:val="20"/>
        </w:rPr>
        <w:t xml:space="preserve">Legal Proceedings </w:t>
      </w:r>
      <w:r>
        <w:rPr>
          <w:sz w:val="20"/>
          <w:szCs w:val="20"/>
        </w:rPr>
        <w:t xml:space="preserve">— On April 4, 2017, Randolph Pain Relief and Wellness Center (“RPRWC”) filed an arbitration demand with the American Arbitration Association (the “Arbitration”) seeking to arbitrate claims against MTBC, Inc. (“MTBC”) </w:t>
      </w:r>
      <w:r>
        <w:rPr>
          <w:sz w:val="20"/>
          <w:szCs w:val="20"/>
        </w:rPr>
        <w:t>and MTBC Acquisition Corp. (“MAC”). The claims relate solely to services provided by Millennium Practice Management Associates, Inc. (“MPMA”), a subsidiary of MediGain, LLC, pursuant to a billing services agreement that contains an arbitration provision. M</w:t>
      </w:r>
      <w:r>
        <w:rPr>
          <w:sz w:val="20"/>
          <w:szCs w:val="20"/>
        </w:rPr>
        <w:t>TBC and MAC jointly moved in the Superior Court of New Jersey, Chancery Division, Somerset County (the “Chancery Court”) to enjoin the Arbitration on the grounds that neither were a party to the billing services agreement. On May 30, 2018, the Chancery Cou</w:t>
      </w:r>
      <w:r>
        <w:rPr>
          <w:sz w:val="20"/>
          <w:szCs w:val="20"/>
        </w:rPr>
        <w:t>rt denied that motion and MTBC and MAC appealed. The Chancery Court ordered the Arbitration stayed pending the appeal.</w:t>
      </w:r>
    </w:p>
    <w:p w14:paraId="49601661" w14:textId="77777777" w:rsidR="00000000" w:rsidRDefault="001826C1">
      <w:pPr>
        <w:pStyle w:val="a3"/>
        <w:spacing w:before="0" w:beforeAutospacing="0" w:after="0" w:afterAutospacing="0"/>
        <w:jc w:val="both"/>
        <w:rPr>
          <w:sz w:val="20"/>
          <w:szCs w:val="20"/>
        </w:rPr>
      </w:pPr>
      <w:r>
        <w:rPr>
          <w:sz w:val="20"/>
          <w:szCs w:val="20"/>
        </w:rPr>
        <w:t> </w:t>
      </w:r>
    </w:p>
    <w:p w14:paraId="06475C5C" w14:textId="77777777" w:rsidR="00000000" w:rsidRDefault="001826C1">
      <w:pPr>
        <w:pStyle w:val="a3"/>
        <w:spacing w:before="0" w:beforeAutospacing="0" w:after="0" w:afterAutospacing="0"/>
        <w:jc w:val="both"/>
        <w:rPr>
          <w:sz w:val="20"/>
          <w:szCs w:val="20"/>
        </w:rPr>
      </w:pPr>
      <w:r>
        <w:rPr>
          <w:sz w:val="20"/>
          <w:szCs w:val="20"/>
        </w:rPr>
        <w:t xml:space="preserve">On April 23, 2019, the Appellate Division reversed the Chancery Court’s ruling that MTBC is required to participate in the Arbitration </w:t>
      </w:r>
      <w:r>
        <w:rPr>
          <w:sz w:val="20"/>
          <w:szCs w:val="20"/>
        </w:rPr>
        <w:t>and remanded the case for further proceedings before the Chancery Court on that issue. The Appellate Division upheld the Chancery Court’s ruling that MAC was required to participate in the Arbitration. The parties have completed discovery in the remanded m</w:t>
      </w:r>
      <w:r>
        <w:rPr>
          <w:sz w:val="20"/>
          <w:szCs w:val="20"/>
        </w:rPr>
        <w:t>atter, and both MTBC and RPRWC filed cross-motions for summary judgement in their favor. On February 6, 2020, the Chancery Court denied RPRWC’s motion for summary judgment and granted MTBC’s cross-motion for summary judgment. The Chancery Court held that M</w:t>
      </w:r>
      <w:r>
        <w:rPr>
          <w:sz w:val="20"/>
          <w:szCs w:val="20"/>
        </w:rPr>
        <w:t>TBC cannot be compelled to participate in the Arbitration. RPRWC has informed MTBC that it does not intend to appeal the Chancery Court’s ruling and that it intends to move forward solely against MAC in the Arbitration.</w:t>
      </w:r>
    </w:p>
    <w:p w14:paraId="7AAEF615"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5D1E045D" w14:textId="77777777">
        <w:trPr>
          <w:divId w:val="1356342378"/>
        </w:trPr>
        <w:tc>
          <w:tcPr>
            <w:tcW w:w="5000" w:type="pct"/>
            <w:hideMark/>
          </w:tcPr>
          <w:p w14:paraId="25237A78"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4</w:t>
            </w:r>
          </w:p>
        </w:tc>
      </w:tr>
    </w:tbl>
    <w:tbl>
      <w:tblPr>
        <w:tblW w:w="5000" w:type="pct"/>
        <w:tblCellMar>
          <w:left w:w="0" w:type="dxa"/>
          <w:right w:w="0" w:type="dxa"/>
        </w:tblCellMar>
        <w:tblLook w:val="04A0" w:firstRow="1" w:lastRow="0" w:firstColumn="1" w:lastColumn="0" w:noHBand="0" w:noVBand="1"/>
      </w:tblPr>
      <w:tblGrid>
        <w:gridCol w:w="8306"/>
      </w:tblGrid>
      <w:tr w:rsidR="00000000" w14:paraId="33B5E132" w14:textId="77777777">
        <w:tc>
          <w:tcPr>
            <w:tcW w:w="5000" w:type="pct"/>
            <w:hideMark/>
          </w:tcPr>
          <w:p w14:paraId="639A5B85" w14:textId="77777777" w:rsidR="00000000" w:rsidRDefault="001826C1">
            <w:pPr>
              <w:jc w:val="center"/>
              <w:rPr>
                <w:rFonts w:eastAsia="Times New Roman"/>
                <w:sz w:val="20"/>
                <w:szCs w:val="20"/>
              </w:rPr>
            </w:pPr>
            <w:r>
              <w:rPr>
                <w:rFonts w:eastAsia="Times New Roman"/>
                <w:sz w:val="20"/>
                <w:szCs w:val="20"/>
              </w:rPr>
              <w:t> </w:t>
            </w:r>
          </w:p>
        </w:tc>
      </w:tr>
    </w:tbl>
    <w:p w14:paraId="638D19DF" w14:textId="77777777" w:rsidR="00000000" w:rsidRDefault="001826C1">
      <w:pPr>
        <w:pStyle w:val="a3"/>
        <w:spacing w:before="0" w:beforeAutospacing="0" w:after="0" w:afterAutospacing="0"/>
        <w:jc w:val="both"/>
        <w:rPr>
          <w:sz w:val="20"/>
          <w:szCs w:val="20"/>
        </w:rPr>
      </w:pPr>
      <w:r>
        <w:rPr>
          <w:sz w:val="20"/>
          <w:szCs w:val="20"/>
        </w:rPr>
        <w:t> </w:t>
      </w:r>
    </w:p>
    <w:p w14:paraId="372670A1" w14:textId="77777777" w:rsidR="00000000" w:rsidRDefault="001826C1">
      <w:pPr>
        <w:pStyle w:val="a3"/>
        <w:spacing w:before="0" w:beforeAutospacing="0" w:after="0" w:afterAutospacing="0"/>
        <w:jc w:val="both"/>
        <w:rPr>
          <w:sz w:val="20"/>
          <w:szCs w:val="20"/>
        </w:rPr>
      </w:pPr>
      <w:r>
        <w:rPr>
          <w:sz w:val="20"/>
          <w:szCs w:val="20"/>
        </w:rPr>
        <w:t>RPRWC seeks compensato</w:t>
      </w:r>
      <w:r>
        <w:rPr>
          <w:sz w:val="20"/>
          <w:szCs w:val="20"/>
        </w:rPr>
        <w:t>ry damages of $6.6 million, plus costs, for MPMA’s alleged breach of the billing services agreement. RPRWC’s breach of contract and compensatory damages claims have not been the subject of the ongoing court proceedings, which have focused solely on whether</w:t>
      </w:r>
      <w:r>
        <w:rPr>
          <w:sz w:val="20"/>
          <w:szCs w:val="20"/>
        </w:rPr>
        <w:t xml:space="preserve"> RPRWC can compel MTBC and MAC to arbitrate its claim. Thus, RPRWC has not yet provided MAC with information sufficient to enable it to estimate a range of possible losses that may arise from the Arbitration. MAC intends to vigorously defend against RPRWC’</w:t>
      </w:r>
      <w:r>
        <w:rPr>
          <w:sz w:val="20"/>
          <w:szCs w:val="20"/>
        </w:rPr>
        <w:t>s claims. If RPRWC is successful in the Arbitration, MAC anticipates the award would be substantially less than the amount claimed.</w:t>
      </w:r>
    </w:p>
    <w:p w14:paraId="58BBAA8D" w14:textId="77777777" w:rsidR="00000000" w:rsidRDefault="001826C1">
      <w:pPr>
        <w:pStyle w:val="a3"/>
        <w:spacing w:before="0" w:beforeAutospacing="0" w:after="0" w:afterAutospacing="0"/>
        <w:jc w:val="both"/>
        <w:rPr>
          <w:sz w:val="20"/>
          <w:szCs w:val="20"/>
        </w:rPr>
      </w:pPr>
      <w:r>
        <w:rPr>
          <w:sz w:val="20"/>
          <w:szCs w:val="20"/>
        </w:rPr>
        <w:t> </w:t>
      </w:r>
    </w:p>
    <w:p w14:paraId="328AC9CD" w14:textId="77777777" w:rsidR="00000000" w:rsidRDefault="001826C1">
      <w:pPr>
        <w:pStyle w:val="a3"/>
        <w:spacing w:before="0" w:beforeAutospacing="0" w:after="0" w:afterAutospacing="0"/>
        <w:jc w:val="both"/>
        <w:rPr>
          <w:sz w:val="20"/>
          <w:szCs w:val="20"/>
        </w:rPr>
      </w:pPr>
      <w:r>
        <w:rPr>
          <w:sz w:val="20"/>
          <w:szCs w:val="20"/>
        </w:rPr>
        <w:t>From time to time, we may become involved in other legal proceedings arising in the ordinary course of our business. Inclu</w:t>
      </w:r>
      <w:r>
        <w:rPr>
          <w:sz w:val="20"/>
          <w:szCs w:val="20"/>
        </w:rPr>
        <w:t>ding the proceeding described above, we are not presently a party to any legal proceedings that, in the opinion of our management, would individually or taken together have a material adverse effect on our business, consolidated results of operations, fina</w:t>
      </w:r>
      <w:r>
        <w:rPr>
          <w:sz w:val="20"/>
          <w:szCs w:val="20"/>
        </w:rPr>
        <w:t>ncial position or cash flows of the Company.</w:t>
      </w:r>
    </w:p>
    <w:p w14:paraId="116C8A81"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46791D7D" w14:textId="77777777">
        <w:tc>
          <w:tcPr>
            <w:tcW w:w="360" w:type="dxa"/>
            <w:hideMark/>
          </w:tcPr>
          <w:p w14:paraId="0C0A1FDA" w14:textId="77777777" w:rsidR="00000000" w:rsidRDefault="001826C1">
            <w:pPr>
              <w:rPr>
                <w:rFonts w:eastAsia="Times New Roman"/>
                <w:b/>
                <w:bCs/>
                <w:caps/>
                <w:sz w:val="20"/>
                <w:szCs w:val="20"/>
              </w:rPr>
            </w:pPr>
            <w:r>
              <w:rPr>
                <w:rFonts w:eastAsia="Times New Roman"/>
                <w:b/>
                <w:bCs/>
                <w:caps/>
                <w:sz w:val="20"/>
                <w:szCs w:val="20"/>
              </w:rPr>
              <w:t>12.</w:t>
            </w:r>
          </w:p>
        </w:tc>
        <w:tc>
          <w:tcPr>
            <w:tcW w:w="0" w:type="auto"/>
            <w:hideMark/>
          </w:tcPr>
          <w:p w14:paraId="7B74AF61" w14:textId="77777777" w:rsidR="00000000" w:rsidRDefault="001826C1">
            <w:pPr>
              <w:rPr>
                <w:rFonts w:eastAsia="Times New Roman"/>
                <w:b/>
                <w:bCs/>
                <w:caps/>
                <w:sz w:val="20"/>
                <w:szCs w:val="20"/>
              </w:rPr>
            </w:pPr>
            <w:r>
              <w:rPr>
                <w:rFonts w:eastAsia="Times New Roman"/>
                <w:b/>
                <w:bCs/>
                <w:caps/>
                <w:sz w:val="20"/>
                <w:szCs w:val="20"/>
              </w:rPr>
              <w:t>Leases</w:t>
            </w:r>
          </w:p>
        </w:tc>
      </w:tr>
    </w:tbl>
    <w:p w14:paraId="2F6D2AFD" w14:textId="77777777" w:rsidR="00000000" w:rsidRDefault="001826C1">
      <w:pPr>
        <w:pStyle w:val="a3"/>
        <w:spacing w:before="0" w:beforeAutospacing="0" w:after="0" w:afterAutospacing="0"/>
        <w:ind w:left="475"/>
        <w:jc w:val="both"/>
        <w:rPr>
          <w:sz w:val="20"/>
          <w:szCs w:val="20"/>
        </w:rPr>
      </w:pPr>
      <w:r>
        <w:rPr>
          <w:sz w:val="20"/>
          <w:szCs w:val="20"/>
        </w:rPr>
        <w:t> </w:t>
      </w:r>
    </w:p>
    <w:p w14:paraId="0A16F8F1" w14:textId="77777777" w:rsidR="00000000" w:rsidRDefault="001826C1">
      <w:pPr>
        <w:pStyle w:val="a3"/>
        <w:spacing w:before="0" w:beforeAutospacing="0" w:after="0" w:afterAutospacing="0"/>
        <w:jc w:val="both"/>
        <w:rPr>
          <w:sz w:val="20"/>
          <w:szCs w:val="20"/>
        </w:rPr>
      </w:pPr>
      <w:r>
        <w:rPr>
          <w:sz w:val="20"/>
          <w:szCs w:val="20"/>
        </w:rPr>
        <w:t xml:space="preserve">We determine </w:t>
      </w:r>
      <w:r>
        <w:rPr>
          <w:sz w:val="20"/>
          <w:szCs w:val="20"/>
        </w:rPr>
        <w:t xml:space="preserve">if an arrangement is a lease at inception. Operating leases are included in operating lease ROU assets, current operating lease liability and non-current operating lease liability in our consolidated balance sheet as of December 31, 2019. The Company does </w:t>
      </w:r>
      <w:r>
        <w:rPr>
          <w:sz w:val="20"/>
          <w:szCs w:val="20"/>
        </w:rPr>
        <w:t>not have any finance leases.</w:t>
      </w:r>
    </w:p>
    <w:p w14:paraId="2E58DE8A" w14:textId="77777777" w:rsidR="00000000" w:rsidRDefault="001826C1">
      <w:pPr>
        <w:pStyle w:val="a3"/>
        <w:spacing w:before="0" w:beforeAutospacing="0" w:after="0" w:afterAutospacing="0"/>
        <w:jc w:val="both"/>
        <w:rPr>
          <w:sz w:val="20"/>
          <w:szCs w:val="20"/>
        </w:rPr>
      </w:pPr>
      <w:r>
        <w:rPr>
          <w:sz w:val="20"/>
          <w:szCs w:val="20"/>
        </w:rPr>
        <w:t> </w:t>
      </w:r>
    </w:p>
    <w:p w14:paraId="225E1553" w14:textId="77777777" w:rsidR="00000000" w:rsidRDefault="001826C1">
      <w:pPr>
        <w:pStyle w:val="a3"/>
        <w:spacing w:before="0" w:beforeAutospacing="0" w:after="0" w:afterAutospacing="0"/>
        <w:jc w:val="both"/>
        <w:rPr>
          <w:sz w:val="20"/>
          <w:szCs w:val="20"/>
        </w:rPr>
      </w:pPr>
      <w:r>
        <w:rPr>
          <w:sz w:val="20"/>
          <w:szCs w:val="20"/>
        </w:rPr>
        <w:t>ROU assets represent our right to use an underlying asset for the lease term and lease liabilities represent our obligation to make lease payments arising from the lease. ROU assets and liabilities are recognized at the lease</w:t>
      </w:r>
      <w:r>
        <w:rPr>
          <w:sz w:val="20"/>
          <w:szCs w:val="20"/>
        </w:rPr>
        <w:t xml:space="preserve"> commencement date based on the estimated present value of lease payments over the lease term.</w:t>
      </w:r>
    </w:p>
    <w:p w14:paraId="0E64C5AE" w14:textId="77777777" w:rsidR="00000000" w:rsidRDefault="001826C1">
      <w:pPr>
        <w:pStyle w:val="a3"/>
        <w:spacing w:before="0" w:beforeAutospacing="0" w:after="0" w:afterAutospacing="0"/>
        <w:jc w:val="both"/>
        <w:rPr>
          <w:sz w:val="20"/>
          <w:szCs w:val="20"/>
        </w:rPr>
      </w:pPr>
      <w:r>
        <w:rPr>
          <w:sz w:val="20"/>
          <w:szCs w:val="20"/>
        </w:rPr>
        <w:t> </w:t>
      </w:r>
    </w:p>
    <w:p w14:paraId="4B006459" w14:textId="77777777" w:rsidR="00000000" w:rsidRDefault="001826C1">
      <w:pPr>
        <w:pStyle w:val="a3"/>
        <w:spacing w:before="0" w:beforeAutospacing="0" w:after="0" w:afterAutospacing="0"/>
        <w:jc w:val="both"/>
        <w:rPr>
          <w:sz w:val="20"/>
          <w:szCs w:val="20"/>
        </w:rPr>
      </w:pPr>
      <w:r>
        <w:rPr>
          <w:sz w:val="20"/>
          <w:szCs w:val="20"/>
        </w:rPr>
        <w:t>We use our estimated incremental borrowing rates, which are derived from information available at the lease commencement date, in determining the present value</w:t>
      </w:r>
      <w:r>
        <w:rPr>
          <w:sz w:val="20"/>
          <w:szCs w:val="20"/>
        </w:rPr>
        <w:t xml:space="preserve"> of lease payments. For leases in existence at the adoption of ASC 842, we used the incremental borrowing rate as of January 1, 2019. We give consideration to our bank financing arrangements, geographical location and collateralization of assets when calcu</w:t>
      </w:r>
      <w:r>
        <w:rPr>
          <w:sz w:val="20"/>
          <w:szCs w:val="20"/>
        </w:rPr>
        <w:t>lating our incremental borrowing rates.</w:t>
      </w:r>
    </w:p>
    <w:p w14:paraId="691696C0" w14:textId="77777777" w:rsidR="00000000" w:rsidRDefault="001826C1">
      <w:pPr>
        <w:pStyle w:val="a3"/>
        <w:spacing w:before="0" w:beforeAutospacing="0" w:after="0" w:afterAutospacing="0"/>
        <w:jc w:val="both"/>
        <w:rPr>
          <w:sz w:val="20"/>
          <w:szCs w:val="20"/>
        </w:rPr>
      </w:pPr>
      <w:r>
        <w:rPr>
          <w:sz w:val="20"/>
          <w:szCs w:val="20"/>
        </w:rPr>
        <w:t> </w:t>
      </w:r>
    </w:p>
    <w:p w14:paraId="22A23D96" w14:textId="77777777" w:rsidR="00000000" w:rsidRDefault="001826C1">
      <w:pPr>
        <w:pStyle w:val="a3"/>
        <w:spacing w:before="0" w:beforeAutospacing="0" w:after="0" w:afterAutospacing="0"/>
        <w:jc w:val="both"/>
        <w:rPr>
          <w:sz w:val="20"/>
          <w:szCs w:val="20"/>
        </w:rPr>
      </w:pPr>
      <w:r>
        <w:rPr>
          <w:sz w:val="20"/>
          <w:szCs w:val="20"/>
        </w:rPr>
        <w:t>Our lease terms include options to extend the lease when it is reasonably certain that we will exercise that option. Leases with a term of less than 12 months are not recorded in the consolidated balance sheet. Our</w:t>
      </w:r>
      <w:r>
        <w:rPr>
          <w:sz w:val="20"/>
          <w:szCs w:val="20"/>
        </w:rPr>
        <w:t xml:space="preserve"> lease agreements do not contain any residual value guarantees. For real estate leases, we account for the lease and non-lease components as a single lease component. Some leases include escalation clauses and termination options that are factored in the d</w:t>
      </w:r>
      <w:r>
        <w:rPr>
          <w:sz w:val="20"/>
          <w:szCs w:val="20"/>
        </w:rPr>
        <w:t>etermination of the lease payments when appropriate.</w:t>
      </w:r>
    </w:p>
    <w:p w14:paraId="4521644E" w14:textId="77777777" w:rsidR="00000000" w:rsidRDefault="001826C1">
      <w:pPr>
        <w:pStyle w:val="a3"/>
        <w:spacing w:before="0" w:beforeAutospacing="0" w:after="0" w:afterAutospacing="0"/>
        <w:jc w:val="both"/>
        <w:rPr>
          <w:sz w:val="20"/>
          <w:szCs w:val="20"/>
        </w:rPr>
      </w:pPr>
      <w:r>
        <w:rPr>
          <w:sz w:val="20"/>
          <w:szCs w:val="20"/>
        </w:rPr>
        <w:t> </w:t>
      </w:r>
    </w:p>
    <w:p w14:paraId="2D11E2BF" w14:textId="77777777" w:rsidR="00000000" w:rsidRDefault="001826C1">
      <w:pPr>
        <w:pStyle w:val="a3"/>
        <w:spacing w:before="0" w:beforeAutospacing="0" w:after="0" w:afterAutospacing="0"/>
        <w:jc w:val="both"/>
        <w:rPr>
          <w:sz w:val="20"/>
          <w:szCs w:val="20"/>
        </w:rPr>
      </w:pPr>
      <w:r>
        <w:rPr>
          <w:sz w:val="20"/>
          <w:szCs w:val="20"/>
        </w:rPr>
        <w:t>If a lease is modified after the effective date, the operating lease ROU asset and liability is re-measured using the current incremental borrowing rate. During the year ended December 31, 2019, a leas</w:t>
      </w:r>
      <w:r>
        <w:rPr>
          <w:sz w:val="20"/>
          <w:szCs w:val="20"/>
        </w:rPr>
        <w:t>e impairment of approximately $170,000 was recorded since the Company is no longer using one of its leased facilities and is currently in the process of subleasing the space. Restructuring charges of approximately $49,000 were recorded in the year ended De</w:t>
      </w:r>
      <w:r>
        <w:rPr>
          <w:sz w:val="20"/>
          <w:szCs w:val="20"/>
        </w:rPr>
        <w:t>cember 31, 2019 which represent the remaining lease costs for another leased facility that was closed and the employees were transferred to another Company facility.</w:t>
      </w:r>
    </w:p>
    <w:p w14:paraId="22348E22" w14:textId="77777777" w:rsidR="00000000" w:rsidRDefault="001826C1">
      <w:pPr>
        <w:pStyle w:val="a3"/>
        <w:spacing w:before="0" w:beforeAutospacing="0" w:after="0" w:afterAutospacing="0"/>
        <w:jc w:val="both"/>
        <w:rPr>
          <w:sz w:val="20"/>
          <w:szCs w:val="20"/>
        </w:rPr>
      </w:pPr>
      <w:r>
        <w:rPr>
          <w:sz w:val="20"/>
          <w:szCs w:val="20"/>
        </w:rPr>
        <w:t> </w:t>
      </w:r>
    </w:p>
    <w:p w14:paraId="553D7289" w14:textId="77777777" w:rsidR="00000000" w:rsidRDefault="001826C1">
      <w:pPr>
        <w:pStyle w:val="a3"/>
        <w:spacing w:before="0" w:beforeAutospacing="0" w:after="0" w:afterAutospacing="0"/>
        <w:jc w:val="both"/>
        <w:rPr>
          <w:sz w:val="20"/>
          <w:szCs w:val="20"/>
        </w:rPr>
      </w:pPr>
      <w:r>
        <w:rPr>
          <w:sz w:val="20"/>
          <w:szCs w:val="20"/>
        </w:rPr>
        <w:t>We lease all of our facilities and some equipment. Lease expense is included in direct o</w:t>
      </w:r>
      <w:r>
        <w:rPr>
          <w:sz w:val="20"/>
          <w:szCs w:val="20"/>
        </w:rPr>
        <w:t>perating costs and general and administrative expenses in the consolidated statements of operations based on the nature of the expense. As of December 31, 2019, we had 29 leased properties, five in Practice Management and 24 in Healthcare IT, with remainin</w:t>
      </w:r>
      <w:r>
        <w:rPr>
          <w:sz w:val="20"/>
          <w:szCs w:val="20"/>
        </w:rPr>
        <w:t>g terms ranging from less than one year to four years. Our lease terms are determined taking into account lease renewal options, the Company’s anticipated operating plans and leases that are on a month-to-month basis. We also have some related party leases</w:t>
      </w:r>
      <w:r>
        <w:rPr>
          <w:sz w:val="20"/>
          <w:szCs w:val="20"/>
        </w:rPr>
        <w:t xml:space="preserve"> – see Note 13.</w:t>
      </w:r>
    </w:p>
    <w:p w14:paraId="315FD6D9"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603A1F5" w14:textId="77777777">
        <w:trPr>
          <w:divId w:val="1479806849"/>
        </w:trPr>
        <w:tc>
          <w:tcPr>
            <w:tcW w:w="5000" w:type="pct"/>
            <w:hideMark/>
          </w:tcPr>
          <w:p w14:paraId="44C21DF2"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5</w:t>
            </w:r>
          </w:p>
        </w:tc>
      </w:tr>
    </w:tbl>
    <w:tbl>
      <w:tblPr>
        <w:tblW w:w="5000" w:type="pct"/>
        <w:tblCellMar>
          <w:left w:w="0" w:type="dxa"/>
          <w:right w:w="0" w:type="dxa"/>
        </w:tblCellMar>
        <w:tblLook w:val="04A0" w:firstRow="1" w:lastRow="0" w:firstColumn="1" w:lastColumn="0" w:noHBand="0" w:noVBand="1"/>
      </w:tblPr>
      <w:tblGrid>
        <w:gridCol w:w="8306"/>
      </w:tblGrid>
      <w:tr w:rsidR="00000000" w14:paraId="3E337E68" w14:textId="77777777">
        <w:tc>
          <w:tcPr>
            <w:tcW w:w="5000" w:type="pct"/>
            <w:hideMark/>
          </w:tcPr>
          <w:p w14:paraId="34691410" w14:textId="77777777" w:rsidR="00000000" w:rsidRDefault="001826C1">
            <w:pPr>
              <w:jc w:val="center"/>
              <w:rPr>
                <w:rFonts w:eastAsia="Times New Roman"/>
                <w:sz w:val="20"/>
                <w:szCs w:val="20"/>
              </w:rPr>
            </w:pPr>
            <w:r>
              <w:rPr>
                <w:rFonts w:eastAsia="Times New Roman"/>
                <w:sz w:val="20"/>
                <w:szCs w:val="20"/>
              </w:rPr>
              <w:t> </w:t>
            </w:r>
          </w:p>
        </w:tc>
      </w:tr>
    </w:tbl>
    <w:p w14:paraId="58853864" w14:textId="77777777" w:rsidR="00000000" w:rsidRDefault="001826C1">
      <w:pPr>
        <w:pStyle w:val="a3"/>
        <w:spacing w:before="0" w:beforeAutospacing="0" w:after="0" w:afterAutospacing="0"/>
        <w:rPr>
          <w:sz w:val="20"/>
          <w:szCs w:val="20"/>
        </w:rPr>
      </w:pPr>
      <w:r>
        <w:rPr>
          <w:sz w:val="20"/>
          <w:szCs w:val="20"/>
        </w:rPr>
        <w:t> </w:t>
      </w:r>
    </w:p>
    <w:p w14:paraId="09D141A7" w14:textId="77777777" w:rsidR="00000000" w:rsidRDefault="001826C1">
      <w:pPr>
        <w:pStyle w:val="a3"/>
        <w:spacing w:before="0" w:beforeAutospacing="0" w:after="0" w:afterAutospacing="0"/>
        <w:rPr>
          <w:sz w:val="20"/>
          <w:szCs w:val="20"/>
        </w:rPr>
      </w:pPr>
      <w:r>
        <w:rPr>
          <w:sz w:val="20"/>
          <w:szCs w:val="20"/>
        </w:rPr>
        <w:t>The components of lease expense were as follows:</w:t>
      </w:r>
    </w:p>
    <w:p w14:paraId="3BD057AB" w14:textId="77777777" w:rsidR="00000000" w:rsidRDefault="001826C1">
      <w:pPr>
        <w:pStyle w:val="a3"/>
        <w:spacing w:before="0" w:beforeAutospacing="0" w:after="0" w:afterAutospacing="0"/>
        <w:rPr>
          <w:sz w:val="20"/>
          <w:szCs w:val="20"/>
        </w:rPr>
      </w:pPr>
      <w:r>
        <w:rPr>
          <w:sz w:val="20"/>
          <w:szCs w:val="20"/>
        </w:rPr>
        <w:t> </w:t>
      </w:r>
    </w:p>
    <w:tbl>
      <w:tblPr>
        <w:tblW w:w="2500" w:type="pct"/>
        <w:tblCellMar>
          <w:left w:w="0" w:type="dxa"/>
          <w:right w:w="0" w:type="dxa"/>
        </w:tblCellMar>
        <w:tblLook w:val="04A0" w:firstRow="1" w:lastRow="0" w:firstColumn="1" w:lastColumn="0" w:noHBand="0" w:noVBand="1"/>
      </w:tblPr>
      <w:tblGrid>
        <w:gridCol w:w="2635"/>
        <w:gridCol w:w="61"/>
        <w:gridCol w:w="100"/>
        <w:gridCol w:w="1307"/>
        <w:gridCol w:w="50"/>
      </w:tblGrid>
      <w:tr w:rsidR="00000000" w14:paraId="582DA2C1" w14:textId="77777777">
        <w:tc>
          <w:tcPr>
            <w:tcW w:w="0" w:type="auto"/>
            <w:vAlign w:val="bottom"/>
            <w:hideMark/>
          </w:tcPr>
          <w:p w14:paraId="42C01735"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E472F2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BE908BD" w14:textId="77777777" w:rsidR="00000000" w:rsidRDefault="001826C1">
            <w:pPr>
              <w:jc w:val="center"/>
              <w:rPr>
                <w:rFonts w:eastAsia="Times New Roman"/>
                <w:b/>
                <w:bCs/>
                <w:sz w:val="20"/>
                <w:szCs w:val="20"/>
              </w:rPr>
            </w:pPr>
            <w:r>
              <w:rPr>
                <w:rFonts w:eastAsia="Times New Roman"/>
                <w:b/>
                <w:bCs/>
                <w:sz w:val="20"/>
                <w:szCs w:val="20"/>
              </w:rPr>
              <w:t>Year Ended</w:t>
            </w:r>
            <w:r>
              <w:rPr>
                <w:rFonts w:eastAsia="Times New Roman"/>
                <w:b/>
                <w:bCs/>
                <w:sz w:val="20"/>
                <w:szCs w:val="20"/>
              </w:rPr>
              <w:br/>
              <w:t>December 31, 2019</w:t>
            </w:r>
          </w:p>
        </w:tc>
        <w:tc>
          <w:tcPr>
            <w:tcW w:w="0" w:type="auto"/>
            <w:tcMar>
              <w:top w:w="0" w:type="dxa"/>
              <w:left w:w="0" w:type="dxa"/>
              <w:bottom w:w="30" w:type="dxa"/>
              <w:right w:w="0" w:type="dxa"/>
            </w:tcMar>
            <w:vAlign w:val="bottom"/>
            <w:hideMark/>
          </w:tcPr>
          <w:p w14:paraId="66013A7C" w14:textId="77777777" w:rsidR="00000000" w:rsidRDefault="001826C1">
            <w:pPr>
              <w:rPr>
                <w:rFonts w:eastAsia="Times New Roman"/>
                <w:b/>
                <w:bCs/>
                <w:sz w:val="20"/>
                <w:szCs w:val="20"/>
              </w:rPr>
            </w:pPr>
            <w:r>
              <w:rPr>
                <w:rFonts w:eastAsia="Times New Roman"/>
                <w:b/>
                <w:bCs/>
                <w:sz w:val="20"/>
                <w:szCs w:val="20"/>
              </w:rPr>
              <w:t> </w:t>
            </w:r>
          </w:p>
        </w:tc>
      </w:tr>
      <w:tr w:rsidR="00000000" w14:paraId="6B8F5460" w14:textId="77777777">
        <w:tc>
          <w:tcPr>
            <w:tcW w:w="3200" w:type="pct"/>
            <w:shd w:val="clear" w:color="auto" w:fill="CCEEFF"/>
            <w:vAlign w:val="bottom"/>
            <w:hideMark/>
          </w:tcPr>
          <w:p w14:paraId="69C99BAE" w14:textId="77777777" w:rsidR="00000000" w:rsidRDefault="001826C1">
            <w:pPr>
              <w:rPr>
                <w:rFonts w:eastAsia="Times New Roman"/>
                <w:sz w:val="20"/>
                <w:szCs w:val="20"/>
              </w:rPr>
            </w:pPr>
            <w:r>
              <w:rPr>
                <w:rFonts w:eastAsia="Times New Roman"/>
                <w:sz w:val="20"/>
                <w:szCs w:val="20"/>
              </w:rPr>
              <w:t>Operating lease cost</w:t>
            </w:r>
          </w:p>
        </w:tc>
        <w:tc>
          <w:tcPr>
            <w:tcW w:w="100" w:type="pct"/>
            <w:shd w:val="clear" w:color="auto" w:fill="CCEEFF"/>
            <w:vAlign w:val="bottom"/>
            <w:hideMark/>
          </w:tcPr>
          <w:p w14:paraId="76664CA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D98B3AF" w14:textId="77777777" w:rsidR="00000000" w:rsidRDefault="001826C1">
            <w:pPr>
              <w:rPr>
                <w:rFonts w:eastAsia="Times New Roman"/>
                <w:sz w:val="20"/>
                <w:szCs w:val="20"/>
              </w:rPr>
            </w:pPr>
            <w:r>
              <w:rPr>
                <w:rFonts w:eastAsia="Times New Roman"/>
                <w:sz w:val="20"/>
                <w:szCs w:val="20"/>
              </w:rPr>
              <w:t>$</w:t>
            </w:r>
          </w:p>
        </w:tc>
        <w:tc>
          <w:tcPr>
            <w:tcW w:w="1600" w:type="pct"/>
            <w:shd w:val="clear" w:color="auto" w:fill="CCEEFF"/>
            <w:vAlign w:val="bottom"/>
            <w:hideMark/>
          </w:tcPr>
          <w:p w14:paraId="76321FCE" w14:textId="77777777" w:rsidR="00000000" w:rsidRDefault="001826C1">
            <w:pPr>
              <w:jc w:val="right"/>
              <w:rPr>
                <w:rFonts w:eastAsia="Times New Roman"/>
                <w:sz w:val="20"/>
                <w:szCs w:val="20"/>
              </w:rPr>
            </w:pPr>
            <w:r>
              <w:rPr>
                <w:rFonts w:eastAsia="Times New Roman"/>
                <w:sz w:val="20"/>
                <w:szCs w:val="20"/>
              </w:rPr>
              <w:t>2,184,880</w:t>
            </w:r>
          </w:p>
        </w:tc>
        <w:tc>
          <w:tcPr>
            <w:tcW w:w="50" w:type="pct"/>
            <w:shd w:val="clear" w:color="auto" w:fill="CCEEFF"/>
            <w:vAlign w:val="bottom"/>
            <w:hideMark/>
          </w:tcPr>
          <w:p w14:paraId="7BFB1CDD" w14:textId="77777777" w:rsidR="00000000" w:rsidRDefault="001826C1">
            <w:pPr>
              <w:rPr>
                <w:rFonts w:eastAsia="Times New Roman"/>
                <w:sz w:val="20"/>
                <w:szCs w:val="20"/>
              </w:rPr>
            </w:pPr>
            <w:r>
              <w:rPr>
                <w:rFonts w:eastAsia="Times New Roman"/>
                <w:sz w:val="20"/>
                <w:szCs w:val="20"/>
              </w:rPr>
              <w:t> </w:t>
            </w:r>
          </w:p>
        </w:tc>
      </w:tr>
      <w:tr w:rsidR="00000000" w14:paraId="1F94C736" w14:textId="77777777">
        <w:tc>
          <w:tcPr>
            <w:tcW w:w="0" w:type="auto"/>
            <w:shd w:val="clear" w:color="auto" w:fill="FFFFFF"/>
            <w:vAlign w:val="bottom"/>
            <w:hideMark/>
          </w:tcPr>
          <w:p w14:paraId="74A4DE15" w14:textId="77777777" w:rsidR="00000000" w:rsidRDefault="001826C1">
            <w:pPr>
              <w:rPr>
                <w:rFonts w:eastAsia="Times New Roman"/>
                <w:sz w:val="20"/>
                <w:szCs w:val="20"/>
              </w:rPr>
            </w:pPr>
            <w:r>
              <w:rPr>
                <w:rFonts w:eastAsia="Times New Roman"/>
                <w:sz w:val="20"/>
                <w:szCs w:val="20"/>
              </w:rPr>
              <w:t>Short-term lease cost</w:t>
            </w:r>
          </w:p>
        </w:tc>
        <w:tc>
          <w:tcPr>
            <w:tcW w:w="0" w:type="auto"/>
            <w:shd w:val="clear" w:color="auto" w:fill="FFFFFF"/>
            <w:vAlign w:val="bottom"/>
            <w:hideMark/>
          </w:tcPr>
          <w:p w14:paraId="73E8CB8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D4FCA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ED107F" w14:textId="77777777" w:rsidR="00000000" w:rsidRDefault="001826C1">
            <w:pPr>
              <w:jc w:val="right"/>
              <w:rPr>
                <w:rFonts w:eastAsia="Times New Roman"/>
                <w:sz w:val="20"/>
                <w:szCs w:val="20"/>
              </w:rPr>
            </w:pPr>
            <w:r>
              <w:rPr>
                <w:rFonts w:eastAsia="Times New Roman"/>
                <w:sz w:val="20"/>
                <w:szCs w:val="20"/>
              </w:rPr>
              <w:t>229,263</w:t>
            </w:r>
          </w:p>
        </w:tc>
        <w:tc>
          <w:tcPr>
            <w:tcW w:w="0" w:type="auto"/>
            <w:shd w:val="clear" w:color="auto" w:fill="FFFFFF"/>
            <w:vAlign w:val="bottom"/>
            <w:hideMark/>
          </w:tcPr>
          <w:p w14:paraId="569EA7B6" w14:textId="77777777" w:rsidR="00000000" w:rsidRDefault="001826C1">
            <w:pPr>
              <w:rPr>
                <w:rFonts w:eastAsia="Times New Roman"/>
                <w:sz w:val="20"/>
                <w:szCs w:val="20"/>
              </w:rPr>
            </w:pPr>
            <w:r>
              <w:rPr>
                <w:rFonts w:eastAsia="Times New Roman"/>
                <w:sz w:val="20"/>
                <w:szCs w:val="20"/>
              </w:rPr>
              <w:t> </w:t>
            </w:r>
          </w:p>
        </w:tc>
      </w:tr>
      <w:tr w:rsidR="00000000" w14:paraId="497D6273" w14:textId="77777777">
        <w:tc>
          <w:tcPr>
            <w:tcW w:w="0" w:type="auto"/>
            <w:shd w:val="clear" w:color="auto" w:fill="CCEEFF"/>
            <w:tcMar>
              <w:top w:w="0" w:type="dxa"/>
              <w:left w:w="0" w:type="dxa"/>
              <w:bottom w:w="30" w:type="dxa"/>
              <w:right w:w="0" w:type="dxa"/>
            </w:tcMar>
            <w:vAlign w:val="bottom"/>
            <w:hideMark/>
          </w:tcPr>
          <w:p w14:paraId="29AB3125" w14:textId="77777777" w:rsidR="00000000" w:rsidRDefault="001826C1">
            <w:pPr>
              <w:rPr>
                <w:rFonts w:eastAsia="Times New Roman"/>
                <w:sz w:val="20"/>
                <w:szCs w:val="20"/>
              </w:rPr>
            </w:pPr>
            <w:r>
              <w:rPr>
                <w:rFonts w:eastAsia="Times New Roman"/>
                <w:sz w:val="20"/>
                <w:szCs w:val="20"/>
              </w:rPr>
              <w:t>Variable lease cost</w:t>
            </w:r>
          </w:p>
        </w:tc>
        <w:tc>
          <w:tcPr>
            <w:tcW w:w="0" w:type="auto"/>
            <w:shd w:val="clear" w:color="auto" w:fill="CCEEFF"/>
            <w:tcMar>
              <w:top w:w="0" w:type="dxa"/>
              <w:left w:w="0" w:type="dxa"/>
              <w:bottom w:w="30" w:type="dxa"/>
              <w:right w:w="0" w:type="dxa"/>
            </w:tcMar>
            <w:vAlign w:val="bottom"/>
            <w:hideMark/>
          </w:tcPr>
          <w:p w14:paraId="278919B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1ABF03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C2C8344" w14:textId="77777777" w:rsidR="00000000" w:rsidRDefault="001826C1">
            <w:pPr>
              <w:jc w:val="right"/>
              <w:rPr>
                <w:rFonts w:eastAsia="Times New Roman"/>
                <w:sz w:val="20"/>
                <w:szCs w:val="20"/>
              </w:rPr>
            </w:pPr>
            <w:r>
              <w:rPr>
                <w:rFonts w:eastAsia="Times New Roman"/>
                <w:sz w:val="20"/>
                <w:szCs w:val="20"/>
              </w:rPr>
              <w:t>41,714</w:t>
            </w:r>
          </w:p>
        </w:tc>
        <w:tc>
          <w:tcPr>
            <w:tcW w:w="0" w:type="auto"/>
            <w:shd w:val="clear" w:color="auto" w:fill="CCEEFF"/>
            <w:tcMar>
              <w:top w:w="0" w:type="dxa"/>
              <w:left w:w="0" w:type="dxa"/>
              <w:bottom w:w="30" w:type="dxa"/>
              <w:right w:w="0" w:type="dxa"/>
            </w:tcMar>
            <w:vAlign w:val="bottom"/>
            <w:hideMark/>
          </w:tcPr>
          <w:p w14:paraId="62B4B47F" w14:textId="77777777" w:rsidR="00000000" w:rsidRDefault="001826C1">
            <w:pPr>
              <w:rPr>
                <w:rFonts w:eastAsia="Times New Roman"/>
                <w:sz w:val="20"/>
                <w:szCs w:val="20"/>
              </w:rPr>
            </w:pPr>
            <w:r>
              <w:rPr>
                <w:rFonts w:eastAsia="Times New Roman"/>
                <w:sz w:val="20"/>
                <w:szCs w:val="20"/>
              </w:rPr>
              <w:t> </w:t>
            </w:r>
          </w:p>
        </w:tc>
      </w:tr>
      <w:tr w:rsidR="00000000" w14:paraId="679C1839" w14:textId="77777777">
        <w:tc>
          <w:tcPr>
            <w:tcW w:w="0" w:type="auto"/>
            <w:shd w:val="clear" w:color="auto" w:fill="FFFFFF"/>
            <w:tcMar>
              <w:top w:w="0" w:type="dxa"/>
              <w:left w:w="200" w:type="dxa"/>
              <w:bottom w:w="50" w:type="dxa"/>
              <w:right w:w="0" w:type="dxa"/>
            </w:tcMar>
            <w:vAlign w:val="bottom"/>
            <w:hideMark/>
          </w:tcPr>
          <w:p w14:paraId="6A36A859" w14:textId="77777777" w:rsidR="00000000" w:rsidRDefault="001826C1">
            <w:pPr>
              <w:rPr>
                <w:rFonts w:eastAsia="Times New Roman"/>
                <w:sz w:val="20"/>
                <w:szCs w:val="20"/>
              </w:rPr>
            </w:pPr>
            <w:r>
              <w:rPr>
                <w:rFonts w:eastAsia="Times New Roman"/>
                <w:sz w:val="20"/>
                <w:szCs w:val="20"/>
              </w:rPr>
              <w:t>Total- net lease cost</w:t>
            </w:r>
          </w:p>
        </w:tc>
        <w:tc>
          <w:tcPr>
            <w:tcW w:w="0" w:type="auto"/>
            <w:shd w:val="clear" w:color="auto" w:fill="FFFFFF"/>
            <w:tcMar>
              <w:top w:w="0" w:type="dxa"/>
              <w:left w:w="0" w:type="dxa"/>
              <w:bottom w:w="50" w:type="dxa"/>
              <w:right w:w="0" w:type="dxa"/>
            </w:tcMar>
            <w:vAlign w:val="bottom"/>
            <w:hideMark/>
          </w:tcPr>
          <w:p w14:paraId="4DE53E9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E9FF688"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9C1B605" w14:textId="77777777" w:rsidR="00000000" w:rsidRDefault="001826C1">
            <w:pPr>
              <w:jc w:val="right"/>
              <w:rPr>
                <w:rFonts w:eastAsia="Times New Roman"/>
                <w:sz w:val="20"/>
                <w:szCs w:val="20"/>
              </w:rPr>
            </w:pPr>
            <w:r>
              <w:rPr>
                <w:rFonts w:eastAsia="Times New Roman"/>
                <w:sz w:val="20"/>
                <w:szCs w:val="20"/>
              </w:rPr>
              <w:t>2,455,857</w:t>
            </w:r>
          </w:p>
        </w:tc>
        <w:tc>
          <w:tcPr>
            <w:tcW w:w="0" w:type="auto"/>
            <w:shd w:val="clear" w:color="auto" w:fill="FFFFFF"/>
            <w:tcMar>
              <w:top w:w="0" w:type="dxa"/>
              <w:left w:w="0" w:type="dxa"/>
              <w:bottom w:w="50" w:type="dxa"/>
              <w:right w:w="0" w:type="dxa"/>
            </w:tcMar>
            <w:vAlign w:val="bottom"/>
            <w:hideMark/>
          </w:tcPr>
          <w:p w14:paraId="6770A5F8" w14:textId="77777777" w:rsidR="00000000" w:rsidRDefault="001826C1">
            <w:pPr>
              <w:rPr>
                <w:rFonts w:eastAsia="Times New Roman"/>
                <w:sz w:val="20"/>
                <w:szCs w:val="20"/>
              </w:rPr>
            </w:pPr>
            <w:r>
              <w:rPr>
                <w:rFonts w:eastAsia="Times New Roman"/>
                <w:sz w:val="20"/>
                <w:szCs w:val="20"/>
              </w:rPr>
              <w:t> </w:t>
            </w:r>
          </w:p>
        </w:tc>
      </w:tr>
    </w:tbl>
    <w:p w14:paraId="6A5A2995" w14:textId="77777777" w:rsidR="00000000" w:rsidRDefault="001826C1">
      <w:pPr>
        <w:pStyle w:val="a3"/>
        <w:spacing w:before="0" w:beforeAutospacing="0" w:after="0" w:afterAutospacing="0"/>
        <w:jc w:val="both"/>
        <w:rPr>
          <w:sz w:val="20"/>
          <w:szCs w:val="20"/>
        </w:rPr>
      </w:pPr>
      <w:r>
        <w:rPr>
          <w:sz w:val="20"/>
          <w:szCs w:val="20"/>
        </w:rPr>
        <w:t> </w:t>
      </w:r>
    </w:p>
    <w:p w14:paraId="1FFA2208" w14:textId="77777777" w:rsidR="00000000" w:rsidRDefault="001826C1">
      <w:pPr>
        <w:pStyle w:val="a3"/>
        <w:spacing w:before="0" w:beforeAutospacing="0" w:after="0" w:afterAutospacing="0"/>
        <w:jc w:val="both"/>
        <w:rPr>
          <w:sz w:val="20"/>
          <w:szCs w:val="20"/>
        </w:rPr>
      </w:pPr>
      <w:r>
        <w:rPr>
          <w:sz w:val="20"/>
          <w:szCs w:val="20"/>
        </w:rPr>
        <w:t xml:space="preserve">Short-term lease </w:t>
      </w:r>
      <w:r>
        <w:rPr>
          <w:sz w:val="20"/>
          <w:szCs w:val="20"/>
        </w:rPr>
        <w:t>cost represents leases that were not capitalized as the lease term as of the later of January 1, 2019 or the beginning of the lease was less than 12 months. Variable lease costs include utilities, real estate taxes and common area maintenance costs.</w:t>
      </w:r>
    </w:p>
    <w:p w14:paraId="59F84BC5" w14:textId="77777777" w:rsidR="00000000" w:rsidRDefault="001826C1">
      <w:pPr>
        <w:pStyle w:val="a3"/>
        <w:spacing w:before="0" w:beforeAutospacing="0" w:after="0" w:afterAutospacing="0"/>
        <w:jc w:val="both"/>
        <w:rPr>
          <w:sz w:val="20"/>
          <w:szCs w:val="20"/>
        </w:rPr>
      </w:pPr>
      <w:r>
        <w:rPr>
          <w:sz w:val="20"/>
          <w:szCs w:val="20"/>
        </w:rPr>
        <w:t> </w:t>
      </w:r>
    </w:p>
    <w:p w14:paraId="257FAD9E" w14:textId="77777777" w:rsidR="00000000" w:rsidRDefault="001826C1">
      <w:pPr>
        <w:pStyle w:val="a3"/>
        <w:spacing w:before="0" w:beforeAutospacing="0" w:after="0" w:afterAutospacing="0"/>
        <w:jc w:val="both"/>
        <w:rPr>
          <w:sz w:val="20"/>
          <w:szCs w:val="20"/>
        </w:rPr>
      </w:pPr>
      <w:r>
        <w:rPr>
          <w:sz w:val="20"/>
          <w:szCs w:val="20"/>
        </w:rPr>
        <w:t>Supp</w:t>
      </w:r>
      <w:r>
        <w:rPr>
          <w:sz w:val="20"/>
          <w:szCs w:val="20"/>
        </w:rPr>
        <w:t>lemental balance sheet information related to leases was as follows:</w:t>
      </w:r>
    </w:p>
    <w:p w14:paraId="2E345334" w14:textId="77777777" w:rsidR="00000000" w:rsidRDefault="001826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136"/>
        <w:gridCol w:w="66"/>
        <w:gridCol w:w="100"/>
        <w:gridCol w:w="1345"/>
        <w:gridCol w:w="167"/>
      </w:tblGrid>
      <w:tr w:rsidR="00000000" w14:paraId="4B7A5FC2" w14:textId="77777777">
        <w:tc>
          <w:tcPr>
            <w:tcW w:w="0" w:type="auto"/>
            <w:vAlign w:val="bottom"/>
            <w:hideMark/>
          </w:tcPr>
          <w:p w14:paraId="2868AC56"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2A82CCB"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8CB4183" w14:textId="77777777" w:rsidR="00000000" w:rsidRDefault="001826C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489D094B" w14:textId="77777777" w:rsidR="00000000" w:rsidRDefault="001826C1">
            <w:pPr>
              <w:rPr>
                <w:rFonts w:eastAsia="Times New Roman"/>
                <w:b/>
                <w:bCs/>
                <w:sz w:val="20"/>
                <w:szCs w:val="20"/>
              </w:rPr>
            </w:pPr>
            <w:r>
              <w:rPr>
                <w:rFonts w:eastAsia="Times New Roman"/>
                <w:b/>
                <w:bCs/>
                <w:sz w:val="20"/>
                <w:szCs w:val="20"/>
              </w:rPr>
              <w:t> </w:t>
            </w:r>
          </w:p>
        </w:tc>
      </w:tr>
      <w:tr w:rsidR="00000000" w14:paraId="63FEADF6" w14:textId="77777777">
        <w:tc>
          <w:tcPr>
            <w:tcW w:w="0" w:type="auto"/>
            <w:shd w:val="clear" w:color="auto" w:fill="CCEEFF"/>
            <w:vAlign w:val="bottom"/>
            <w:hideMark/>
          </w:tcPr>
          <w:p w14:paraId="30B86354" w14:textId="77777777" w:rsidR="00000000" w:rsidRDefault="001826C1">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2CC75C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3F91F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F8FBD"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1CA2BCA" w14:textId="77777777" w:rsidR="00000000" w:rsidRDefault="001826C1">
            <w:pPr>
              <w:rPr>
                <w:rFonts w:eastAsia="Times New Roman"/>
                <w:sz w:val="20"/>
                <w:szCs w:val="20"/>
              </w:rPr>
            </w:pPr>
            <w:r>
              <w:rPr>
                <w:rFonts w:eastAsia="Times New Roman"/>
                <w:sz w:val="20"/>
                <w:szCs w:val="20"/>
              </w:rPr>
              <w:t> </w:t>
            </w:r>
          </w:p>
        </w:tc>
      </w:tr>
      <w:tr w:rsidR="00000000" w14:paraId="4391540E" w14:textId="77777777">
        <w:tc>
          <w:tcPr>
            <w:tcW w:w="3600" w:type="pct"/>
            <w:shd w:val="clear" w:color="auto" w:fill="FFFFFF"/>
            <w:tcMar>
              <w:top w:w="0" w:type="dxa"/>
              <w:left w:w="200" w:type="dxa"/>
              <w:bottom w:w="0" w:type="dxa"/>
              <w:right w:w="0" w:type="dxa"/>
            </w:tcMar>
            <w:vAlign w:val="bottom"/>
            <w:hideMark/>
          </w:tcPr>
          <w:p w14:paraId="3C649E71" w14:textId="77777777" w:rsidR="00000000" w:rsidRDefault="001826C1">
            <w:pPr>
              <w:rPr>
                <w:rFonts w:eastAsia="Times New Roman"/>
                <w:sz w:val="20"/>
                <w:szCs w:val="20"/>
              </w:rPr>
            </w:pPr>
            <w:r>
              <w:rPr>
                <w:rFonts w:eastAsia="Times New Roman"/>
                <w:sz w:val="20"/>
                <w:szCs w:val="20"/>
              </w:rPr>
              <w:t>Operating lease ROU assets, net</w:t>
            </w:r>
          </w:p>
        </w:tc>
        <w:tc>
          <w:tcPr>
            <w:tcW w:w="100" w:type="pct"/>
            <w:shd w:val="clear" w:color="auto" w:fill="FFFFFF"/>
            <w:vAlign w:val="bottom"/>
            <w:hideMark/>
          </w:tcPr>
          <w:p w14:paraId="7B1F3A5A" w14:textId="77777777" w:rsidR="00000000" w:rsidRDefault="001826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780E7EB6" w14:textId="77777777" w:rsidR="00000000" w:rsidRDefault="001826C1">
            <w:pPr>
              <w:rPr>
                <w:rFonts w:eastAsia="Times New Roman"/>
                <w:sz w:val="20"/>
                <w:szCs w:val="20"/>
              </w:rPr>
            </w:pPr>
            <w:r>
              <w:rPr>
                <w:rFonts w:eastAsia="Times New Roman"/>
                <w:sz w:val="20"/>
                <w:szCs w:val="20"/>
              </w:rPr>
              <w:t>$</w:t>
            </w:r>
          </w:p>
        </w:tc>
        <w:tc>
          <w:tcPr>
            <w:tcW w:w="1200" w:type="pct"/>
            <w:shd w:val="clear" w:color="auto" w:fill="FFFFFF"/>
            <w:vAlign w:val="bottom"/>
            <w:hideMark/>
          </w:tcPr>
          <w:p w14:paraId="5F1FFB3C" w14:textId="77777777" w:rsidR="00000000" w:rsidRDefault="001826C1">
            <w:pPr>
              <w:jc w:val="right"/>
              <w:rPr>
                <w:rFonts w:eastAsia="Times New Roman"/>
                <w:sz w:val="20"/>
                <w:szCs w:val="20"/>
              </w:rPr>
            </w:pPr>
            <w:r>
              <w:rPr>
                <w:rFonts w:eastAsia="Times New Roman"/>
                <w:sz w:val="20"/>
                <w:szCs w:val="20"/>
              </w:rPr>
              <w:t>3,526,315</w:t>
            </w:r>
          </w:p>
        </w:tc>
        <w:tc>
          <w:tcPr>
            <w:tcW w:w="50" w:type="pct"/>
            <w:shd w:val="clear" w:color="auto" w:fill="FFFFFF"/>
            <w:vAlign w:val="bottom"/>
            <w:hideMark/>
          </w:tcPr>
          <w:p w14:paraId="68F61505" w14:textId="77777777" w:rsidR="00000000" w:rsidRDefault="001826C1">
            <w:pPr>
              <w:rPr>
                <w:rFonts w:eastAsia="Times New Roman"/>
                <w:sz w:val="20"/>
                <w:szCs w:val="20"/>
              </w:rPr>
            </w:pPr>
            <w:r>
              <w:rPr>
                <w:rFonts w:eastAsia="Times New Roman"/>
                <w:sz w:val="20"/>
                <w:szCs w:val="20"/>
              </w:rPr>
              <w:t> </w:t>
            </w:r>
          </w:p>
        </w:tc>
      </w:tr>
      <w:tr w:rsidR="00000000" w14:paraId="1A6CB704" w14:textId="77777777">
        <w:tc>
          <w:tcPr>
            <w:tcW w:w="0" w:type="auto"/>
            <w:shd w:val="clear" w:color="auto" w:fill="CCEEFF"/>
            <w:vAlign w:val="bottom"/>
            <w:hideMark/>
          </w:tcPr>
          <w:p w14:paraId="395284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BFDBB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CD5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7BFBF1"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77D3BD1" w14:textId="77777777" w:rsidR="00000000" w:rsidRDefault="001826C1">
            <w:pPr>
              <w:rPr>
                <w:rFonts w:eastAsia="Times New Roman"/>
                <w:sz w:val="20"/>
                <w:szCs w:val="20"/>
              </w:rPr>
            </w:pPr>
            <w:r>
              <w:rPr>
                <w:rFonts w:eastAsia="Times New Roman"/>
                <w:sz w:val="20"/>
                <w:szCs w:val="20"/>
              </w:rPr>
              <w:t> </w:t>
            </w:r>
          </w:p>
        </w:tc>
      </w:tr>
      <w:tr w:rsidR="00000000" w14:paraId="45D6C982" w14:textId="77777777">
        <w:tc>
          <w:tcPr>
            <w:tcW w:w="0" w:type="auto"/>
            <w:shd w:val="clear" w:color="auto" w:fill="FFFFFF"/>
            <w:tcMar>
              <w:top w:w="0" w:type="dxa"/>
              <w:left w:w="200" w:type="dxa"/>
              <w:bottom w:w="0" w:type="dxa"/>
              <w:right w:w="0" w:type="dxa"/>
            </w:tcMar>
            <w:vAlign w:val="bottom"/>
            <w:hideMark/>
          </w:tcPr>
          <w:p w14:paraId="57B5D21E" w14:textId="77777777" w:rsidR="00000000" w:rsidRDefault="001826C1">
            <w:pPr>
              <w:rPr>
                <w:rFonts w:eastAsia="Times New Roman"/>
                <w:sz w:val="20"/>
                <w:szCs w:val="20"/>
              </w:rPr>
            </w:pPr>
            <w:r>
              <w:rPr>
                <w:rFonts w:eastAsia="Times New Roman"/>
                <w:sz w:val="20"/>
                <w:szCs w:val="20"/>
              </w:rPr>
              <w:t>Current operating lease liabilities</w:t>
            </w:r>
          </w:p>
        </w:tc>
        <w:tc>
          <w:tcPr>
            <w:tcW w:w="0" w:type="auto"/>
            <w:shd w:val="clear" w:color="auto" w:fill="FFFFFF"/>
            <w:vAlign w:val="bottom"/>
            <w:hideMark/>
          </w:tcPr>
          <w:p w14:paraId="754AB58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E237DD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42A0AEE6" w14:textId="77777777" w:rsidR="00000000" w:rsidRDefault="001826C1">
            <w:pPr>
              <w:jc w:val="right"/>
              <w:rPr>
                <w:rFonts w:eastAsia="Times New Roman"/>
                <w:sz w:val="20"/>
                <w:szCs w:val="20"/>
              </w:rPr>
            </w:pPr>
            <w:r>
              <w:rPr>
                <w:rFonts w:eastAsia="Times New Roman"/>
                <w:sz w:val="20"/>
                <w:szCs w:val="20"/>
              </w:rPr>
              <w:t>1,688,772</w:t>
            </w:r>
          </w:p>
        </w:tc>
        <w:tc>
          <w:tcPr>
            <w:tcW w:w="0" w:type="auto"/>
            <w:shd w:val="clear" w:color="auto" w:fill="FFFFFF"/>
            <w:vAlign w:val="bottom"/>
            <w:hideMark/>
          </w:tcPr>
          <w:p w14:paraId="2962940F" w14:textId="77777777" w:rsidR="00000000" w:rsidRDefault="001826C1">
            <w:pPr>
              <w:rPr>
                <w:rFonts w:eastAsia="Times New Roman"/>
                <w:sz w:val="20"/>
                <w:szCs w:val="20"/>
              </w:rPr>
            </w:pPr>
            <w:r>
              <w:rPr>
                <w:rFonts w:eastAsia="Times New Roman"/>
                <w:sz w:val="20"/>
                <w:szCs w:val="20"/>
              </w:rPr>
              <w:t> </w:t>
            </w:r>
          </w:p>
        </w:tc>
      </w:tr>
      <w:tr w:rsidR="00000000" w14:paraId="13A69BB3" w14:textId="77777777">
        <w:tc>
          <w:tcPr>
            <w:tcW w:w="0" w:type="auto"/>
            <w:shd w:val="clear" w:color="auto" w:fill="CCEEFF"/>
            <w:tcMar>
              <w:top w:w="0" w:type="dxa"/>
              <w:left w:w="200" w:type="dxa"/>
              <w:bottom w:w="30" w:type="dxa"/>
              <w:right w:w="0" w:type="dxa"/>
            </w:tcMar>
            <w:vAlign w:val="bottom"/>
            <w:hideMark/>
          </w:tcPr>
          <w:p w14:paraId="5BFD53B2" w14:textId="77777777" w:rsidR="00000000" w:rsidRDefault="001826C1">
            <w:pPr>
              <w:rPr>
                <w:rFonts w:eastAsia="Times New Roman"/>
                <w:sz w:val="20"/>
                <w:szCs w:val="20"/>
              </w:rPr>
            </w:pPr>
            <w:r>
              <w:rPr>
                <w:rFonts w:eastAsia="Times New Roman"/>
                <w:sz w:val="20"/>
                <w:szCs w:val="20"/>
              </w:rPr>
              <w:t>Non-current operating lease liabilities</w:t>
            </w:r>
          </w:p>
        </w:tc>
        <w:tc>
          <w:tcPr>
            <w:tcW w:w="0" w:type="auto"/>
            <w:shd w:val="clear" w:color="auto" w:fill="CCEEFF"/>
            <w:tcMar>
              <w:top w:w="0" w:type="dxa"/>
              <w:left w:w="0" w:type="dxa"/>
              <w:bottom w:w="30" w:type="dxa"/>
              <w:right w:w="0" w:type="dxa"/>
            </w:tcMar>
            <w:vAlign w:val="bottom"/>
            <w:hideMark/>
          </w:tcPr>
          <w:p w14:paraId="2080BAD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58CA88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029A4B4" w14:textId="77777777" w:rsidR="00000000" w:rsidRDefault="001826C1">
            <w:pPr>
              <w:jc w:val="right"/>
              <w:rPr>
                <w:rFonts w:eastAsia="Times New Roman"/>
                <w:sz w:val="20"/>
                <w:szCs w:val="20"/>
              </w:rPr>
            </w:pPr>
            <w:r>
              <w:rPr>
                <w:rFonts w:eastAsia="Times New Roman"/>
                <w:sz w:val="20"/>
                <w:szCs w:val="20"/>
              </w:rPr>
              <w:t>2,040,772</w:t>
            </w:r>
          </w:p>
        </w:tc>
        <w:tc>
          <w:tcPr>
            <w:tcW w:w="0" w:type="auto"/>
            <w:shd w:val="clear" w:color="auto" w:fill="CCEEFF"/>
            <w:tcMar>
              <w:top w:w="0" w:type="dxa"/>
              <w:left w:w="0" w:type="dxa"/>
              <w:bottom w:w="30" w:type="dxa"/>
              <w:right w:w="0" w:type="dxa"/>
            </w:tcMar>
            <w:vAlign w:val="bottom"/>
            <w:hideMark/>
          </w:tcPr>
          <w:p w14:paraId="58A02B36" w14:textId="77777777" w:rsidR="00000000" w:rsidRDefault="001826C1">
            <w:pPr>
              <w:rPr>
                <w:rFonts w:eastAsia="Times New Roman"/>
                <w:sz w:val="20"/>
                <w:szCs w:val="20"/>
              </w:rPr>
            </w:pPr>
            <w:r>
              <w:rPr>
                <w:rFonts w:eastAsia="Times New Roman"/>
                <w:sz w:val="20"/>
                <w:szCs w:val="20"/>
              </w:rPr>
              <w:t> </w:t>
            </w:r>
          </w:p>
        </w:tc>
      </w:tr>
      <w:tr w:rsidR="00000000" w14:paraId="11ACB2F9" w14:textId="77777777">
        <w:tc>
          <w:tcPr>
            <w:tcW w:w="0" w:type="auto"/>
            <w:shd w:val="clear" w:color="auto" w:fill="FFFFFF"/>
            <w:tcMar>
              <w:top w:w="0" w:type="dxa"/>
              <w:left w:w="400" w:type="dxa"/>
              <w:bottom w:w="50" w:type="dxa"/>
              <w:right w:w="0" w:type="dxa"/>
            </w:tcMar>
            <w:vAlign w:val="bottom"/>
            <w:hideMark/>
          </w:tcPr>
          <w:p w14:paraId="79AFE529" w14:textId="77777777" w:rsidR="00000000" w:rsidRDefault="001826C1">
            <w:pPr>
              <w:rPr>
                <w:rFonts w:eastAsia="Times New Roman"/>
                <w:sz w:val="20"/>
                <w:szCs w:val="20"/>
              </w:rPr>
            </w:pPr>
            <w:r>
              <w:rPr>
                <w:rFonts w:eastAsia="Times New Roman"/>
                <w:sz w:val="20"/>
                <w:szCs w:val="20"/>
              </w:rPr>
              <w:t>Total operating lease liabilities</w:t>
            </w:r>
          </w:p>
        </w:tc>
        <w:tc>
          <w:tcPr>
            <w:tcW w:w="0" w:type="auto"/>
            <w:shd w:val="clear" w:color="auto" w:fill="FFFFFF"/>
            <w:tcMar>
              <w:top w:w="0" w:type="dxa"/>
              <w:left w:w="0" w:type="dxa"/>
              <w:bottom w:w="50" w:type="dxa"/>
              <w:right w:w="0" w:type="dxa"/>
            </w:tcMar>
            <w:vAlign w:val="bottom"/>
            <w:hideMark/>
          </w:tcPr>
          <w:p w14:paraId="6BF74C8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93EDF63"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C0C8971" w14:textId="77777777" w:rsidR="00000000" w:rsidRDefault="001826C1">
            <w:pPr>
              <w:jc w:val="right"/>
              <w:rPr>
                <w:rFonts w:eastAsia="Times New Roman"/>
                <w:sz w:val="20"/>
                <w:szCs w:val="20"/>
              </w:rPr>
            </w:pPr>
            <w:r>
              <w:rPr>
                <w:rFonts w:eastAsia="Times New Roman"/>
                <w:sz w:val="20"/>
                <w:szCs w:val="20"/>
              </w:rPr>
              <w:t>3,729,544</w:t>
            </w:r>
          </w:p>
        </w:tc>
        <w:tc>
          <w:tcPr>
            <w:tcW w:w="0" w:type="auto"/>
            <w:shd w:val="clear" w:color="auto" w:fill="FFFFFF"/>
            <w:tcMar>
              <w:top w:w="0" w:type="dxa"/>
              <w:left w:w="0" w:type="dxa"/>
              <w:bottom w:w="50" w:type="dxa"/>
              <w:right w:w="0" w:type="dxa"/>
            </w:tcMar>
            <w:vAlign w:val="bottom"/>
            <w:hideMark/>
          </w:tcPr>
          <w:p w14:paraId="1801A1E6" w14:textId="77777777" w:rsidR="00000000" w:rsidRDefault="001826C1">
            <w:pPr>
              <w:rPr>
                <w:rFonts w:eastAsia="Times New Roman"/>
                <w:sz w:val="20"/>
                <w:szCs w:val="20"/>
              </w:rPr>
            </w:pPr>
            <w:r>
              <w:rPr>
                <w:rFonts w:eastAsia="Times New Roman"/>
                <w:sz w:val="20"/>
                <w:szCs w:val="20"/>
              </w:rPr>
              <w:t> </w:t>
            </w:r>
          </w:p>
        </w:tc>
      </w:tr>
      <w:tr w:rsidR="00000000" w14:paraId="0C338795" w14:textId="77777777">
        <w:tc>
          <w:tcPr>
            <w:tcW w:w="0" w:type="auto"/>
            <w:shd w:val="clear" w:color="auto" w:fill="CCEEFF"/>
            <w:vAlign w:val="bottom"/>
            <w:hideMark/>
          </w:tcPr>
          <w:p w14:paraId="295AB9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892C7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F0815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9F891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D5B8CC1" w14:textId="77777777" w:rsidR="00000000" w:rsidRDefault="001826C1">
            <w:pPr>
              <w:rPr>
                <w:rFonts w:eastAsia="Times New Roman"/>
                <w:sz w:val="20"/>
                <w:szCs w:val="20"/>
              </w:rPr>
            </w:pPr>
            <w:r>
              <w:rPr>
                <w:rFonts w:eastAsia="Times New Roman"/>
                <w:sz w:val="20"/>
                <w:szCs w:val="20"/>
              </w:rPr>
              <w:t> </w:t>
            </w:r>
          </w:p>
        </w:tc>
      </w:tr>
      <w:tr w:rsidR="00000000" w14:paraId="2967AEEB" w14:textId="77777777">
        <w:tc>
          <w:tcPr>
            <w:tcW w:w="0" w:type="auto"/>
            <w:shd w:val="clear" w:color="auto" w:fill="FFFFFF"/>
            <w:vAlign w:val="bottom"/>
            <w:hideMark/>
          </w:tcPr>
          <w:p w14:paraId="2FE50CD6" w14:textId="77777777" w:rsidR="00000000" w:rsidRDefault="001826C1">
            <w:pPr>
              <w:rPr>
                <w:rFonts w:eastAsia="Times New Roman"/>
                <w:sz w:val="20"/>
                <w:szCs w:val="20"/>
              </w:rPr>
            </w:pPr>
            <w:r>
              <w:rPr>
                <w:rFonts w:eastAsia="Times New Roman"/>
                <w:sz w:val="20"/>
                <w:szCs w:val="20"/>
              </w:rPr>
              <w:t>Operating leases:</w:t>
            </w:r>
          </w:p>
        </w:tc>
        <w:tc>
          <w:tcPr>
            <w:tcW w:w="0" w:type="auto"/>
            <w:shd w:val="clear" w:color="auto" w:fill="FFFFFF"/>
            <w:vAlign w:val="bottom"/>
            <w:hideMark/>
          </w:tcPr>
          <w:p w14:paraId="012A3F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E3BD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FC910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F54204C" w14:textId="77777777" w:rsidR="00000000" w:rsidRDefault="001826C1">
            <w:pPr>
              <w:rPr>
                <w:rFonts w:eastAsia="Times New Roman"/>
                <w:sz w:val="20"/>
                <w:szCs w:val="20"/>
              </w:rPr>
            </w:pPr>
            <w:r>
              <w:rPr>
                <w:rFonts w:eastAsia="Times New Roman"/>
                <w:sz w:val="20"/>
                <w:szCs w:val="20"/>
              </w:rPr>
              <w:t> </w:t>
            </w:r>
          </w:p>
        </w:tc>
      </w:tr>
      <w:tr w:rsidR="00000000" w14:paraId="28946273" w14:textId="77777777">
        <w:tc>
          <w:tcPr>
            <w:tcW w:w="0" w:type="auto"/>
            <w:shd w:val="clear" w:color="auto" w:fill="CCEEFF"/>
            <w:tcMar>
              <w:top w:w="0" w:type="dxa"/>
              <w:left w:w="200" w:type="dxa"/>
              <w:bottom w:w="0" w:type="dxa"/>
              <w:right w:w="0" w:type="dxa"/>
            </w:tcMar>
            <w:vAlign w:val="bottom"/>
            <w:hideMark/>
          </w:tcPr>
          <w:p w14:paraId="09AE46C4" w14:textId="77777777" w:rsidR="00000000" w:rsidRDefault="001826C1">
            <w:pPr>
              <w:rPr>
                <w:rFonts w:eastAsia="Times New Roman"/>
                <w:sz w:val="20"/>
                <w:szCs w:val="20"/>
              </w:rPr>
            </w:pPr>
            <w:r>
              <w:rPr>
                <w:rFonts w:eastAsia="Times New Roman"/>
                <w:sz w:val="20"/>
                <w:szCs w:val="20"/>
              </w:rPr>
              <w:t>ROU assets</w:t>
            </w:r>
          </w:p>
        </w:tc>
        <w:tc>
          <w:tcPr>
            <w:tcW w:w="0" w:type="auto"/>
            <w:shd w:val="clear" w:color="auto" w:fill="CCEEFF"/>
            <w:vAlign w:val="bottom"/>
            <w:hideMark/>
          </w:tcPr>
          <w:p w14:paraId="7DDD751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E0D8EE"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53EEEE83" w14:textId="77777777" w:rsidR="00000000" w:rsidRDefault="001826C1">
            <w:pPr>
              <w:jc w:val="right"/>
              <w:rPr>
                <w:rFonts w:eastAsia="Times New Roman"/>
                <w:sz w:val="20"/>
                <w:szCs w:val="20"/>
              </w:rPr>
            </w:pPr>
            <w:r>
              <w:rPr>
                <w:rFonts w:eastAsia="Times New Roman"/>
                <w:sz w:val="20"/>
                <w:szCs w:val="20"/>
              </w:rPr>
              <w:t>5,467,749</w:t>
            </w:r>
          </w:p>
        </w:tc>
        <w:tc>
          <w:tcPr>
            <w:tcW w:w="0" w:type="auto"/>
            <w:shd w:val="clear" w:color="auto" w:fill="CCEEFF"/>
            <w:vAlign w:val="bottom"/>
            <w:hideMark/>
          </w:tcPr>
          <w:p w14:paraId="1040FF72" w14:textId="77777777" w:rsidR="00000000" w:rsidRDefault="001826C1">
            <w:pPr>
              <w:rPr>
                <w:rFonts w:eastAsia="Times New Roman"/>
                <w:sz w:val="20"/>
                <w:szCs w:val="20"/>
              </w:rPr>
            </w:pPr>
            <w:r>
              <w:rPr>
                <w:rFonts w:eastAsia="Times New Roman"/>
                <w:sz w:val="20"/>
                <w:szCs w:val="20"/>
              </w:rPr>
              <w:t> </w:t>
            </w:r>
          </w:p>
        </w:tc>
      </w:tr>
      <w:tr w:rsidR="00000000" w14:paraId="3FC511D5" w14:textId="77777777">
        <w:tc>
          <w:tcPr>
            <w:tcW w:w="0" w:type="auto"/>
            <w:shd w:val="clear" w:color="auto" w:fill="FFFFFF"/>
            <w:tcMar>
              <w:top w:w="0" w:type="dxa"/>
              <w:left w:w="200" w:type="dxa"/>
              <w:bottom w:w="0" w:type="dxa"/>
              <w:right w:w="0" w:type="dxa"/>
            </w:tcMar>
            <w:vAlign w:val="bottom"/>
            <w:hideMark/>
          </w:tcPr>
          <w:p w14:paraId="5F91ABCB" w14:textId="77777777" w:rsidR="00000000" w:rsidRDefault="001826C1">
            <w:pPr>
              <w:rPr>
                <w:rFonts w:eastAsia="Times New Roman"/>
                <w:sz w:val="20"/>
                <w:szCs w:val="20"/>
              </w:rPr>
            </w:pPr>
            <w:r>
              <w:rPr>
                <w:rFonts w:eastAsia="Times New Roman"/>
                <w:sz w:val="20"/>
                <w:szCs w:val="20"/>
              </w:rPr>
              <w:t>Asset lease expense</w:t>
            </w:r>
          </w:p>
        </w:tc>
        <w:tc>
          <w:tcPr>
            <w:tcW w:w="0" w:type="auto"/>
            <w:shd w:val="clear" w:color="auto" w:fill="FFFFFF"/>
            <w:vAlign w:val="bottom"/>
            <w:hideMark/>
          </w:tcPr>
          <w:p w14:paraId="727878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B9FD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3F1F80" w14:textId="77777777" w:rsidR="00000000" w:rsidRDefault="001826C1">
            <w:pPr>
              <w:jc w:val="right"/>
              <w:rPr>
                <w:rFonts w:eastAsia="Times New Roman"/>
                <w:sz w:val="20"/>
                <w:szCs w:val="20"/>
              </w:rPr>
            </w:pPr>
            <w:r>
              <w:rPr>
                <w:rFonts w:eastAsia="Times New Roman"/>
                <w:sz w:val="20"/>
                <w:szCs w:val="20"/>
              </w:rPr>
              <w:t>(1,888,443</w:t>
            </w:r>
          </w:p>
        </w:tc>
        <w:tc>
          <w:tcPr>
            <w:tcW w:w="0" w:type="auto"/>
            <w:shd w:val="clear" w:color="auto" w:fill="FFFFFF"/>
            <w:vAlign w:val="bottom"/>
            <w:hideMark/>
          </w:tcPr>
          <w:p w14:paraId="04A8189E" w14:textId="77777777" w:rsidR="00000000" w:rsidRDefault="001826C1">
            <w:pPr>
              <w:rPr>
                <w:rFonts w:eastAsia="Times New Roman"/>
                <w:sz w:val="20"/>
                <w:szCs w:val="20"/>
              </w:rPr>
            </w:pPr>
            <w:r>
              <w:rPr>
                <w:rFonts w:eastAsia="Times New Roman"/>
                <w:sz w:val="20"/>
                <w:szCs w:val="20"/>
              </w:rPr>
              <w:t>)</w:t>
            </w:r>
          </w:p>
        </w:tc>
      </w:tr>
      <w:tr w:rsidR="00000000" w14:paraId="4509E79A" w14:textId="77777777">
        <w:tc>
          <w:tcPr>
            <w:tcW w:w="0" w:type="auto"/>
            <w:shd w:val="clear" w:color="auto" w:fill="CCEEFF"/>
            <w:tcMar>
              <w:top w:w="0" w:type="dxa"/>
              <w:left w:w="200" w:type="dxa"/>
              <w:bottom w:w="30" w:type="dxa"/>
              <w:right w:w="0" w:type="dxa"/>
            </w:tcMar>
            <w:vAlign w:val="bottom"/>
            <w:hideMark/>
          </w:tcPr>
          <w:p w14:paraId="0649E735" w14:textId="77777777" w:rsidR="00000000" w:rsidRDefault="001826C1">
            <w:pPr>
              <w:rPr>
                <w:rFonts w:eastAsia="Times New Roman"/>
                <w:sz w:val="20"/>
                <w:szCs w:val="20"/>
              </w:rPr>
            </w:pPr>
            <w:r>
              <w:rPr>
                <w:rFonts w:eastAsia="Times New Roman"/>
                <w:sz w:val="20"/>
                <w:szCs w:val="20"/>
              </w:rPr>
              <w:t>Foreign exchange loss</w:t>
            </w:r>
          </w:p>
        </w:tc>
        <w:tc>
          <w:tcPr>
            <w:tcW w:w="0" w:type="auto"/>
            <w:shd w:val="clear" w:color="auto" w:fill="CCEEFF"/>
            <w:tcMar>
              <w:top w:w="0" w:type="dxa"/>
              <w:left w:w="0" w:type="dxa"/>
              <w:bottom w:w="30" w:type="dxa"/>
              <w:right w:w="0" w:type="dxa"/>
            </w:tcMar>
            <w:vAlign w:val="bottom"/>
            <w:hideMark/>
          </w:tcPr>
          <w:p w14:paraId="5C37930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1044E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A30A8E4" w14:textId="77777777" w:rsidR="00000000" w:rsidRDefault="001826C1">
            <w:pPr>
              <w:jc w:val="right"/>
              <w:rPr>
                <w:rFonts w:eastAsia="Times New Roman"/>
                <w:sz w:val="20"/>
                <w:szCs w:val="20"/>
              </w:rPr>
            </w:pPr>
            <w:r>
              <w:rPr>
                <w:rFonts w:eastAsia="Times New Roman"/>
                <w:sz w:val="20"/>
                <w:szCs w:val="20"/>
              </w:rPr>
              <w:t>(52,991</w:t>
            </w:r>
          </w:p>
        </w:tc>
        <w:tc>
          <w:tcPr>
            <w:tcW w:w="0" w:type="auto"/>
            <w:shd w:val="clear" w:color="auto" w:fill="CCEEFF"/>
            <w:tcMar>
              <w:top w:w="0" w:type="dxa"/>
              <w:left w:w="0" w:type="dxa"/>
              <w:bottom w:w="30" w:type="dxa"/>
              <w:right w:w="0" w:type="dxa"/>
            </w:tcMar>
            <w:vAlign w:val="bottom"/>
            <w:hideMark/>
          </w:tcPr>
          <w:p w14:paraId="57CBEB2C" w14:textId="77777777" w:rsidR="00000000" w:rsidRDefault="001826C1">
            <w:pPr>
              <w:rPr>
                <w:rFonts w:eastAsia="Times New Roman"/>
                <w:sz w:val="20"/>
                <w:szCs w:val="20"/>
              </w:rPr>
            </w:pPr>
            <w:r>
              <w:rPr>
                <w:rFonts w:eastAsia="Times New Roman"/>
                <w:sz w:val="20"/>
                <w:szCs w:val="20"/>
              </w:rPr>
              <w:t>)</w:t>
            </w:r>
          </w:p>
        </w:tc>
      </w:tr>
      <w:tr w:rsidR="00000000" w14:paraId="2DB70BCF" w14:textId="77777777">
        <w:tc>
          <w:tcPr>
            <w:tcW w:w="0" w:type="auto"/>
            <w:shd w:val="clear" w:color="auto" w:fill="FFFFFF"/>
            <w:tcMar>
              <w:top w:w="0" w:type="dxa"/>
              <w:left w:w="400" w:type="dxa"/>
              <w:bottom w:w="50" w:type="dxa"/>
              <w:right w:w="0" w:type="dxa"/>
            </w:tcMar>
            <w:vAlign w:val="bottom"/>
            <w:hideMark/>
          </w:tcPr>
          <w:p w14:paraId="2806D903" w14:textId="77777777" w:rsidR="00000000" w:rsidRDefault="001826C1">
            <w:pPr>
              <w:rPr>
                <w:rFonts w:eastAsia="Times New Roman"/>
                <w:sz w:val="20"/>
                <w:szCs w:val="20"/>
              </w:rPr>
            </w:pPr>
            <w:r>
              <w:rPr>
                <w:rFonts w:eastAsia="Times New Roman"/>
                <w:sz w:val="20"/>
                <w:szCs w:val="20"/>
              </w:rPr>
              <w:t>ROU assets, net</w:t>
            </w:r>
          </w:p>
        </w:tc>
        <w:tc>
          <w:tcPr>
            <w:tcW w:w="0" w:type="auto"/>
            <w:shd w:val="clear" w:color="auto" w:fill="FFFFFF"/>
            <w:tcMar>
              <w:top w:w="0" w:type="dxa"/>
              <w:left w:w="0" w:type="dxa"/>
              <w:bottom w:w="50" w:type="dxa"/>
              <w:right w:w="0" w:type="dxa"/>
            </w:tcMar>
            <w:vAlign w:val="bottom"/>
            <w:hideMark/>
          </w:tcPr>
          <w:p w14:paraId="29C0084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70B655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B3C7023" w14:textId="77777777" w:rsidR="00000000" w:rsidRDefault="001826C1">
            <w:pPr>
              <w:jc w:val="right"/>
              <w:rPr>
                <w:rFonts w:eastAsia="Times New Roman"/>
                <w:sz w:val="20"/>
                <w:szCs w:val="20"/>
              </w:rPr>
            </w:pPr>
            <w:r>
              <w:rPr>
                <w:rFonts w:eastAsia="Times New Roman"/>
                <w:sz w:val="20"/>
                <w:szCs w:val="20"/>
              </w:rPr>
              <w:t>3,526,315</w:t>
            </w:r>
          </w:p>
        </w:tc>
        <w:tc>
          <w:tcPr>
            <w:tcW w:w="0" w:type="auto"/>
            <w:shd w:val="clear" w:color="auto" w:fill="FFFFFF"/>
            <w:tcMar>
              <w:top w:w="0" w:type="dxa"/>
              <w:left w:w="0" w:type="dxa"/>
              <w:bottom w:w="50" w:type="dxa"/>
              <w:right w:w="0" w:type="dxa"/>
            </w:tcMar>
            <w:vAlign w:val="bottom"/>
            <w:hideMark/>
          </w:tcPr>
          <w:p w14:paraId="78A6AFE6" w14:textId="77777777" w:rsidR="00000000" w:rsidRDefault="001826C1">
            <w:pPr>
              <w:rPr>
                <w:rFonts w:eastAsia="Times New Roman"/>
                <w:sz w:val="20"/>
                <w:szCs w:val="20"/>
              </w:rPr>
            </w:pPr>
            <w:r>
              <w:rPr>
                <w:rFonts w:eastAsia="Times New Roman"/>
                <w:sz w:val="20"/>
                <w:szCs w:val="20"/>
              </w:rPr>
              <w:t> </w:t>
            </w:r>
          </w:p>
        </w:tc>
      </w:tr>
      <w:tr w:rsidR="00000000" w14:paraId="0DC37A43" w14:textId="77777777">
        <w:tc>
          <w:tcPr>
            <w:tcW w:w="0" w:type="auto"/>
            <w:shd w:val="clear" w:color="auto" w:fill="CCEEFF"/>
            <w:vAlign w:val="bottom"/>
            <w:hideMark/>
          </w:tcPr>
          <w:p w14:paraId="624CC4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17E3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D80CE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703C73"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29CBE2AB" w14:textId="77777777" w:rsidR="00000000" w:rsidRDefault="001826C1">
            <w:pPr>
              <w:rPr>
                <w:rFonts w:eastAsia="Times New Roman"/>
                <w:sz w:val="20"/>
                <w:szCs w:val="20"/>
              </w:rPr>
            </w:pPr>
            <w:r>
              <w:rPr>
                <w:rFonts w:eastAsia="Times New Roman"/>
                <w:sz w:val="20"/>
                <w:szCs w:val="20"/>
              </w:rPr>
              <w:t> </w:t>
            </w:r>
          </w:p>
        </w:tc>
      </w:tr>
      <w:tr w:rsidR="00000000" w14:paraId="586E300D" w14:textId="77777777">
        <w:tc>
          <w:tcPr>
            <w:tcW w:w="0" w:type="auto"/>
            <w:shd w:val="clear" w:color="auto" w:fill="FFFFFF"/>
            <w:vAlign w:val="bottom"/>
            <w:hideMark/>
          </w:tcPr>
          <w:p w14:paraId="1F362266" w14:textId="77777777" w:rsidR="00000000" w:rsidRDefault="001826C1">
            <w:pPr>
              <w:rPr>
                <w:rFonts w:eastAsia="Times New Roman"/>
                <w:sz w:val="20"/>
                <w:szCs w:val="20"/>
              </w:rPr>
            </w:pPr>
            <w:r>
              <w:rPr>
                <w:rFonts w:eastAsia="Times New Roman"/>
                <w:sz w:val="20"/>
                <w:szCs w:val="20"/>
              </w:rPr>
              <w:t>Weighted average remaining lease term (in years):</w:t>
            </w:r>
          </w:p>
        </w:tc>
        <w:tc>
          <w:tcPr>
            <w:tcW w:w="0" w:type="auto"/>
            <w:shd w:val="clear" w:color="auto" w:fill="FFFFFF"/>
            <w:vAlign w:val="bottom"/>
            <w:hideMark/>
          </w:tcPr>
          <w:p w14:paraId="7AD2768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19D9D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C7850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4247D2C9" w14:textId="77777777" w:rsidR="00000000" w:rsidRDefault="001826C1">
            <w:pPr>
              <w:rPr>
                <w:rFonts w:eastAsia="Times New Roman"/>
                <w:sz w:val="20"/>
                <w:szCs w:val="20"/>
              </w:rPr>
            </w:pPr>
            <w:r>
              <w:rPr>
                <w:rFonts w:eastAsia="Times New Roman"/>
                <w:sz w:val="20"/>
                <w:szCs w:val="20"/>
              </w:rPr>
              <w:t> </w:t>
            </w:r>
          </w:p>
        </w:tc>
      </w:tr>
      <w:tr w:rsidR="00000000" w14:paraId="43DDE8F6" w14:textId="77777777">
        <w:tc>
          <w:tcPr>
            <w:tcW w:w="0" w:type="auto"/>
            <w:shd w:val="clear" w:color="auto" w:fill="CCEEFF"/>
            <w:tcMar>
              <w:top w:w="0" w:type="dxa"/>
              <w:left w:w="200" w:type="dxa"/>
              <w:bottom w:w="0" w:type="dxa"/>
              <w:right w:w="0" w:type="dxa"/>
            </w:tcMar>
            <w:vAlign w:val="bottom"/>
            <w:hideMark/>
          </w:tcPr>
          <w:p w14:paraId="1636440F" w14:textId="77777777" w:rsidR="00000000" w:rsidRDefault="001826C1">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3ADDA5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11C70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0C3EB1" w14:textId="77777777" w:rsidR="00000000" w:rsidRDefault="001826C1">
            <w:pPr>
              <w:jc w:val="right"/>
              <w:rPr>
                <w:rFonts w:eastAsia="Times New Roman"/>
                <w:sz w:val="20"/>
                <w:szCs w:val="20"/>
              </w:rPr>
            </w:pPr>
            <w:r>
              <w:rPr>
                <w:rFonts w:eastAsia="Times New Roman"/>
                <w:sz w:val="20"/>
                <w:szCs w:val="20"/>
              </w:rPr>
              <w:t>2.46</w:t>
            </w:r>
          </w:p>
        </w:tc>
        <w:tc>
          <w:tcPr>
            <w:tcW w:w="0" w:type="auto"/>
            <w:shd w:val="clear" w:color="auto" w:fill="CCEEFF"/>
            <w:vAlign w:val="bottom"/>
            <w:hideMark/>
          </w:tcPr>
          <w:p w14:paraId="05CDD12A" w14:textId="77777777" w:rsidR="00000000" w:rsidRDefault="001826C1">
            <w:pPr>
              <w:rPr>
                <w:rFonts w:eastAsia="Times New Roman"/>
                <w:sz w:val="20"/>
                <w:szCs w:val="20"/>
              </w:rPr>
            </w:pPr>
            <w:r>
              <w:rPr>
                <w:rFonts w:eastAsia="Times New Roman"/>
                <w:sz w:val="20"/>
                <w:szCs w:val="20"/>
              </w:rPr>
              <w:t> </w:t>
            </w:r>
          </w:p>
        </w:tc>
      </w:tr>
      <w:tr w:rsidR="00000000" w14:paraId="1AB407E5" w14:textId="77777777">
        <w:tc>
          <w:tcPr>
            <w:tcW w:w="0" w:type="auto"/>
            <w:shd w:val="clear" w:color="auto" w:fill="FFFFFF"/>
            <w:vAlign w:val="bottom"/>
            <w:hideMark/>
          </w:tcPr>
          <w:p w14:paraId="333F01C1" w14:textId="77777777" w:rsidR="00000000" w:rsidRDefault="001826C1">
            <w:pPr>
              <w:rPr>
                <w:rFonts w:eastAsia="Times New Roman"/>
                <w:sz w:val="20"/>
                <w:szCs w:val="20"/>
              </w:rPr>
            </w:pPr>
            <w:r>
              <w:rPr>
                <w:rFonts w:eastAsia="Times New Roman"/>
                <w:sz w:val="20"/>
                <w:szCs w:val="20"/>
              </w:rPr>
              <w:t>Weighted average discount rate:</w:t>
            </w:r>
          </w:p>
        </w:tc>
        <w:tc>
          <w:tcPr>
            <w:tcW w:w="0" w:type="auto"/>
            <w:shd w:val="clear" w:color="auto" w:fill="FFFFFF"/>
            <w:vAlign w:val="bottom"/>
            <w:hideMark/>
          </w:tcPr>
          <w:p w14:paraId="1333218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B9A1EC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9B468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9ED9684" w14:textId="77777777" w:rsidR="00000000" w:rsidRDefault="001826C1">
            <w:pPr>
              <w:rPr>
                <w:rFonts w:eastAsia="Times New Roman"/>
                <w:sz w:val="20"/>
                <w:szCs w:val="20"/>
              </w:rPr>
            </w:pPr>
            <w:r>
              <w:rPr>
                <w:rFonts w:eastAsia="Times New Roman"/>
                <w:sz w:val="20"/>
                <w:szCs w:val="20"/>
              </w:rPr>
              <w:t> </w:t>
            </w:r>
          </w:p>
        </w:tc>
      </w:tr>
      <w:tr w:rsidR="00000000" w14:paraId="0ADAA1CD" w14:textId="77777777">
        <w:tc>
          <w:tcPr>
            <w:tcW w:w="0" w:type="auto"/>
            <w:shd w:val="clear" w:color="auto" w:fill="CCEEFF"/>
            <w:tcMar>
              <w:top w:w="0" w:type="dxa"/>
              <w:left w:w="200" w:type="dxa"/>
              <w:bottom w:w="0" w:type="dxa"/>
              <w:right w:w="0" w:type="dxa"/>
            </w:tcMar>
            <w:vAlign w:val="bottom"/>
            <w:hideMark/>
          </w:tcPr>
          <w:p w14:paraId="079F89AD" w14:textId="77777777" w:rsidR="00000000" w:rsidRDefault="001826C1">
            <w:pPr>
              <w:rPr>
                <w:rFonts w:eastAsia="Times New Roman"/>
                <w:sz w:val="20"/>
                <w:szCs w:val="20"/>
              </w:rPr>
            </w:pPr>
            <w:r>
              <w:rPr>
                <w:rFonts w:eastAsia="Times New Roman"/>
                <w:sz w:val="20"/>
                <w:szCs w:val="20"/>
              </w:rPr>
              <w:t>Operating leases</w:t>
            </w:r>
          </w:p>
        </w:tc>
        <w:tc>
          <w:tcPr>
            <w:tcW w:w="0" w:type="auto"/>
            <w:shd w:val="clear" w:color="auto" w:fill="CCEEFF"/>
            <w:vAlign w:val="bottom"/>
            <w:hideMark/>
          </w:tcPr>
          <w:p w14:paraId="0E716F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C181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AA091B9" w14:textId="77777777" w:rsidR="00000000" w:rsidRDefault="001826C1">
            <w:pPr>
              <w:jc w:val="right"/>
              <w:rPr>
                <w:rFonts w:eastAsia="Times New Roman"/>
                <w:sz w:val="20"/>
                <w:szCs w:val="20"/>
              </w:rPr>
            </w:pPr>
            <w:r>
              <w:rPr>
                <w:rFonts w:eastAsia="Times New Roman"/>
                <w:sz w:val="20"/>
                <w:szCs w:val="20"/>
              </w:rPr>
              <w:t>7.05</w:t>
            </w:r>
          </w:p>
        </w:tc>
        <w:tc>
          <w:tcPr>
            <w:tcW w:w="0" w:type="auto"/>
            <w:shd w:val="clear" w:color="auto" w:fill="CCEEFF"/>
            <w:vAlign w:val="bottom"/>
            <w:hideMark/>
          </w:tcPr>
          <w:p w14:paraId="4D0318C8" w14:textId="77777777" w:rsidR="00000000" w:rsidRDefault="001826C1">
            <w:pPr>
              <w:rPr>
                <w:rFonts w:eastAsia="Times New Roman"/>
                <w:sz w:val="20"/>
                <w:szCs w:val="20"/>
              </w:rPr>
            </w:pPr>
            <w:r>
              <w:rPr>
                <w:rFonts w:eastAsia="Times New Roman"/>
                <w:sz w:val="20"/>
                <w:szCs w:val="20"/>
              </w:rPr>
              <w:t>%</w:t>
            </w:r>
          </w:p>
        </w:tc>
      </w:tr>
    </w:tbl>
    <w:p w14:paraId="007DF398" w14:textId="77777777" w:rsidR="00000000" w:rsidRDefault="001826C1">
      <w:pPr>
        <w:pStyle w:val="a3"/>
        <w:spacing w:before="0" w:beforeAutospacing="0" w:after="0" w:afterAutospacing="0"/>
        <w:jc w:val="both"/>
        <w:rPr>
          <w:sz w:val="20"/>
          <w:szCs w:val="20"/>
        </w:rPr>
      </w:pPr>
      <w:r>
        <w:rPr>
          <w:sz w:val="20"/>
          <w:szCs w:val="20"/>
        </w:rPr>
        <w:t> </w:t>
      </w:r>
    </w:p>
    <w:p w14:paraId="7AF6B195" w14:textId="77777777" w:rsidR="00000000" w:rsidRDefault="001826C1">
      <w:pPr>
        <w:pStyle w:val="a3"/>
        <w:spacing w:before="0" w:beforeAutospacing="0" w:after="0" w:afterAutospacing="0"/>
        <w:jc w:val="both"/>
        <w:rPr>
          <w:sz w:val="20"/>
          <w:szCs w:val="20"/>
        </w:rPr>
      </w:pPr>
      <w:r>
        <w:rPr>
          <w:sz w:val="20"/>
          <w:szCs w:val="20"/>
        </w:rPr>
        <w:t xml:space="preserve">Supplemental </w:t>
      </w:r>
      <w:r>
        <w:rPr>
          <w:sz w:val="20"/>
          <w:szCs w:val="20"/>
        </w:rPr>
        <w:t>cash flow and other information related to leases was as follows:</w:t>
      </w:r>
    </w:p>
    <w:p w14:paraId="65079724" w14:textId="77777777" w:rsidR="00000000" w:rsidRDefault="001826C1">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775"/>
        <w:gridCol w:w="125"/>
        <w:gridCol w:w="100"/>
        <w:gridCol w:w="1587"/>
        <w:gridCol w:w="58"/>
      </w:tblGrid>
      <w:tr w:rsidR="00000000" w14:paraId="49BB979D" w14:textId="77777777">
        <w:tc>
          <w:tcPr>
            <w:tcW w:w="0" w:type="auto"/>
            <w:vAlign w:val="bottom"/>
            <w:hideMark/>
          </w:tcPr>
          <w:p w14:paraId="6F3E28C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EAE4470"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E844BBD" w14:textId="77777777" w:rsidR="00000000" w:rsidRDefault="001826C1">
            <w:pPr>
              <w:jc w:val="center"/>
              <w:rPr>
                <w:rFonts w:eastAsia="Times New Roman"/>
                <w:b/>
                <w:bCs/>
                <w:sz w:val="20"/>
                <w:szCs w:val="20"/>
              </w:rPr>
            </w:pPr>
            <w:r>
              <w:rPr>
                <w:rFonts w:eastAsia="Times New Roman"/>
                <w:b/>
                <w:bCs/>
                <w:sz w:val="20"/>
                <w:szCs w:val="20"/>
              </w:rPr>
              <w:t xml:space="preserve">Year Ended </w:t>
            </w:r>
            <w:r>
              <w:rPr>
                <w:rFonts w:eastAsia="Times New Roman"/>
                <w:b/>
                <w:bCs/>
                <w:sz w:val="20"/>
                <w:szCs w:val="20"/>
              </w:rPr>
              <w:br/>
              <w:t>December 31, 2019</w:t>
            </w:r>
          </w:p>
        </w:tc>
        <w:tc>
          <w:tcPr>
            <w:tcW w:w="0" w:type="auto"/>
            <w:tcMar>
              <w:top w:w="0" w:type="dxa"/>
              <w:left w:w="0" w:type="dxa"/>
              <w:bottom w:w="30" w:type="dxa"/>
              <w:right w:w="0" w:type="dxa"/>
            </w:tcMar>
            <w:vAlign w:val="bottom"/>
            <w:hideMark/>
          </w:tcPr>
          <w:p w14:paraId="745A5D56" w14:textId="77777777" w:rsidR="00000000" w:rsidRDefault="001826C1">
            <w:pPr>
              <w:rPr>
                <w:rFonts w:eastAsia="Times New Roman"/>
                <w:b/>
                <w:bCs/>
                <w:sz w:val="20"/>
                <w:szCs w:val="20"/>
              </w:rPr>
            </w:pPr>
            <w:r>
              <w:rPr>
                <w:rFonts w:eastAsia="Times New Roman"/>
                <w:b/>
                <w:bCs/>
                <w:sz w:val="20"/>
                <w:szCs w:val="20"/>
              </w:rPr>
              <w:t> </w:t>
            </w:r>
          </w:p>
        </w:tc>
      </w:tr>
      <w:tr w:rsidR="00000000" w14:paraId="01D161CC" w14:textId="77777777">
        <w:tc>
          <w:tcPr>
            <w:tcW w:w="0" w:type="auto"/>
            <w:vAlign w:val="bottom"/>
            <w:hideMark/>
          </w:tcPr>
          <w:p w14:paraId="3CB4471D"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6B18FEA5"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38EDFB59"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1CD06578" w14:textId="77777777" w:rsidR="00000000" w:rsidRDefault="001826C1">
            <w:pPr>
              <w:rPr>
                <w:rFonts w:eastAsia="Times New Roman"/>
                <w:sz w:val="20"/>
                <w:szCs w:val="20"/>
              </w:rPr>
            </w:pPr>
            <w:r>
              <w:rPr>
                <w:rFonts w:eastAsia="Times New Roman"/>
                <w:sz w:val="20"/>
                <w:szCs w:val="20"/>
              </w:rPr>
              <w:t> </w:t>
            </w:r>
          </w:p>
        </w:tc>
      </w:tr>
      <w:tr w:rsidR="00000000" w14:paraId="3C0F7BCE" w14:textId="77777777">
        <w:tc>
          <w:tcPr>
            <w:tcW w:w="0" w:type="auto"/>
            <w:shd w:val="clear" w:color="auto" w:fill="CCEEFF"/>
            <w:vAlign w:val="bottom"/>
            <w:hideMark/>
          </w:tcPr>
          <w:p w14:paraId="58A1813C" w14:textId="77777777" w:rsidR="00000000" w:rsidRDefault="001826C1">
            <w:pPr>
              <w:rPr>
                <w:rFonts w:eastAsia="Times New Roman"/>
                <w:sz w:val="20"/>
                <w:szCs w:val="20"/>
              </w:rPr>
            </w:pPr>
            <w:r>
              <w:rPr>
                <w:rFonts w:eastAsia="Times New Roman"/>
                <w:sz w:val="20"/>
                <w:szCs w:val="20"/>
              </w:rPr>
              <w:t>Cash paid for amounts included in the measurement of lease liabilities:</w:t>
            </w:r>
          </w:p>
        </w:tc>
        <w:tc>
          <w:tcPr>
            <w:tcW w:w="0" w:type="auto"/>
            <w:shd w:val="clear" w:color="auto" w:fill="CCEEFF"/>
            <w:vAlign w:val="bottom"/>
            <w:hideMark/>
          </w:tcPr>
          <w:p w14:paraId="46E7C87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0377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10CD2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9C1CF3" w14:textId="77777777" w:rsidR="00000000" w:rsidRDefault="001826C1">
            <w:pPr>
              <w:rPr>
                <w:rFonts w:eastAsia="Times New Roman"/>
                <w:sz w:val="20"/>
                <w:szCs w:val="20"/>
              </w:rPr>
            </w:pPr>
            <w:r>
              <w:rPr>
                <w:rFonts w:eastAsia="Times New Roman"/>
                <w:sz w:val="20"/>
                <w:szCs w:val="20"/>
              </w:rPr>
              <w:t> </w:t>
            </w:r>
          </w:p>
        </w:tc>
      </w:tr>
      <w:tr w:rsidR="00000000" w14:paraId="050EB62E" w14:textId="77777777">
        <w:tc>
          <w:tcPr>
            <w:tcW w:w="3600" w:type="pct"/>
            <w:shd w:val="clear" w:color="auto" w:fill="FFFFFF"/>
            <w:tcMar>
              <w:top w:w="0" w:type="dxa"/>
              <w:left w:w="200" w:type="dxa"/>
              <w:bottom w:w="0" w:type="dxa"/>
              <w:right w:w="0" w:type="dxa"/>
            </w:tcMar>
            <w:vAlign w:val="bottom"/>
            <w:hideMark/>
          </w:tcPr>
          <w:p w14:paraId="390D6C79" w14:textId="77777777" w:rsidR="00000000" w:rsidRDefault="001826C1">
            <w:pPr>
              <w:rPr>
                <w:rFonts w:eastAsia="Times New Roman"/>
                <w:sz w:val="20"/>
                <w:szCs w:val="20"/>
              </w:rPr>
            </w:pPr>
            <w:r>
              <w:rPr>
                <w:rFonts w:eastAsia="Times New Roman"/>
                <w:sz w:val="20"/>
                <w:szCs w:val="20"/>
              </w:rPr>
              <w:t>Operating cash flows from operating leases</w:t>
            </w:r>
          </w:p>
        </w:tc>
        <w:tc>
          <w:tcPr>
            <w:tcW w:w="100" w:type="pct"/>
            <w:shd w:val="clear" w:color="auto" w:fill="FFFFFF"/>
            <w:vAlign w:val="bottom"/>
            <w:hideMark/>
          </w:tcPr>
          <w:p w14:paraId="5307213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9325B5" w14:textId="77777777" w:rsidR="00000000" w:rsidRDefault="001826C1">
            <w:pPr>
              <w:rPr>
                <w:rFonts w:eastAsia="Times New Roman"/>
                <w:sz w:val="20"/>
                <w:szCs w:val="20"/>
              </w:rPr>
            </w:pPr>
            <w:r>
              <w:rPr>
                <w:rFonts w:eastAsia="Times New Roman"/>
                <w:sz w:val="20"/>
                <w:szCs w:val="20"/>
              </w:rPr>
              <w:t>$</w:t>
            </w:r>
          </w:p>
        </w:tc>
        <w:tc>
          <w:tcPr>
            <w:tcW w:w="1200" w:type="pct"/>
            <w:shd w:val="clear" w:color="auto" w:fill="FFFFFF"/>
            <w:vAlign w:val="bottom"/>
            <w:hideMark/>
          </w:tcPr>
          <w:p w14:paraId="4F1A76F5" w14:textId="77777777" w:rsidR="00000000" w:rsidRDefault="001826C1">
            <w:pPr>
              <w:jc w:val="right"/>
              <w:rPr>
                <w:rFonts w:eastAsia="Times New Roman"/>
                <w:sz w:val="20"/>
                <w:szCs w:val="20"/>
              </w:rPr>
            </w:pPr>
            <w:r>
              <w:rPr>
                <w:rFonts w:eastAsia="Times New Roman"/>
                <w:sz w:val="20"/>
                <w:szCs w:val="20"/>
              </w:rPr>
              <w:t>2,332,167</w:t>
            </w:r>
          </w:p>
        </w:tc>
        <w:tc>
          <w:tcPr>
            <w:tcW w:w="50" w:type="pct"/>
            <w:shd w:val="clear" w:color="auto" w:fill="FFFFFF"/>
            <w:vAlign w:val="bottom"/>
            <w:hideMark/>
          </w:tcPr>
          <w:p w14:paraId="4552658D" w14:textId="77777777" w:rsidR="00000000" w:rsidRDefault="001826C1">
            <w:pPr>
              <w:rPr>
                <w:rFonts w:eastAsia="Times New Roman"/>
                <w:sz w:val="20"/>
                <w:szCs w:val="20"/>
              </w:rPr>
            </w:pPr>
            <w:r>
              <w:rPr>
                <w:rFonts w:eastAsia="Times New Roman"/>
                <w:sz w:val="20"/>
                <w:szCs w:val="20"/>
              </w:rPr>
              <w:t> </w:t>
            </w:r>
          </w:p>
        </w:tc>
      </w:tr>
      <w:tr w:rsidR="00000000" w14:paraId="1096948E" w14:textId="77777777">
        <w:tc>
          <w:tcPr>
            <w:tcW w:w="0" w:type="auto"/>
            <w:shd w:val="clear" w:color="auto" w:fill="CCEEFF"/>
            <w:vAlign w:val="bottom"/>
            <w:hideMark/>
          </w:tcPr>
          <w:p w14:paraId="206FC2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734C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5163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5ACAA7"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31D2810" w14:textId="77777777" w:rsidR="00000000" w:rsidRDefault="001826C1">
            <w:pPr>
              <w:rPr>
                <w:rFonts w:eastAsia="Times New Roman"/>
                <w:sz w:val="20"/>
                <w:szCs w:val="20"/>
              </w:rPr>
            </w:pPr>
            <w:r>
              <w:rPr>
                <w:rFonts w:eastAsia="Times New Roman"/>
                <w:sz w:val="20"/>
                <w:szCs w:val="20"/>
              </w:rPr>
              <w:t> </w:t>
            </w:r>
          </w:p>
        </w:tc>
      </w:tr>
      <w:tr w:rsidR="00000000" w14:paraId="2EBA34E7" w14:textId="77777777">
        <w:tc>
          <w:tcPr>
            <w:tcW w:w="0" w:type="auto"/>
            <w:shd w:val="clear" w:color="auto" w:fill="FFFFFF"/>
            <w:vAlign w:val="bottom"/>
            <w:hideMark/>
          </w:tcPr>
          <w:p w14:paraId="7BCDBB8A" w14:textId="77777777" w:rsidR="00000000" w:rsidRDefault="001826C1">
            <w:pPr>
              <w:rPr>
                <w:rFonts w:eastAsia="Times New Roman"/>
                <w:sz w:val="20"/>
                <w:szCs w:val="20"/>
              </w:rPr>
            </w:pPr>
            <w:r>
              <w:rPr>
                <w:rFonts w:eastAsia="Times New Roman"/>
                <w:sz w:val="20"/>
                <w:szCs w:val="20"/>
              </w:rPr>
              <w:t>ROU assets obtained in exchange for lease liabilities:</w:t>
            </w:r>
          </w:p>
        </w:tc>
        <w:tc>
          <w:tcPr>
            <w:tcW w:w="0" w:type="auto"/>
            <w:shd w:val="clear" w:color="auto" w:fill="FFFFFF"/>
            <w:vAlign w:val="bottom"/>
            <w:hideMark/>
          </w:tcPr>
          <w:p w14:paraId="1EA097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E368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1A798E"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EB63272" w14:textId="77777777" w:rsidR="00000000" w:rsidRDefault="001826C1">
            <w:pPr>
              <w:rPr>
                <w:rFonts w:eastAsia="Times New Roman"/>
                <w:sz w:val="20"/>
                <w:szCs w:val="20"/>
              </w:rPr>
            </w:pPr>
            <w:r>
              <w:rPr>
                <w:rFonts w:eastAsia="Times New Roman"/>
                <w:sz w:val="20"/>
                <w:szCs w:val="20"/>
              </w:rPr>
              <w:t> </w:t>
            </w:r>
          </w:p>
        </w:tc>
      </w:tr>
      <w:tr w:rsidR="00000000" w14:paraId="3278B27B" w14:textId="77777777">
        <w:tc>
          <w:tcPr>
            <w:tcW w:w="0" w:type="auto"/>
            <w:shd w:val="clear" w:color="auto" w:fill="CCEEFF"/>
            <w:tcMar>
              <w:top w:w="0" w:type="dxa"/>
              <w:left w:w="200" w:type="dxa"/>
              <w:bottom w:w="0" w:type="dxa"/>
              <w:right w:w="0" w:type="dxa"/>
            </w:tcMar>
            <w:vAlign w:val="bottom"/>
            <w:hideMark/>
          </w:tcPr>
          <w:p w14:paraId="388C5491" w14:textId="77777777" w:rsidR="00000000" w:rsidRDefault="001826C1">
            <w:pPr>
              <w:rPr>
                <w:rFonts w:eastAsia="Times New Roman"/>
                <w:sz w:val="20"/>
                <w:szCs w:val="20"/>
              </w:rPr>
            </w:pPr>
            <w:r>
              <w:rPr>
                <w:rFonts w:eastAsia="Times New Roman"/>
                <w:sz w:val="20"/>
                <w:szCs w:val="20"/>
              </w:rPr>
              <w:t>Operating leases, net of restructuring, impairment and terminations</w:t>
            </w:r>
          </w:p>
        </w:tc>
        <w:tc>
          <w:tcPr>
            <w:tcW w:w="0" w:type="auto"/>
            <w:shd w:val="clear" w:color="auto" w:fill="CCEEFF"/>
            <w:vAlign w:val="bottom"/>
            <w:hideMark/>
          </w:tcPr>
          <w:p w14:paraId="7A94FF8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1D1CB1"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4E28300" w14:textId="77777777" w:rsidR="00000000" w:rsidRDefault="001826C1">
            <w:pPr>
              <w:jc w:val="right"/>
              <w:rPr>
                <w:rFonts w:eastAsia="Times New Roman"/>
                <w:sz w:val="20"/>
                <w:szCs w:val="20"/>
              </w:rPr>
            </w:pPr>
            <w:r>
              <w:rPr>
                <w:rFonts w:eastAsia="Times New Roman"/>
                <w:sz w:val="20"/>
                <w:szCs w:val="20"/>
              </w:rPr>
              <w:t>1,221,989</w:t>
            </w:r>
          </w:p>
        </w:tc>
        <w:tc>
          <w:tcPr>
            <w:tcW w:w="0" w:type="auto"/>
            <w:shd w:val="clear" w:color="auto" w:fill="CCEEFF"/>
            <w:vAlign w:val="bottom"/>
            <w:hideMark/>
          </w:tcPr>
          <w:p w14:paraId="50C86287" w14:textId="77777777" w:rsidR="00000000" w:rsidRDefault="001826C1">
            <w:pPr>
              <w:rPr>
                <w:rFonts w:eastAsia="Times New Roman"/>
                <w:sz w:val="20"/>
                <w:szCs w:val="20"/>
              </w:rPr>
            </w:pPr>
            <w:r>
              <w:rPr>
                <w:rFonts w:eastAsia="Times New Roman"/>
                <w:sz w:val="20"/>
                <w:szCs w:val="20"/>
              </w:rPr>
              <w:t> </w:t>
            </w:r>
          </w:p>
        </w:tc>
      </w:tr>
    </w:tbl>
    <w:p w14:paraId="5B63DF90"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5BE3FBE" w14:textId="77777777">
        <w:trPr>
          <w:divId w:val="182674950"/>
        </w:trPr>
        <w:tc>
          <w:tcPr>
            <w:tcW w:w="5000" w:type="pct"/>
            <w:hideMark/>
          </w:tcPr>
          <w:p w14:paraId="21849113"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6</w:t>
            </w:r>
          </w:p>
        </w:tc>
      </w:tr>
    </w:tbl>
    <w:tbl>
      <w:tblPr>
        <w:tblW w:w="5000" w:type="pct"/>
        <w:tblCellMar>
          <w:left w:w="0" w:type="dxa"/>
          <w:right w:w="0" w:type="dxa"/>
        </w:tblCellMar>
        <w:tblLook w:val="04A0" w:firstRow="1" w:lastRow="0" w:firstColumn="1" w:lastColumn="0" w:noHBand="0" w:noVBand="1"/>
      </w:tblPr>
      <w:tblGrid>
        <w:gridCol w:w="8306"/>
      </w:tblGrid>
      <w:tr w:rsidR="00000000" w14:paraId="0A4C5FD2" w14:textId="77777777">
        <w:tc>
          <w:tcPr>
            <w:tcW w:w="5000" w:type="pct"/>
            <w:hideMark/>
          </w:tcPr>
          <w:p w14:paraId="1EA064EB" w14:textId="77777777" w:rsidR="00000000" w:rsidRDefault="001826C1">
            <w:pPr>
              <w:jc w:val="center"/>
              <w:rPr>
                <w:rFonts w:eastAsia="Times New Roman"/>
                <w:sz w:val="20"/>
                <w:szCs w:val="20"/>
              </w:rPr>
            </w:pPr>
            <w:r>
              <w:rPr>
                <w:rFonts w:eastAsia="Times New Roman"/>
                <w:sz w:val="20"/>
                <w:szCs w:val="20"/>
              </w:rPr>
              <w:t> </w:t>
            </w:r>
          </w:p>
        </w:tc>
      </w:tr>
    </w:tbl>
    <w:p w14:paraId="2F04A39A" w14:textId="77777777" w:rsidR="00000000" w:rsidRDefault="001826C1">
      <w:pPr>
        <w:pStyle w:val="a3"/>
        <w:spacing w:before="0" w:beforeAutospacing="0" w:after="0" w:afterAutospacing="0"/>
        <w:rPr>
          <w:sz w:val="20"/>
          <w:szCs w:val="20"/>
        </w:rPr>
      </w:pPr>
      <w:r>
        <w:rPr>
          <w:sz w:val="20"/>
          <w:szCs w:val="20"/>
        </w:rPr>
        <w:t> </w:t>
      </w:r>
    </w:p>
    <w:p w14:paraId="60051A25" w14:textId="77777777" w:rsidR="00000000" w:rsidRDefault="001826C1">
      <w:pPr>
        <w:pStyle w:val="a3"/>
        <w:spacing w:before="0" w:beforeAutospacing="0" w:after="0" w:afterAutospacing="0"/>
        <w:rPr>
          <w:sz w:val="20"/>
          <w:szCs w:val="20"/>
        </w:rPr>
      </w:pPr>
      <w:r>
        <w:rPr>
          <w:sz w:val="20"/>
          <w:szCs w:val="20"/>
        </w:rPr>
        <w:t>Maturities of lease liabilities are as follows:</w:t>
      </w:r>
    </w:p>
    <w:p w14:paraId="3EC8D70E" w14:textId="77777777" w:rsidR="00000000" w:rsidRDefault="001826C1">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402"/>
        <w:gridCol w:w="99"/>
        <w:gridCol w:w="100"/>
        <w:gridCol w:w="1146"/>
        <w:gridCol w:w="67"/>
      </w:tblGrid>
      <w:tr w:rsidR="00000000" w14:paraId="3D2159F1" w14:textId="77777777">
        <w:tc>
          <w:tcPr>
            <w:tcW w:w="0" w:type="auto"/>
            <w:tcBorders>
              <w:bottom w:val="single" w:sz="12" w:space="0" w:color="000000"/>
            </w:tcBorders>
            <w:vAlign w:val="bottom"/>
            <w:hideMark/>
          </w:tcPr>
          <w:p w14:paraId="39EF1737" w14:textId="77777777" w:rsidR="00000000" w:rsidRDefault="001826C1">
            <w:pPr>
              <w:rPr>
                <w:rFonts w:eastAsia="Times New Roman"/>
                <w:b/>
                <w:bCs/>
                <w:sz w:val="20"/>
                <w:szCs w:val="20"/>
              </w:rPr>
            </w:pPr>
            <w:r>
              <w:rPr>
                <w:rFonts w:eastAsia="Times New Roman"/>
                <w:b/>
                <w:bCs/>
                <w:sz w:val="20"/>
                <w:szCs w:val="20"/>
              </w:rPr>
              <w:t>Operating leases - Year ended December 31,</w:t>
            </w:r>
          </w:p>
        </w:tc>
        <w:tc>
          <w:tcPr>
            <w:tcW w:w="0" w:type="auto"/>
            <w:tcMar>
              <w:top w:w="0" w:type="dxa"/>
              <w:left w:w="0" w:type="dxa"/>
              <w:bottom w:w="30" w:type="dxa"/>
              <w:right w:w="0" w:type="dxa"/>
            </w:tcMar>
            <w:vAlign w:val="bottom"/>
            <w:hideMark/>
          </w:tcPr>
          <w:p w14:paraId="245A7EBC"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3EBCBF66"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07825F" w14:textId="77777777" w:rsidR="00000000" w:rsidRDefault="001826C1">
            <w:pPr>
              <w:rPr>
                <w:rFonts w:eastAsia="Times New Roman"/>
                <w:sz w:val="20"/>
                <w:szCs w:val="20"/>
              </w:rPr>
            </w:pPr>
            <w:r>
              <w:rPr>
                <w:rFonts w:eastAsia="Times New Roman"/>
                <w:sz w:val="20"/>
                <w:szCs w:val="20"/>
              </w:rPr>
              <w:t> </w:t>
            </w:r>
          </w:p>
        </w:tc>
      </w:tr>
      <w:tr w:rsidR="00000000" w14:paraId="367F14CE" w14:textId="77777777">
        <w:tc>
          <w:tcPr>
            <w:tcW w:w="3800" w:type="pct"/>
            <w:shd w:val="clear" w:color="auto" w:fill="CCEEFF"/>
            <w:vAlign w:val="bottom"/>
            <w:hideMark/>
          </w:tcPr>
          <w:p w14:paraId="43844DD0" w14:textId="77777777" w:rsidR="00000000" w:rsidRDefault="001826C1">
            <w:pPr>
              <w:rPr>
                <w:rFonts w:eastAsia="Times New Roman"/>
                <w:sz w:val="20"/>
                <w:szCs w:val="20"/>
              </w:rPr>
            </w:pPr>
            <w:r>
              <w:rPr>
                <w:rFonts w:eastAsia="Times New Roman"/>
                <w:sz w:val="20"/>
                <w:szCs w:val="20"/>
              </w:rPr>
              <w:t>2020</w:t>
            </w:r>
          </w:p>
        </w:tc>
        <w:tc>
          <w:tcPr>
            <w:tcW w:w="100" w:type="pct"/>
            <w:shd w:val="clear" w:color="auto" w:fill="CCEEFF"/>
            <w:vAlign w:val="bottom"/>
            <w:hideMark/>
          </w:tcPr>
          <w:p w14:paraId="45AA078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F03750" w14:textId="77777777" w:rsidR="00000000" w:rsidRDefault="001826C1">
            <w:pPr>
              <w:rPr>
                <w:rFonts w:eastAsia="Times New Roman"/>
                <w:sz w:val="20"/>
                <w:szCs w:val="20"/>
              </w:rPr>
            </w:pPr>
            <w:r>
              <w:rPr>
                <w:rFonts w:eastAsia="Times New Roman"/>
                <w:sz w:val="20"/>
                <w:szCs w:val="20"/>
              </w:rPr>
              <w:t>$</w:t>
            </w:r>
          </w:p>
        </w:tc>
        <w:tc>
          <w:tcPr>
            <w:tcW w:w="1000" w:type="pct"/>
            <w:shd w:val="clear" w:color="auto" w:fill="CCEEFF"/>
            <w:vAlign w:val="bottom"/>
            <w:hideMark/>
          </w:tcPr>
          <w:p w14:paraId="6886CD67" w14:textId="77777777" w:rsidR="00000000" w:rsidRDefault="001826C1">
            <w:pPr>
              <w:jc w:val="right"/>
              <w:rPr>
                <w:rFonts w:eastAsia="Times New Roman"/>
                <w:sz w:val="20"/>
                <w:szCs w:val="20"/>
              </w:rPr>
            </w:pPr>
            <w:r>
              <w:rPr>
                <w:rFonts w:eastAsia="Times New Roman"/>
                <w:sz w:val="20"/>
                <w:szCs w:val="20"/>
              </w:rPr>
              <w:t>1,887,651</w:t>
            </w:r>
          </w:p>
        </w:tc>
        <w:tc>
          <w:tcPr>
            <w:tcW w:w="50" w:type="pct"/>
            <w:shd w:val="clear" w:color="auto" w:fill="CCEEFF"/>
            <w:vAlign w:val="bottom"/>
            <w:hideMark/>
          </w:tcPr>
          <w:p w14:paraId="1682E45A" w14:textId="77777777" w:rsidR="00000000" w:rsidRDefault="001826C1">
            <w:pPr>
              <w:rPr>
                <w:rFonts w:eastAsia="Times New Roman"/>
                <w:sz w:val="20"/>
                <w:szCs w:val="20"/>
              </w:rPr>
            </w:pPr>
            <w:r>
              <w:rPr>
                <w:rFonts w:eastAsia="Times New Roman"/>
                <w:sz w:val="20"/>
                <w:szCs w:val="20"/>
              </w:rPr>
              <w:t> </w:t>
            </w:r>
          </w:p>
        </w:tc>
      </w:tr>
      <w:tr w:rsidR="00000000" w14:paraId="0508867D" w14:textId="77777777">
        <w:tc>
          <w:tcPr>
            <w:tcW w:w="0" w:type="auto"/>
            <w:shd w:val="clear" w:color="auto" w:fill="FFFFFF"/>
            <w:vAlign w:val="bottom"/>
            <w:hideMark/>
          </w:tcPr>
          <w:p w14:paraId="444E00F2" w14:textId="77777777" w:rsidR="00000000" w:rsidRDefault="001826C1">
            <w:pPr>
              <w:rPr>
                <w:rFonts w:eastAsia="Times New Roman"/>
                <w:sz w:val="20"/>
                <w:szCs w:val="20"/>
              </w:rPr>
            </w:pPr>
            <w:r>
              <w:rPr>
                <w:rFonts w:eastAsia="Times New Roman"/>
                <w:sz w:val="20"/>
                <w:szCs w:val="20"/>
              </w:rPr>
              <w:t>2021</w:t>
            </w:r>
          </w:p>
        </w:tc>
        <w:tc>
          <w:tcPr>
            <w:tcW w:w="0" w:type="auto"/>
            <w:shd w:val="clear" w:color="auto" w:fill="FFFFFF"/>
            <w:vAlign w:val="bottom"/>
            <w:hideMark/>
          </w:tcPr>
          <w:p w14:paraId="7F8723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5C3D7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AF2EB0" w14:textId="77777777" w:rsidR="00000000" w:rsidRDefault="001826C1">
            <w:pPr>
              <w:jc w:val="right"/>
              <w:rPr>
                <w:rFonts w:eastAsia="Times New Roman"/>
                <w:sz w:val="20"/>
                <w:szCs w:val="20"/>
              </w:rPr>
            </w:pPr>
            <w:r>
              <w:rPr>
                <w:rFonts w:eastAsia="Times New Roman"/>
                <w:sz w:val="20"/>
                <w:szCs w:val="20"/>
              </w:rPr>
              <w:t>1,382,639</w:t>
            </w:r>
          </w:p>
        </w:tc>
        <w:tc>
          <w:tcPr>
            <w:tcW w:w="0" w:type="auto"/>
            <w:shd w:val="clear" w:color="auto" w:fill="FFFFFF"/>
            <w:vAlign w:val="bottom"/>
            <w:hideMark/>
          </w:tcPr>
          <w:p w14:paraId="629EE6C9" w14:textId="77777777" w:rsidR="00000000" w:rsidRDefault="001826C1">
            <w:pPr>
              <w:rPr>
                <w:rFonts w:eastAsia="Times New Roman"/>
                <w:sz w:val="20"/>
                <w:szCs w:val="20"/>
              </w:rPr>
            </w:pPr>
            <w:r>
              <w:rPr>
                <w:rFonts w:eastAsia="Times New Roman"/>
                <w:sz w:val="20"/>
                <w:szCs w:val="20"/>
              </w:rPr>
              <w:t> </w:t>
            </w:r>
          </w:p>
        </w:tc>
      </w:tr>
      <w:tr w:rsidR="00000000" w14:paraId="1024F2C7" w14:textId="77777777">
        <w:tc>
          <w:tcPr>
            <w:tcW w:w="0" w:type="auto"/>
            <w:shd w:val="clear" w:color="auto" w:fill="CCEEFF"/>
            <w:vAlign w:val="bottom"/>
            <w:hideMark/>
          </w:tcPr>
          <w:p w14:paraId="331C183E" w14:textId="77777777" w:rsidR="00000000" w:rsidRDefault="001826C1">
            <w:pPr>
              <w:rPr>
                <w:rFonts w:eastAsia="Times New Roman"/>
                <w:sz w:val="20"/>
                <w:szCs w:val="20"/>
              </w:rPr>
            </w:pPr>
            <w:r>
              <w:rPr>
                <w:rFonts w:eastAsia="Times New Roman"/>
                <w:sz w:val="20"/>
                <w:szCs w:val="20"/>
              </w:rPr>
              <w:t>2022</w:t>
            </w:r>
          </w:p>
        </w:tc>
        <w:tc>
          <w:tcPr>
            <w:tcW w:w="0" w:type="auto"/>
            <w:shd w:val="clear" w:color="auto" w:fill="CCEEFF"/>
            <w:vAlign w:val="bottom"/>
            <w:hideMark/>
          </w:tcPr>
          <w:p w14:paraId="57DACA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8A2C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E8B776" w14:textId="77777777" w:rsidR="00000000" w:rsidRDefault="001826C1">
            <w:pPr>
              <w:jc w:val="right"/>
              <w:rPr>
                <w:rFonts w:eastAsia="Times New Roman"/>
                <w:sz w:val="20"/>
                <w:szCs w:val="20"/>
              </w:rPr>
            </w:pPr>
            <w:r>
              <w:rPr>
                <w:rFonts w:eastAsia="Times New Roman"/>
                <w:sz w:val="20"/>
                <w:szCs w:val="20"/>
              </w:rPr>
              <w:t>624,528</w:t>
            </w:r>
          </w:p>
        </w:tc>
        <w:tc>
          <w:tcPr>
            <w:tcW w:w="0" w:type="auto"/>
            <w:shd w:val="clear" w:color="auto" w:fill="CCEEFF"/>
            <w:vAlign w:val="bottom"/>
            <w:hideMark/>
          </w:tcPr>
          <w:p w14:paraId="64D3104B" w14:textId="77777777" w:rsidR="00000000" w:rsidRDefault="001826C1">
            <w:pPr>
              <w:rPr>
                <w:rFonts w:eastAsia="Times New Roman"/>
                <w:sz w:val="20"/>
                <w:szCs w:val="20"/>
              </w:rPr>
            </w:pPr>
            <w:r>
              <w:rPr>
                <w:rFonts w:eastAsia="Times New Roman"/>
                <w:sz w:val="20"/>
                <w:szCs w:val="20"/>
              </w:rPr>
              <w:t> </w:t>
            </w:r>
          </w:p>
        </w:tc>
      </w:tr>
      <w:tr w:rsidR="00000000" w14:paraId="558EE1B1" w14:textId="77777777">
        <w:tc>
          <w:tcPr>
            <w:tcW w:w="0" w:type="auto"/>
            <w:shd w:val="clear" w:color="auto" w:fill="FFFFFF"/>
            <w:vAlign w:val="bottom"/>
            <w:hideMark/>
          </w:tcPr>
          <w:p w14:paraId="7482747C" w14:textId="77777777" w:rsidR="00000000" w:rsidRDefault="001826C1">
            <w:pPr>
              <w:rPr>
                <w:rFonts w:eastAsia="Times New Roman"/>
                <w:sz w:val="20"/>
                <w:szCs w:val="20"/>
              </w:rPr>
            </w:pPr>
            <w:r>
              <w:rPr>
                <w:rFonts w:eastAsia="Times New Roman"/>
                <w:sz w:val="20"/>
                <w:szCs w:val="20"/>
              </w:rPr>
              <w:t>2023</w:t>
            </w:r>
          </w:p>
        </w:tc>
        <w:tc>
          <w:tcPr>
            <w:tcW w:w="0" w:type="auto"/>
            <w:shd w:val="clear" w:color="auto" w:fill="FFFFFF"/>
            <w:vAlign w:val="bottom"/>
            <w:hideMark/>
          </w:tcPr>
          <w:p w14:paraId="4BBBC21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D11CE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34EF18" w14:textId="77777777" w:rsidR="00000000" w:rsidRDefault="001826C1">
            <w:pPr>
              <w:jc w:val="right"/>
              <w:rPr>
                <w:rFonts w:eastAsia="Times New Roman"/>
                <w:sz w:val="20"/>
                <w:szCs w:val="20"/>
              </w:rPr>
            </w:pPr>
            <w:r>
              <w:rPr>
                <w:rFonts w:eastAsia="Times New Roman"/>
                <w:sz w:val="20"/>
                <w:szCs w:val="20"/>
              </w:rPr>
              <w:t>154,492</w:t>
            </w:r>
          </w:p>
        </w:tc>
        <w:tc>
          <w:tcPr>
            <w:tcW w:w="0" w:type="auto"/>
            <w:shd w:val="clear" w:color="auto" w:fill="FFFFFF"/>
            <w:vAlign w:val="bottom"/>
            <w:hideMark/>
          </w:tcPr>
          <w:p w14:paraId="1CC53BAB" w14:textId="77777777" w:rsidR="00000000" w:rsidRDefault="001826C1">
            <w:pPr>
              <w:rPr>
                <w:rFonts w:eastAsia="Times New Roman"/>
                <w:sz w:val="20"/>
                <w:szCs w:val="20"/>
              </w:rPr>
            </w:pPr>
            <w:r>
              <w:rPr>
                <w:rFonts w:eastAsia="Times New Roman"/>
                <w:sz w:val="20"/>
                <w:szCs w:val="20"/>
              </w:rPr>
              <w:t> </w:t>
            </w:r>
          </w:p>
        </w:tc>
      </w:tr>
      <w:tr w:rsidR="00000000" w14:paraId="11069908" w14:textId="77777777">
        <w:tc>
          <w:tcPr>
            <w:tcW w:w="0" w:type="auto"/>
            <w:shd w:val="clear" w:color="auto" w:fill="CCEEFF"/>
            <w:tcMar>
              <w:top w:w="0" w:type="dxa"/>
              <w:left w:w="0" w:type="dxa"/>
              <w:bottom w:w="30" w:type="dxa"/>
              <w:right w:w="0" w:type="dxa"/>
            </w:tcMar>
            <w:vAlign w:val="bottom"/>
            <w:hideMark/>
          </w:tcPr>
          <w:p w14:paraId="65752395" w14:textId="77777777" w:rsidR="00000000" w:rsidRDefault="001826C1">
            <w:pPr>
              <w:rPr>
                <w:rFonts w:eastAsia="Times New Roman"/>
                <w:sz w:val="20"/>
                <w:szCs w:val="20"/>
              </w:rPr>
            </w:pPr>
            <w:r>
              <w:rPr>
                <w:rFonts w:eastAsia="Times New Roman"/>
                <w:sz w:val="20"/>
                <w:szCs w:val="20"/>
              </w:rPr>
              <w:t>2024</w:t>
            </w:r>
          </w:p>
        </w:tc>
        <w:tc>
          <w:tcPr>
            <w:tcW w:w="0" w:type="auto"/>
            <w:shd w:val="clear" w:color="auto" w:fill="CCEEFF"/>
            <w:tcMar>
              <w:top w:w="0" w:type="dxa"/>
              <w:left w:w="0" w:type="dxa"/>
              <w:bottom w:w="30" w:type="dxa"/>
              <w:right w:w="0" w:type="dxa"/>
            </w:tcMar>
            <w:vAlign w:val="bottom"/>
            <w:hideMark/>
          </w:tcPr>
          <w:p w14:paraId="59E2F4A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2CF94B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089DEBE" w14:textId="77777777" w:rsidR="00000000" w:rsidRDefault="001826C1">
            <w:pPr>
              <w:jc w:val="right"/>
              <w:rPr>
                <w:rFonts w:eastAsia="Times New Roman"/>
                <w:sz w:val="20"/>
                <w:szCs w:val="20"/>
              </w:rPr>
            </w:pPr>
            <w:r>
              <w:rPr>
                <w:rFonts w:eastAsia="Times New Roman"/>
                <w:sz w:val="20"/>
                <w:szCs w:val="20"/>
              </w:rPr>
              <w:t>4,694</w:t>
            </w:r>
          </w:p>
        </w:tc>
        <w:tc>
          <w:tcPr>
            <w:tcW w:w="0" w:type="auto"/>
            <w:shd w:val="clear" w:color="auto" w:fill="CCEEFF"/>
            <w:tcMar>
              <w:top w:w="0" w:type="dxa"/>
              <w:left w:w="0" w:type="dxa"/>
              <w:bottom w:w="30" w:type="dxa"/>
              <w:right w:w="0" w:type="dxa"/>
            </w:tcMar>
            <w:vAlign w:val="bottom"/>
            <w:hideMark/>
          </w:tcPr>
          <w:p w14:paraId="6432EEF8" w14:textId="77777777" w:rsidR="00000000" w:rsidRDefault="001826C1">
            <w:pPr>
              <w:rPr>
                <w:rFonts w:eastAsia="Times New Roman"/>
                <w:sz w:val="20"/>
                <w:szCs w:val="20"/>
              </w:rPr>
            </w:pPr>
            <w:r>
              <w:rPr>
                <w:rFonts w:eastAsia="Times New Roman"/>
                <w:sz w:val="20"/>
                <w:szCs w:val="20"/>
              </w:rPr>
              <w:t> </w:t>
            </w:r>
          </w:p>
        </w:tc>
      </w:tr>
      <w:tr w:rsidR="00000000" w14:paraId="6C55A0C2" w14:textId="77777777">
        <w:tc>
          <w:tcPr>
            <w:tcW w:w="0" w:type="auto"/>
            <w:shd w:val="clear" w:color="auto" w:fill="FFFFFF"/>
            <w:tcMar>
              <w:top w:w="0" w:type="dxa"/>
              <w:left w:w="200" w:type="dxa"/>
              <w:bottom w:w="50" w:type="dxa"/>
              <w:right w:w="0" w:type="dxa"/>
            </w:tcMar>
            <w:vAlign w:val="bottom"/>
            <w:hideMark/>
          </w:tcPr>
          <w:p w14:paraId="452981D3" w14:textId="77777777" w:rsidR="00000000" w:rsidRDefault="001826C1">
            <w:pPr>
              <w:rPr>
                <w:rFonts w:eastAsia="Times New Roman"/>
                <w:sz w:val="20"/>
                <w:szCs w:val="20"/>
              </w:rPr>
            </w:pPr>
            <w:r>
              <w:rPr>
                <w:rFonts w:eastAsia="Times New Roman"/>
                <w:sz w:val="20"/>
                <w:szCs w:val="20"/>
              </w:rPr>
              <w:t>Total lease payments</w:t>
            </w:r>
          </w:p>
        </w:tc>
        <w:tc>
          <w:tcPr>
            <w:tcW w:w="0" w:type="auto"/>
            <w:shd w:val="clear" w:color="auto" w:fill="FFFFFF"/>
            <w:tcMar>
              <w:top w:w="0" w:type="dxa"/>
              <w:left w:w="0" w:type="dxa"/>
              <w:bottom w:w="50" w:type="dxa"/>
              <w:right w:w="0" w:type="dxa"/>
            </w:tcMar>
            <w:vAlign w:val="bottom"/>
            <w:hideMark/>
          </w:tcPr>
          <w:p w14:paraId="64666526"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743596B"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DCA25F3" w14:textId="77777777" w:rsidR="00000000" w:rsidRDefault="001826C1">
            <w:pPr>
              <w:jc w:val="right"/>
              <w:rPr>
                <w:rFonts w:eastAsia="Times New Roman"/>
                <w:sz w:val="20"/>
                <w:szCs w:val="20"/>
              </w:rPr>
            </w:pPr>
            <w:r>
              <w:rPr>
                <w:rFonts w:eastAsia="Times New Roman"/>
                <w:sz w:val="20"/>
                <w:szCs w:val="20"/>
              </w:rPr>
              <w:t>4,054,004</w:t>
            </w:r>
          </w:p>
        </w:tc>
        <w:tc>
          <w:tcPr>
            <w:tcW w:w="0" w:type="auto"/>
            <w:shd w:val="clear" w:color="auto" w:fill="FFFFFF"/>
            <w:tcMar>
              <w:top w:w="0" w:type="dxa"/>
              <w:left w:w="0" w:type="dxa"/>
              <w:bottom w:w="50" w:type="dxa"/>
              <w:right w:w="0" w:type="dxa"/>
            </w:tcMar>
            <w:vAlign w:val="bottom"/>
            <w:hideMark/>
          </w:tcPr>
          <w:p w14:paraId="4F1ED170" w14:textId="77777777" w:rsidR="00000000" w:rsidRDefault="001826C1">
            <w:pPr>
              <w:rPr>
                <w:rFonts w:eastAsia="Times New Roman"/>
                <w:sz w:val="20"/>
                <w:szCs w:val="20"/>
              </w:rPr>
            </w:pPr>
            <w:r>
              <w:rPr>
                <w:rFonts w:eastAsia="Times New Roman"/>
                <w:sz w:val="20"/>
                <w:szCs w:val="20"/>
              </w:rPr>
              <w:t> </w:t>
            </w:r>
          </w:p>
        </w:tc>
      </w:tr>
      <w:tr w:rsidR="00000000" w14:paraId="7E935FF3" w14:textId="77777777">
        <w:tc>
          <w:tcPr>
            <w:tcW w:w="0" w:type="auto"/>
            <w:shd w:val="clear" w:color="auto" w:fill="CCEEFF"/>
            <w:tcMar>
              <w:top w:w="0" w:type="dxa"/>
              <w:left w:w="0" w:type="dxa"/>
              <w:bottom w:w="30" w:type="dxa"/>
              <w:right w:w="0" w:type="dxa"/>
            </w:tcMar>
            <w:vAlign w:val="bottom"/>
            <w:hideMark/>
          </w:tcPr>
          <w:p w14:paraId="2C0521F9" w14:textId="77777777" w:rsidR="00000000" w:rsidRDefault="001826C1">
            <w:pPr>
              <w:rPr>
                <w:rFonts w:eastAsia="Times New Roman"/>
                <w:sz w:val="20"/>
                <w:szCs w:val="20"/>
              </w:rPr>
            </w:pPr>
            <w:r>
              <w:rPr>
                <w:rFonts w:eastAsia="Times New Roman"/>
                <w:sz w:val="20"/>
                <w:szCs w:val="20"/>
              </w:rPr>
              <w:t>Less: imputed interest</w:t>
            </w:r>
          </w:p>
        </w:tc>
        <w:tc>
          <w:tcPr>
            <w:tcW w:w="0" w:type="auto"/>
            <w:shd w:val="clear" w:color="auto" w:fill="CCEEFF"/>
            <w:tcMar>
              <w:top w:w="0" w:type="dxa"/>
              <w:left w:w="0" w:type="dxa"/>
              <w:bottom w:w="30" w:type="dxa"/>
              <w:right w:w="0" w:type="dxa"/>
            </w:tcMar>
            <w:vAlign w:val="bottom"/>
            <w:hideMark/>
          </w:tcPr>
          <w:p w14:paraId="5BF50BB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CF8FD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FCF4BC8" w14:textId="77777777" w:rsidR="00000000" w:rsidRDefault="001826C1">
            <w:pPr>
              <w:jc w:val="right"/>
              <w:rPr>
                <w:rFonts w:eastAsia="Times New Roman"/>
                <w:sz w:val="20"/>
                <w:szCs w:val="20"/>
              </w:rPr>
            </w:pPr>
            <w:r>
              <w:rPr>
                <w:rFonts w:eastAsia="Times New Roman"/>
                <w:sz w:val="20"/>
                <w:szCs w:val="20"/>
              </w:rPr>
              <w:t>(324,460</w:t>
            </w:r>
          </w:p>
        </w:tc>
        <w:tc>
          <w:tcPr>
            <w:tcW w:w="0" w:type="auto"/>
            <w:shd w:val="clear" w:color="auto" w:fill="CCEEFF"/>
            <w:tcMar>
              <w:top w:w="0" w:type="dxa"/>
              <w:left w:w="0" w:type="dxa"/>
              <w:bottom w:w="30" w:type="dxa"/>
              <w:right w:w="0" w:type="dxa"/>
            </w:tcMar>
            <w:vAlign w:val="bottom"/>
            <w:hideMark/>
          </w:tcPr>
          <w:p w14:paraId="5E9B1577" w14:textId="77777777" w:rsidR="00000000" w:rsidRDefault="001826C1">
            <w:pPr>
              <w:rPr>
                <w:rFonts w:eastAsia="Times New Roman"/>
                <w:sz w:val="20"/>
                <w:szCs w:val="20"/>
              </w:rPr>
            </w:pPr>
            <w:r>
              <w:rPr>
                <w:rFonts w:eastAsia="Times New Roman"/>
                <w:sz w:val="20"/>
                <w:szCs w:val="20"/>
              </w:rPr>
              <w:t>)</w:t>
            </w:r>
          </w:p>
        </w:tc>
      </w:tr>
      <w:tr w:rsidR="00000000" w14:paraId="2861596F" w14:textId="77777777">
        <w:tc>
          <w:tcPr>
            <w:tcW w:w="0" w:type="auto"/>
            <w:shd w:val="clear" w:color="auto" w:fill="FFFFFF"/>
            <w:tcMar>
              <w:top w:w="0" w:type="dxa"/>
              <w:left w:w="200" w:type="dxa"/>
              <w:bottom w:w="50" w:type="dxa"/>
              <w:right w:w="0" w:type="dxa"/>
            </w:tcMar>
            <w:vAlign w:val="bottom"/>
            <w:hideMark/>
          </w:tcPr>
          <w:p w14:paraId="76D4F8CA" w14:textId="77777777" w:rsidR="00000000" w:rsidRDefault="001826C1">
            <w:pPr>
              <w:rPr>
                <w:rFonts w:eastAsia="Times New Roman"/>
                <w:sz w:val="20"/>
                <w:szCs w:val="20"/>
              </w:rPr>
            </w:pPr>
            <w:r>
              <w:rPr>
                <w:rFonts w:eastAsia="Times New Roman"/>
                <w:sz w:val="20"/>
                <w:szCs w:val="20"/>
              </w:rPr>
              <w:t>Total lease obligations</w:t>
            </w:r>
          </w:p>
        </w:tc>
        <w:tc>
          <w:tcPr>
            <w:tcW w:w="0" w:type="auto"/>
            <w:shd w:val="clear" w:color="auto" w:fill="FFFFFF"/>
            <w:tcMar>
              <w:top w:w="0" w:type="dxa"/>
              <w:left w:w="0" w:type="dxa"/>
              <w:bottom w:w="50" w:type="dxa"/>
              <w:right w:w="0" w:type="dxa"/>
            </w:tcMar>
            <w:vAlign w:val="bottom"/>
            <w:hideMark/>
          </w:tcPr>
          <w:p w14:paraId="635965FA"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7AA06C0"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0D1F946" w14:textId="77777777" w:rsidR="00000000" w:rsidRDefault="001826C1">
            <w:pPr>
              <w:jc w:val="right"/>
              <w:rPr>
                <w:rFonts w:eastAsia="Times New Roman"/>
                <w:sz w:val="20"/>
                <w:szCs w:val="20"/>
              </w:rPr>
            </w:pPr>
            <w:r>
              <w:rPr>
                <w:rFonts w:eastAsia="Times New Roman"/>
                <w:sz w:val="20"/>
                <w:szCs w:val="20"/>
              </w:rPr>
              <w:t>3,729,544</w:t>
            </w:r>
          </w:p>
        </w:tc>
        <w:tc>
          <w:tcPr>
            <w:tcW w:w="0" w:type="auto"/>
            <w:shd w:val="clear" w:color="auto" w:fill="FFFFFF"/>
            <w:tcMar>
              <w:top w:w="0" w:type="dxa"/>
              <w:left w:w="0" w:type="dxa"/>
              <w:bottom w:w="50" w:type="dxa"/>
              <w:right w:w="0" w:type="dxa"/>
            </w:tcMar>
            <w:vAlign w:val="bottom"/>
            <w:hideMark/>
          </w:tcPr>
          <w:p w14:paraId="2254C048" w14:textId="77777777" w:rsidR="00000000" w:rsidRDefault="001826C1">
            <w:pPr>
              <w:rPr>
                <w:rFonts w:eastAsia="Times New Roman"/>
                <w:sz w:val="20"/>
                <w:szCs w:val="20"/>
              </w:rPr>
            </w:pPr>
            <w:r>
              <w:rPr>
                <w:rFonts w:eastAsia="Times New Roman"/>
                <w:sz w:val="20"/>
                <w:szCs w:val="20"/>
              </w:rPr>
              <w:t> </w:t>
            </w:r>
          </w:p>
        </w:tc>
      </w:tr>
      <w:tr w:rsidR="00000000" w14:paraId="1BA2265F" w14:textId="77777777">
        <w:tc>
          <w:tcPr>
            <w:tcW w:w="0" w:type="auto"/>
            <w:shd w:val="clear" w:color="auto" w:fill="CCEEFF"/>
            <w:tcMar>
              <w:top w:w="0" w:type="dxa"/>
              <w:left w:w="0" w:type="dxa"/>
              <w:bottom w:w="30" w:type="dxa"/>
              <w:right w:w="0" w:type="dxa"/>
            </w:tcMar>
            <w:vAlign w:val="bottom"/>
            <w:hideMark/>
          </w:tcPr>
          <w:p w14:paraId="39B0B18B" w14:textId="77777777" w:rsidR="00000000" w:rsidRDefault="001826C1">
            <w:pPr>
              <w:rPr>
                <w:rFonts w:eastAsia="Times New Roman"/>
                <w:sz w:val="20"/>
                <w:szCs w:val="20"/>
              </w:rPr>
            </w:pPr>
            <w:r>
              <w:rPr>
                <w:rFonts w:eastAsia="Times New Roman"/>
                <w:sz w:val="20"/>
                <w:szCs w:val="20"/>
              </w:rPr>
              <w:t>Less: current obligations</w:t>
            </w:r>
          </w:p>
        </w:tc>
        <w:tc>
          <w:tcPr>
            <w:tcW w:w="0" w:type="auto"/>
            <w:shd w:val="clear" w:color="auto" w:fill="CCEEFF"/>
            <w:tcMar>
              <w:top w:w="0" w:type="dxa"/>
              <w:left w:w="0" w:type="dxa"/>
              <w:bottom w:w="30" w:type="dxa"/>
              <w:right w:w="0" w:type="dxa"/>
            </w:tcMar>
            <w:vAlign w:val="bottom"/>
            <w:hideMark/>
          </w:tcPr>
          <w:p w14:paraId="4A98008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4583AF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DBEBDB" w14:textId="77777777" w:rsidR="00000000" w:rsidRDefault="001826C1">
            <w:pPr>
              <w:jc w:val="right"/>
              <w:rPr>
                <w:rFonts w:eastAsia="Times New Roman"/>
                <w:sz w:val="20"/>
                <w:szCs w:val="20"/>
              </w:rPr>
            </w:pPr>
            <w:r>
              <w:rPr>
                <w:rFonts w:eastAsia="Times New Roman"/>
                <w:sz w:val="20"/>
                <w:szCs w:val="20"/>
              </w:rPr>
              <w:t>1,688,772</w:t>
            </w:r>
          </w:p>
        </w:tc>
        <w:tc>
          <w:tcPr>
            <w:tcW w:w="0" w:type="auto"/>
            <w:shd w:val="clear" w:color="auto" w:fill="CCEEFF"/>
            <w:tcMar>
              <w:top w:w="0" w:type="dxa"/>
              <w:left w:w="0" w:type="dxa"/>
              <w:bottom w:w="30" w:type="dxa"/>
              <w:right w:w="0" w:type="dxa"/>
            </w:tcMar>
            <w:vAlign w:val="bottom"/>
            <w:hideMark/>
          </w:tcPr>
          <w:p w14:paraId="1AF3F246" w14:textId="77777777" w:rsidR="00000000" w:rsidRDefault="001826C1">
            <w:pPr>
              <w:rPr>
                <w:rFonts w:eastAsia="Times New Roman"/>
                <w:sz w:val="20"/>
                <w:szCs w:val="20"/>
              </w:rPr>
            </w:pPr>
            <w:r>
              <w:rPr>
                <w:rFonts w:eastAsia="Times New Roman"/>
                <w:sz w:val="20"/>
                <w:szCs w:val="20"/>
              </w:rPr>
              <w:t> </w:t>
            </w:r>
          </w:p>
        </w:tc>
      </w:tr>
      <w:tr w:rsidR="00000000" w14:paraId="7E73009B" w14:textId="77777777">
        <w:tc>
          <w:tcPr>
            <w:tcW w:w="0" w:type="auto"/>
            <w:shd w:val="clear" w:color="auto" w:fill="FFFFFF"/>
            <w:tcMar>
              <w:top w:w="0" w:type="dxa"/>
              <w:left w:w="200" w:type="dxa"/>
              <w:bottom w:w="50" w:type="dxa"/>
              <w:right w:w="0" w:type="dxa"/>
            </w:tcMar>
            <w:vAlign w:val="bottom"/>
            <w:hideMark/>
          </w:tcPr>
          <w:p w14:paraId="36A6D42B" w14:textId="77777777" w:rsidR="00000000" w:rsidRDefault="001826C1">
            <w:pPr>
              <w:rPr>
                <w:rFonts w:eastAsia="Times New Roman"/>
                <w:sz w:val="20"/>
                <w:szCs w:val="20"/>
              </w:rPr>
            </w:pPr>
            <w:r>
              <w:rPr>
                <w:rFonts w:eastAsia="Times New Roman"/>
                <w:sz w:val="20"/>
                <w:szCs w:val="20"/>
              </w:rPr>
              <w:t>Long-term lease obligations</w:t>
            </w:r>
          </w:p>
        </w:tc>
        <w:tc>
          <w:tcPr>
            <w:tcW w:w="0" w:type="auto"/>
            <w:shd w:val="clear" w:color="auto" w:fill="FFFFFF"/>
            <w:tcMar>
              <w:top w:w="0" w:type="dxa"/>
              <w:left w:w="0" w:type="dxa"/>
              <w:bottom w:w="50" w:type="dxa"/>
              <w:right w:w="0" w:type="dxa"/>
            </w:tcMar>
            <w:vAlign w:val="bottom"/>
            <w:hideMark/>
          </w:tcPr>
          <w:p w14:paraId="39263E4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B30F128"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6FA0558F" w14:textId="77777777" w:rsidR="00000000" w:rsidRDefault="001826C1">
            <w:pPr>
              <w:jc w:val="right"/>
              <w:rPr>
                <w:rFonts w:eastAsia="Times New Roman"/>
                <w:sz w:val="20"/>
                <w:szCs w:val="20"/>
              </w:rPr>
            </w:pPr>
            <w:r>
              <w:rPr>
                <w:rFonts w:eastAsia="Times New Roman"/>
                <w:sz w:val="20"/>
                <w:szCs w:val="20"/>
              </w:rPr>
              <w:t>2,040,772</w:t>
            </w:r>
          </w:p>
        </w:tc>
        <w:tc>
          <w:tcPr>
            <w:tcW w:w="0" w:type="auto"/>
            <w:shd w:val="clear" w:color="auto" w:fill="FFFFFF"/>
            <w:tcMar>
              <w:top w:w="0" w:type="dxa"/>
              <w:left w:w="0" w:type="dxa"/>
              <w:bottom w:w="50" w:type="dxa"/>
              <w:right w:w="0" w:type="dxa"/>
            </w:tcMar>
            <w:vAlign w:val="bottom"/>
            <w:hideMark/>
          </w:tcPr>
          <w:p w14:paraId="74FF3A78" w14:textId="77777777" w:rsidR="00000000" w:rsidRDefault="001826C1">
            <w:pPr>
              <w:rPr>
                <w:rFonts w:eastAsia="Times New Roman"/>
                <w:sz w:val="20"/>
                <w:szCs w:val="20"/>
              </w:rPr>
            </w:pPr>
            <w:r>
              <w:rPr>
                <w:rFonts w:eastAsia="Times New Roman"/>
                <w:sz w:val="20"/>
                <w:szCs w:val="20"/>
              </w:rPr>
              <w:t> </w:t>
            </w:r>
          </w:p>
        </w:tc>
      </w:tr>
    </w:tbl>
    <w:p w14:paraId="1CEB339F" w14:textId="77777777" w:rsidR="00000000" w:rsidRDefault="001826C1">
      <w:pPr>
        <w:pStyle w:val="a3"/>
        <w:spacing w:before="0" w:beforeAutospacing="0" w:after="0" w:afterAutospacing="0"/>
        <w:jc w:val="both"/>
        <w:rPr>
          <w:sz w:val="20"/>
          <w:szCs w:val="20"/>
        </w:rPr>
      </w:pPr>
      <w:r>
        <w:rPr>
          <w:sz w:val="20"/>
          <w:szCs w:val="20"/>
        </w:rPr>
        <w:t> </w:t>
      </w:r>
    </w:p>
    <w:p w14:paraId="0628113D" w14:textId="77777777" w:rsidR="00000000" w:rsidRDefault="001826C1">
      <w:pPr>
        <w:pStyle w:val="a3"/>
        <w:spacing w:before="0" w:beforeAutospacing="0" w:after="0" w:afterAutospacing="0"/>
        <w:jc w:val="both"/>
        <w:rPr>
          <w:sz w:val="20"/>
          <w:szCs w:val="20"/>
        </w:rPr>
      </w:pPr>
      <w:r>
        <w:rPr>
          <w:sz w:val="20"/>
          <w:szCs w:val="20"/>
        </w:rPr>
        <w:t xml:space="preserve">As of December </w:t>
      </w:r>
      <w:r>
        <w:rPr>
          <w:sz w:val="20"/>
          <w:szCs w:val="20"/>
        </w:rPr>
        <w:t>31, 2019, we have one operating lease commitment with a six year term that commences on January 1, 2020 aggregating approximately $1.0 million.</w:t>
      </w:r>
    </w:p>
    <w:p w14:paraId="4A2A06A9" w14:textId="77777777" w:rsidR="00000000" w:rsidRDefault="001826C1">
      <w:pPr>
        <w:pStyle w:val="a3"/>
        <w:spacing w:before="0" w:beforeAutospacing="0" w:after="0" w:afterAutospacing="0"/>
        <w:jc w:val="both"/>
        <w:rPr>
          <w:sz w:val="20"/>
          <w:szCs w:val="20"/>
        </w:rPr>
      </w:pPr>
      <w:r>
        <w:rPr>
          <w:sz w:val="20"/>
          <w:szCs w:val="20"/>
        </w:rPr>
        <w:t> </w:t>
      </w:r>
    </w:p>
    <w:p w14:paraId="494E4F65" w14:textId="77777777" w:rsidR="00000000" w:rsidRDefault="001826C1">
      <w:pPr>
        <w:pStyle w:val="a3"/>
        <w:spacing w:before="0" w:beforeAutospacing="0" w:after="0" w:afterAutospacing="0"/>
        <w:jc w:val="both"/>
        <w:rPr>
          <w:sz w:val="20"/>
          <w:szCs w:val="20"/>
        </w:rPr>
      </w:pPr>
      <w:r>
        <w:rPr>
          <w:sz w:val="20"/>
          <w:szCs w:val="20"/>
        </w:rPr>
        <w:t>For comparative periods prior to the adoption of the new accounting guidance on January 1, 2019, we have retai</w:t>
      </w:r>
      <w:r>
        <w:rPr>
          <w:sz w:val="20"/>
          <w:szCs w:val="20"/>
        </w:rPr>
        <w:t>ned the following disclosures as previously reported. Future minimum lease payments under non-cancelable operating leases as of December 31, 2018 were as follows:</w:t>
      </w:r>
    </w:p>
    <w:p w14:paraId="5C48B2E7" w14:textId="77777777" w:rsidR="00000000" w:rsidRDefault="001826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407"/>
        <w:gridCol w:w="104"/>
        <w:gridCol w:w="100"/>
        <w:gridCol w:w="1153"/>
        <w:gridCol w:w="50"/>
      </w:tblGrid>
      <w:tr w:rsidR="00000000" w14:paraId="1A87CC5B" w14:textId="77777777">
        <w:tc>
          <w:tcPr>
            <w:tcW w:w="0" w:type="auto"/>
            <w:tcBorders>
              <w:bottom w:val="single" w:sz="12" w:space="0" w:color="000000"/>
            </w:tcBorders>
            <w:vAlign w:val="bottom"/>
            <w:hideMark/>
          </w:tcPr>
          <w:p w14:paraId="6C042042" w14:textId="77777777" w:rsidR="00000000" w:rsidRDefault="001826C1">
            <w:pPr>
              <w:rPr>
                <w:rFonts w:eastAsia="Times New Roman"/>
                <w:b/>
                <w:bCs/>
                <w:sz w:val="20"/>
                <w:szCs w:val="20"/>
              </w:rPr>
            </w:pPr>
            <w:r>
              <w:rPr>
                <w:rFonts w:eastAsia="Times New Roman"/>
                <w:b/>
                <w:bCs/>
                <w:sz w:val="20"/>
                <w:szCs w:val="20"/>
              </w:rPr>
              <w:t>Operating leases</w:t>
            </w:r>
          </w:p>
        </w:tc>
        <w:tc>
          <w:tcPr>
            <w:tcW w:w="0" w:type="auto"/>
            <w:tcMar>
              <w:top w:w="0" w:type="dxa"/>
              <w:left w:w="0" w:type="dxa"/>
              <w:bottom w:w="30" w:type="dxa"/>
              <w:right w:w="0" w:type="dxa"/>
            </w:tcMar>
            <w:vAlign w:val="bottom"/>
            <w:hideMark/>
          </w:tcPr>
          <w:p w14:paraId="755663BB" w14:textId="77777777" w:rsidR="00000000" w:rsidRDefault="001826C1">
            <w:pPr>
              <w:rPr>
                <w:rFonts w:eastAsia="Times New Roman"/>
                <w:sz w:val="20"/>
                <w:szCs w:val="20"/>
              </w:rPr>
            </w:pPr>
            <w:r>
              <w:rPr>
                <w:rFonts w:eastAsia="Times New Roman"/>
                <w:sz w:val="20"/>
                <w:szCs w:val="20"/>
              </w:rPr>
              <w:t> </w:t>
            </w:r>
          </w:p>
        </w:tc>
        <w:tc>
          <w:tcPr>
            <w:tcW w:w="0" w:type="auto"/>
            <w:gridSpan w:val="2"/>
            <w:vAlign w:val="bottom"/>
            <w:hideMark/>
          </w:tcPr>
          <w:p w14:paraId="0E3D0289"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96F026" w14:textId="77777777" w:rsidR="00000000" w:rsidRDefault="001826C1">
            <w:pPr>
              <w:rPr>
                <w:rFonts w:eastAsia="Times New Roman"/>
                <w:sz w:val="20"/>
                <w:szCs w:val="20"/>
              </w:rPr>
            </w:pPr>
            <w:r>
              <w:rPr>
                <w:rFonts w:eastAsia="Times New Roman"/>
                <w:sz w:val="20"/>
                <w:szCs w:val="20"/>
              </w:rPr>
              <w:t> </w:t>
            </w:r>
          </w:p>
        </w:tc>
      </w:tr>
      <w:tr w:rsidR="00000000" w14:paraId="3B56CDE1" w14:textId="77777777">
        <w:tc>
          <w:tcPr>
            <w:tcW w:w="3800" w:type="pct"/>
            <w:shd w:val="clear" w:color="auto" w:fill="CCEEFF"/>
            <w:vAlign w:val="bottom"/>
            <w:hideMark/>
          </w:tcPr>
          <w:p w14:paraId="66B77DC6" w14:textId="77777777" w:rsidR="00000000" w:rsidRDefault="001826C1">
            <w:pPr>
              <w:rPr>
                <w:rFonts w:eastAsia="Times New Roman"/>
                <w:sz w:val="20"/>
                <w:szCs w:val="20"/>
              </w:rPr>
            </w:pPr>
            <w:r>
              <w:rPr>
                <w:rFonts w:eastAsia="Times New Roman"/>
                <w:sz w:val="20"/>
                <w:szCs w:val="20"/>
              </w:rPr>
              <w:t>2019</w:t>
            </w:r>
          </w:p>
        </w:tc>
        <w:tc>
          <w:tcPr>
            <w:tcW w:w="100" w:type="pct"/>
            <w:shd w:val="clear" w:color="auto" w:fill="CCEEFF"/>
            <w:vAlign w:val="bottom"/>
            <w:hideMark/>
          </w:tcPr>
          <w:p w14:paraId="2860F00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9E5AB0B" w14:textId="77777777" w:rsidR="00000000" w:rsidRDefault="001826C1">
            <w:pPr>
              <w:rPr>
                <w:rFonts w:eastAsia="Times New Roman"/>
                <w:sz w:val="20"/>
                <w:szCs w:val="20"/>
              </w:rPr>
            </w:pPr>
            <w:r>
              <w:rPr>
                <w:rFonts w:eastAsia="Times New Roman"/>
                <w:sz w:val="20"/>
                <w:szCs w:val="20"/>
              </w:rPr>
              <w:t>$</w:t>
            </w:r>
          </w:p>
        </w:tc>
        <w:tc>
          <w:tcPr>
            <w:tcW w:w="1000" w:type="pct"/>
            <w:shd w:val="clear" w:color="auto" w:fill="CCEEFF"/>
            <w:vAlign w:val="bottom"/>
            <w:hideMark/>
          </w:tcPr>
          <w:p w14:paraId="6ADF7EB0" w14:textId="77777777" w:rsidR="00000000" w:rsidRDefault="001826C1">
            <w:pPr>
              <w:jc w:val="right"/>
              <w:rPr>
                <w:rFonts w:eastAsia="Times New Roman"/>
                <w:sz w:val="20"/>
                <w:szCs w:val="20"/>
              </w:rPr>
            </w:pPr>
            <w:r>
              <w:rPr>
                <w:rFonts w:eastAsia="Times New Roman"/>
                <w:sz w:val="20"/>
                <w:szCs w:val="20"/>
              </w:rPr>
              <w:t>932,068</w:t>
            </w:r>
          </w:p>
        </w:tc>
        <w:tc>
          <w:tcPr>
            <w:tcW w:w="50" w:type="pct"/>
            <w:shd w:val="clear" w:color="auto" w:fill="CCEEFF"/>
            <w:vAlign w:val="bottom"/>
            <w:hideMark/>
          </w:tcPr>
          <w:p w14:paraId="1B0C20E6" w14:textId="77777777" w:rsidR="00000000" w:rsidRDefault="001826C1">
            <w:pPr>
              <w:rPr>
                <w:rFonts w:eastAsia="Times New Roman"/>
                <w:sz w:val="20"/>
                <w:szCs w:val="20"/>
              </w:rPr>
            </w:pPr>
            <w:r>
              <w:rPr>
                <w:rFonts w:eastAsia="Times New Roman"/>
                <w:sz w:val="20"/>
                <w:szCs w:val="20"/>
              </w:rPr>
              <w:t> </w:t>
            </w:r>
          </w:p>
        </w:tc>
      </w:tr>
      <w:tr w:rsidR="00000000" w14:paraId="1FF22C31" w14:textId="77777777">
        <w:tc>
          <w:tcPr>
            <w:tcW w:w="0" w:type="auto"/>
            <w:shd w:val="clear" w:color="auto" w:fill="FFFFFF"/>
            <w:vAlign w:val="bottom"/>
            <w:hideMark/>
          </w:tcPr>
          <w:p w14:paraId="0C24FEAB" w14:textId="77777777" w:rsidR="00000000" w:rsidRDefault="001826C1">
            <w:pPr>
              <w:rPr>
                <w:rFonts w:eastAsia="Times New Roman"/>
                <w:sz w:val="20"/>
                <w:szCs w:val="20"/>
              </w:rPr>
            </w:pPr>
            <w:r>
              <w:rPr>
                <w:rFonts w:eastAsia="Times New Roman"/>
                <w:sz w:val="20"/>
                <w:szCs w:val="20"/>
              </w:rPr>
              <w:t>2020</w:t>
            </w:r>
          </w:p>
        </w:tc>
        <w:tc>
          <w:tcPr>
            <w:tcW w:w="0" w:type="auto"/>
            <w:shd w:val="clear" w:color="auto" w:fill="FFFFFF"/>
            <w:vAlign w:val="bottom"/>
            <w:hideMark/>
          </w:tcPr>
          <w:p w14:paraId="024A96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695A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EC04041" w14:textId="77777777" w:rsidR="00000000" w:rsidRDefault="001826C1">
            <w:pPr>
              <w:jc w:val="right"/>
              <w:rPr>
                <w:rFonts w:eastAsia="Times New Roman"/>
                <w:sz w:val="20"/>
                <w:szCs w:val="20"/>
              </w:rPr>
            </w:pPr>
            <w:r>
              <w:rPr>
                <w:rFonts w:eastAsia="Times New Roman"/>
                <w:sz w:val="20"/>
                <w:szCs w:val="20"/>
              </w:rPr>
              <w:t>715,059</w:t>
            </w:r>
          </w:p>
        </w:tc>
        <w:tc>
          <w:tcPr>
            <w:tcW w:w="0" w:type="auto"/>
            <w:shd w:val="clear" w:color="auto" w:fill="FFFFFF"/>
            <w:vAlign w:val="bottom"/>
            <w:hideMark/>
          </w:tcPr>
          <w:p w14:paraId="506DD0DA" w14:textId="77777777" w:rsidR="00000000" w:rsidRDefault="001826C1">
            <w:pPr>
              <w:rPr>
                <w:rFonts w:eastAsia="Times New Roman"/>
                <w:sz w:val="20"/>
                <w:szCs w:val="20"/>
              </w:rPr>
            </w:pPr>
            <w:r>
              <w:rPr>
                <w:rFonts w:eastAsia="Times New Roman"/>
                <w:sz w:val="20"/>
                <w:szCs w:val="20"/>
              </w:rPr>
              <w:t> </w:t>
            </w:r>
          </w:p>
        </w:tc>
      </w:tr>
      <w:tr w:rsidR="00000000" w14:paraId="254755DB" w14:textId="77777777">
        <w:tc>
          <w:tcPr>
            <w:tcW w:w="0" w:type="auto"/>
            <w:shd w:val="clear" w:color="auto" w:fill="CCEEFF"/>
            <w:vAlign w:val="bottom"/>
            <w:hideMark/>
          </w:tcPr>
          <w:p w14:paraId="289603FB" w14:textId="77777777" w:rsidR="00000000" w:rsidRDefault="001826C1">
            <w:pPr>
              <w:rPr>
                <w:rFonts w:eastAsia="Times New Roman"/>
                <w:sz w:val="20"/>
                <w:szCs w:val="20"/>
              </w:rPr>
            </w:pPr>
            <w:r>
              <w:rPr>
                <w:rFonts w:eastAsia="Times New Roman"/>
                <w:sz w:val="20"/>
                <w:szCs w:val="20"/>
              </w:rPr>
              <w:t>2021</w:t>
            </w:r>
          </w:p>
        </w:tc>
        <w:tc>
          <w:tcPr>
            <w:tcW w:w="0" w:type="auto"/>
            <w:shd w:val="clear" w:color="auto" w:fill="CCEEFF"/>
            <w:vAlign w:val="bottom"/>
            <w:hideMark/>
          </w:tcPr>
          <w:p w14:paraId="1E2386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DE7B6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9320F11" w14:textId="77777777" w:rsidR="00000000" w:rsidRDefault="001826C1">
            <w:pPr>
              <w:jc w:val="right"/>
              <w:rPr>
                <w:rFonts w:eastAsia="Times New Roman"/>
                <w:sz w:val="20"/>
                <w:szCs w:val="20"/>
              </w:rPr>
            </w:pPr>
            <w:r>
              <w:rPr>
                <w:rFonts w:eastAsia="Times New Roman"/>
                <w:sz w:val="20"/>
                <w:szCs w:val="20"/>
              </w:rPr>
              <w:t>510,927</w:t>
            </w:r>
          </w:p>
        </w:tc>
        <w:tc>
          <w:tcPr>
            <w:tcW w:w="0" w:type="auto"/>
            <w:shd w:val="clear" w:color="auto" w:fill="CCEEFF"/>
            <w:vAlign w:val="bottom"/>
            <w:hideMark/>
          </w:tcPr>
          <w:p w14:paraId="3078CC6E" w14:textId="77777777" w:rsidR="00000000" w:rsidRDefault="001826C1">
            <w:pPr>
              <w:rPr>
                <w:rFonts w:eastAsia="Times New Roman"/>
                <w:sz w:val="20"/>
                <w:szCs w:val="20"/>
              </w:rPr>
            </w:pPr>
            <w:r>
              <w:rPr>
                <w:rFonts w:eastAsia="Times New Roman"/>
                <w:sz w:val="20"/>
                <w:szCs w:val="20"/>
              </w:rPr>
              <w:t> </w:t>
            </w:r>
          </w:p>
        </w:tc>
      </w:tr>
      <w:tr w:rsidR="00000000" w14:paraId="028E7B79" w14:textId="77777777">
        <w:tc>
          <w:tcPr>
            <w:tcW w:w="0" w:type="auto"/>
            <w:shd w:val="clear" w:color="auto" w:fill="FFFFFF"/>
            <w:vAlign w:val="bottom"/>
            <w:hideMark/>
          </w:tcPr>
          <w:p w14:paraId="3CB56762" w14:textId="77777777" w:rsidR="00000000" w:rsidRDefault="001826C1">
            <w:pPr>
              <w:rPr>
                <w:rFonts w:eastAsia="Times New Roman"/>
                <w:sz w:val="20"/>
                <w:szCs w:val="20"/>
              </w:rPr>
            </w:pPr>
            <w:r>
              <w:rPr>
                <w:rFonts w:eastAsia="Times New Roman"/>
                <w:sz w:val="20"/>
                <w:szCs w:val="20"/>
              </w:rPr>
              <w:t>2022</w:t>
            </w:r>
          </w:p>
        </w:tc>
        <w:tc>
          <w:tcPr>
            <w:tcW w:w="0" w:type="auto"/>
            <w:shd w:val="clear" w:color="auto" w:fill="FFFFFF"/>
            <w:vAlign w:val="bottom"/>
            <w:hideMark/>
          </w:tcPr>
          <w:p w14:paraId="164BF6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40C0F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E37E56C" w14:textId="77777777" w:rsidR="00000000" w:rsidRDefault="001826C1">
            <w:pPr>
              <w:jc w:val="right"/>
              <w:rPr>
                <w:rFonts w:eastAsia="Times New Roman"/>
                <w:sz w:val="20"/>
                <w:szCs w:val="20"/>
              </w:rPr>
            </w:pPr>
            <w:r>
              <w:rPr>
                <w:rFonts w:eastAsia="Times New Roman"/>
                <w:sz w:val="20"/>
                <w:szCs w:val="20"/>
              </w:rPr>
              <w:t>412,585</w:t>
            </w:r>
          </w:p>
        </w:tc>
        <w:tc>
          <w:tcPr>
            <w:tcW w:w="0" w:type="auto"/>
            <w:shd w:val="clear" w:color="auto" w:fill="FFFFFF"/>
            <w:vAlign w:val="bottom"/>
            <w:hideMark/>
          </w:tcPr>
          <w:p w14:paraId="41695FD6" w14:textId="77777777" w:rsidR="00000000" w:rsidRDefault="001826C1">
            <w:pPr>
              <w:rPr>
                <w:rFonts w:eastAsia="Times New Roman"/>
                <w:sz w:val="20"/>
                <w:szCs w:val="20"/>
              </w:rPr>
            </w:pPr>
            <w:r>
              <w:rPr>
                <w:rFonts w:eastAsia="Times New Roman"/>
                <w:sz w:val="20"/>
                <w:szCs w:val="20"/>
              </w:rPr>
              <w:t> </w:t>
            </w:r>
          </w:p>
        </w:tc>
      </w:tr>
      <w:tr w:rsidR="00000000" w14:paraId="7D2C52C1" w14:textId="77777777">
        <w:tc>
          <w:tcPr>
            <w:tcW w:w="0" w:type="auto"/>
            <w:shd w:val="clear" w:color="auto" w:fill="CCEEFF"/>
            <w:tcMar>
              <w:top w:w="0" w:type="dxa"/>
              <w:left w:w="0" w:type="dxa"/>
              <w:bottom w:w="30" w:type="dxa"/>
              <w:right w:w="0" w:type="dxa"/>
            </w:tcMar>
            <w:vAlign w:val="bottom"/>
            <w:hideMark/>
          </w:tcPr>
          <w:p w14:paraId="2F23858F" w14:textId="77777777" w:rsidR="00000000" w:rsidRDefault="001826C1">
            <w:pPr>
              <w:rPr>
                <w:rFonts w:eastAsia="Times New Roman"/>
                <w:sz w:val="20"/>
                <w:szCs w:val="20"/>
              </w:rPr>
            </w:pPr>
            <w:r>
              <w:rPr>
                <w:rFonts w:eastAsia="Times New Roman"/>
                <w:sz w:val="20"/>
                <w:szCs w:val="20"/>
              </w:rPr>
              <w:t>2023</w:t>
            </w:r>
          </w:p>
        </w:tc>
        <w:tc>
          <w:tcPr>
            <w:tcW w:w="0" w:type="auto"/>
            <w:shd w:val="clear" w:color="auto" w:fill="CCEEFF"/>
            <w:tcMar>
              <w:top w:w="0" w:type="dxa"/>
              <w:left w:w="0" w:type="dxa"/>
              <w:bottom w:w="30" w:type="dxa"/>
              <w:right w:w="0" w:type="dxa"/>
            </w:tcMar>
            <w:vAlign w:val="bottom"/>
            <w:hideMark/>
          </w:tcPr>
          <w:p w14:paraId="00C7861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16EC66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1BDB51C" w14:textId="77777777" w:rsidR="00000000" w:rsidRDefault="001826C1">
            <w:pPr>
              <w:jc w:val="right"/>
              <w:rPr>
                <w:rFonts w:eastAsia="Times New Roman"/>
                <w:sz w:val="20"/>
                <w:szCs w:val="20"/>
              </w:rPr>
            </w:pPr>
            <w:r>
              <w:rPr>
                <w:rFonts w:eastAsia="Times New Roman"/>
                <w:sz w:val="20"/>
                <w:szCs w:val="20"/>
              </w:rPr>
              <w:t>91,797</w:t>
            </w:r>
          </w:p>
        </w:tc>
        <w:tc>
          <w:tcPr>
            <w:tcW w:w="0" w:type="auto"/>
            <w:shd w:val="clear" w:color="auto" w:fill="CCEEFF"/>
            <w:tcMar>
              <w:top w:w="0" w:type="dxa"/>
              <w:left w:w="0" w:type="dxa"/>
              <w:bottom w:w="30" w:type="dxa"/>
              <w:right w:w="0" w:type="dxa"/>
            </w:tcMar>
            <w:vAlign w:val="bottom"/>
            <w:hideMark/>
          </w:tcPr>
          <w:p w14:paraId="35D9BCCA" w14:textId="77777777" w:rsidR="00000000" w:rsidRDefault="001826C1">
            <w:pPr>
              <w:rPr>
                <w:rFonts w:eastAsia="Times New Roman"/>
                <w:sz w:val="20"/>
                <w:szCs w:val="20"/>
              </w:rPr>
            </w:pPr>
            <w:r>
              <w:rPr>
                <w:rFonts w:eastAsia="Times New Roman"/>
                <w:sz w:val="20"/>
                <w:szCs w:val="20"/>
              </w:rPr>
              <w:t> </w:t>
            </w:r>
          </w:p>
        </w:tc>
      </w:tr>
      <w:tr w:rsidR="00000000" w14:paraId="54628E92" w14:textId="77777777">
        <w:tc>
          <w:tcPr>
            <w:tcW w:w="0" w:type="auto"/>
            <w:shd w:val="clear" w:color="auto" w:fill="FFFFFF"/>
            <w:tcMar>
              <w:top w:w="0" w:type="dxa"/>
              <w:left w:w="0" w:type="dxa"/>
              <w:bottom w:w="50" w:type="dxa"/>
              <w:right w:w="0" w:type="dxa"/>
            </w:tcMar>
            <w:vAlign w:val="bottom"/>
            <w:hideMark/>
          </w:tcPr>
          <w:p w14:paraId="286FB5A5"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50" w:type="dxa"/>
              <w:right w:w="0" w:type="dxa"/>
            </w:tcMar>
            <w:vAlign w:val="bottom"/>
            <w:hideMark/>
          </w:tcPr>
          <w:p w14:paraId="6098346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A1F8632"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66C1524" w14:textId="77777777" w:rsidR="00000000" w:rsidRDefault="001826C1">
            <w:pPr>
              <w:jc w:val="right"/>
              <w:rPr>
                <w:rFonts w:eastAsia="Times New Roman"/>
                <w:sz w:val="20"/>
                <w:szCs w:val="20"/>
              </w:rPr>
            </w:pPr>
            <w:r>
              <w:rPr>
                <w:rFonts w:eastAsia="Times New Roman"/>
                <w:sz w:val="20"/>
                <w:szCs w:val="20"/>
              </w:rPr>
              <w:t>2,662,436</w:t>
            </w:r>
          </w:p>
        </w:tc>
        <w:tc>
          <w:tcPr>
            <w:tcW w:w="0" w:type="auto"/>
            <w:shd w:val="clear" w:color="auto" w:fill="FFFFFF"/>
            <w:tcMar>
              <w:top w:w="0" w:type="dxa"/>
              <w:left w:w="0" w:type="dxa"/>
              <w:bottom w:w="50" w:type="dxa"/>
              <w:right w:w="0" w:type="dxa"/>
            </w:tcMar>
            <w:vAlign w:val="bottom"/>
            <w:hideMark/>
          </w:tcPr>
          <w:p w14:paraId="6B73CBE9" w14:textId="77777777" w:rsidR="00000000" w:rsidRDefault="001826C1">
            <w:pPr>
              <w:rPr>
                <w:rFonts w:eastAsia="Times New Roman"/>
                <w:sz w:val="20"/>
                <w:szCs w:val="20"/>
              </w:rPr>
            </w:pPr>
            <w:r>
              <w:rPr>
                <w:rFonts w:eastAsia="Times New Roman"/>
                <w:sz w:val="20"/>
                <w:szCs w:val="20"/>
              </w:rPr>
              <w:t> </w:t>
            </w:r>
          </w:p>
        </w:tc>
      </w:tr>
    </w:tbl>
    <w:p w14:paraId="64046AA7"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4D715DBF" w14:textId="77777777">
        <w:tc>
          <w:tcPr>
            <w:tcW w:w="360" w:type="dxa"/>
            <w:hideMark/>
          </w:tcPr>
          <w:p w14:paraId="187C6CED" w14:textId="77777777" w:rsidR="00000000" w:rsidRDefault="001826C1">
            <w:pPr>
              <w:rPr>
                <w:rFonts w:eastAsia="Times New Roman"/>
                <w:b/>
                <w:bCs/>
                <w:caps/>
                <w:sz w:val="20"/>
                <w:szCs w:val="20"/>
              </w:rPr>
            </w:pPr>
            <w:r>
              <w:rPr>
                <w:rFonts w:eastAsia="Times New Roman"/>
                <w:b/>
                <w:bCs/>
                <w:caps/>
                <w:sz w:val="20"/>
                <w:szCs w:val="20"/>
              </w:rPr>
              <w:t>13.</w:t>
            </w:r>
          </w:p>
        </w:tc>
        <w:tc>
          <w:tcPr>
            <w:tcW w:w="0" w:type="auto"/>
            <w:hideMark/>
          </w:tcPr>
          <w:p w14:paraId="786B74EB" w14:textId="77777777" w:rsidR="00000000" w:rsidRDefault="001826C1">
            <w:pPr>
              <w:rPr>
                <w:rFonts w:eastAsia="Times New Roman"/>
                <w:b/>
                <w:bCs/>
                <w:caps/>
                <w:sz w:val="20"/>
                <w:szCs w:val="20"/>
              </w:rPr>
            </w:pPr>
            <w:r>
              <w:rPr>
                <w:rFonts w:eastAsia="Times New Roman"/>
                <w:b/>
                <w:bCs/>
                <w:caps/>
                <w:sz w:val="20"/>
                <w:szCs w:val="20"/>
              </w:rPr>
              <w:t>Related PARTIES</w:t>
            </w:r>
          </w:p>
        </w:tc>
      </w:tr>
    </w:tbl>
    <w:p w14:paraId="11264454" w14:textId="77777777" w:rsidR="00000000" w:rsidRDefault="001826C1">
      <w:pPr>
        <w:pStyle w:val="a3"/>
        <w:spacing w:before="0" w:beforeAutospacing="0" w:after="0" w:afterAutospacing="0"/>
        <w:ind w:left="475"/>
        <w:jc w:val="both"/>
        <w:rPr>
          <w:sz w:val="20"/>
          <w:szCs w:val="20"/>
        </w:rPr>
      </w:pPr>
      <w:r>
        <w:rPr>
          <w:sz w:val="20"/>
          <w:szCs w:val="20"/>
        </w:rPr>
        <w:t> </w:t>
      </w:r>
    </w:p>
    <w:p w14:paraId="0417F920" w14:textId="77777777" w:rsidR="00000000" w:rsidRDefault="001826C1">
      <w:pPr>
        <w:pStyle w:val="a3"/>
        <w:spacing w:before="0" w:beforeAutospacing="0" w:after="0" w:afterAutospacing="0"/>
        <w:jc w:val="both"/>
        <w:rPr>
          <w:sz w:val="20"/>
          <w:szCs w:val="20"/>
        </w:rPr>
      </w:pPr>
      <w:r>
        <w:rPr>
          <w:sz w:val="20"/>
          <w:szCs w:val="20"/>
        </w:rPr>
        <w:t xml:space="preserve">The Company </w:t>
      </w:r>
      <w:r>
        <w:rPr>
          <w:sz w:val="20"/>
          <w:szCs w:val="20"/>
        </w:rPr>
        <w:t xml:space="preserve">had sales to a related party, a physician who is the wife of the Executive Chairman. Revenues from this customer were approximately $21,000 for the year ended December 31, 2019 and approximately $20,000 for the year ended December 31, 2018. As of December </w:t>
      </w:r>
      <w:r>
        <w:rPr>
          <w:sz w:val="20"/>
          <w:szCs w:val="20"/>
        </w:rPr>
        <w:t>31, 2019 and 2018, the accounts receivable balance due from this customer was approximately $2,000 and $1,600, respectively and is included in accounts receivable in the consolidated balance sheets.</w:t>
      </w:r>
    </w:p>
    <w:p w14:paraId="26BCF35A" w14:textId="77777777" w:rsidR="00000000" w:rsidRDefault="001826C1">
      <w:pPr>
        <w:pStyle w:val="a3"/>
        <w:spacing w:before="0" w:beforeAutospacing="0" w:after="0" w:afterAutospacing="0"/>
        <w:jc w:val="both"/>
        <w:rPr>
          <w:sz w:val="20"/>
          <w:szCs w:val="20"/>
        </w:rPr>
      </w:pPr>
      <w:r>
        <w:rPr>
          <w:sz w:val="20"/>
          <w:szCs w:val="20"/>
        </w:rPr>
        <w:t> </w:t>
      </w:r>
    </w:p>
    <w:p w14:paraId="39D09C69" w14:textId="77777777" w:rsidR="00000000" w:rsidRDefault="001826C1">
      <w:pPr>
        <w:pStyle w:val="a3"/>
        <w:spacing w:before="0" w:beforeAutospacing="0" w:after="0" w:afterAutospacing="0"/>
        <w:jc w:val="both"/>
        <w:rPr>
          <w:sz w:val="20"/>
          <w:szCs w:val="20"/>
        </w:rPr>
      </w:pPr>
      <w:r>
        <w:rPr>
          <w:sz w:val="20"/>
          <w:szCs w:val="20"/>
        </w:rPr>
        <w:t>The Company is a party to a nonexclusive aircraft dry l</w:t>
      </w:r>
      <w:r>
        <w:rPr>
          <w:sz w:val="20"/>
          <w:szCs w:val="20"/>
        </w:rPr>
        <w:t>ease agreement with Kashmir Air, Inc. (“KAI”), which is owned by the Executive Chairman. The Company recorded expense of approximately $137,000 and $128,000, for the years ended December 31, 2019 and 2018, respectively. As of December 31, 2019 and 2018, th</w:t>
      </w:r>
      <w:r>
        <w:rPr>
          <w:sz w:val="20"/>
          <w:szCs w:val="20"/>
        </w:rPr>
        <w:t>e Company had liabilities outstanding to KAI of approximately $1,000 and $11,000, which are included in accrued liability to related party in the consolidated balance sheets. The original aircraft lease expired on March 31, 2019 and was not included in the</w:t>
      </w:r>
      <w:r>
        <w:rPr>
          <w:sz w:val="20"/>
          <w:szCs w:val="20"/>
        </w:rPr>
        <w:t xml:space="preserve"> ROU asset at January 1, 2019. A lease for a different aircraft at the same lease rate was entered into as of April 1, 2019 and has been included in the ROU asset and operating lease liability at December 31, 2019.</w:t>
      </w:r>
    </w:p>
    <w:p w14:paraId="130D4462"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4C5A43D" w14:textId="77777777">
        <w:trPr>
          <w:divId w:val="1993292190"/>
        </w:trPr>
        <w:tc>
          <w:tcPr>
            <w:tcW w:w="5000" w:type="pct"/>
            <w:hideMark/>
          </w:tcPr>
          <w:p w14:paraId="7F052E14"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7</w:t>
            </w:r>
          </w:p>
        </w:tc>
      </w:tr>
    </w:tbl>
    <w:tbl>
      <w:tblPr>
        <w:tblW w:w="5000" w:type="pct"/>
        <w:tblCellMar>
          <w:left w:w="0" w:type="dxa"/>
          <w:right w:w="0" w:type="dxa"/>
        </w:tblCellMar>
        <w:tblLook w:val="04A0" w:firstRow="1" w:lastRow="0" w:firstColumn="1" w:lastColumn="0" w:noHBand="0" w:noVBand="1"/>
      </w:tblPr>
      <w:tblGrid>
        <w:gridCol w:w="8306"/>
      </w:tblGrid>
      <w:tr w:rsidR="00000000" w14:paraId="35515D1D" w14:textId="77777777">
        <w:tc>
          <w:tcPr>
            <w:tcW w:w="5000" w:type="pct"/>
            <w:hideMark/>
          </w:tcPr>
          <w:p w14:paraId="2D3A6C16" w14:textId="77777777" w:rsidR="00000000" w:rsidRDefault="001826C1">
            <w:pPr>
              <w:jc w:val="center"/>
              <w:rPr>
                <w:rFonts w:eastAsia="Times New Roman"/>
                <w:sz w:val="20"/>
                <w:szCs w:val="20"/>
              </w:rPr>
            </w:pPr>
            <w:r>
              <w:rPr>
                <w:rFonts w:eastAsia="Times New Roman"/>
                <w:sz w:val="20"/>
                <w:szCs w:val="20"/>
              </w:rPr>
              <w:t> </w:t>
            </w:r>
          </w:p>
        </w:tc>
      </w:tr>
    </w:tbl>
    <w:p w14:paraId="0D6DE234" w14:textId="77777777" w:rsidR="00000000" w:rsidRDefault="001826C1">
      <w:pPr>
        <w:pStyle w:val="a3"/>
        <w:spacing w:before="0" w:beforeAutospacing="0" w:after="0" w:afterAutospacing="0"/>
        <w:jc w:val="both"/>
        <w:rPr>
          <w:sz w:val="20"/>
          <w:szCs w:val="20"/>
        </w:rPr>
      </w:pPr>
      <w:r>
        <w:rPr>
          <w:sz w:val="20"/>
          <w:szCs w:val="20"/>
        </w:rPr>
        <w:t> </w:t>
      </w:r>
    </w:p>
    <w:p w14:paraId="4B8B8F00" w14:textId="77777777" w:rsidR="00000000" w:rsidRDefault="001826C1">
      <w:pPr>
        <w:pStyle w:val="a3"/>
        <w:spacing w:before="0" w:beforeAutospacing="0" w:after="0" w:afterAutospacing="0"/>
        <w:jc w:val="both"/>
        <w:rPr>
          <w:sz w:val="20"/>
          <w:szCs w:val="20"/>
        </w:rPr>
      </w:pPr>
      <w:r>
        <w:rPr>
          <w:sz w:val="20"/>
          <w:szCs w:val="20"/>
        </w:rPr>
        <w:t>The Company leases its corp</w:t>
      </w:r>
      <w:r>
        <w:rPr>
          <w:sz w:val="20"/>
          <w:szCs w:val="20"/>
        </w:rPr>
        <w:t>orate offices in New Jersey, its temporary housing for its foreign visitors, an office/storage facility and its backup operations center in Bagh, Pakistan, from the Executive Chairman. The related party rent expense for the years ended December 31, 2019 an</w:t>
      </w:r>
      <w:r>
        <w:rPr>
          <w:sz w:val="20"/>
          <w:szCs w:val="20"/>
        </w:rPr>
        <w:t>d 2018 was approximately $192,000 and $187,000, respectively, and is included in direct operating costs and general and administrative expense in the consolidated statements of operations. During the year ended December 31, 2019, the Company spent approxim</w:t>
      </w:r>
      <w:r>
        <w:rPr>
          <w:sz w:val="20"/>
          <w:szCs w:val="20"/>
        </w:rPr>
        <w:t>ately $330,000 to upgrade two of the leased facilities. Current assets-related party in the consolidated balance sheets includes security deposits and prepaid rent related to the leases of the Company’s corporate offices in the amount of $13,000 and $25,00</w:t>
      </w:r>
      <w:r>
        <w:rPr>
          <w:sz w:val="20"/>
          <w:szCs w:val="20"/>
        </w:rPr>
        <w:t>0 as December 31, 2019 and 2018, respectively.</w:t>
      </w:r>
    </w:p>
    <w:p w14:paraId="43F9CFFC" w14:textId="77777777" w:rsidR="00000000" w:rsidRDefault="001826C1">
      <w:pPr>
        <w:pStyle w:val="a3"/>
        <w:spacing w:before="0" w:beforeAutospacing="0" w:after="0" w:afterAutospacing="0"/>
        <w:jc w:val="both"/>
        <w:rPr>
          <w:sz w:val="20"/>
          <w:szCs w:val="20"/>
        </w:rPr>
      </w:pPr>
      <w:r>
        <w:rPr>
          <w:sz w:val="20"/>
          <w:szCs w:val="20"/>
        </w:rPr>
        <w:t> </w:t>
      </w:r>
    </w:p>
    <w:p w14:paraId="61ACE058" w14:textId="77777777" w:rsidR="00000000" w:rsidRDefault="001826C1">
      <w:pPr>
        <w:pStyle w:val="a3"/>
        <w:spacing w:before="0" w:beforeAutospacing="0" w:after="0" w:afterAutospacing="0"/>
        <w:jc w:val="both"/>
        <w:rPr>
          <w:sz w:val="20"/>
          <w:szCs w:val="20"/>
        </w:rPr>
      </w:pPr>
      <w:r>
        <w:rPr>
          <w:sz w:val="20"/>
          <w:szCs w:val="20"/>
        </w:rPr>
        <w:t>Included in the ROU asset at December 31, 2019 is approximately $566,000 applicable to the related party leases. Included in the current and non-current operating lease liability at December 31, 2019 is appr</w:t>
      </w:r>
      <w:r>
        <w:rPr>
          <w:sz w:val="20"/>
          <w:szCs w:val="20"/>
        </w:rPr>
        <w:t>oximately $275,000 and $298,000, respectively, applicable to the related party leases.</w:t>
      </w:r>
    </w:p>
    <w:p w14:paraId="40277C17"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6FF5761E" w14:textId="77777777">
        <w:tc>
          <w:tcPr>
            <w:tcW w:w="360" w:type="dxa"/>
            <w:hideMark/>
          </w:tcPr>
          <w:p w14:paraId="45D05C51" w14:textId="77777777" w:rsidR="00000000" w:rsidRDefault="001826C1">
            <w:pPr>
              <w:rPr>
                <w:rFonts w:eastAsia="Times New Roman"/>
                <w:b/>
                <w:bCs/>
                <w:caps/>
                <w:sz w:val="20"/>
                <w:szCs w:val="20"/>
              </w:rPr>
            </w:pPr>
            <w:r>
              <w:rPr>
                <w:rFonts w:eastAsia="Times New Roman"/>
                <w:b/>
                <w:bCs/>
                <w:caps/>
                <w:sz w:val="20"/>
                <w:szCs w:val="20"/>
              </w:rPr>
              <w:t>14.</w:t>
            </w:r>
          </w:p>
        </w:tc>
        <w:tc>
          <w:tcPr>
            <w:tcW w:w="0" w:type="auto"/>
            <w:hideMark/>
          </w:tcPr>
          <w:p w14:paraId="657260B9" w14:textId="77777777" w:rsidR="00000000" w:rsidRDefault="001826C1">
            <w:pPr>
              <w:rPr>
                <w:rFonts w:eastAsia="Times New Roman"/>
                <w:b/>
                <w:bCs/>
                <w:caps/>
                <w:sz w:val="20"/>
                <w:szCs w:val="20"/>
              </w:rPr>
            </w:pPr>
            <w:r>
              <w:rPr>
                <w:rFonts w:eastAsia="Times New Roman"/>
                <w:b/>
                <w:bCs/>
                <w:caps/>
                <w:sz w:val="20"/>
                <w:szCs w:val="20"/>
              </w:rPr>
              <w:t>Employee Benefit PlanS</w:t>
            </w:r>
          </w:p>
        </w:tc>
      </w:tr>
    </w:tbl>
    <w:p w14:paraId="36C13FBB" w14:textId="77777777" w:rsidR="00000000" w:rsidRDefault="001826C1">
      <w:pPr>
        <w:pStyle w:val="a3"/>
        <w:spacing w:before="0" w:beforeAutospacing="0" w:after="0" w:afterAutospacing="0"/>
        <w:ind w:left="475"/>
        <w:jc w:val="both"/>
        <w:rPr>
          <w:sz w:val="20"/>
          <w:szCs w:val="20"/>
        </w:rPr>
      </w:pPr>
      <w:r>
        <w:rPr>
          <w:sz w:val="20"/>
          <w:szCs w:val="20"/>
        </w:rPr>
        <w:t> </w:t>
      </w:r>
    </w:p>
    <w:p w14:paraId="2EB6B2E4" w14:textId="77777777" w:rsidR="00000000" w:rsidRDefault="001826C1">
      <w:pPr>
        <w:pStyle w:val="a3"/>
        <w:spacing w:before="0" w:beforeAutospacing="0" w:after="0" w:afterAutospacing="0"/>
        <w:jc w:val="both"/>
        <w:rPr>
          <w:sz w:val="20"/>
          <w:szCs w:val="20"/>
        </w:rPr>
      </w:pPr>
      <w:r>
        <w:rPr>
          <w:sz w:val="20"/>
          <w:szCs w:val="20"/>
        </w:rPr>
        <w:t>The Company has a qualified 401(k) plan covering all U.S. employees of MTBC, Inc. and MAC who have completed one month of service. The pl</w:t>
      </w:r>
      <w:r>
        <w:rPr>
          <w:sz w:val="20"/>
          <w:szCs w:val="20"/>
        </w:rPr>
        <w:t>an provides for matching contributions by the Company equal to 100% of the first 3% of qualified compensation, plus 50% of the next 2%. The Company also maintain a qualified 401(k) plan for MHI, MPM and MED employees who have completed one month of service</w:t>
      </w:r>
      <w:r>
        <w:rPr>
          <w:sz w:val="20"/>
          <w:szCs w:val="20"/>
        </w:rPr>
        <w:t>. There is a discretionary match for MHI and MED employees equal to 50% of the first 3% of qualified compensation. There is no match for MPM employees. Employer contributions to the plans for the years ended December 31, 2019 and 2018 were approximately $2</w:t>
      </w:r>
      <w:r>
        <w:rPr>
          <w:sz w:val="20"/>
          <w:szCs w:val="20"/>
        </w:rPr>
        <w:t>55,000 and $161,000, respectively.</w:t>
      </w:r>
    </w:p>
    <w:p w14:paraId="31F99305" w14:textId="77777777" w:rsidR="00000000" w:rsidRDefault="001826C1">
      <w:pPr>
        <w:pStyle w:val="a3"/>
        <w:spacing w:before="0" w:beforeAutospacing="0" w:after="0" w:afterAutospacing="0"/>
        <w:jc w:val="both"/>
        <w:rPr>
          <w:sz w:val="20"/>
          <w:szCs w:val="20"/>
        </w:rPr>
      </w:pPr>
      <w:r>
        <w:rPr>
          <w:sz w:val="20"/>
          <w:szCs w:val="20"/>
        </w:rPr>
        <w:t> </w:t>
      </w:r>
    </w:p>
    <w:p w14:paraId="4E89F783" w14:textId="77777777" w:rsidR="00000000" w:rsidRDefault="001826C1">
      <w:pPr>
        <w:pStyle w:val="a3"/>
        <w:spacing w:before="0" w:beforeAutospacing="0" w:after="0" w:afterAutospacing="0"/>
        <w:jc w:val="both"/>
        <w:rPr>
          <w:sz w:val="20"/>
          <w:szCs w:val="20"/>
        </w:rPr>
      </w:pPr>
      <w:r>
        <w:rPr>
          <w:sz w:val="20"/>
          <w:szCs w:val="20"/>
        </w:rPr>
        <w:t xml:space="preserve">Additionally, </w:t>
      </w:r>
      <w:r>
        <w:rPr>
          <w:sz w:val="20"/>
          <w:szCs w:val="20"/>
        </w:rPr>
        <w:t>the Company has a defined contribution retirement plan covering all employees located in Pakistan who have completed three months of service. The plan provides for monthly contributions by the Company which are the lower of 10% of qualified employees’ basi</w:t>
      </w:r>
      <w:r>
        <w:rPr>
          <w:sz w:val="20"/>
          <w:szCs w:val="20"/>
        </w:rPr>
        <w:t>c monthly compensation or 2,500 Pakistani rupees. The Company’s contributions for the years ended December 31, 2019 and 2018 were approximately $245,000 and $110,000, respectively.</w:t>
      </w:r>
    </w:p>
    <w:p w14:paraId="1DE94E7C" w14:textId="77777777" w:rsidR="00000000" w:rsidRDefault="001826C1">
      <w:pPr>
        <w:pStyle w:val="a3"/>
        <w:spacing w:before="0" w:beforeAutospacing="0" w:after="0" w:afterAutospacing="0"/>
        <w:jc w:val="both"/>
        <w:rPr>
          <w:sz w:val="20"/>
          <w:szCs w:val="20"/>
        </w:rPr>
      </w:pPr>
      <w:r>
        <w:rPr>
          <w:sz w:val="20"/>
          <w:szCs w:val="20"/>
        </w:rPr>
        <w:t> </w:t>
      </w:r>
    </w:p>
    <w:p w14:paraId="1A74A21F" w14:textId="77777777" w:rsidR="00000000" w:rsidRDefault="001826C1">
      <w:pPr>
        <w:pStyle w:val="a3"/>
        <w:spacing w:before="0" w:beforeAutospacing="0" w:after="0" w:afterAutospacing="0"/>
        <w:jc w:val="both"/>
        <w:rPr>
          <w:sz w:val="20"/>
          <w:szCs w:val="20"/>
        </w:rPr>
      </w:pPr>
      <w:r>
        <w:rPr>
          <w:sz w:val="20"/>
          <w:szCs w:val="20"/>
        </w:rPr>
        <w:t>The Company maintains a defined contribution retirement plan covering all</w:t>
      </w:r>
      <w:r>
        <w:rPr>
          <w:sz w:val="20"/>
          <w:szCs w:val="20"/>
        </w:rPr>
        <w:t xml:space="preserve"> employees in Sri Lanka. The employee and employer contribute 8% and 12%, respectively, of the employee’s gross salary. The Company’s contribution for the year ended December 31, 2019 and 2018 were approximately $40,000 and $56,000, respectively. The contr</w:t>
      </w:r>
      <w:r>
        <w:rPr>
          <w:sz w:val="20"/>
          <w:szCs w:val="20"/>
        </w:rPr>
        <w:t>ibutions are required to be deposited with the Employees’ Provident Fund Organization, a government owned entity.</w:t>
      </w:r>
    </w:p>
    <w:p w14:paraId="077C4626"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073A05D0" w14:textId="77777777">
        <w:tc>
          <w:tcPr>
            <w:tcW w:w="360" w:type="dxa"/>
            <w:hideMark/>
          </w:tcPr>
          <w:p w14:paraId="459BCCD6" w14:textId="77777777" w:rsidR="00000000" w:rsidRDefault="001826C1">
            <w:pPr>
              <w:rPr>
                <w:rFonts w:eastAsia="Times New Roman"/>
                <w:b/>
                <w:bCs/>
                <w:caps/>
                <w:sz w:val="20"/>
                <w:szCs w:val="20"/>
              </w:rPr>
            </w:pPr>
            <w:r>
              <w:rPr>
                <w:rFonts w:eastAsia="Times New Roman"/>
                <w:b/>
                <w:bCs/>
                <w:caps/>
                <w:sz w:val="20"/>
                <w:szCs w:val="20"/>
              </w:rPr>
              <w:t>15.</w:t>
            </w:r>
          </w:p>
        </w:tc>
        <w:tc>
          <w:tcPr>
            <w:tcW w:w="0" w:type="auto"/>
            <w:hideMark/>
          </w:tcPr>
          <w:p w14:paraId="050E0DF4" w14:textId="77777777" w:rsidR="00000000" w:rsidRDefault="001826C1">
            <w:pPr>
              <w:rPr>
                <w:rFonts w:eastAsia="Times New Roman"/>
                <w:b/>
                <w:bCs/>
                <w:caps/>
                <w:sz w:val="20"/>
                <w:szCs w:val="20"/>
              </w:rPr>
            </w:pPr>
            <w:r>
              <w:rPr>
                <w:rFonts w:eastAsia="Times New Roman"/>
                <w:b/>
                <w:bCs/>
                <w:caps/>
                <w:sz w:val="20"/>
                <w:szCs w:val="20"/>
              </w:rPr>
              <w:t>STOCK-BASED COMPENSATION</w:t>
            </w:r>
          </w:p>
        </w:tc>
      </w:tr>
    </w:tbl>
    <w:p w14:paraId="57FDAA91" w14:textId="77777777" w:rsidR="00000000" w:rsidRDefault="001826C1">
      <w:pPr>
        <w:pStyle w:val="a3"/>
        <w:spacing w:before="0" w:beforeAutospacing="0" w:after="0" w:afterAutospacing="0"/>
        <w:ind w:left="475"/>
        <w:jc w:val="both"/>
        <w:rPr>
          <w:sz w:val="20"/>
          <w:szCs w:val="20"/>
        </w:rPr>
      </w:pPr>
      <w:r>
        <w:rPr>
          <w:sz w:val="20"/>
          <w:szCs w:val="20"/>
        </w:rPr>
        <w:t> </w:t>
      </w:r>
    </w:p>
    <w:p w14:paraId="39856ABF" w14:textId="77777777" w:rsidR="00000000" w:rsidRDefault="001826C1">
      <w:pPr>
        <w:pStyle w:val="a3"/>
        <w:spacing w:before="0" w:beforeAutospacing="0" w:after="0" w:afterAutospacing="0"/>
        <w:jc w:val="both"/>
        <w:rPr>
          <w:sz w:val="20"/>
          <w:szCs w:val="20"/>
        </w:rPr>
      </w:pPr>
      <w:r>
        <w:rPr>
          <w:sz w:val="20"/>
          <w:szCs w:val="20"/>
        </w:rPr>
        <w:t xml:space="preserve">In April 2014, </w:t>
      </w:r>
      <w:r>
        <w:rPr>
          <w:sz w:val="20"/>
          <w:szCs w:val="20"/>
        </w:rPr>
        <w:t>the Company adopted the Medical Transcription Billing, Corp. 2014 Equity Incentive Plan (the “2014 Plan”), reserving a total of 1,351,000 shares of common stock for grants to employees, officers, directors and consultants. During 2017, the 2014 Plan was am</w:t>
      </w:r>
      <w:r>
        <w:rPr>
          <w:sz w:val="20"/>
          <w:szCs w:val="20"/>
        </w:rPr>
        <w:t xml:space="preserve">ended whereby an additional 1,500,000 shares of common stock and 100,000 shares of Preferred Stock were added to the plan for future issuance. During 2018, an additional 200,000 shares of Preferred Stock was added to the plan for future issuance. The 2014 </w:t>
      </w:r>
      <w:r>
        <w:rPr>
          <w:sz w:val="20"/>
          <w:szCs w:val="20"/>
        </w:rPr>
        <w:t xml:space="preserve">Plan was amended and restated on April 14, 2017 (the “Amended and Restated Equity Incentive Plan”). As of December 31, 2019, 401,738 shares of common stock and 133,654 shares of Preferred Stock are available for grant. Permissible awards include incentive </w:t>
      </w:r>
      <w:r>
        <w:rPr>
          <w:sz w:val="20"/>
          <w:szCs w:val="20"/>
        </w:rPr>
        <w:t>stock options, non-statutory stock options, stock appreciation rights, restricted stock, RSUs, performance stock and cash-settled awards and other stock-based awards in the discretion of the Compensation Committee of the Board of Directors including unrest</w:t>
      </w:r>
      <w:r>
        <w:rPr>
          <w:sz w:val="20"/>
          <w:szCs w:val="20"/>
        </w:rPr>
        <w:t>ricted stock grants.</w:t>
      </w:r>
    </w:p>
    <w:p w14:paraId="4E5CF4B5" w14:textId="77777777" w:rsidR="00000000" w:rsidRDefault="001826C1">
      <w:pPr>
        <w:pStyle w:val="a3"/>
        <w:spacing w:before="0" w:beforeAutospacing="0" w:after="0" w:afterAutospacing="0"/>
        <w:jc w:val="both"/>
        <w:rPr>
          <w:sz w:val="20"/>
          <w:szCs w:val="20"/>
        </w:rPr>
      </w:pPr>
      <w:r>
        <w:rPr>
          <w:sz w:val="20"/>
          <w:szCs w:val="20"/>
        </w:rPr>
        <w:t> </w:t>
      </w:r>
    </w:p>
    <w:p w14:paraId="5F249CFE" w14:textId="77777777" w:rsidR="00000000" w:rsidRDefault="001826C1">
      <w:pPr>
        <w:pStyle w:val="a3"/>
        <w:spacing w:before="0" w:beforeAutospacing="0" w:after="0" w:afterAutospacing="0"/>
        <w:jc w:val="both"/>
        <w:rPr>
          <w:sz w:val="20"/>
          <w:szCs w:val="20"/>
        </w:rPr>
      </w:pPr>
      <w:r>
        <w:rPr>
          <w:sz w:val="20"/>
          <w:szCs w:val="20"/>
        </w:rPr>
        <w:t>The equity based RSUs contain a provision in which the units shall immediately vest and become converted into common shares at the rate of one common share per RSU, immediately after a change in control, as defined in the award agree</w:t>
      </w:r>
      <w:r>
        <w:rPr>
          <w:sz w:val="20"/>
          <w:szCs w:val="20"/>
        </w:rPr>
        <w:t>ment.</w:t>
      </w:r>
    </w:p>
    <w:p w14:paraId="1AA7A2EE" w14:textId="77777777" w:rsidR="00000000" w:rsidRDefault="001826C1">
      <w:pPr>
        <w:pStyle w:val="a3"/>
        <w:spacing w:before="0" w:beforeAutospacing="0" w:after="0" w:afterAutospacing="0"/>
        <w:jc w:val="both"/>
        <w:rPr>
          <w:sz w:val="20"/>
          <w:szCs w:val="20"/>
        </w:rPr>
      </w:pPr>
      <w:r>
        <w:rPr>
          <w:sz w:val="20"/>
          <w:szCs w:val="20"/>
        </w:rPr>
        <w:t> </w:t>
      </w:r>
    </w:p>
    <w:p w14:paraId="2C223218" w14:textId="77777777" w:rsidR="00000000" w:rsidRDefault="001826C1">
      <w:pPr>
        <w:pStyle w:val="a3"/>
        <w:spacing w:before="0" w:beforeAutospacing="0" w:after="0" w:afterAutospacing="0"/>
        <w:jc w:val="both"/>
        <w:rPr>
          <w:sz w:val="20"/>
          <w:szCs w:val="20"/>
        </w:rPr>
      </w:pPr>
      <w:r>
        <w:rPr>
          <w:b/>
          <w:bCs/>
          <w:i/>
          <w:iCs/>
          <w:sz w:val="20"/>
          <w:szCs w:val="20"/>
          <w:u w:val="single"/>
        </w:rPr>
        <w:t>Common stock</w:t>
      </w:r>
    </w:p>
    <w:p w14:paraId="36E88DF3" w14:textId="77777777" w:rsidR="00000000" w:rsidRDefault="001826C1">
      <w:pPr>
        <w:pStyle w:val="a3"/>
        <w:spacing w:before="0" w:beforeAutospacing="0" w:after="0" w:afterAutospacing="0"/>
        <w:jc w:val="both"/>
        <w:rPr>
          <w:sz w:val="20"/>
          <w:szCs w:val="20"/>
        </w:rPr>
      </w:pPr>
      <w:r>
        <w:rPr>
          <w:b/>
          <w:bCs/>
          <w:i/>
          <w:iCs/>
          <w:sz w:val="20"/>
          <w:szCs w:val="20"/>
        </w:rPr>
        <w:t> </w:t>
      </w:r>
    </w:p>
    <w:p w14:paraId="129A64D8" w14:textId="77777777" w:rsidR="00000000" w:rsidRDefault="001826C1">
      <w:pPr>
        <w:pStyle w:val="a3"/>
        <w:spacing w:before="0" w:beforeAutospacing="0" w:after="0" w:afterAutospacing="0"/>
        <w:jc w:val="both"/>
        <w:rPr>
          <w:sz w:val="20"/>
          <w:szCs w:val="20"/>
        </w:rPr>
      </w:pPr>
      <w:r>
        <w:rPr>
          <w:sz w:val="20"/>
          <w:szCs w:val="20"/>
        </w:rPr>
        <w:t>During the third quarter of 2018, 68,000 RSUs of common stock were granted over two years equally to the four outside members of the Board of Directors with 25% of the shares vesting every six months. Also, during 2018, a total of 55</w:t>
      </w:r>
      <w:r>
        <w:rPr>
          <w:sz w:val="20"/>
          <w:szCs w:val="20"/>
        </w:rPr>
        <w:t>8,000 RSUs of common stock were granted to certain Company executive officers and employees which vest over the next three years, at six-month intervals. A total of 81,200 cash settled common stock RSUs were granted to employees in Pakistan and Sri Lanka.</w:t>
      </w:r>
    </w:p>
    <w:p w14:paraId="481B6379"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40159B7D" w14:textId="77777777">
        <w:trPr>
          <w:divId w:val="808743101"/>
        </w:trPr>
        <w:tc>
          <w:tcPr>
            <w:tcW w:w="5000" w:type="pct"/>
            <w:hideMark/>
          </w:tcPr>
          <w:p w14:paraId="5DC3EADA"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8</w:t>
            </w:r>
          </w:p>
        </w:tc>
      </w:tr>
    </w:tbl>
    <w:tbl>
      <w:tblPr>
        <w:tblW w:w="5000" w:type="pct"/>
        <w:tblCellMar>
          <w:left w:w="0" w:type="dxa"/>
          <w:right w:w="0" w:type="dxa"/>
        </w:tblCellMar>
        <w:tblLook w:val="04A0" w:firstRow="1" w:lastRow="0" w:firstColumn="1" w:lastColumn="0" w:noHBand="0" w:noVBand="1"/>
      </w:tblPr>
      <w:tblGrid>
        <w:gridCol w:w="8306"/>
      </w:tblGrid>
      <w:tr w:rsidR="00000000" w14:paraId="113B2418" w14:textId="77777777">
        <w:tc>
          <w:tcPr>
            <w:tcW w:w="5000" w:type="pct"/>
            <w:hideMark/>
          </w:tcPr>
          <w:p w14:paraId="17FAF2A3" w14:textId="77777777" w:rsidR="00000000" w:rsidRDefault="001826C1">
            <w:pPr>
              <w:jc w:val="center"/>
              <w:rPr>
                <w:rFonts w:eastAsia="Times New Roman"/>
                <w:sz w:val="20"/>
                <w:szCs w:val="20"/>
              </w:rPr>
            </w:pPr>
            <w:r>
              <w:rPr>
                <w:rFonts w:eastAsia="Times New Roman"/>
                <w:sz w:val="20"/>
                <w:szCs w:val="20"/>
              </w:rPr>
              <w:t> </w:t>
            </w:r>
          </w:p>
        </w:tc>
      </w:tr>
    </w:tbl>
    <w:p w14:paraId="24E46E22" w14:textId="77777777" w:rsidR="00000000" w:rsidRDefault="001826C1">
      <w:pPr>
        <w:pStyle w:val="a3"/>
        <w:spacing w:before="0" w:beforeAutospacing="0" w:after="0" w:afterAutospacing="0"/>
        <w:jc w:val="both"/>
        <w:rPr>
          <w:sz w:val="20"/>
          <w:szCs w:val="20"/>
        </w:rPr>
      </w:pPr>
      <w:r>
        <w:rPr>
          <w:sz w:val="20"/>
          <w:szCs w:val="20"/>
        </w:rPr>
        <w:t> </w:t>
      </w:r>
    </w:p>
    <w:p w14:paraId="6A61D7C7" w14:textId="77777777" w:rsidR="00000000" w:rsidRDefault="001826C1">
      <w:pPr>
        <w:pStyle w:val="a3"/>
        <w:spacing w:before="0" w:beforeAutospacing="0" w:after="0" w:afterAutospacing="0"/>
        <w:jc w:val="both"/>
        <w:rPr>
          <w:sz w:val="20"/>
          <w:szCs w:val="20"/>
        </w:rPr>
      </w:pPr>
      <w:r>
        <w:rPr>
          <w:sz w:val="20"/>
          <w:szCs w:val="20"/>
        </w:rPr>
        <w:t xml:space="preserve">During 2019, </w:t>
      </w:r>
      <w:r>
        <w:rPr>
          <w:sz w:val="20"/>
          <w:szCs w:val="20"/>
        </w:rPr>
        <w:t>108,000 RSUs of common stock were granted to employees and independent contractors to vest at different dates during the year 2020. In addition, 72,000 RSUs of common stock were granted over two years equally to the four outside members of the Board of Dir</w:t>
      </w:r>
      <w:r>
        <w:rPr>
          <w:sz w:val="20"/>
          <w:szCs w:val="20"/>
        </w:rPr>
        <w:t>ectors with 25% of the shares vesting every six months.</w:t>
      </w:r>
    </w:p>
    <w:p w14:paraId="469FEDCB" w14:textId="77777777" w:rsidR="00000000" w:rsidRDefault="001826C1">
      <w:pPr>
        <w:pStyle w:val="a3"/>
        <w:spacing w:before="0" w:beforeAutospacing="0" w:after="0" w:afterAutospacing="0"/>
        <w:jc w:val="both"/>
        <w:rPr>
          <w:sz w:val="20"/>
          <w:szCs w:val="20"/>
        </w:rPr>
      </w:pPr>
      <w:r>
        <w:rPr>
          <w:sz w:val="20"/>
          <w:szCs w:val="20"/>
        </w:rPr>
        <w:t> </w:t>
      </w:r>
    </w:p>
    <w:p w14:paraId="0072724C" w14:textId="77777777" w:rsidR="00000000" w:rsidRDefault="001826C1">
      <w:pPr>
        <w:pStyle w:val="a3"/>
        <w:spacing w:before="0" w:beforeAutospacing="0" w:after="0" w:afterAutospacing="0"/>
        <w:jc w:val="both"/>
        <w:rPr>
          <w:sz w:val="20"/>
          <w:szCs w:val="20"/>
        </w:rPr>
      </w:pPr>
      <w:r>
        <w:rPr>
          <w:sz w:val="20"/>
          <w:szCs w:val="20"/>
        </w:rPr>
        <w:t>The following table summarizes the RSU and restricted stock transactions related to the common and Preferred Stock under the Amended and Restated Incentive Plan for the years ended December 31, 2019</w:t>
      </w:r>
      <w:r>
        <w:rPr>
          <w:sz w:val="20"/>
          <w:szCs w:val="20"/>
        </w:rPr>
        <w:t xml:space="preserve"> and 2018:</w:t>
      </w:r>
    </w:p>
    <w:p w14:paraId="41977027"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166"/>
        <w:gridCol w:w="83"/>
        <w:gridCol w:w="1163"/>
        <w:gridCol w:w="83"/>
        <w:gridCol w:w="166"/>
        <w:gridCol w:w="83"/>
        <w:gridCol w:w="1163"/>
        <w:gridCol w:w="83"/>
      </w:tblGrid>
      <w:tr w:rsidR="00000000" w14:paraId="5FE999A2" w14:textId="77777777">
        <w:tc>
          <w:tcPr>
            <w:tcW w:w="0" w:type="auto"/>
            <w:vAlign w:val="bottom"/>
            <w:hideMark/>
          </w:tcPr>
          <w:p w14:paraId="69B657E4"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356B55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076EF6C" w14:textId="77777777" w:rsidR="00000000" w:rsidRDefault="001826C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6DCBB389"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AB37C8B"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BDA38F" w14:textId="77777777" w:rsidR="00000000" w:rsidRDefault="001826C1">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10386E3B" w14:textId="77777777" w:rsidR="00000000" w:rsidRDefault="001826C1">
            <w:pPr>
              <w:rPr>
                <w:rFonts w:eastAsia="Times New Roman"/>
                <w:b/>
                <w:bCs/>
                <w:sz w:val="20"/>
                <w:szCs w:val="20"/>
              </w:rPr>
            </w:pPr>
            <w:r>
              <w:rPr>
                <w:rFonts w:eastAsia="Times New Roman"/>
                <w:b/>
                <w:bCs/>
                <w:sz w:val="20"/>
                <w:szCs w:val="20"/>
              </w:rPr>
              <w:t> </w:t>
            </w:r>
          </w:p>
        </w:tc>
      </w:tr>
      <w:tr w:rsidR="00000000" w14:paraId="7A4F116D" w14:textId="77777777">
        <w:tc>
          <w:tcPr>
            <w:tcW w:w="3200" w:type="pct"/>
            <w:shd w:val="clear" w:color="auto" w:fill="CCEEFF"/>
            <w:vAlign w:val="bottom"/>
            <w:hideMark/>
          </w:tcPr>
          <w:p w14:paraId="1FB7D1A4" w14:textId="77777777" w:rsidR="00000000" w:rsidRDefault="001826C1">
            <w:pPr>
              <w:rPr>
                <w:rFonts w:eastAsia="Times New Roman"/>
                <w:sz w:val="20"/>
                <w:szCs w:val="20"/>
              </w:rPr>
            </w:pPr>
            <w:r>
              <w:rPr>
                <w:rFonts w:eastAsia="Times New Roman"/>
                <w:sz w:val="20"/>
                <w:szCs w:val="20"/>
              </w:rPr>
              <w:t>Outstanding and unvested shares at January 1, 2018</w:t>
            </w:r>
          </w:p>
        </w:tc>
        <w:tc>
          <w:tcPr>
            <w:tcW w:w="100" w:type="pct"/>
            <w:shd w:val="clear" w:color="auto" w:fill="CCEEFF"/>
            <w:vAlign w:val="bottom"/>
            <w:hideMark/>
          </w:tcPr>
          <w:p w14:paraId="69F248B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EDD2B11" w14:textId="77777777" w:rsidR="00000000" w:rsidRDefault="001826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5C9EBB0" w14:textId="77777777" w:rsidR="00000000" w:rsidRDefault="001826C1">
            <w:pPr>
              <w:jc w:val="right"/>
              <w:rPr>
                <w:rFonts w:eastAsia="Times New Roman"/>
                <w:sz w:val="20"/>
                <w:szCs w:val="20"/>
              </w:rPr>
            </w:pPr>
            <w:r>
              <w:rPr>
                <w:rFonts w:eastAsia="Times New Roman"/>
                <w:sz w:val="20"/>
                <w:szCs w:val="20"/>
              </w:rPr>
              <w:t>605,969</w:t>
            </w:r>
          </w:p>
        </w:tc>
        <w:tc>
          <w:tcPr>
            <w:tcW w:w="50" w:type="pct"/>
            <w:shd w:val="clear" w:color="auto" w:fill="CCEEFF"/>
            <w:vAlign w:val="bottom"/>
            <w:hideMark/>
          </w:tcPr>
          <w:p w14:paraId="3E63A7D6"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02AA1F9"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E949025" w14:textId="77777777" w:rsidR="00000000" w:rsidRDefault="001826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346AA83E" w14:textId="77777777" w:rsidR="00000000" w:rsidRDefault="001826C1">
            <w:pPr>
              <w:jc w:val="right"/>
              <w:rPr>
                <w:rFonts w:eastAsia="Times New Roman"/>
                <w:sz w:val="20"/>
                <w:szCs w:val="20"/>
              </w:rPr>
            </w:pPr>
            <w:r>
              <w:rPr>
                <w:rFonts w:eastAsia="Times New Roman"/>
                <w:sz w:val="20"/>
                <w:szCs w:val="20"/>
              </w:rPr>
              <w:t>39,800</w:t>
            </w:r>
          </w:p>
        </w:tc>
        <w:tc>
          <w:tcPr>
            <w:tcW w:w="50" w:type="pct"/>
            <w:shd w:val="clear" w:color="auto" w:fill="CCEEFF"/>
            <w:vAlign w:val="bottom"/>
            <w:hideMark/>
          </w:tcPr>
          <w:p w14:paraId="7AC53354" w14:textId="77777777" w:rsidR="00000000" w:rsidRDefault="001826C1">
            <w:pPr>
              <w:rPr>
                <w:rFonts w:eastAsia="Times New Roman"/>
                <w:sz w:val="20"/>
                <w:szCs w:val="20"/>
              </w:rPr>
            </w:pPr>
            <w:r>
              <w:rPr>
                <w:rFonts w:eastAsia="Times New Roman"/>
                <w:sz w:val="20"/>
                <w:szCs w:val="20"/>
              </w:rPr>
              <w:t> </w:t>
            </w:r>
          </w:p>
        </w:tc>
      </w:tr>
      <w:tr w:rsidR="00000000" w14:paraId="238C7D5F" w14:textId="77777777">
        <w:tc>
          <w:tcPr>
            <w:tcW w:w="0" w:type="auto"/>
            <w:shd w:val="clear" w:color="auto" w:fill="FFFFFF"/>
            <w:vAlign w:val="bottom"/>
            <w:hideMark/>
          </w:tcPr>
          <w:p w14:paraId="465C82CD" w14:textId="77777777" w:rsidR="00000000" w:rsidRDefault="001826C1">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6612C4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FE78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695B7E" w14:textId="77777777" w:rsidR="00000000" w:rsidRDefault="001826C1">
            <w:pPr>
              <w:jc w:val="right"/>
              <w:rPr>
                <w:rFonts w:eastAsia="Times New Roman"/>
                <w:sz w:val="20"/>
                <w:szCs w:val="20"/>
              </w:rPr>
            </w:pPr>
            <w:r>
              <w:rPr>
                <w:rFonts w:eastAsia="Times New Roman"/>
                <w:sz w:val="20"/>
                <w:szCs w:val="20"/>
              </w:rPr>
              <w:t>707,200</w:t>
            </w:r>
          </w:p>
        </w:tc>
        <w:tc>
          <w:tcPr>
            <w:tcW w:w="0" w:type="auto"/>
            <w:shd w:val="clear" w:color="auto" w:fill="FFFFFF"/>
            <w:vAlign w:val="bottom"/>
            <w:hideMark/>
          </w:tcPr>
          <w:p w14:paraId="45E7E3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0950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C500B1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C53BA7" w14:textId="77777777" w:rsidR="00000000" w:rsidRDefault="001826C1">
            <w:pPr>
              <w:jc w:val="right"/>
              <w:rPr>
                <w:rFonts w:eastAsia="Times New Roman"/>
                <w:sz w:val="20"/>
                <w:szCs w:val="20"/>
              </w:rPr>
            </w:pPr>
            <w:r>
              <w:rPr>
                <w:rFonts w:eastAsia="Times New Roman"/>
                <w:sz w:val="20"/>
                <w:szCs w:val="20"/>
              </w:rPr>
              <w:t>44,800</w:t>
            </w:r>
          </w:p>
        </w:tc>
        <w:tc>
          <w:tcPr>
            <w:tcW w:w="0" w:type="auto"/>
            <w:shd w:val="clear" w:color="auto" w:fill="FFFFFF"/>
            <w:vAlign w:val="bottom"/>
            <w:hideMark/>
          </w:tcPr>
          <w:p w14:paraId="5A8E6383" w14:textId="77777777" w:rsidR="00000000" w:rsidRDefault="001826C1">
            <w:pPr>
              <w:rPr>
                <w:rFonts w:eastAsia="Times New Roman"/>
                <w:sz w:val="20"/>
                <w:szCs w:val="20"/>
              </w:rPr>
            </w:pPr>
            <w:r>
              <w:rPr>
                <w:rFonts w:eastAsia="Times New Roman"/>
                <w:sz w:val="20"/>
                <w:szCs w:val="20"/>
              </w:rPr>
              <w:t> </w:t>
            </w:r>
          </w:p>
        </w:tc>
      </w:tr>
      <w:tr w:rsidR="00000000" w14:paraId="307566DA" w14:textId="77777777">
        <w:tc>
          <w:tcPr>
            <w:tcW w:w="0" w:type="auto"/>
            <w:shd w:val="clear" w:color="auto" w:fill="CCEEFF"/>
            <w:vAlign w:val="bottom"/>
            <w:hideMark/>
          </w:tcPr>
          <w:p w14:paraId="5FB264C0" w14:textId="77777777" w:rsidR="00000000" w:rsidRDefault="001826C1">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59CFFF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8125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82D060" w14:textId="77777777" w:rsidR="00000000" w:rsidRDefault="001826C1">
            <w:pPr>
              <w:jc w:val="right"/>
              <w:rPr>
                <w:rFonts w:eastAsia="Times New Roman"/>
                <w:sz w:val="20"/>
                <w:szCs w:val="20"/>
              </w:rPr>
            </w:pPr>
            <w:r>
              <w:rPr>
                <w:rFonts w:eastAsia="Times New Roman"/>
                <w:sz w:val="20"/>
                <w:szCs w:val="20"/>
              </w:rPr>
              <w:t>(340,066</w:t>
            </w:r>
          </w:p>
        </w:tc>
        <w:tc>
          <w:tcPr>
            <w:tcW w:w="0" w:type="auto"/>
            <w:shd w:val="clear" w:color="auto" w:fill="CCEEFF"/>
            <w:vAlign w:val="bottom"/>
            <w:hideMark/>
          </w:tcPr>
          <w:p w14:paraId="6980D52E"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E7F2B8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B621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9249A16" w14:textId="77777777" w:rsidR="00000000" w:rsidRDefault="001826C1">
            <w:pPr>
              <w:jc w:val="right"/>
              <w:rPr>
                <w:rFonts w:eastAsia="Times New Roman"/>
                <w:sz w:val="20"/>
                <w:szCs w:val="20"/>
              </w:rPr>
            </w:pPr>
            <w:r>
              <w:rPr>
                <w:rFonts w:eastAsia="Times New Roman"/>
                <w:sz w:val="20"/>
                <w:szCs w:val="20"/>
              </w:rPr>
              <w:t>(39,800</w:t>
            </w:r>
          </w:p>
        </w:tc>
        <w:tc>
          <w:tcPr>
            <w:tcW w:w="0" w:type="auto"/>
            <w:shd w:val="clear" w:color="auto" w:fill="CCEEFF"/>
            <w:vAlign w:val="bottom"/>
            <w:hideMark/>
          </w:tcPr>
          <w:p w14:paraId="1C3821CD" w14:textId="77777777" w:rsidR="00000000" w:rsidRDefault="001826C1">
            <w:pPr>
              <w:rPr>
                <w:rFonts w:eastAsia="Times New Roman"/>
                <w:sz w:val="20"/>
                <w:szCs w:val="20"/>
              </w:rPr>
            </w:pPr>
            <w:r>
              <w:rPr>
                <w:rFonts w:eastAsia="Times New Roman"/>
                <w:sz w:val="20"/>
                <w:szCs w:val="20"/>
              </w:rPr>
              <w:t>)</w:t>
            </w:r>
          </w:p>
        </w:tc>
      </w:tr>
      <w:tr w:rsidR="00000000" w14:paraId="6CCC0F8B" w14:textId="77777777">
        <w:tc>
          <w:tcPr>
            <w:tcW w:w="0" w:type="auto"/>
            <w:shd w:val="clear" w:color="auto" w:fill="FFFFFF"/>
            <w:tcMar>
              <w:top w:w="0" w:type="dxa"/>
              <w:left w:w="0" w:type="dxa"/>
              <w:bottom w:w="30" w:type="dxa"/>
              <w:right w:w="0" w:type="dxa"/>
            </w:tcMar>
            <w:vAlign w:val="bottom"/>
            <w:hideMark/>
          </w:tcPr>
          <w:p w14:paraId="22F78793" w14:textId="77777777" w:rsidR="00000000" w:rsidRDefault="001826C1">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0D18C5B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A665AA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3B133C1" w14:textId="77777777" w:rsidR="00000000" w:rsidRDefault="001826C1">
            <w:pPr>
              <w:jc w:val="right"/>
              <w:rPr>
                <w:rFonts w:eastAsia="Times New Roman"/>
                <w:sz w:val="20"/>
                <w:szCs w:val="20"/>
              </w:rPr>
            </w:pPr>
            <w:r>
              <w:rPr>
                <w:rFonts w:eastAsia="Times New Roman"/>
                <w:sz w:val="20"/>
                <w:szCs w:val="20"/>
              </w:rPr>
              <w:t>(43,756</w:t>
            </w:r>
          </w:p>
        </w:tc>
        <w:tc>
          <w:tcPr>
            <w:tcW w:w="0" w:type="auto"/>
            <w:shd w:val="clear" w:color="auto" w:fill="FFFFFF"/>
            <w:tcMar>
              <w:top w:w="0" w:type="dxa"/>
              <w:left w:w="0" w:type="dxa"/>
              <w:bottom w:w="30" w:type="dxa"/>
              <w:right w:w="0" w:type="dxa"/>
            </w:tcMar>
            <w:vAlign w:val="bottom"/>
            <w:hideMark/>
          </w:tcPr>
          <w:p w14:paraId="101B4098"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089B3A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DBDDC7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7C0AAE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569897A" w14:textId="77777777" w:rsidR="00000000" w:rsidRDefault="001826C1">
            <w:pPr>
              <w:rPr>
                <w:rFonts w:eastAsia="Times New Roman"/>
                <w:sz w:val="20"/>
                <w:szCs w:val="20"/>
              </w:rPr>
            </w:pPr>
            <w:r>
              <w:rPr>
                <w:rFonts w:eastAsia="Times New Roman"/>
                <w:sz w:val="20"/>
                <w:szCs w:val="20"/>
              </w:rPr>
              <w:t> </w:t>
            </w:r>
          </w:p>
        </w:tc>
      </w:tr>
      <w:tr w:rsidR="00000000" w14:paraId="3A900187" w14:textId="77777777">
        <w:tc>
          <w:tcPr>
            <w:tcW w:w="0" w:type="auto"/>
            <w:shd w:val="clear" w:color="auto" w:fill="CCEEFF"/>
            <w:vAlign w:val="bottom"/>
            <w:hideMark/>
          </w:tcPr>
          <w:p w14:paraId="6B7D3C02" w14:textId="77777777" w:rsidR="00000000" w:rsidRDefault="001826C1">
            <w:pPr>
              <w:rPr>
                <w:rFonts w:eastAsia="Times New Roman"/>
                <w:sz w:val="20"/>
                <w:szCs w:val="20"/>
              </w:rPr>
            </w:pPr>
            <w:r>
              <w:rPr>
                <w:rFonts w:eastAsia="Times New Roman"/>
                <w:sz w:val="20"/>
                <w:szCs w:val="20"/>
              </w:rPr>
              <w:t>Outstanding and unvested shares at December 31, 2018</w:t>
            </w:r>
          </w:p>
        </w:tc>
        <w:tc>
          <w:tcPr>
            <w:tcW w:w="0" w:type="auto"/>
            <w:shd w:val="clear" w:color="auto" w:fill="CCEEFF"/>
            <w:vAlign w:val="bottom"/>
            <w:hideMark/>
          </w:tcPr>
          <w:p w14:paraId="3E7403F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C8586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7F4E43A" w14:textId="77777777" w:rsidR="00000000" w:rsidRDefault="001826C1">
            <w:pPr>
              <w:jc w:val="right"/>
              <w:rPr>
                <w:rFonts w:eastAsia="Times New Roman"/>
                <w:sz w:val="20"/>
                <w:szCs w:val="20"/>
              </w:rPr>
            </w:pPr>
            <w:r>
              <w:rPr>
                <w:rFonts w:eastAsia="Times New Roman"/>
                <w:sz w:val="20"/>
                <w:szCs w:val="20"/>
              </w:rPr>
              <w:t>929,347</w:t>
            </w:r>
          </w:p>
        </w:tc>
        <w:tc>
          <w:tcPr>
            <w:tcW w:w="0" w:type="auto"/>
            <w:shd w:val="clear" w:color="auto" w:fill="CCEEFF"/>
            <w:vAlign w:val="bottom"/>
            <w:hideMark/>
          </w:tcPr>
          <w:p w14:paraId="48E4595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B452B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7B17AE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C4EF38" w14:textId="77777777" w:rsidR="00000000" w:rsidRDefault="001826C1">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14:paraId="441A287C" w14:textId="77777777" w:rsidR="00000000" w:rsidRDefault="001826C1">
            <w:pPr>
              <w:rPr>
                <w:rFonts w:eastAsia="Times New Roman"/>
                <w:sz w:val="20"/>
                <w:szCs w:val="20"/>
              </w:rPr>
            </w:pPr>
            <w:r>
              <w:rPr>
                <w:rFonts w:eastAsia="Times New Roman"/>
                <w:sz w:val="20"/>
                <w:szCs w:val="20"/>
              </w:rPr>
              <w:t> </w:t>
            </w:r>
          </w:p>
        </w:tc>
      </w:tr>
      <w:tr w:rsidR="00000000" w14:paraId="234C65D1" w14:textId="77777777">
        <w:tc>
          <w:tcPr>
            <w:tcW w:w="0" w:type="auto"/>
            <w:shd w:val="clear" w:color="auto" w:fill="FFFFFF"/>
            <w:vAlign w:val="bottom"/>
            <w:hideMark/>
          </w:tcPr>
          <w:p w14:paraId="419761C6" w14:textId="77777777" w:rsidR="00000000" w:rsidRDefault="001826C1">
            <w:pPr>
              <w:rPr>
                <w:rFonts w:eastAsia="Times New Roman"/>
                <w:sz w:val="20"/>
                <w:szCs w:val="20"/>
              </w:rPr>
            </w:pPr>
            <w:r>
              <w:rPr>
                <w:rFonts w:eastAsia="Times New Roman"/>
                <w:sz w:val="20"/>
                <w:szCs w:val="20"/>
              </w:rPr>
              <w:t>Granted</w:t>
            </w:r>
          </w:p>
        </w:tc>
        <w:tc>
          <w:tcPr>
            <w:tcW w:w="0" w:type="auto"/>
            <w:shd w:val="clear" w:color="auto" w:fill="FFFFFF"/>
            <w:vAlign w:val="bottom"/>
            <w:hideMark/>
          </w:tcPr>
          <w:p w14:paraId="678EB8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4BE2D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F49A96C" w14:textId="77777777" w:rsidR="00000000" w:rsidRDefault="001826C1">
            <w:pPr>
              <w:jc w:val="right"/>
              <w:rPr>
                <w:rFonts w:eastAsia="Times New Roman"/>
                <w:sz w:val="20"/>
                <w:szCs w:val="20"/>
              </w:rPr>
            </w:pPr>
            <w:r>
              <w:rPr>
                <w:rFonts w:eastAsia="Times New Roman"/>
                <w:sz w:val="20"/>
                <w:szCs w:val="20"/>
              </w:rPr>
              <w:t>180,000</w:t>
            </w:r>
          </w:p>
        </w:tc>
        <w:tc>
          <w:tcPr>
            <w:tcW w:w="0" w:type="auto"/>
            <w:shd w:val="clear" w:color="auto" w:fill="FFFFFF"/>
            <w:vAlign w:val="bottom"/>
            <w:hideMark/>
          </w:tcPr>
          <w:p w14:paraId="67F555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9EC2A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21661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57087B" w14:textId="77777777" w:rsidR="00000000" w:rsidRDefault="001826C1">
            <w:pPr>
              <w:jc w:val="right"/>
              <w:rPr>
                <w:rFonts w:eastAsia="Times New Roman"/>
                <w:sz w:val="20"/>
                <w:szCs w:val="20"/>
              </w:rPr>
            </w:pPr>
            <w:r>
              <w:rPr>
                <w:rFonts w:eastAsia="Times New Roman"/>
                <w:sz w:val="20"/>
                <w:szCs w:val="20"/>
              </w:rPr>
              <w:t>48,746</w:t>
            </w:r>
          </w:p>
        </w:tc>
        <w:tc>
          <w:tcPr>
            <w:tcW w:w="0" w:type="auto"/>
            <w:shd w:val="clear" w:color="auto" w:fill="FFFFFF"/>
            <w:vAlign w:val="bottom"/>
            <w:hideMark/>
          </w:tcPr>
          <w:p w14:paraId="75ED1505" w14:textId="77777777" w:rsidR="00000000" w:rsidRDefault="001826C1">
            <w:pPr>
              <w:rPr>
                <w:rFonts w:eastAsia="Times New Roman"/>
                <w:sz w:val="20"/>
                <w:szCs w:val="20"/>
              </w:rPr>
            </w:pPr>
            <w:r>
              <w:rPr>
                <w:rFonts w:eastAsia="Times New Roman"/>
                <w:sz w:val="20"/>
                <w:szCs w:val="20"/>
              </w:rPr>
              <w:t> </w:t>
            </w:r>
          </w:p>
        </w:tc>
      </w:tr>
      <w:tr w:rsidR="00000000" w14:paraId="7419F21C" w14:textId="77777777">
        <w:tc>
          <w:tcPr>
            <w:tcW w:w="0" w:type="auto"/>
            <w:shd w:val="clear" w:color="auto" w:fill="CCEEFF"/>
            <w:vAlign w:val="bottom"/>
            <w:hideMark/>
          </w:tcPr>
          <w:p w14:paraId="44EAC649" w14:textId="77777777" w:rsidR="00000000" w:rsidRDefault="001826C1">
            <w:pPr>
              <w:rPr>
                <w:rFonts w:eastAsia="Times New Roman"/>
                <w:sz w:val="20"/>
                <w:szCs w:val="20"/>
              </w:rPr>
            </w:pPr>
            <w:r>
              <w:rPr>
                <w:rFonts w:eastAsia="Times New Roman"/>
                <w:sz w:val="20"/>
                <w:szCs w:val="20"/>
              </w:rPr>
              <w:t>Vested</w:t>
            </w:r>
          </w:p>
        </w:tc>
        <w:tc>
          <w:tcPr>
            <w:tcW w:w="0" w:type="auto"/>
            <w:shd w:val="clear" w:color="auto" w:fill="CCEEFF"/>
            <w:vAlign w:val="bottom"/>
            <w:hideMark/>
          </w:tcPr>
          <w:p w14:paraId="7DC5C3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F07F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5AAEAC" w14:textId="77777777" w:rsidR="00000000" w:rsidRDefault="001826C1">
            <w:pPr>
              <w:jc w:val="right"/>
              <w:rPr>
                <w:rFonts w:eastAsia="Times New Roman"/>
                <w:sz w:val="20"/>
                <w:szCs w:val="20"/>
              </w:rPr>
            </w:pPr>
            <w:r>
              <w:rPr>
                <w:rFonts w:eastAsia="Times New Roman"/>
                <w:sz w:val="20"/>
                <w:szCs w:val="20"/>
              </w:rPr>
              <w:t>(624,315</w:t>
            </w:r>
          </w:p>
        </w:tc>
        <w:tc>
          <w:tcPr>
            <w:tcW w:w="0" w:type="auto"/>
            <w:shd w:val="clear" w:color="auto" w:fill="CCEEFF"/>
            <w:vAlign w:val="bottom"/>
            <w:hideMark/>
          </w:tcPr>
          <w:p w14:paraId="78EBE3E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0C9248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F0F95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199D7CB" w14:textId="77777777" w:rsidR="00000000" w:rsidRDefault="001826C1">
            <w:pPr>
              <w:jc w:val="right"/>
              <w:rPr>
                <w:rFonts w:eastAsia="Times New Roman"/>
                <w:sz w:val="20"/>
                <w:szCs w:val="20"/>
              </w:rPr>
            </w:pPr>
            <w:r>
              <w:rPr>
                <w:rFonts w:eastAsia="Times New Roman"/>
                <w:sz w:val="20"/>
                <w:szCs w:val="20"/>
              </w:rPr>
              <w:t>(49,546</w:t>
            </w:r>
          </w:p>
        </w:tc>
        <w:tc>
          <w:tcPr>
            <w:tcW w:w="0" w:type="auto"/>
            <w:shd w:val="clear" w:color="auto" w:fill="CCEEFF"/>
            <w:vAlign w:val="bottom"/>
            <w:hideMark/>
          </w:tcPr>
          <w:p w14:paraId="15F85D24" w14:textId="77777777" w:rsidR="00000000" w:rsidRDefault="001826C1">
            <w:pPr>
              <w:rPr>
                <w:rFonts w:eastAsia="Times New Roman"/>
                <w:sz w:val="20"/>
                <w:szCs w:val="20"/>
              </w:rPr>
            </w:pPr>
            <w:r>
              <w:rPr>
                <w:rFonts w:eastAsia="Times New Roman"/>
                <w:sz w:val="20"/>
                <w:szCs w:val="20"/>
              </w:rPr>
              <w:t>)</w:t>
            </w:r>
          </w:p>
        </w:tc>
      </w:tr>
      <w:tr w:rsidR="00000000" w14:paraId="6A5E341A" w14:textId="77777777">
        <w:tc>
          <w:tcPr>
            <w:tcW w:w="0" w:type="auto"/>
            <w:shd w:val="clear" w:color="auto" w:fill="FFFFFF"/>
            <w:tcMar>
              <w:top w:w="0" w:type="dxa"/>
              <w:left w:w="0" w:type="dxa"/>
              <w:bottom w:w="30" w:type="dxa"/>
              <w:right w:w="0" w:type="dxa"/>
            </w:tcMar>
            <w:vAlign w:val="bottom"/>
            <w:hideMark/>
          </w:tcPr>
          <w:p w14:paraId="226A19AE" w14:textId="77777777" w:rsidR="00000000" w:rsidRDefault="001826C1">
            <w:pPr>
              <w:rPr>
                <w:rFonts w:eastAsia="Times New Roman"/>
                <w:sz w:val="20"/>
                <w:szCs w:val="20"/>
              </w:rPr>
            </w:pPr>
            <w:r>
              <w:rPr>
                <w:rFonts w:eastAsia="Times New Roman"/>
                <w:sz w:val="20"/>
                <w:szCs w:val="20"/>
              </w:rPr>
              <w:t>Forfeited</w:t>
            </w:r>
          </w:p>
        </w:tc>
        <w:tc>
          <w:tcPr>
            <w:tcW w:w="0" w:type="auto"/>
            <w:shd w:val="clear" w:color="auto" w:fill="FFFFFF"/>
            <w:tcMar>
              <w:top w:w="0" w:type="dxa"/>
              <w:left w:w="0" w:type="dxa"/>
              <w:bottom w:w="30" w:type="dxa"/>
              <w:right w:w="0" w:type="dxa"/>
            </w:tcMar>
            <w:vAlign w:val="bottom"/>
            <w:hideMark/>
          </w:tcPr>
          <w:p w14:paraId="5B67E54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D3B00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315EC11" w14:textId="77777777" w:rsidR="00000000" w:rsidRDefault="001826C1">
            <w:pPr>
              <w:jc w:val="right"/>
              <w:rPr>
                <w:rFonts w:eastAsia="Times New Roman"/>
                <w:sz w:val="20"/>
                <w:szCs w:val="20"/>
              </w:rPr>
            </w:pPr>
            <w:r>
              <w:rPr>
                <w:rFonts w:eastAsia="Times New Roman"/>
                <w:sz w:val="20"/>
                <w:szCs w:val="20"/>
              </w:rPr>
              <w:t>(33,948</w:t>
            </w:r>
          </w:p>
        </w:tc>
        <w:tc>
          <w:tcPr>
            <w:tcW w:w="0" w:type="auto"/>
            <w:shd w:val="clear" w:color="auto" w:fill="FFFFFF"/>
            <w:tcMar>
              <w:top w:w="0" w:type="dxa"/>
              <w:left w:w="0" w:type="dxa"/>
              <w:bottom w:w="30" w:type="dxa"/>
              <w:right w:w="0" w:type="dxa"/>
            </w:tcMar>
            <w:vAlign w:val="bottom"/>
            <w:hideMark/>
          </w:tcPr>
          <w:p w14:paraId="3B0E1FFE"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27EE289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6990AF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46903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7616F913" w14:textId="77777777" w:rsidR="00000000" w:rsidRDefault="001826C1">
            <w:pPr>
              <w:rPr>
                <w:rFonts w:eastAsia="Times New Roman"/>
                <w:sz w:val="20"/>
                <w:szCs w:val="20"/>
              </w:rPr>
            </w:pPr>
            <w:r>
              <w:rPr>
                <w:rFonts w:eastAsia="Times New Roman"/>
                <w:sz w:val="20"/>
                <w:szCs w:val="20"/>
              </w:rPr>
              <w:t> </w:t>
            </w:r>
          </w:p>
        </w:tc>
      </w:tr>
      <w:tr w:rsidR="00000000" w14:paraId="7A29B9AB" w14:textId="77777777">
        <w:tc>
          <w:tcPr>
            <w:tcW w:w="0" w:type="auto"/>
            <w:shd w:val="clear" w:color="auto" w:fill="CCEEFF"/>
            <w:tcMar>
              <w:top w:w="0" w:type="dxa"/>
              <w:left w:w="0" w:type="dxa"/>
              <w:bottom w:w="50" w:type="dxa"/>
              <w:right w:w="0" w:type="dxa"/>
            </w:tcMar>
            <w:vAlign w:val="bottom"/>
            <w:hideMark/>
          </w:tcPr>
          <w:p w14:paraId="3B01C05B" w14:textId="77777777" w:rsidR="00000000" w:rsidRDefault="001826C1">
            <w:pPr>
              <w:rPr>
                <w:rFonts w:eastAsia="Times New Roman"/>
                <w:sz w:val="20"/>
                <w:szCs w:val="20"/>
              </w:rPr>
            </w:pPr>
            <w:r>
              <w:rPr>
                <w:rFonts w:eastAsia="Times New Roman"/>
                <w:sz w:val="20"/>
                <w:szCs w:val="20"/>
              </w:rPr>
              <w:t>Outstanding and unvested shares at December 31, 2019</w:t>
            </w:r>
          </w:p>
        </w:tc>
        <w:tc>
          <w:tcPr>
            <w:tcW w:w="0" w:type="auto"/>
            <w:shd w:val="clear" w:color="auto" w:fill="CCEEFF"/>
            <w:tcMar>
              <w:top w:w="0" w:type="dxa"/>
              <w:left w:w="0" w:type="dxa"/>
              <w:bottom w:w="50" w:type="dxa"/>
              <w:right w:w="0" w:type="dxa"/>
            </w:tcMar>
            <w:vAlign w:val="bottom"/>
            <w:hideMark/>
          </w:tcPr>
          <w:p w14:paraId="4D3D470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2DA23C5"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59B02B3" w14:textId="77777777" w:rsidR="00000000" w:rsidRDefault="001826C1">
            <w:pPr>
              <w:jc w:val="right"/>
              <w:rPr>
                <w:rFonts w:eastAsia="Times New Roman"/>
                <w:sz w:val="20"/>
                <w:szCs w:val="20"/>
              </w:rPr>
            </w:pPr>
            <w:r>
              <w:rPr>
                <w:rFonts w:eastAsia="Times New Roman"/>
                <w:sz w:val="20"/>
                <w:szCs w:val="20"/>
              </w:rPr>
              <w:t>451,084</w:t>
            </w:r>
          </w:p>
        </w:tc>
        <w:tc>
          <w:tcPr>
            <w:tcW w:w="0" w:type="auto"/>
            <w:shd w:val="clear" w:color="auto" w:fill="CCEEFF"/>
            <w:tcMar>
              <w:top w:w="0" w:type="dxa"/>
              <w:left w:w="0" w:type="dxa"/>
              <w:bottom w:w="50" w:type="dxa"/>
              <w:right w:w="0" w:type="dxa"/>
            </w:tcMar>
            <w:vAlign w:val="bottom"/>
            <w:hideMark/>
          </w:tcPr>
          <w:p w14:paraId="66C367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7165234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007864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BB82FA2" w14:textId="77777777" w:rsidR="00000000" w:rsidRDefault="001826C1">
            <w:pPr>
              <w:jc w:val="right"/>
              <w:rPr>
                <w:rFonts w:eastAsia="Times New Roman"/>
                <w:sz w:val="20"/>
                <w:szCs w:val="20"/>
              </w:rPr>
            </w:pPr>
            <w:r>
              <w:rPr>
                <w:rFonts w:eastAsia="Times New Roman"/>
                <w:sz w:val="20"/>
                <w:szCs w:val="20"/>
              </w:rPr>
              <w:t>44,000</w:t>
            </w:r>
          </w:p>
        </w:tc>
        <w:tc>
          <w:tcPr>
            <w:tcW w:w="0" w:type="auto"/>
            <w:shd w:val="clear" w:color="auto" w:fill="CCEEFF"/>
            <w:tcMar>
              <w:top w:w="0" w:type="dxa"/>
              <w:left w:w="0" w:type="dxa"/>
              <w:bottom w:w="50" w:type="dxa"/>
              <w:right w:w="0" w:type="dxa"/>
            </w:tcMar>
            <w:vAlign w:val="bottom"/>
            <w:hideMark/>
          </w:tcPr>
          <w:p w14:paraId="740836C3" w14:textId="77777777" w:rsidR="00000000" w:rsidRDefault="001826C1">
            <w:pPr>
              <w:rPr>
                <w:rFonts w:eastAsia="Times New Roman"/>
                <w:sz w:val="20"/>
                <w:szCs w:val="20"/>
              </w:rPr>
            </w:pPr>
            <w:r>
              <w:rPr>
                <w:rFonts w:eastAsia="Times New Roman"/>
                <w:sz w:val="20"/>
                <w:szCs w:val="20"/>
              </w:rPr>
              <w:t> </w:t>
            </w:r>
          </w:p>
        </w:tc>
      </w:tr>
    </w:tbl>
    <w:p w14:paraId="2DC4C571" w14:textId="77777777" w:rsidR="00000000" w:rsidRDefault="001826C1">
      <w:pPr>
        <w:pStyle w:val="a3"/>
        <w:spacing w:before="0" w:beforeAutospacing="0" w:after="0" w:afterAutospacing="0"/>
        <w:jc w:val="both"/>
        <w:rPr>
          <w:sz w:val="20"/>
          <w:szCs w:val="20"/>
        </w:rPr>
      </w:pPr>
      <w:r>
        <w:rPr>
          <w:sz w:val="20"/>
          <w:szCs w:val="20"/>
        </w:rPr>
        <w:t> </w:t>
      </w:r>
    </w:p>
    <w:p w14:paraId="70D73E50" w14:textId="77777777" w:rsidR="00000000" w:rsidRDefault="001826C1">
      <w:pPr>
        <w:pStyle w:val="a3"/>
        <w:spacing w:before="0" w:beforeAutospacing="0" w:after="0" w:afterAutospacing="0"/>
        <w:jc w:val="both"/>
        <w:rPr>
          <w:sz w:val="20"/>
          <w:szCs w:val="20"/>
        </w:rPr>
      </w:pPr>
      <w:r>
        <w:rPr>
          <w:sz w:val="20"/>
          <w:szCs w:val="20"/>
        </w:rPr>
        <w:t xml:space="preserve">As of December </w:t>
      </w:r>
      <w:r>
        <w:rPr>
          <w:sz w:val="20"/>
          <w:szCs w:val="20"/>
        </w:rPr>
        <w:t>31, 2019, and 2018, there was approximately $2.1 million and $2.5 million, respectively, of total unrecognized compensation cost related to the common stock RSUs classified as equity that will be expensed through 2021. There was no unrecognized compensatio</w:t>
      </w:r>
      <w:r>
        <w:rPr>
          <w:sz w:val="20"/>
          <w:szCs w:val="20"/>
        </w:rPr>
        <w:t>n cost related to the Preferred Stock RSUs.</w:t>
      </w:r>
    </w:p>
    <w:p w14:paraId="0C7E8118" w14:textId="77777777" w:rsidR="00000000" w:rsidRDefault="001826C1">
      <w:pPr>
        <w:pStyle w:val="a3"/>
        <w:spacing w:before="0" w:beforeAutospacing="0" w:after="0" w:afterAutospacing="0"/>
        <w:jc w:val="both"/>
        <w:rPr>
          <w:sz w:val="20"/>
          <w:szCs w:val="20"/>
        </w:rPr>
      </w:pPr>
      <w:r>
        <w:rPr>
          <w:sz w:val="20"/>
          <w:szCs w:val="20"/>
        </w:rPr>
        <w:t> </w:t>
      </w:r>
    </w:p>
    <w:p w14:paraId="6C2B3D46" w14:textId="77777777" w:rsidR="00000000" w:rsidRDefault="001826C1">
      <w:pPr>
        <w:pStyle w:val="a3"/>
        <w:spacing w:before="0" w:beforeAutospacing="0" w:after="0" w:afterAutospacing="0"/>
        <w:jc w:val="both"/>
        <w:rPr>
          <w:sz w:val="20"/>
          <w:szCs w:val="20"/>
        </w:rPr>
      </w:pPr>
      <w:r>
        <w:rPr>
          <w:sz w:val="20"/>
          <w:szCs w:val="20"/>
        </w:rPr>
        <w:t xml:space="preserve">Of the total outstanding and unvested common stock RSUs at December 31, 2019, 421,751 RSUs are classified as equity and 29,333 RSUs are classified as a liability. All of the Preferred Stock RSUs are classified </w:t>
      </w:r>
      <w:r>
        <w:rPr>
          <w:sz w:val="20"/>
          <w:szCs w:val="20"/>
        </w:rPr>
        <w:t>as equity.</w:t>
      </w:r>
    </w:p>
    <w:p w14:paraId="51DA922D" w14:textId="77777777" w:rsidR="00000000" w:rsidRDefault="001826C1">
      <w:pPr>
        <w:pStyle w:val="a3"/>
        <w:spacing w:before="0" w:beforeAutospacing="0" w:after="0" w:afterAutospacing="0"/>
        <w:jc w:val="both"/>
        <w:rPr>
          <w:sz w:val="20"/>
          <w:szCs w:val="20"/>
        </w:rPr>
      </w:pPr>
      <w:r>
        <w:rPr>
          <w:sz w:val="20"/>
          <w:szCs w:val="20"/>
        </w:rPr>
        <w:t> </w:t>
      </w:r>
    </w:p>
    <w:p w14:paraId="4926A9FB" w14:textId="77777777" w:rsidR="00000000" w:rsidRDefault="001826C1">
      <w:pPr>
        <w:pStyle w:val="a3"/>
        <w:spacing w:before="0" w:beforeAutospacing="0" w:after="0" w:afterAutospacing="0"/>
        <w:jc w:val="both"/>
        <w:rPr>
          <w:sz w:val="20"/>
          <w:szCs w:val="20"/>
        </w:rPr>
      </w:pPr>
      <w:r>
        <w:rPr>
          <w:sz w:val="20"/>
          <w:szCs w:val="20"/>
        </w:rPr>
        <w:t>The following table summarizes the share activity during the years ended December 31, 2019 and 2018 and the amount of common and Preferred Shares available for grant at December 31, 2019:</w:t>
      </w:r>
    </w:p>
    <w:p w14:paraId="6B53CFA8"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16"/>
        <w:gridCol w:w="166"/>
        <w:gridCol w:w="83"/>
        <w:gridCol w:w="1163"/>
        <w:gridCol w:w="83"/>
        <w:gridCol w:w="166"/>
        <w:gridCol w:w="83"/>
        <w:gridCol w:w="1163"/>
        <w:gridCol w:w="83"/>
      </w:tblGrid>
      <w:tr w:rsidR="00000000" w14:paraId="320427EA" w14:textId="77777777">
        <w:tc>
          <w:tcPr>
            <w:tcW w:w="0" w:type="auto"/>
            <w:vAlign w:val="bottom"/>
            <w:hideMark/>
          </w:tcPr>
          <w:p w14:paraId="09525932"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7347BB3"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37A6621" w14:textId="77777777" w:rsidR="00000000" w:rsidRDefault="001826C1">
            <w:pPr>
              <w:jc w:val="center"/>
              <w:rPr>
                <w:rFonts w:eastAsia="Times New Roman"/>
                <w:b/>
                <w:bCs/>
                <w:sz w:val="20"/>
                <w:szCs w:val="20"/>
              </w:rPr>
            </w:pPr>
            <w:r>
              <w:rPr>
                <w:rFonts w:eastAsia="Times New Roman"/>
                <w:b/>
                <w:bCs/>
                <w:sz w:val="20"/>
                <w:szCs w:val="20"/>
              </w:rPr>
              <w:t>Common Stock</w:t>
            </w:r>
          </w:p>
        </w:tc>
        <w:tc>
          <w:tcPr>
            <w:tcW w:w="0" w:type="auto"/>
            <w:tcMar>
              <w:top w:w="0" w:type="dxa"/>
              <w:left w:w="0" w:type="dxa"/>
              <w:bottom w:w="30" w:type="dxa"/>
              <w:right w:w="0" w:type="dxa"/>
            </w:tcMar>
            <w:vAlign w:val="bottom"/>
            <w:hideMark/>
          </w:tcPr>
          <w:p w14:paraId="39ACF39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B0A3F4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32A4297" w14:textId="77777777" w:rsidR="00000000" w:rsidRDefault="001826C1">
            <w:pPr>
              <w:jc w:val="center"/>
              <w:rPr>
                <w:rFonts w:eastAsia="Times New Roman"/>
                <w:b/>
                <w:bCs/>
                <w:sz w:val="20"/>
                <w:szCs w:val="20"/>
              </w:rPr>
            </w:pPr>
            <w:r>
              <w:rPr>
                <w:rFonts w:eastAsia="Times New Roman"/>
                <w:b/>
                <w:bCs/>
                <w:sz w:val="20"/>
                <w:szCs w:val="20"/>
              </w:rPr>
              <w:t>Preferred Stock</w:t>
            </w:r>
          </w:p>
        </w:tc>
        <w:tc>
          <w:tcPr>
            <w:tcW w:w="0" w:type="auto"/>
            <w:tcMar>
              <w:top w:w="0" w:type="dxa"/>
              <w:left w:w="0" w:type="dxa"/>
              <w:bottom w:w="30" w:type="dxa"/>
              <w:right w:w="0" w:type="dxa"/>
            </w:tcMar>
            <w:vAlign w:val="bottom"/>
            <w:hideMark/>
          </w:tcPr>
          <w:p w14:paraId="57494C62" w14:textId="77777777" w:rsidR="00000000" w:rsidRDefault="001826C1">
            <w:pPr>
              <w:rPr>
                <w:rFonts w:eastAsia="Times New Roman"/>
                <w:b/>
                <w:bCs/>
                <w:sz w:val="20"/>
                <w:szCs w:val="20"/>
              </w:rPr>
            </w:pPr>
            <w:r>
              <w:rPr>
                <w:rFonts w:eastAsia="Times New Roman"/>
                <w:b/>
                <w:bCs/>
                <w:sz w:val="20"/>
                <w:szCs w:val="20"/>
              </w:rPr>
              <w:t> </w:t>
            </w:r>
          </w:p>
        </w:tc>
      </w:tr>
      <w:tr w:rsidR="00000000" w14:paraId="663839C1" w14:textId="77777777">
        <w:tc>
          <w:tcPr>
            <w:tcW w:w="3200" w:type="pct"/>
            <w:shd w:val="clear" w:color="auto" w:fill="CCEEFF"/>
            <w:vAlign w:val="bottom"/>
            <w:hideMark/>
          </w:tcPr>
          <w:p w14:paraId="647C0D74" w14:textId="77777777" w:rsidR="00000000" w:rsidRDefault="001826C1">
            <w:pPr>
              <w:rPr>
                <w:rFonts w:eastAsia="Times New Roman"/>
                <w:sz w:val="20"/>
                <w:szCs w:val="20"/>
              </w:rPr>
            </w:pPr>
            <w:r>
              <w:rPr>
                <w:rFonts w:eastAsia="Times New Roman"/>
                <w:sz w:val="20"/>
                <w:szCs w:val="20"/>
              </w:rPr>
              <w:t>Shares avai</w:t>
            </w:r>
            <w:r>
              <w:rPr>
                <w:rFonts w:eastAsia="Times New Roman"/>
                <w:sz w:val="20"/>
                <w:szCs w:val="20"/>
              </w:rPr>
              <w:t>lable for grant at January 1, 2018</w:t>
            </w:r>
          </w:p>
        </w:tc>
        <w:tc>
          <w:tcPr>
            <w:tcW w:w="100" w:type="pct"/>
            <w:shd w:val="clear" w:color="auto" w:fill="CCEEFF"/>
            <w:vAlign w:val="bottom"/>
            <w:hideMark/>
          </w:tcPr>
          <w:p w14:paraId="061D05F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27B9580" w14:textId="77777777" w:rsidR="00000000" w:rsidRDefault="001826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7A231A20" w14:textId="77777777" w:rsidR="00000000" w:rsidRDefault="001826C1">
            <w:pPr>
              <w:jc w:val="right"/>
              <w:rPr>
                <w:rFonts w:eastAsia="Times New Roman"/>
                <w:sz w:val="20"/>
                <w:szCs w:val="20"/>
              </w:rPr>
            </w:pPr>
            <w:r>
              <w:rPr>
                <w:rFonts w:eastAsia="Times New Roman"/>
                <w:sz w:val="20"/>
                <w:szCs w:val="20"/>
              </w:rPr>
              <w:t>1,211,234</w:t>
            </w:r>
          </w:p>
        </w:tc>
        <w:tc>
          <w:tcPr>
            <w:tcW w:w="50" w:type="pct"/>
            <w:shd w:val="clear" w:color="auto" w:fill="CCEEFF"/>
            <w:vAlign w:val="bottom"/>
            <w:hideMark/>
          </w:tcPr>
          <w:p w14:paraId="2FAE3A88"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4A084574"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A5D4902" w14:textId="77777777" w:rsidR="00000000" w:rsidRDefault="001826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27C6B1B6" w14:textId="77777777" w:rsidR="00000000" w:rsidRDefault="001826C1">
            <w:pPr>
              <w:jc w:val="right"/>
              <w:rPr>
                <w:rFonts w:eastAsia="Times New Roman"/>
                <w:sz w:val="20"/>
                <w:szCs w:val="20"/>
              </w:rPr>
            </w:pPr>
            <w:r>
              <w:rPr>
                <w:rFonts w:eastAsia="Times New Roman"/>
                <w:sz w:val="20"/>
                <w:szCs w:val="20"/>
              </w:rPr>
              <w:t>27,200</w:t>
            </w:r>
          </w:p>
        </w:tc>
        <w:tc>
          <w:tcPr>
            <w:tcW w:w="50" w:type="pct"/>
            <w:shd w:val="clear" w:color="auto" w:fill="CCEEFF"/>
            <w:vAlign w:val="bottom"/>
            <w:hideMark/>
          </w:tcPr>
          <w:p w14:paraId="0C9C60BF" w14:textId="77777777" w:rsidR="00000000" w:rsidRDefault="001826C1">
            <w:pPr>
              <w:rPr>
                <w:rFonts w:eastAsia="Times New Roman"/>
                <w:sz w:val="20"/>
                <w:szCs w:val="20"/>
              </w:rPr>
            </w:pPr>
            <w:r>
              <w:rPr>
                <w:rFonts w:eastAsia="Times New Roman"/>
                <w:sz w:val="20"/>
                <w:szCs w:val="20"/>
              </w:rPr>
              <w:t> </w:t>
            </w:r>
          </w:p>
        </w:tc>
      </w:tr>
      <w:tr w:rsidR="00000000" w14:paraId="69F03B3F" w14:textId="77777777">
        <w:tc>
          <w:tcPr>
            <w:tcW w:w="0" w:type="auto"/>
            <w:shd w:val="clear" w:color="auto" w:fill="FFFFFF"/>
            <w:vAlign w:val="bottom"/>
            <w:hideMark/>
          </w:tcPr>
          <w:p w14:paraId="160C8E10" w14:textId="77777777" w:rsidR="00000000" w:rsidRDefault="001826C1">
            <w:pPr>
              <w:rPr>
                <w:rFonts w:eastAsia="Times New Roman"/>
                <w:sz w:val="20"/>
                <w:szCs w:val="20"/>
              </w:rPr>
            </w:pPr>
            <w:r>
              <w:rPr>
                <w:rFonts w:eastAsia="Times New Roman"/>
                <w:sz w:val="20"/>
                <w:szCs w:val="20"/>
              </w:rPr>
              <w:t>Additional shares available for grant</w:t>
            </w:r>
          </w:p>
        </w:tc>
        <w:tc>
          <w:tcPr>
            <w:tcW w:w="0" w:type="auto"/>
            <w:shd w:val="clear" w:color="auto" w:fill="FFFFFF"/>
            <w:vAlign w:val="bottom"/>
            <w:hideMark/>
          </w:tcPr>
          <w:p w14:paraId="7AB2B3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496B49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9A261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8B362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E99E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160B18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587AEAF" w14:textId="77777777" w:rsidR="00000000" w:rsidRDefault="001826C1">
            <w:pPr>
              <w:jc w:val="right"/>
              <w:rPr>
                <w:rFonts w:eastAsia="Times New Roman"/>
                <w:sz w:val="20"/>
                <w:szCs w:val="20"/>
              </w:rPr>
            </w:pPr>
            <w:r>
              <w:rPr>
                <w:rFonts w:eastAsia="Times New Roman"/>
                <w:sz w:val="20"/>
                <w:szCs w:val="20"/>
              </w:rPr>
              <w:t>200,000</w:t>
            </w:r>
          </w:p>
        </w:tc>
        <w:tc>
          <w:tcPr>
            <w:tcW w:w="0" w:type="auto"/>
            <w:shd w:val="clear" w:color="auto" w:fill="FFFFFF"/>
            <w:vAlign w:val="bottom"/>
            <w:hideMark/>
          </w:tcPr>
          <w:p w14:paraId="51454837" w14:textId="77777777" w:rsidR="00000000" w:rsidRDefault="001826C1">
            <w:pPr>
              <w:rPr>
                <w:rFonts w:eastAsia="Times New Roman"/>
                <w:sz w:val="20"/>
                <w:szCs w:val="20"/>
              </w:rPr>
            </w:pPr>
            <w:r>
              <w:rPr>
                <w:rFonts w:eastAsia="Times New Roman"/>
                <w:sz w:val="20"/>
                <w:szCs w:val="20"/>
              </w:rPr>
              <w:t> </w:t>
            </w:r>
          </w:p>
        </w:tc>
      </w:tr>
      <w:tr w:rsidR="00000000" w14:paraId="08359899" w14:textId="77777777">
        <w:tc>
          <w:tcPr>
            <w:tcW w:w="0" w:type="auto"/>
            <w:shd w:val="clear" w:color="auto" w:fill="CCEEFF"/>
            <w:vAlign w:val="bottom"/>
            <w:hideMark/>
          </w:tcPr>
          <w:p w14:paraId="401DD4DA" w14:textId="77777777" w:rsidR="00000000" w:rsidRDefault="001826C1">
            <w:pPr>
              <w:rPr>
                <w:rFonts w:eastAsia="Times New Roman"/>
                <w:sz w:val="20"/>
                <w:szCs w:val="20"/>
              </w:rPr>
            </w:pPr>
            <w:r>
              <w:rPr>
                <w:rFonts w:eastAsia="Times New Roman"/>
                <w:sz w:val="20"/>
                <w:szCs w:val="20"/>
              </w:rPr>
              <w:t>RSUs granted</w:t>
            </w:r>
          </w:p>
        </w:tc>
        <w:tc>
          <w:tcPr>
            <w:tcW w:w="0" w:type="auto"/>
            <w:shd w:val="clear" w:color="auto" w:fill="CCEEFF"/>
            <w:vAlign w:val="bottom"/>
            <w:hideMark/>
          </w:tcPr>
          <w:p w14:paraId="537B776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2A16E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295A2" w14:textId="77777777" w:rsidR="00000000" w:rsidRDefault="001826C1">
            <w:pPr>
              <w:jc w:val="right"/>
              <w:rPr>
                <w:rFonts w:eastAsia="Times New Roman"/>
                <w:sz w:val="20"/>
                <w:szCs w:val="20"/>
              </w:rPr>
            </w:pPr>
            <w:r>
              <w:rPr>
                <w:rFonts w:eastAsia="Times New Roman"/>
                <w:sz w:val="20"/>
                <w:szCs w:val="20"/>
              </w:rPr>
              <w:t>(707,200</w:t>
            </w:r>
          </w:p>
        </w:tc>
        <w:tc>
          <w:tcPr>
            <w:tcW w:w="0" w:type="auto"/>
            <w:shd w:val="clear" w:color="auto" w:fill="CCEEFF"/>
            <w:vAlign w:val="bottom"/>
            <w:hideMark/>
          </w:tcPr>
          <w:p w14:paraId="52035120"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644C1A5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9B03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DB55D4" w14:textId="77777777" w:rsidR="00000000" w:rsidRDefault="001826C1">
            <w:pPr>
              <w:jc w:val="right"/>
              <w:rPr>
                <w:rFonts w:eastAsia="Times New Roman"/>
                <w:sz w:val="20"/>
                <w:szCs w:val="20"/>
              </w:rPr>
            </w:pPr>
            <w:r>
              <w:rPr>
                <w:rFonts w:eastAsia="Times New Roman"/>
                <w:sz w:val="20"/>
                <w:szCs w:val="20"/>
              </w:rPr>
              <w:t>(44,800</w:t>
            </w:r>
          </w:p>
        </w:tc>
        <w:tc>
          <w:tcPr>
            <w:tcW w:w="0" w:type="auto"/>
            <w:shd w:val="clear" w:color="auto" w:fill="CCEEFF"/>
            <w:vAlign w:val="bottom"/>
            <w:hideMark/>
          </w:tcPr>
          <w:p w14:paraId="60787537" w14:textId="77777777" w:rsidR="00000000" w:rsidRDefault="001826C1">
            <w:pPr>
              <w:rPr>
                <w:rFonts w:eastAsia="Times New Roman"/>
                <w:sz w:val="20"/>
                <w:szCs w:val="20"/>
              </w:rPr>
            </w:pPr>
            <w:r>
              <w:rPr>
                <w:rFonts w:eastAsia="Times New Roman"/>
                <w:sz w:val="20"/>
                <w:szCs w:val="20"/>
              </w:rPr>
              <w:t>)</w:t>
            </w:r>
          </w:p>
        </w:tc>
      </w:tr>
      <w:tr w:rsidR="00000000" w14:paraId="7FC443F3" w14:textId="77777777">
        <w:tc>
          <w:tcPr>
            <w:tcW w:w="0" w:type="auto"/>
            <w:shd w:val="clear" w:color="auto" w:fill="FFFFFF"/>
            <w:tcMar>
              <w:top w:w="0" w:type="dxa"/>
              <w:left w:w="0" w:type="dxa"/>
              <w:bottom w:w="30" w:type="dxa"/>
              <w:right w:w="0" w:type="dxa"/>
            </w:tcMar>
            <w:vAlign w:val="bottom"/>
            <w:hideMark/>
          </w:tcPr>
          <w:p w14:paraId="0B2BE25A" w14:textId="77777777" w:rsidR="00000000" w:rsidRDefault="001826C1">
            <w:pPr>
              <w:rPr>
                <w:rFonts w:eastAsia="Times New Roman"/>
                <w:sz w:val="20"/>
                <w:szCs w:val="20"/>
              </w:rPr>
            </w:pPr>
            <w:r>
              <w:rPr>
                <w:rFonts w:eastAsia="Times New Roman"/>
                <w:sz w:val="20"/>
                <w:szCs w:val="20"/>
              </w:rPr>
              <w:t>RSUs forfeited</w:t>
            </w:r>
          </w:p>
        </w:tc>
        <w:tc>
          <w:tcPr>
            <w:tcW w:w="0" w:type="auto"/>
            <w:shd w:val="clear" w:color="auto" w:fill="FFFFFF"/>
            <w:tcMar>
              <w:top w:w="0" w:type="dxa"/>
              <w:left w:w="0" w:type="dxa"/>
              <w:bottom w:w="30" w:type="dxa"/>
              <w:right w:w="0" w:type="dxa"/>
            </w:tcMar>
            <w:vAlign w:val="bottom"/>
            <w:hideMark/>
          </w:tcPr>
          <w:p w14:paraId="2D97561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1CE571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3F00A0A" w14:textId="77777777" w:rsidR="00000000" w:rsidRDefault="001826C1">
            <w:pPr>
              <w:jc w:val="right"/>
              <w:rPr>
                <w:rFonts w:eastAsia="Times New Roman"/>
                <w:sz w:val="20"/>
                <w:szCs w:val="20"/>
              </w:rPr>
            </w:pPr>
            <w:r>
              <w:rPr>
                <w:rFonts w:eastAsia="Times New Roman"/>
                <w:sz w:val="20"/>
                <w:szCs w:val="20"/>
              </w:rPr>
              <w:t>43,756</w:t>
            </w:r>
          </w:p>
        </w:tc>
        <w:tc>
          <w:tcPr>
            <w:tcW w:w="0" w:type="auto"/>
            <w:shd w:val="clear" w:color="auto" w:fill="FFFFFF"/>
            <w:tcMar>
              <w:top w:w="0" w:type="dxa"/>
              <w:left w:w="0" w:type="dxa"/>
              <w:bottom w:w="30" w:type="dxa"/>
              <w:right w:w="0" w:type="dxa"/>
            </w:tcMar>
            <w:vAlign w:val="bottom"/>
            <w:hideMark/>
          </w:tcPr>
          <w:p w14:paraId="2ABDDEB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5115544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A4F7DD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9C5F1B"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07F93DCB" w14:textId="77777777" w:rsidR="00000000" w:rsidRDefault="001826C1">
            <w:pPr>
              <w:rPr>
                <w:rFonts w:eastAsia="Times New Roman"/>
                <w:sz w:val="20"/>
                <w:szCs w:val="20"/>
              </w:rPr>
            </w:pPr>
            <w:r>
              <w:rPr>
                <w:rFonts w:eastAsia="Times New Roman"/>
                <w:sz w:val="20"/>
                <w:szCs w:val="20"/>
              </w:rPr>
              <w:t> </w:t>
            </w:r>
          </w:p>
        </w:tc>
      </w:tr>
      <w:tr w:rsidR="00000000" w14:paraId="662115C1" w14:textId="77777777">
        <w:tc>
          <w:tcPr>
            <w:tcW w:w="0" w:type="auto"/>
            <w:shd w:val="clear" w:color="auto" w:fill="CCEEFF"/>
            <w:vAlign w:val="bottom"/>
            <w:hideMark/>
          </w:tcPr>
          <w:p w14:paraId="276FABC1" w14:textId="77777777" w:rsidR="00000000" w:rsidRDefault="001826C1">
            <w:pPr>
              <w:rPr>
                <w:rFonts w:eastAsia="Times New Roman"/>
                <w:sz w:val="20"/>
                <w:szCs w:val="20"/>
              </w:rPr>
            </w:pPr>
            <w:r>
              <w:rPr>
                <w:rFonts w:eastAsia="Times New Roman"/>
                <w:sz w:val="20"/>
                <w:szCs w:val="20"/>
              </w:rPr>
              <w:t>Shares available for grant at December 31, 2018</w:t>
            </w:r>
          </w:p>
        </w:tc>
        <w:tc>
          <w:tcPr>
            <w:tcW w:w="0" w:type="auto"/>
            <w:shd w:val="clear" w:color="auto" w:fill="CCEEFF"/>
            <w:vAlign w:val="bottom"/>
            <w:hideMark/>
          </w:tcPr>
          <w:p w14:paraId="021CC2F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46F310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B8AA18" w14:textId="77777777" w:rsidR="00000000" w:rsidRDefault="001826C1">
            <w:pPr>
              <w:jc w:val="right"/>
              <w:rPr>
                <w:rFonts w:eastAsia="Times New Roman"/>
                <w:sz w:val="20"/>
                <w:szCs w:val="20"/>
              </w:rPr>
            </w:pPr>
            <w:r>
              <w:rPr>
                <w:rFonts w:eastAsia="Times New Roman"/>
                <w:sz w:val="20"/>
                <w:szCs w:val="20"/>
              </w:rPr>
              <w:t>547,790</w:t>
            </w:r>
          </w:p>
        </w:tc>
        <w:tc>
          <w:tcPr>
            <w:tcW w:w="0" w:type="auto"/>
            <w:shd w:val="clear" w:color="auto" w:fill="CCEEFF"/>
            <w:vAlign w:val="bottom"/>
            <w:hideMark/>
          </w:tcPr>
          <w:p w14:paraId="3F622F5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BDEC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2D6FC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270C32" w14:textId="77777777" w:rsidR="00000000" w:rsidRDefault="001826C1">
            <w:pPr>
              <w:jc w:val="right"/>
              <w:rPr>
                <w:rFonts w:eastAsia="Times New Roman"/>
                <w:sz w:val="20"/>
                <w:szCs w:val="20"/>
              </w:rPr>
            </w:pPr>
            <w:r>
              <w:rPr>
                <w:rFonts w:eastAsia="Times New Roman"/>
                <w:sz w:val="20"/>
                <w:szCs w:val="20"/>
              </w:rPr>
              <w:t>182,400</w:t>
            </w:r>
          </w:p>
        </w:tc>
        <w:tc>
          <w:tcPr>
            <w:tcW w:w="0" w:type="auto"/>
            <w:shd w:val="clear" w:color="auto" w:fill="CCEEFF"/>
            <w:vAlign w:val="bottom"/>
            <w:hideMark/>
          </w:tcPr>
          <w:p w14:paraId="540BDCC3" w14:textId="77777777" w:rsidR="00000000" w:rsidRDefault="001826C1">
            <w:pPr>
              <w:rPr>
                <w:rFonts w:eastAsia="Times New Roman"/>
                <w:sz w:val="20"/>
                <w:szCs w:val="20"/>
              </w:rPr>
            </w:pPr>
            <w:r>
              <w:rPr>
                <w:rFonts w:eastAsia="Times New Roman"/>
                <w:sz w:val="20"/>
                <w:szCs w:val="20"/>
              </w:rPr>
              <w:t> </w:t>
            </w:r>
          </w:p>
        </w:tc>
      </w:tr>
      <w:tr w:rsidR="00000000" w14:paraId="56BF8C20" w14:textId="77777777">
        <w:tc>
          <w:tcPr>
            <w:tcW w:w="0" w:type="auto"/>
            <w:shd w:val="clear" w:color="auto" w:fill="FFFFFF"/>
            <w:vAlign w:val="bottom"/>
            <w:hideMark/>
          </w:tcPr>
          <w:p w14:paraId="1E4C830E" w14:textId="77777777" w:rsidR="00000000" w:rsidRDefault="001826C1">
            <w:pPr>
              <w:rPr>
                <w:rFonts w:eastAsia="Times New Roman"/>
                <w:sz w:val="20"/>
                <w:szCs w:val="20"/>
              </w:rPr>
            </w:pPr>
            <w:r>
              <w:rPr>
                <w:rFonts w:eastAsia="Times New Roman"/>
                <w:sz w:val="20"/>
                <w:szCs w:val="20"/>
              </w:rPr>
              <w:t>RSUs granted</w:t>
            </w:r>
          </w:p>
        </w:tc>
        <w:tc>
          <w:tcPr>
            <w:tcW w:w="0" w:type="auto"/>
            <w:shd w:val="clear" w:color="auto" w:fill="FFFFFF"/>
            <w:vAlign w:val="bottom"/>
            <w:hideMark/>
          </w:tcPr>
          <w:p w14:paraId="784C5F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504A37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FF5A67" w14:textId="77777777" w:rsidR="00000000" w:rsidRDefault="001826C1">
            <w:pPr>
              <w:jc w:val="right"/>
              <w:rPr>
                <w:rFonts w:eastAsia="Times New Roman"/>
                <w:sz w:val="20"/>
                <w:szCs w:val="20"/>
              </w:rPr>
            </w:pPr>
            <w:r>
              <w:rPr>
                <w:rFonts w:eastAsia="Times New Roman"/>
                <w:sz w:val="20"/>
                <w:szCs w:val="20"/>
              </w:rPr>
              <w:t>(180,000</w:t>
            </w:r>
          </w:p>
        </w:tc>
        <w:tc>
          <w:tcPr>
            <w:tcW w:w="0" w:type="auto"/>
            <w:shd w:val="clear" w:color="auto" w:fill="FFFFFF"/>
            <w:vAlign w:val="bottom"/>
            <w:hideMark/>
          </w:tcPr>
          <w:p w14:paraId="083C0347"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015676D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18CF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F03996" w14:textId="77777777" w:rsidR="00000000" w:rsidRDefault="001826C1">
            <w:pPr>
              <w:jc w:val="right"/>
              <w:rPr>
                <w:rFonts w:eastAsia="Times New Roman"/>
                <w:sz w:val="20"/>
                <w:szCs w:val="20"/>
              </w:rPr>
            </w:pPr>
            <w:r>
              <w:rPr>
                <w:rFonts w:eastAsia="Times New Roman"/>
                <w:sz w:val="20"/>
                <w:szCs w:val="20"/>
              </w:rPr>
              <w:t>(48,746</w:t>
            </w:r>
          </w:p>
        </w:tc>
        <w:tc>
          <w:tcPr>
            <w:tcW w:w="0" w:type="auto"/>
            <w:shd w:val="clear" w:color="auto" w:fill="FFFFFF"/>
            <w:vAlign w:val="bottom"/>
            <w:hideMark/>
          </w:tcPr>
          <w:p w14:paraId="79DE0DAD" w14:textId="77777777" w:rsidR="00000000" w:rsidRDefault="001826C1">
            <w:pPr>
              <w:rPr>
                <w:rFonts w:eastAsia="Times New Roman"/>
                <w:sz w:val="20"/>
                <w:szCs w:val="20"/>
              </w:rPr>
            </w:pPr>
            <w:r>
              <w:rPr>
                <w:rFonts w:eastAsia="Times New Roman"/>
                <w:sz w:val="20"/>
                <w:szCs w:val="20"/>
              </w:rPr>
              <w:t>)</w:t>
            </w:r>
          </w:p>
        </w:tc>
      </w:tr>
      <w:tr w:rsidR="00000000" w14:paraId="670A3D84" w14:textId="77777777">
        <w:tc>
          <w:tcPr>
            <w:tcW w:w="0" w:type="auto"/>
            <w:shd w:val="clear" w:color="auto" w:fill="CCEEFF"/>
            <w:tcMar>
              <w:top w:w="0" w:type="dxa"/>
              <w:left w:w="0" w:type="dxa"/>
              <w:bottom w:w="30" w:type="dxa"/>
              <w:right w:w="0" w:type="dxa"/>
            </w:tcMar>
            <w:vAlign w:val="bottom"/>
            <w:hideMark/>
          </w:tcPr>
          <w:p w14:paraId="0D6F7F38" w14:textId="77777777" w:rsidR="00000000" w:rsidRDefault="001826C1">
            <w:pPr>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14:paraId="097047C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7EA59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CA354D8" w14:textId="77777777" w:rsidR="00000000" w:rsidRDefault="001826C1">
            <w:pPr>
              <w:jc w:val="right"/>
              <w:rPr>
                <w:rFonts w:eastAsia="Times New Roman"/>
                <w:sz w:val="20"/>
                <w:szCs w:val="20"/>
              </w:rPr>
            </w:pPr>
            <w:r>
              <w:rPr>
                <w:rFonts w:eastAsia="Times New Roman"/>
                <w:sz w:val="20"/>
                <w:szCs w:val="20"/>
              </w:rPr>
              <w:t>33,948</w:t>
            </w:r>
          </w:p>
        </w:tc>
        <w:tc>
          <w:tcPr>
            <w:tcW w:w="0" w:type="auto"/>
            <w:shd w:val="clear" w:color="auto" w:fill="CCEEFF"/>
            <w:tcMar>
              <w:top w:w="0" w:type="dxa"/>
              <w:left w:w="0" w:type="dxa"/>
              <w:bottom w:w="30" w:type="dxa"/>
              <w:right w:w="0" w:type="dxa"/>
            </w:tcMar>
            <w:vAlign w:val="bottom"/>
            <w:hideMark/>
          </w:tcPr>
          <w:p w14:paraId="40FAA4C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A905CF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F4BD83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B3417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6E3AA55" w14:textId="77777777" w:rsidR="00000000" w:rsidRDefault="001826C1">
            <w:pPr>
              <w:rPr>
                <w:rFonts w:eastAsia="Times New Roman"/>
                <w:sz w:val="20"/>
                <w:szCs w:val="20"/>
              </w:rPr>
            </w:pPr>
            <w:r>
              <w:rPr>
                <w:rFonts w:eastAsia="Times New Roman"/>
                <w:sz w:val="20"/>
                <w:szCs w:val="20"/>
              </w:rPr>
              <w:t> </w:t>
            </w:r>
          </w:p>
        </w:tc>
      </w:tr>
      <w:tr w:rsidR="00000000" w14:paraId="07A9D889" w14:textId="77777777">
        <w:tc>
          <w:tcPr>
            <w:tcW w:w="0" w:type="auto"/>
            <w:shd w:val="clear" w:color="auto" w:fill="FFFFFF"/>
            <w:tcMar>
              <w:top w:w="0" w:type="dxa"/>
              <w:left w:w="0" w:type="dxa"/>
              <w:bottom w:w="50" w:type="dxa"/>
              <w:right w:w="0" w:type="dxa"/>
            </w:tcMar>
            <w:vAlign w:val="bottom"/>
            <w:hideMark/>
          </w:tcPr>
          <w:p w14:paraId="0EE6EB77" w14:textId="77777777" w:rsidR="00000000" w:rsidRDefault="001826C1">
            <w:pPr>
              <w:rPr>
                <w:rFonts w:eastAsia="Times New Roman"/>
                <w:sz w:val="20"/>
                <w:szCs w:val="20"/>
              </w:rPr>
            </w:pPr>
            <w:r>
              <w:rPr>
                <w:rFonts w:eastAsia="Times New Roman"/>
                <w:sz w:val="20"/>
                <w:szCs w:val="20"/>
              </w:rPr>
              <w:t>Shares available for grant at December 31, 2019</w:t>
            </w:r>
          </w:p>
        </w:tc>
        <w:tc>
          <w:tcPr>
            <w:tcW w:w="0" w:type="auto"/>
            <w:shd w:val="clear" w:color="auto" w:fill="FFFFFF"/>
            <w:tcMar>
              <w:top w:w="0" w:type="dxa"/>
              <w:left w:w="0" w:type="dxa"/>
              <w:bottom w:w="50" w:type="dxa"/>
              <w:right w:w="0" w:type="dxa"/>
            </w:tcMar>
            <w:vAlign w:val="bottom"/>
            <w:hideMark/>
          </w:tcPr>
          <w:p w14:paraId="4BE3E70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122FD9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66761F9" w14:textId="77777777" w:rsidR="00000000" w:rsidRDefault="001826C1">
            <w:pPr>
              <w:jc w:val="right"/>
              <w:rPr>
                <w:rFonts w:eastAsia="Times New Roman"/>
                <w:sz w:val="20"/>
                <w:szCs w:val="20"/>
              </w:rPr>
            </w:pPr>
            <w:r>
              <w:rPr>
                <w:rFonts w:eastAsia="Times New Roman"/>
                <w:sz w:val="20"/>
                <w:szCs w:val="20"/>
              </w:rPr>
              <w:t>401,738</w:t>
            </w:r>
          </w:p>
        </w:tc>
        <w:tc>
          <w:tcPr>
            <w:tcW w:w="0" w:type="auto"/>
            <w:shd w:val="clear" w:color="auto" w:fill="FFFFFF"/>
            <w:tcMar>
              <w:top w:w="0" w:type="dxa"/>
              <w:left w:w="0" w:type="dxa"/>
              <w:bottom w:w="50" w:type="dxa"/>
              <w:right w:w="0" w:type="dxa"/>
            </w:tcMar>
            <w:vAlign w:val="bottom"/>
            <w:hideMark/>
          </w:tcPr>
          <w:p w14:paraId="3726585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5516C59C"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5A7D5A0"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2BB40CD" w14:textId="77777777" w:rsidR="00000000" w:rsidRDefault="001826C1">
            <w:pPr>
              <w:jc w:val="right"/>
              <w:rPr>
                <w:rFonts w:eastAsia="Times New Roman"/>
                <w:sz w:val="20"/>
                <w:szCs w:val="20"/>
              </w:rPr>
            </w:pPr>
            <w:r>
              <w:rPr>
                <w:rFonts w:eastAsia="Times New Roman"/>
                <w:sz w:val="20"/>
                <w:szCs w:val="20"/>
              </w:rPr>
              <w:t>133,654</w:t>
            </w:r>
          </w:p>
        </w:tc>
        <w:tc>
          <w:tcPr>
            <w:tcW w:w="0" w:type="auto"/>
            <w:shd w:val="clear" w:color="auto" w:fill="FFFFFF"/>
            <w:tcMar>
              <w:top w:w="0" w:type="dxa"/>
              <w:left w:w="0" w:type="dxa"/>
              <w:bottom w:w="50" w:type="dxa"/>
              <w:right w:w="0" w:type="dxa"/>
            </w:tcMar>
            <w:vAlign w:val="bottom"/>
            <w:hideMark/>
          </w:tcPr>
          <w:p w14:paraId="14B1E4F9" w14:textId="77777777" w:rsidR="00000000" w:rsidRDefault="001826C1">
            <w:pPr>
              <w:rPr>
                <w:rFonts w:eastAsia="Times New Roman"/>
                <w:sz w:val="20"/>
                <w:szCs w:val="20"/>
              </w:rPr>
            </w:pPr>
            <w:r>
              <w:rPr>
                <w:rFonts w:eastAsia="Times New Roman"/>
                <w:sz w:val="20"/>
                <w:szCs w:val="20"/>
              </w:rPr>
              <w:t> </w:t>
            </w:r>
          </w:p>
        </w:tc>
      </w:tr>
    </w:tbl>
    <w:p w14:paraId="19E4BC77" w14:textId="77777777" w:rsidR="00000000" w:rsidRDefault="001826C1">
      <w:pPr>
        <w:pStyle w:val="a3"/>
        <w:spacing w:before="0" w:beforeAutospacing="0" w:after="0" w:afterAutospacing="0"/>
        <w:jc w:val="both"/>
        <w:rPr>
          <w:sz w:val="20"/>
          <w:szCs w:val="20"/>
        </w:rPr>
      </w:pPr>
      <w:r>
        <w:rPr>
          <w:sz w:val="20"/>
          <w:szCs w:val="20"/>
        </w:rPr>
        <w:t> </w:t>
      </w:r>
    </w:p>
    <w:p w14:paraId="771ED9A6" w14:textId="77777777" w:rsidR="00000000" w:rsidRDefault="001826C1">
      <w:pPr>
        <w:pStyle w:val="a3"/>
        <w:spacing w:before="0" w:beforeAutospacing="0" w:after="0" w:afterAutospacing="0"/>
        <w:jc w:val="both"/>
        <w:rPr>
          <w:sz w:val="20"/>
          <w:szCs w:val="20"/>
        </w:rPr>
      </w:pPr>
      <w:r>
        <w:rPr>
          <w:sz w:val="20"/>
          <w:szCs w:val="20"/>
        </w:rPr>
        <w:t>The liability for the cash-settled awards was approximately $741,000 and $118,000 at December 31, 2019 and 2018, respectively, and is included in accrued compensation in the consolidated balance sheets. During the years ended December 31, 2019 and 2018, ap</w:t>
      </w:r>
      <w:r>
        <w:rPr>
          <w:sz w:val="20"/>
          <w:szCs w:val="20"/>
        </w:rPr>
        <w:t>proximately $184,000 and $39,000, respectively, was paid in connection with the cash-settled awards.</w:t>
      </w:r>
    </w:p>
    <w:p w14:paraId="7590ACE3"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66D07897" w14:textId="77777777">
        <w:trPr>
          <w:divId w:val="612903441"/>
        </w:trPr>
        <w:tc>
          <w:tcPr>
            <w:tcW w:w="5000" w:type="pct"/>
            <w:hideMark/>
          </w:tcPr>
          <w:p w14:paraId="4A457CC5"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2</w:t>
            </w:r>
            <w:r>
              <w:rPr>
                <w:rFonts w:eastAsia="Times New Roman"/>
                <w:sz w:val="20"/>
                <w:szCs w:val="20"/>
              </w:rPr>
              <w:t>9</w:t>
            </w:r>
          </w:p>
        </w:tc>
      </w:tr>
    </w:tbl>
    <w:tbl>
      <w:tblPr>
        <w:tblW w:w="5000" w:type="pct"/>
        <w:tblCellMar>
          <w:left w:w="0" w:type="dxa"/>
          <w:right w:w="0" w:type="dxa"/>
        </w:tblCellMar>
        <w:tblLook w:val="04A0" w:firstRow="1" w:lastRow="0" w:firstColumn="1" w:lastColumn="0" w:noHBand="0" w:noVBand="1"/>
      </w:tblPr>
      <w:tblGrid>
        <w:gridCol w:w="8306"/>
      </w:tblGrid>
      <w:tr w:rsidR="00000000" w14:paraId="69C57649" w14:textId="77777777">
        <w:tc>
          <w:tcPr>
            <w:tcW w:w="5000" w:type="pct"/>
            <w:hideMark/>
          </w:tcPr>
          <w:p w14:paraId="66AF2FB1" w14:textId="77777777" w:rsidR="00000000" w:rsidRDefault="001826C1">
            <w:pPr>
              <w:jc w:val="center"/>
              <w:rPr>
                <w:rFonts w:eastAsia="Times New Roman"/>
                <w:sz w:val="20"/>
                <w:szCs w:val="20"/>
              </w:rPr>
            </w:pPr>
            <w:r>
              <w:rPr>
                <w:rFonts w:eastAsia="Times New Roman"/>
                <w:sz w:val="20"/>
                <w:szCs w:val="20"/>
              </w:rPr>
              <w:t> </w:t>
            </w:r>
          </w:p>
        </w:tc>
      </w:tr>
    </w:tbl>
    <w:p w14:paraId="5757B851" w14:textId="77777777" w:rsidR="00000000" w:rsidRDefault="001826C1">
      <w:pPr>
        <w:pStyle w:val="a3"/>
        <w:spacing w:before="0" w:beforeAutospacing="0" w:after="0" w:afterAutospacing="0"/>
        <w:jc w:val="both"/>
        <w:rPr>
          <w:sz w:val="20"/>
          <w:szCs w:val="20"/>
        </w:rPr>
      </w:pPr>
      <w:r>
        <w:rPr>
          <w:sz w:val="20"/>
          <w:szCs w:val="20"/>
        </w:rPr>
        <w:t> </w:t>
      </w:r>
    </w:p>
    <w:p w14:paraId="5B46E78C" w14:textId="77777777" w:rsidR="00000000" w:rsidRDefault="001826C1">
      <w:pPr>
        <w:pStyle w:val="a3"/>
        <w:spacing w:before="0" w:beforeAutospacing="0" w:after="0" w:afterAutospacing="0"/>
        <w:jc w:val="both"/>
        <w:rPr>
          <w:sz w:val="20"/>
          <w:szCs w:val="20"/>
        </w:rPr>
      </w:pPr>
      <w:r>
        <w:rPr>
          <w:b/>
          <w:bCs/>
          <w:i/>
          <w:iCs/>
          <w:sz w:val="20"/>
          <w:szCs w:val="20"/>
          <w:u w:val="single"/>
        </w:rPr>
        <w:t>Preferred Stock</w:t>
      </w:r>
    </w:p>
    <w:p w14:paraId="4A2DC3D2" w14:textId="77777777" w:rsidR="00000000" w:rsidRDefault="001826C1">
      <w:pPr>
        <w:pStyle w:val="a3"/>
        <w:spacing w:before="0" w:beforeAutospacing="0" w:after="0" w:afterAutospacing="0"/>
        <w:jc w:val="both"/>
        <w:rPr>
          <w:sz w:val="20"/>
          <w:szCs w:val="20"/>
        </w:rPr>
      </w:pPr>
      <w:r>
        <w:rPr>
          <w:b/>
          <w:bCs/>
          <w:i/>
          <w:iCs/>
          <w:sz w:val="20"/>
          <w:szCs w:val="20"/>
        </w:rPr>
        <w:t> </w:t>
      </w:r>
    </w:p>
    <w:p w14:paraId="58BE2096" w14:textId="77777777" w:rsidR="00000000" w:rsidRDefault="001826C1">
      <w:pPr>
        <w:pStyle w:val="a3"/>
        <w:spacing w:before="0" w:beforeAutospacing="0" w:after="0" w:afterAutospacing="0"/>
        <w:jc w:val="both"/>
        <w:rPr>
          <w:sz w:val="20"/>
          <w:szCs w:val="20"/>
        </w:rPr>
      </w:pPr>
      <w:r>
        <w:rPr>
          <w:sz w:val="20"/>
          <w:szCs w:val="20"/>
        </w:rPr>
        <w:t xml:space="preserve">In 2019 and </w:t>
      </w:r>
      <w:r>
        <w:rPr>
          <w:sz w:val="20"/>
          <w:szCs w:val="20"/>
        </w:rPr>
        <w:t xml:space="preserve">2018, the Compensation Committee approved executive bonuses to be paid in 44,000 and 40,000 shares respectively of Preferred Stock, with the final number of shares and the amount based on specified performance criteria being achieved during 2019 and 2018. </w:t>
      </w:r>
      <w:r>
        <w:rPr>
          <w:sz w:val="20"/>
          <w:szCs w:val="20"/>
        </w:rPr>
        <w:t>In 2019, 4,746 shares of Preferred Stock were granted as performance bonuses and in lieu of sales commissions. In 2018, an additional Preferred Stock award of 4,800 shares was granted as a performance bonus to one employee. Stock-based compensation expense</w:t>
      </w:r>
      <w:r>
        <w:rPr>
          <w:sz w:val="20"/>
          <w:szCs w:val="20"/>
        </w:rPr>
        <w:t xml:space="preserve"> recorded during 2019 and 2018 for these awards was approximately $1.3 million and $1.2 million respectively, based on the fair value of the Preferred Shares on the grant date. During January 2020 and February 2019, the Compensation Committee determined th</w:t>
      </w:r>
      <w:r>
        <w:rPr>
          <w:sz w:val="20"/>
          <w:szCs w:val="20"/>
        </w:rPr>
        <w:t>at the financial objectives were attained and all of the shares were issued including the performance bonus shares.</w:t>
      </w:r>
    </w:p>
    <w:p w14:paraId="10F4F768" w14:textId="77777777" w:rsidR="00000000" w:rsidRDefault="001826C1">
      <w:pPr>
        <w:pStyle w:val="a3"/>
        <w:spacing w:before="0" w:beforeAutospacing="0" w:after="0" w:afterAutospacing="0"/>
        <w:jc w:val="both"/>
        <w:rPr>
          <w:sz w:val="20"/>
          <w:szCs w:val="20"/>
        </w:rPr>
      </w:pPr>
      <w:r>
        <w:rPr>
          <w:sz w:val="20"/>
          <w:szCs w:val="20"/>
        </w:rPr>
        <w:t> </w:t>
      </w:r>
    </w:p>
    <w:p w14:paraId="20C40D40" w14:textId="77777777" w:rsidR="00000000" w:rsidRDefault="001826C1">
      <w:pPr>
        <w:pStyle w:val="a3"/>
        <w:spacing w:before="0" w:beforeAutospacing="0" w:after="0" w:afterAutospacing="0"/>
        <w:jc w:val="both"/>
        <w:rPr>
          <w:sz w:val="20"/>
          <w:szCs w:val="20"/>
        </w:rPr>
      </w:pPr>
      <w:r>
        <w:rPr>
          <w:b/>
          <w:bCs/>
          <w:i/>
          <w:iCs/>
          <w:sz w:val="20"/>
          <w:szCs w:val="20"/>
          <w:u w:val="single"/>
        </w:rPr>
        <w:t>Stock-based compensation expense</w:t>
      </w:r>
    </w:p>
    <w:p w14:paraId="1C3D1A22" w14:textId="77777777" w:rsidR="00000000" w:rsidRDefault="001826C1">
      <w:pPr>
        <w:pStyle w:val="a3"/>
        <w:spacing w:before="0" w:beforeAutospacing="0" w:after="0" w:afterAutospacing="0"/>
        <w:jc w:val="both"/>
        <w:rPr>
          <w:sz w:val="20"/>
          <w:szCs w:val="20"/>
        </w:rPr>
      </w:pPr>
      <w:r>
        <w:rPr>
          <w:b/>
          <w:bCs/>
          <w:i/>
          <w:iCs/>
          <w:sz w:val="20"/>
          <w:szCs w:val="20"/>
        </w:rPr>
        <w:t> </w:t>
      </w:r>
    </w:p>
    <w:p w14:paraId="6F204192" w14:textId="77777777" w:rsidR="00000000" w:rsidRDefault="001826C1">
      <w:pPr>
        <w:pStyle w:val="a3"/>
        <w:spacing w:before="0" w:beforeAutospacing="0" w:after="0" w:afterAutospacing="0"/>
        <w:jc w:val="both"/>
        <w:rPr>
          <w:sz w:val="20"/>
          <w:szCs w:val="20"/>
        </w:rPr>
      </w:pPr>
      <w:r>
        <w:rPr>
          <w:sz w:val="20"/>
          <w:szCs w:val="20"/>
        </w:rPr>
        <w:t>The Company recognizes compensation expense on a straight-line basis over the total requisite service p</w:t>
      </w:r>
      <w:r>
        <w:rPr>
          <w:sz w:val="20"/>
          <w:szCs w:val="20"/>
        </w:rPr>
        <w:t>eriod for the entire award. For stock awards classified as equity the market price of our common stock or Preferred Stock on the date of grant is used in recording the fair value of the award. For stock awards classified as a liability, the earned amount i</w:t>
      </w:r>
      <w:r>
        <w:rPr>
          <w:sz w:val="20"/>
          <w:szCs w:val="20"/>
        </w:rPr>
        <w:t>s marked to market based on the end of period common stock price. The weighted average grant date fair value of the common stock price in connection with the RSUs classified as equity was $4.87 and $4.53 for the years ended December 31, 2019 and 2018, resp</w:t>
      </w:r>
      <w:r>
        <w:rPr>
          <w:sz w:val="20"/>
          <w:szCs w:val="20"/>
        </w:rPr>
        <w:t>ectively. The weighted average grant date fair value of the Preferred Stock in connection with the RSUs was $26.77 and $25.00 for the years ended December 31, 2019 and 2018, respectively. The following table summarizes the components of stock-based compens</w:t>
      </w:r>
      <w:r>
        <w:rPr>
          <w:sz w:val="20"/>
          <w:szCs w:val="20"/>
        </w:rPr>
        <w:t>ation expense for the years ended December 31, 2019 and 2018:</w:t>
      </w:r>
    </w:p>
    <w:p w14:paraId="43807939" w14:textId="77777777" w:rsidR="00000000" w:rsidRDefault="001826C1">
      <w:pPr>
        <w:pStyle w:val="a3"/>
        <w:spacing w:before="0" w:beforeAutospacing="0" w:after="0" w:afterAutospacing="0"/>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243"/>
        <w:gridCol w:w="123"/>
        <w:gridCol w:w="100"/>
        <w:gridCol w:w="920"/>
        <w:gridCol w:w="57"/>
        <w:gridCol w:w="124"/>
        <w:gridCol w:w="100"/>
        <w:gridCol w:w="921"/>
        <w:gridCol w:w="57"/>
      </w:tblGrid>
      <w:tr w:rsidR="00000000" w14:paraId="5166D9AC" w14:textId="77777777">
        <w:tc>
          <w:tcPr>
            <w:tcW w:w="0" w:type="auto"/>
            <w:tcMar>
              <w:top w:w="0" w:type="dxa"/>
              <w:left w:w="0" w:type="dxa"/>
              <w:bottom w:w="30" w:type="dxa"/>
              <w:right w:w="0" w:type="dxa"/>
            </w:tcMar>
            <w:vAlign w:val="bottom"/>
            <w:hideMark/>
          </w:tcPr>
          <w:p w14:paraId="32B74ADC" w14:textId="77777777" w:rsidR="00000000" w:rsidRDefault="001826C1">
            <w:pPr>
              <w:rPr>
                <w:rFonts w:eastAsia="Times New Roman"/>
                <w:b/>
                <w:bCs/>
                <w:sz w:val="20"/>
                <w:szCs w:val="20"/>
              </w:rPr>
            </w:pPr>
            <w:r>
              <w:rPr>
                <w:rFonts w:eastAsia="Times New Roman"/>
                <w:b/>
                <w:bCs/>
                <w:sz w:val="20"/>
                <w:szCs w:val="20"/>
              </w:rPr>
              <w:t xml:space="preserve">Stock-based compensation included in the </w:t>
            </w:r>
            <w:r>
              <w:rPr>
                <w:rFonts w:eastAsia="Times New Roman"/>
                <w:b/>
                <w:bCs/>
                <w:sz w:val="20"/>
                <w:szCs w:val="20"/>
              </w:rPr>
              <w:br/>
              <w:t>consolidated statements of operations:</w:t>
            </w:r>
          </w:p>
        </w:tc>
        <w:tc>
          <w:tcPr>
            <w:tcW w:w="0" w:type="auto"/>
            <w:tcMar>
              <w:top w:w="0" w:type="dxa"/>
              <w:left w:w="0" w:type="dxa"/>
              <w:bottom w:w="30" w:type="dxa"/>
              <w:right w:w="0" w:type="dxa"/>
            </w:tcMar>
            <w:vAlign w:val="bottom"/>
            <w:hideMark/>
          </w:tcPr>
          <w:p w14:paraId="3CBFBAE1"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271253A" w14:textId="77777777" w:rsidR="00000000" w:rsidRDefault="001826C1">
            <w:pPr>
              <w:jc w:val="center"/>
              <w:rPr>
                <w:rFonts w:eastAsia="Times New Roman"/>
                <w:b/>
                <w:bCs/>
                <w:sz w:val="20"/>
                <w:szCs w:val="20"/>
              </w:rPr>
            </w:pPr>
            <w:r>
              <w:rPr>
                <w:rFonts w:eastAsia="Times New Roman"/>
                <w:b/>
                <w:bCs/>
                <w:sz w:val="20"/>
                <w:szCs w:val="20"/>
              </w:rPr>
              <w:t>December 31,</w:t>
            </w:r>
          </w:p>
        </w:tc>
        <w:tc>
          <w:tcPr>
            <w:tcW w:w="0" w:type="auto"/>
            <w:tcMar>
              <w:top w:w="0" w:type="dxa"/>
              <w:left w:w="0" w:type="dxa"/>
              <w:bottom w:w="30" w:type="dxa"/>
              <w:right w:w="0" w:type="dxa"/>
            </w:tcMar>
            <w:vAlign w:val="bottom"/>
            <w:hideMark/>
          </w:tcPr>
          <w:p w14:paraId="69ADF397" w14:textId="77777777" w:rsidR="00000000" w:rsidRDefault="001826C1">
            <w:pPr>
              <w:rPr>
                <w:rFonts w:eastAsia="Times New Roman"/>
                <w:b/>
                <w:bCs/>
                <w:sz w:val="20"/>
                <w:szCs w:val="20"/>
              </w:rPr>
            </w:pPr>
            <w:r>
              <w:rPr>
                <w:rFonts w:eastAsia="Times New Roman"/>
                <w:b/>
                <w:bCs/>
                <w:sz w:val="20"/>
                <w:szCs w:val="20"/>
              </w:rPr>
              <w:t> </w:t>
            </w:r>
          </w:p>
        </w:tc>
      </w:tr>
      <w:tr w:rsidR="00000000" w14:paraId="7B23FED1" w14:textId="77777777">
        <w:tc>
          <w:tcPr>
            <w:tcW w:w="0" w:type="auto"/>
            <w:vAlign w:val="bottom"/>
            <w:hideMark/>
          </w:tcPr>
          <w:p w14:paraId="71B971F3" w14:textId="77777777" w:rsidR="00000000" w:rsidRDefault="001826C1">
            <w:pP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14:paraId="725568A4"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19C5509"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577250A"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76D4EA9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1397E25"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75A94E0B" w14:textId="77777777" w:rsidR="00000000" w:rsidRDefault="001826C1">
            <w:pPr>
              <w:rPr>
                <w:rFonts w:eastAsia="Times New Roman"/>
                <w:b/>
                <w:bCs/>
                <w:sz w:val="20"/>
                <w:szCs w:val="20"/>
              </w:rPr>
            </w:pPr>
            <w:r>
              <w:rPr>
                <w:rFonts w:eastAsia="Times New Roman"/>
                <w:b/>
                <w:bCs/>
                <w:sz w:val="20"/>
                <w:szCs w:val="20"/>
              </w:rPr>
              <w:t> </w:t>
            </w:r>
          </w:p>
        </w:tc>
      </w:tr>
      <w:tr w:rsidR="00000000" w14:paraId="00663DA1" w14:textId="77777777">
        <w:tc>
          <w:tcPr>
            <w:tcW w:w="0" w:type="auto"/>
            <w:vAlign w:val="bottom"/>
            <w:hideMark/>
          </w:tcPr>
          <w:p w14:paraId="2EF39DD3" w14:textId="77777777" w:rsidR="00000000" w:rsidRDefault="001826C1">
            <w:pPr>
              <w:rPr>
                <w:rFonts w:eastAsia="Times New Roman"/>
                <w:sz w:val="22"/>
                <w:szCs w:val="22"/>
              </w:rPr>
            </w:pPr>
            <w:r>
              <w:rPr>
                <w:rFonts w:eastAsia="Times New Roman"/>
                <w:sz w:val="22"/>
                <w:szCs w:val="22"/>
              </w:rPr>
              <w:t> </w:t>
            </w:r>
          </w:p>
        </w:tc>
        <w:tc>
          <w:tcPr>
            <w:tcW w:w="0" w:type="auto"/>
            <w:vAlign w:val="bottom"/>
            <w:hideMark/>
          </w:tcPr>
          <w:p w14:paraId="52FA71E8" w14:textId="77777777" w:rsidR="00000000" w:rsidRDefault="001826C1">
            <w:pPr>
              <w:rPr>
                <w:rFonts w:eastAsia="Times New Roman"/>
                <w:sz w:val="22"/>
                <w:szCs w:val="22"/>
              </w:rPr>
            </w:pPr>
            <w:r>
              <w:rPr>
                <w:rFonts w:eastAsia="Times New Roman"/>
                <w:sz w:val="22"/>
                <w:szCs w:val="22"/>
              </w:rPr>
              <w:t> </w:t>
            </w:r>
          </w:p>
        </w:tc>
        <w:tc>
          <w:tcPr>
            <w:tcW w:w="0" w:type="auto"/>
            <w:gridSpan w:val="2"/>
            <w:vAlign w:val="bottom"/>
            <w:hideMark/>
          </w:tcPr>
          <w:p w14:paraId="6CF0AB58" w14:textId="77777777" w:rsidR="00000000" w:rsidRDefault="001826C1">
            <w:pPr>
              <w:rPr>
                <w:rFonts w:eastAsia="Times New Roman"/>
                <w:sz w:val="22"/>
                <w:szCs w:val="22"/>
              </w:rPr>
            </w:pPr>
            <w:r>
              <w:rPr>
                <w:rFonts w:eastAsia="Times New Roman"/>
                <w:sz w:val="22"/>
                <w:szCs w:val="22"/>
              </w:rPr>
              <w:t> </w:t>
            </w:r>
          </w:p>
        </w:tc>
        <w:tc>
          <w:tcPr>
            <w:tcW w:w="0" w:type="auto"/>
            <w:vAlign w:val="bottom"/>
            <w:hideMark/>
          </w:tcPr>
          <w:p w14:paraId="67EA358B" w14:textId="77777777" w:rsidR="00000000" w:rsidRDefault="001826C1">
            <w:pPr>
              <w:rPr>
                <w:rFonts w:eastAsia="Times New Roman"/>
                <w:sz w:val="22"/>
                <w:szCs w:val="22"/>
              </w:rPr>
            </w:pPr>
            <w:r>
              <w:rPr>
                <w:rFonts w:eastAsia="Times New Roman"/>
                <w:sz w:val="22"/>
                <w:szCs w:val="22"/>
              </w:rPr>
              <w:t> </w:t>
            </w:r>
          </w:p>
        </w:tc>
        <w:tc>
          <w:tcPr>
            <w:tcW w:w="0" w:type="auto"/>
            <w:vAlign w:val="bottom"/>
            <w:hideMark/>
          </w:tcPr>
          <w:p w14:paraId="1F1508F7" w14:textId="77777777" w:rsidR="00000000" w:rsidRDefault="001826C1">
            <w:pPr>
              <w:rPr>
                <w:rFonts w:eastAsia="Times New Roman"/>
                <w:sz w:val="22"/>
                <w:szCs w:val="22"/>
              </w:rPr>
            </w:pPr>
            <w:r>
              <w:rPr>
                <w:rFonts w:eastAsia="Times New Roman"/>
                <w:sz w:val="22"/>
                <w:szCs w:val="22"/>
              </w:rPr>
              <w:t> </w:t>
            </w:r>
          </w:p>
        </w:tc>
        <w:tc>
          <w:tcPr>
            <w:tcW w:w="0" w:type="auto"/>
            <w:gridSpan w:val="2"/>
            <w:vAlign w:val="bottom"/>
            <w:hideMark/>
          </w:tcPr>
          <w:p w14:paraId="05059BB0" w14:textId="77777777" w:rsidR="00000000" w:rsidRDefault="001826C1">
            <w:pPr>
              <w:rPr>
                <w:rFonts w:eastAsia="Times New Roman"/>
                <w:sz w:val="22"/>
                <w:szCs w:val="22"/>
              </w:rPr>
            </w:pPr>
            <w:r>
              <w:rPr>
                <w:rFonts w:eastAsia="Times New Roman"/>
                <w:sz w:val="22"/>
                <w:szCs w:val="22"/>
              </w:rPr>
              <w:t> </w:t>
            </w:r>
          </w:p>
        </w:tc>
        <w:tc>
          <w:tcPr>
            <w:tcW w:w="0" w:type="auto"/>
            <w:vAlign w:val="bottom"/>
            <w:hideMark/>
          </w:tcPr>
          <w:p w14:paraId="43326C01" w14:textId="77777777" w:rsidR="00000000" w:rsidRDefault="001826C1">
            <w:pPr>
              <w:rPr>
                <w:rFonts w:eastAsia="Times New Roman"/>
                <w:sz w:val="22"/>
                <w:szCs w:val="22"/>
              </w:rPr>
            </w:pPr>
            <w:r>
              <w:rPr>
                <w:rFonts w:eastAsia="Times New Roman"/>
                <w:sz w:val="22"/>
                <w:szCs w:val="22"/>
              </w:rPr>
              <w:t> </w:t>
            </w:r>
          </w:p>
        </w:tc>
      </w:tr>
      <w:tr w:rsidR="00000000" w14:paraId="3128A485" w14:textId="77777777">
        <w:tc>
          <w:tcPr>
            <w:tcW w:w="3200" w:type="pct"/>
            <w:shd w:val="clear" w:color="auto" w:fill="CCEEFF"/>
            <w:vAlign w:val="bottom"/>
            <w:hideMark/>
          </w:tcPr>
          <w:p w14:paraId="6D57061A" w14:textId="77777777" w:rsidR="00000000" w:rsidRDefault="001826C1">
            <w:pPr>
              <w:rPr>
                <w:rFonts w:eastAsia="Times New Roman"/>
                <w:sz w:val="20"/>
                <w:szCs w:val="20"/>
              </w:rPr>
            </w:pPr>
            <w:r>
              <w:rPr>
                <w:rFonts w:eastAsia="Times New Roman"/>
                <w:sz w:val="20"/>
                <w:szCs w:val="20"/>
              </w:rPr>
              <w:t>Direct operating costs</w:t>
            </w:r>
          </w:p>
        </w:tc>
        <w:tc>
          <w:tcPr>
            <w:tcW w:w="100" w:type="pct"/>
            <w:shd w:val="clear" w:color="auto" w:fill="CCEEFF"/>
            <w:vAlign w:val="bottom"/>
            <w:hideMark/>
          </w:tcPr>
          <w:p w14:paraId="3E9211A0"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4BB0ADC"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169C4456" w14:textId="77777777" w:rsidR="00000000" w:rsidRDefault="001826C1">
            <w:pPr>
              <w:jc w:val="right"/>
              <w:rPr>
                <w:rFonts w:eastAsia="Times New Roman"/>
                <w:sz w:val="20"/>
                <w:szCs w:val="20"/>
              </w:rPr>
            </w:pPr>
            <w:r>
              <w:rPr>
                <w:rFonts w:eastAsia="Times New Roman"/>
                <w:sz w:val="20"/>
                <w:szCs w:val="20"/>
              </w:rPr>
              <w:t>196,956</w:t>
            </w:r>
          </w:p>
        </w:tc>
        <w:tc>
          <w:tcPr>
            <w:tcW w:w="50" w:type="pct"/>
            <w:shd w:val="clear" w:color="auto" w:fill="CCEEFF"/>
            <w:vAlign w:val="bottom"/>
            <w:hideMark/>
          </w:tcPr>
          <w:p w14:paraId="03F64361"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983933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7B2860E"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46CDBD53" w14:textId="77777777" w:rsidR="00000000" w:rsidRDefault="001826C1">
            <w:pPr>
              <w:jc w:val="right"/>
              <w:rPr>
                <w:rFonts w:eastAsia="Times New Roman"/>
                <w:sz w:val="20"/>
                <w:szCs w:val="20"/>
              </w:rPr>
            </w:pPr>
            <w:r>
              <w:rPr>
                <w:rFonts w:eastAsia="Times New Roman"/>
                <w:sz w:val="20"/>
                <w:szCs w:val="20"/>
              </w:rPr>
              <w:t>88,195</w:t>
            </w:r>
          </w:p>
        </w:tc>
        <w:tc>
          <w:tcPr>
            <w:tcW w:w="50" w:type="pct"/>
            <w:shd w:val="clear" w:color="auto" w:fill="CCEEFF"/>
            <w:vAlign w:val="bottom"/>
            <w:hideMark/>
          </w:tcPr>
          <w:p w14:paraId="5DE4E4C1" w14:textId="77777777" w:rsidR="00000000" w:rsidRDefault="001826C1">
            <w:pPr>
              <w:rPr>
                <w:rFonts w:eastAsia="Times New Roman"/>
                <w:sz w:val="20"/>
                <w:szCs w:val="20"/>
              </w:rPr>
            </w:pPr>
            <w:r>
              <w:rPr>
                <w:rFonts w:eastAsia="Times New Roman"/>
                <w:sz w:val="20"/>
                <w:szCs w:val="20"/>
              </w:rPr>
              <w:t> </w:t>
            </w:r>
          </w:p>
        </w:tc>
      </w:tr>
      <w:tr w:rsidR="00000000" w14:paraId="12B46BA1" w14:textId="77777777">
        <w:tc>
          <w:tcPr>
            <w:tcW w:w="0" w:type="auto"/>
            <w:shd w:val="clear" w:color="auto" w:fill="FFFFFF"/>
            <w:vAlign w:val="bottom"/>
            <w:hideMark/>
          </w:tcPr>
          <w:p w14:paraId="7F3C4513" w14:textId="77777777" w:rsidR="00000000" w:rsidRDefault="001826C1">
            <w:pPr>
              <w:rPr>
                <w:rFonts w:eastAsia="Times New Roman"/>
                <w:sz w:val="20"/>
                <w:szCs w:val="20"/>
              </w:rPr>
            </w:pPr>
            <w:r>
              <w:rPr>
                <w:rFonts w:eastAsia="Times New Roman"/>
                <w:sz w:val="20"/>
                <w:szCs w:val="20"/>
              </w:rPr>
              <w:t>General and administrative</w:t>
            </w:r>
          </w:p>
        </w:tc>
        <w:tc>
          <w:tcPr>
            <w:tcW w:w="0" w:type="auto"/>
            <w:shd w:val="clear" w:color="auto" w:fill="FFFFFF"/>
            <w:vAlign w:val="bottom"/>
            <w:hideMark/>
          </w:tcPr>
          <w:p w14:paraId="4632E4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630A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78789AB" w14:textId="77777777" w:rsidR="00000000" w:rsidRDefault="001826C1">
            <w:pPr>
              <w:jc w:val="right"/>
              <w:rPr>
                <w:rFonts w:eastAsia="Times New Roman"/>
                <w:sz w:val="20"/>
                <w:szCs w:val="20"/>
              </w:rPr>
            </w:pPr>
            <w:r>
              <w:rPr>
                <w:rFonts w:eastAsia="Times New Roman"/>
                <w:sz w:val="20"/>
                <w:szCs w:val="20"/>
              </w:rPr>
              <w:t>2,735,178</w:t>
            </w:r>
          </w:p>
        </w:tc>
        <w:tc>
          <w:tcPr>
            <w:tcW w:w="0" w:type="auto"/>
            <w:shd w:val="clear" w:color="auto" w:fill="FFFFFF"/>
            <w:vAlign w:val="bottom"/>
            <w:hideMark/>
          </w:tcPr>
          <w:p w14:paraId="05B959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2AAC7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CAB075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448E30" w14:textId="77777777" w:rsidR="00000000" w:rsidRDefault="001826C1">
            <w:pPr>
              <w:jc w:val="right"/>
              <w:rPr>
                <w:rFonts w:eastAsia="Times New Roman"/>
                <w:sz w:val="20"/>
                <w:szCs w:val="20"/>
              </w:rPr>
            </w:pPr>
            <w:r>
              <w:rPr>
                <w:rFonts w:eastAsia="Times New Roman"/>
                <w:sz w:val="20"/>
                <w:szCs w:val="20"/>
              </w:rPr>
              <w:t>2,352,850</w:t>
            </w:r>
          </w:p>
        </w:tc>
        <w:tc>
          <w:tcPr>
            <w:tcW w:w="0" w:type="auto"/>
            <w:shd w:val="clear" w:color="auto" w:fill="FFFFFF"/>
            <w:vAlign w:val="bottom"/>
            <w:hideMark/>
          </w:tcPr>
          <w:p w14:paraId="690F8028" w14:textId="77777777" w:rsidR="00000000" w:rsidRDefault="001826C1">
            <w:pPr>
              <w:rPr>
                <w:rFonts w:eastAsia="Times New Roman"/>
                <w:sz w:val="20"/>
                <w:szCs w:val="20"/>
              </w:rPr>
            </w:pPr>
            <w:r>
              <w:rPr>
                <w:rFonts w:eastAsia="Times New Roman"/>
                <w:sz w:val="20"/>
                <w:szCs w:val="20"/>
              </w:rPr>
              <w:t> </w:t>
            </w:r>
          </w:p>
        </w:tc>
      </w:tr>
      <w:tr w:rsidR="00000000" w14:paraId="7B0AB1C8" w14:textId="77777777">
        <w:tc>
          <w:tcPr>
            <w:tcW w:w="0" w:type="auto"/>
            <w:shd w:val="clear" w:color="auto" w:fill="CCEEFF"/>
            <w:vAlign w:val="bottom"/>
            <w:hideMark/>
          </w:tcPr>
          <w:p w14:paraId="2E91C4F3" w14:textId="77777777" w:rsidR="00000000" w:rsidRDefault="001826C1">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14:paraId="293D605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A6B1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F6E317" w14:textId="77777777" w:rsidR="00000000" w:rsidRDefault="001826C1">
            <w:pPr>
              <w:jc w:val="right"/>
              <w:rPr>
                <w:rFonts w:eastAsia="Times New Roman"/>
                <w:sz w:val="20"/>
                <w:szCs w:val="20"/>
              </w:rPr>
            </w:pPr>
            <w:r>
              <w:rPr>
                <w:rFonts w:eastAsia="Times New Roman"/>
                <w:sz w:val="20"/>
                <w:szCs w:val="20"/>
              </w:rPr>
              <w:t>33,029</w:t>
            </w:r>
          </w:p>
        </w:tc>
        <w:tc>
          <w:tcPr>
            <w:tcW w:w="0" w:type="auto"/>
            <w:shd w:val="clear" w:color="auto" w:fill="CCEEFF"/>
            <w:vAlign w:val="bottom"/>
            <w:hideMark/>
          </w:tcPr>
          <w:p w14:paraId="7D72B3E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6CC1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3D579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B55F1F5" w14:textId="77777777" w:rsidR="00000000" w:rsidRDefault="001826C1">
            <w:pPr>
              <w:jc w:val="right"/>
              <w:rPr>
                <w:rFonts w:eastAsia="Times New Roman"/>
                <w:sz w:val="20"/>
                <w:szCs w:val="20"/>
              </w:rPr>
            </w:pPr>
            <w:r>
              <w:rPr>
                <w:rFonts w:eastAsia="Times New Roman"/>
                <w:sz w:val="20"/>
                <w:szCs w:val="20"/>
              </w:rPr>
              <w:t>14,506</w:t>
            </w:r>
          </w:p>
        </w:tc>
        <w:tc>
          <w:tcPr>
            <w:tcW w:w="0" w:type="auto"/>
            <w:shd w:val="clear" w:color="auto" w:fill="CCEEFF"/>
            <w:vAlign w:val="bottom"/>
            <w:hideMark/>
          </w:tcPr>
          <w:p w14:paraId="7B2FFD05" w14:textId="77777777" w:rsidR="00000000" w:rsidRDefault="001826C1">
            <w:pPr>
              <w:rPr>
                <w:rFonts w:eastAsia="Times New Roman"/>
                <w:sz w:val="20"/>
                <w:szCs w:val="20"/>
              </w:rPr>
            </w:pPr>
            <w:r>
              <w:rPr>
                <w:rFonts w:eastAsia="Times New Roman"/>
                <w:sz w:val="20"/>
                <w:szCs w:val="20"/>
              </w:rPr>
              <w:t> </w:t>
            </w:r>
          </w:p>
        </w:tc>
      </w:tr>
      <w:tr w:rsidR="00000000" w14:paraId="3FCBC42F" w14:textId="77777777">
        <w:tc>
          <w:tcPr>
            <w:tcW w:w="0" w:type="auto"/>
            <w:shd w:val="clear" w:color="auto" w:fill="FFFFFF"/>
            <w:tcMar>
              <w:top w:w="0" w:type="dxa"/>
              <w:left w:w="0" w:type="dxa"/>
              <w:bottom w:w="30" w:type="dxa"/>
              <w:right w:w="0" w:type="dxa"/>
            </w:tcMar>
            <w:vAlign w:val="bottom"/>
            <w:hideMark/>
          </w:tcPr>
          <w:p w14:paraId="6453475B" w14:textId="77777777" w:rsidR="00000000" w:rsidRDefault="001826C1">
            <w:pPr>
              <w:rPr>
                <w:rFonts w:eastAsia="Times New Roman"/>
                <w:sz w:val="20"/>
                <w:szCs w:val="20"/>
              </w:rPr>
            </w:pPr>
            <w:r>
              <w:rPr>
                <w:rFonts w:eastAsia="Times New Roman"/>
                <w:sz w:val="20"/>
                <w:szCs w:val="20"/>
              </w:rPr>
              <w:t>Selling and marketing</w:t>
            </w:r>
          </w:p>
        </w:tc>
        <w:tc>
          <w:tcPr>
            <w:tcW w:w="0" w:type="auto"/>
            <w:shd w:val="clear" w:color="auto" w:fill="FFFFFF"/>
            <w:tcMar>
              <w:top w:w="0" w:type="dxa"/>
              <w:left w:w="0" w:type="dxa"/>
              <w:bottom w:w="30" w:type="dxa"/>
              <w:right w:w="0" w:type="dxa"/>
            </w:tcMar>
            <w:vAlign w:val="bottom"/>
            <w:hideMark/>
          </w:tcPr>
          <w:p w14:paraId="69E5581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E70F84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F226D7" w14:textId="77777777" w:rsidR="00000000" w:rsidRDefault="001826C1">
            <w:pPr>
              <w:jc w:val="right"/>
              <w:rPr>
                <w:rFonts w:eastAsia="Times New Roman"/>
                <w:sz w:val="20"/>
                <w:szCs w:val="20"/>
              </w:rPr>
            </w:pPr>
            <w:r>
              <w:rPr>
                <w:rFonts w:eastAsia="Times New Roman"/>
                <w:sz w:val="20"/>
                <w:szCs w:val="20"/>
              </w:rPr>
              <w:t>250,498</w:t>
            </w:r>
          </w:p>
        </w:tc>
        <w:tc>
          <w:tcPr>
            <w:tcW w:w="0" w:type="auto"/>
            <w:shd w:val="clear" w:color="auto" w:fill="FFFFFF"/>
            <w:tcMar>
              <w:top w:w="0" w:type="dxa"/>
              <w:left w:w="0" w:type="dxa"/>
              <w:bottom w:w="30" w:type="dxa"/>
              <w:right w:w="0" w:type="dxa"/>
            </w:tcMar>
            <w:vAlign w:val="bottom"/>
            <w:hideMark/>
          </w:tcPr>
          <w:p w14:paraId="5AC8FEE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BE7432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208E0B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A20F38" w14:textId="77777777" w:rsidR="00000000" w:rsidRDefault="001826C1">
            <w:pPr>
              <w:jc w:val="right"/>
              <w:rPr>
                <w:rFonts w:eastAsia="Times New Roman"/>
                <w:sz w:val="20"/>
                <w:szCs w:val="20"/>
              </w:rPr>
            </w:pPr>
            <w:r>
              <w:rPr>
                <w:rFonts w:eastAsia="Times New Roman"/>
                <w:sz w:val="20"/>
                <w:szCs w:val="20"/>
              </w:rPr>
              <w:t>8,048</w:t>
            </w:r>
          </w:p>
        </w:tc>
        <w:tc>
          <w:tcPr>
            <w:tcW w:w="0" w:type="auto"/>
            <w:shd w:val="clear" w:color="auto" w:fill="FFFFFF"/>
            <w:tcMar>
              <w:top w:w="0" w:type="dxa"/>
              <w:left w:w="0" w:type="dxa"/>
              <w:bottom w:w="30" w:type="dxa"/>
              <w:right w:w="0" w:type="dxa"/>
            </w:tcMar>
            <w:vAlign w:val="bottom"/>
            <w:hideMark/>
          </w:tcPr>
          <w:p w14:paraId="692EB467" w14:textId="77777777" w:rsidR="00000000" w:rsidRDefault="001826C1">
            <w:pPr>
              <w:rPr>
                <w:rFonts w:eastAsia="Times New Roman"/>
                <w:sz w:val="20"/>
                <w:szCs w:val="20"/>
              </w:rPr>
            </w:pPr>
            <w:r>
              <w:rPr>
                <w:rFonts w:eastAsia="Times New Roman"/>
                <w:sz w:val="20"/>
                <w:szCs w:val="20"/>
              </w:rPr>
              <w:t> </w:t>
            </w:r>
          </w:p>
        </w:tc>
      </w:tr>
      <w:tr w:rsidR="00000000" w14:paraId="453364C9" w14:textId="77777777">
        <w:tc>
          <w:tcPr>
            <w:tcW w:w="0" w:type="auto"/>
            <w:shd w:val="clear" w:color="auto" w:fill="CCEEFF"/>
            <w:tcMar>
              <w:top w:w="0" w:type="dxa"/>
              <w:left w:w="200" w:type="dxa"/>
              <w:bottom w:w="50" w:type="dxa"/>
              <w:right w:w="0" w:type="dxa"/>
            </w:tcMar>
            <w:vAlign w:val="bottom"/>
            <w:hideMark/>
          </w:tcPr>
          <w:p w14:paraId="07322714" w14:textId="77777777" w:rsidR="00000000" w:rsidRDefault="001826C1">
            <w:pPr>
              <w:rPr>
                <w:rFonts w:eastAsia="Times New Roman"/>
                <w:sz w:val="20"/>
                <w:szCs w:val="20"/>
              </w:rPr>
            </w:pPr>
            <w:r>
              <w:rPr>
                <w:rFonts w:eastAsia="Times New Roman"/>
                <w:sz w:val="20"/>
                <w:szCs w:val="20"/>
              </w:rPr>
              <w:t>Total stock-based compensation expense</w:t>
            </w:r>
          </w:p>
        </w:tc>
        <w:tc>
          <w:tcPr>
            <w:tcW w:w="0" w:type="auto"/>
            <w:shd w:val="clear" w:color="auto" w:fill="CCEEFF"/>
            <w:tcMar>
              <w:top w:w="0" w:type="dxa"/>
              <w:left w:w="0" w:type="dxa"/>
              <w:bottom w:w="50" w:type="dxa"/>
              <w:right w:w="0" w:type="dxa"/>
            </w:tcMar>
            <w:vAlign w:val="bottom"/>
            <w:hideMark/>
          </w:tcPr>
          <w:p w14:paraId="2A11E23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0B210BF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DD3BE7F" w14:textId="77777777" w:rsidR="00000000" w:rsidRDefault="001826C1">
            <w:pPr>
              <w:jc w:val="right"/>
              <w:rPr>
                <w:rFonts w:eastAsia="Times New Roman"/>
                <w:sz w:val="20"/>
                <w:szCs w:val="20"/>
              </w:rPr>
            </w:pPr>
            <w:r>
              <w:rPr>
                <w:rFonts w:eastAsia="Times New Roman"/>
                <w:sz w:val="20"/>
                <w:szCs w:val="20"/>
              </w:rPr>
              <w:t>3,215,661</w:t>
            </w:r>
          </w:p>
        </w:tc>
        <w:tc>
          <w:tcPr>
            <w:tcW w:w="0" w:type="auto"/>
            <w:shd w:val="clear" w:color="auto" w:fill="CCEEFF"/>
            <w:tcMar>
              <w:top w:w="0" w:type="dxa"/>
              <w:left w:w="0" w:type="dxa"/>
              <w:bottom w:w="50" w:type="dxa"/>
              <w:right w:w="0" w:type="dxa"/>
            </w:tcMar>
            <w:vAlign w:val="bottom"/>
            <w:hideMark/>
          </w:tcPr>
          <w:p w14:paraId="0F3FCC7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1D9442F5"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BD9744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04F1911" w14:textId="77777777" w:rsidR="00000000" w:rsidRDefault="001826C1">
            <w:pPr>
              <w:jc w:val="right"/>
              <w:rPr>
                <w:rFonts w:eastAsia="Times New Roman"/>
                <w:sz w:val="20"/>
                <w:szCs w:val="20"/>
              </w:rPr>
            </w:pPr>
            <w:r>
              <w:rPr>
                <w:rFonts w:eastAsia="Times New Roman"/>
                <w:sz w:val="20"/>
                <w:szCs w:val="20"/>
              </w:rPr>
              <w:t>2,463,599</w:t>
            </w:r>
          </w:p>
        </w:tc>
        <w:tc>
          <w:tcPr>
            <w:tcW w:w="0" w:type="auto"/>
            <w:shd w:val="clear" w:color="auto" w:fill="CCEEFF"/>
            <w:tcMar>
              <w:top w:w="0" w:type="dxa"/>
              <w:left w:w="0" w:type="dxa"/>
              <w:bottom w:w="50" w:type="dxa"/>
              <w:right w:w="0" w:type="dxa"/>
            </w:tcMar>
            <w:vAlign w:val="bottom"/>
            <w:hideMark/>
          </w:tcPr>
          <w:p w14:paraId="35818761" w14:textId="77777777" w:rsidR="00000000" w:rsidRDefault="001826C1">
            <w:pPr>
              <w:rPr>
                <w:rFonts w:eastAsia="Times New Roman"/>
                <w:sz w:val="20"/>
                <w:szCs w:val="20"/>
              </w:rPr>
            </w:pPr>
            <w:r>
              <w:rPr>
                <w:rFonts w:eastAsia="Times New Roman"/>
                <w:sz w:val="20"/>
                <w:szCs w:val="20"/>
              </w:rPr>
              <w:t> </w:t>
            </w:r>
          </w:p>
        </w:tc>
      </w:tr>
    </w:tbl>
    <w:p w14:paraId="5FAE56F9"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4732E745" w14:textId="77777777">
        <w:tc>
          <w:tcPr>
            <w:tcW w:w="360" w:type="dxa"/>
            <w:hideMark/>
          </w:tcPr>
          <w:p w14:paraId="3E4B7423" w14:textId="77777777" w:rsidR="00000000" w:rsidRDefault="001826C1">
            <w:pPr>
              <w:rPr>
                <w:rFonts w:eastAsia="Times New Roman"/>
                <w:b/>
                <w:bCs/>
                <w:caps/>
                <w:sz w:val="20"/>
                <w:szCs w:val="20"/>
              </w:rPr>
            </w:pPr>
            <w:r>
              <w:rPr>
                <w:rFonts w:eastAsia="Times New Roman"/>
                <w:b/>
                <w:bCs/>
                <w:caps/>
                <w:sz w:val="20"/>
                <w:szCs w:val="20"/>
              </w:rPr>
              <w:t>16.</w:t>
            </w:r>
          </w:p>
        </w:tc>
        <w:tc>
          <w:tcPr>
            <w:tcW w:w="0" w:type="auto"/>
            <w:hideMark/>
          </w:tcPr>
          <w:p w14:paraId="6FB328D8" w14:textId="77777777" w:rsidR="00000000" w:rsidRDefault="001826C1">
            <w:pPr>
              <w:rPr>
                <w:rFonts w:eastAsia="Times New Roman"/>
                <w:b/>
                <w:bCs/>
                <w:caps/>
                <w:sz w:val="20"/>
                <w:szCs w:val="20"/>
              </w:rPr>
            </w:pPr>
            <w:r>
              <w:rPr>
                <w:rFonts w:eastAsia="Times New Roman"/>
                <w:b/>
                <w:bCs/>
                <w:caps/>
                <w:sz w:val="20"/>
                <w:szCs w:val="20"/>
              </w:rPr>
              <w:t>INCOME TAXES</w:t>
            </w:r>
          </w:p>
        </w:tc>
      </w:tr>
    </w:tbl>
    <w:p w14:paraId="06DF2533" w14:textId="77777777" w:rsidR="00000000" w:rsidRDefault="001826C1">
      <w:pPr>
        <w:pStyle w:val="a3"/>
        <w:spacing w:before="0" w:beforeAutospacing="0" w:after="0" w:afterAutospacing="0"/>
        <w:ind w:left="475"/>
        <w:jc w:val="both"/>
        <w:rPr>
          <w:sz w:val="20"/>
          <w:szCs w:val="20"/>
        </w:rPr>
      </w:pPr>
      <w:r>
        <w:rPr>
          <w:sz w:val="20"/>
          <w:szCs w:val="20"/>
        </w:rPr>
        <w:t> </w:t>
      </w:r>
    </w:p>
    <w:p w14:paraId="39A2D4EB" w14:textId="77777777" w:rsidR="00000000" w:rsidRDefault="001826C1">
      <w:pPr>
        <w:pStyle w:val="a3"/>
        <w:spacing w:before="0" w:beforeAutospacing="0" w:after="0" w:afterAutospacing="0"/>
        <w:jc w:val="both"/>
        <w:rPr>
          <w:sz w:val="20"/>
          <w:szCs w:val="20"/>
        </w:rPr>
      </w:pPr>
      <w:r>
        <w:rPr>
          <w:sz w:val="20"/>
          <w:szCs w:val="20"/>
        </w:rPr>
        <w:t>For the years ended December 31, 2019 and 2018, the Company estimated its income tax provision based upon the annual pre-tax loss. Although the Company is forecasting a return to profitability, it incurred cumulative losses which make reali</w:t>
      </w:r>
      <w:r>
        <w:rPr>
          <w:sz w:val="20"/>
          <w:szCs w:val="20"/>
        </w:rPr>
        <w:t>zation of a deferred tax asset difficult to support in accordance with ASC 740. Accordingly, a valuation allowance has been recorded against all federal and state deferred tax assets as of December 31, 2019 and December 31, 2018, with the exception of a ne</w:t>
      </w:r>
      <w:r>
        <w:rPr>
          <w:sz w:val="20"/>
          <w:szCs w:val="20"/>
        </w:rPr>
        <w:t>t deferred tax liability relating to the amortization of intangibles for tax purposes.</w:t>
      </w:r>
    </w:p>
    <w:p w14:paraId="36CF0879" w14:textId="77777777" w:rsidR="00000000" w:rsidRDefault="001826C1">
      <w:pPr>
        <w:pStyle w:val="a3"/>
        <w:spacing w:before="0" w:beforeAutospacing="0" w:after="0" w:afterAutospacing="0"/>
        <w:jc w:val="both"/>
        <w:rPr>
          <w:sz w:val="20"/>
          <w:szCs w:val="20"/>
        </w:rPr>
      </w:pPr>
      <w:r>
        <w:rPr>
          <w:sz w:val="20"/>
          <w:szCs w:val="20"/>
        </w:rPr>
        <w:t> </w:t>
      </w:r>
    </w:p>
    <w:p w14:paraId="3F84E046" w14:textId="77777777" w:rsidR="00000000" w:rsidRDefault="001826C1">
      <w:pPr>
        <w:pStyle w:val="a3"/>
        <w:spacing w:before="0" w:beforeAutospacing="0" w:after="0" w:afterAutospacing="0"/>
        <w:jc w:val="both"/>
        <w:rPr>
          <w:sz w:val="20"/>
          <w:szCs w:val="20"/>
        </w:rPr>
      </w:pPr>
      <w:r>
        <w:rPr>
          <w:sz w:val="20"/>
          <w:szCs w:val="20"/>
        </w:rPr>
        <w:t xml:space="preserve">As of January 1, 2018, all adjusted foreign income amounts became taxable due to a change in U.S. tax law under the recent tax reform legislation discussed below. For </w:t>
      </w:r>
      <w:r>
        <w:rPr>
          <w:sz w:val="20"/>
          <w:szCs w:val="20"/>
        </w:rPr>
        <w:t>state tax purposes, the Company’s foreign earnings may be taxable depending on each individual state’s legislative stance on the recent tax reform legislation. The activity in the deferred tax valuation allowance was as follows for the years ended December</w:t>
      </w:r>
      <w:r>
        <w:rPr>
          <w:sz w:val="20"/>
          <w:szCs w:val="20"/>
        </w:rPr>
        <w:t xml:space="preserve"> 31, 2019 and 2018:</w:t>
      </w:r>
    </w:p>
    <w:p w14:paraId="679CC0DC" w14:textId="77777777" w:rsidR="00000000" w:rsidRDefault="001826C1">
      <w:pPr>
        <w:pStyle w:val="a3"/>
        <w:spacing w:before="0" w:beforeAutospacing="0" w:after="0" w:afterAutospacing="0"/>
        <w:jc w:val="both"/>
        <w:rPr>
          <w:sz w:val="20"/>
          <w:szCs w:val="20"/>
        </w:rPr>
      </w:pPr>
      <w:r>
        <w:rPr>
          <w:sz w:val="20"/>
          <w:szCs w:val="20"/>
        </w:rPr>
        <w:t> </w:t>
      </w:r>
    </w:p>
    <w:tbl>
      <w:tblPr>
        <w:tblW w:w="3750" w:type="pct"/>
        <w:tblCellMar>
          <w:left w:w="0" w:type="dxa"/>
          <w:right w:w="0" w:type="dxa"/>
        </w:tblCellMar>
        <w:tblLook w:val="04A0" w:firstRow="1" w:lastRow="0" w:firstColumn="1" w:lastColumn="0" w:noHBand="0" w:noVBand="1"/>
      </w:tblPr>
      <w:tblGrid>
        <w:gridCol w:w="3972"/>
        <w:gridCol w:w="111"/>
        <w:gridCol w:w="100"/>
        <w:gridCol w:w="859"/>
        <w:gridCol w:w="67"/>
        <w:gridCol w:w="112"/>
        <w:gridCol w:w="100"/>
        <w:gridCol w:w="859"/>
        <w:gridCol w:w="50"/>
      </w:tblGrid>
      <w:tr w:rsidR="00000000" w14:paraId="290FBFE9" w14:textId="77777777">
        <w:tc>
          <w:tcPr>
            <w:tcW w:w="0" w:type="auto"/>
            <w:vAlign w:val="bottom"/>
            <w:hideMark/>
          </w:tcPr>
          <w:p w14:paraId="039F933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1BDE550F"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3B71D1E7" w14:textId="77777777" w:rsidR="00000000" w:rsidRDefault="001826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188E6044" w14:textId="77777777" w:rsidR="00000000" w:rsidRDefault="001826C1">
            <w:pPr>
              <w:rPr>
                <w:rFonts w:eastAsia="Times New Roman"/>
                <w:b/>
                <w:bCs/>
                <w:sz w:val="20"/>
                <w:szCs w:val="20"/>
              </w:rPr>
            </w:pPr>
            <w:r>
              <w:rPr>
                <w:rFonts w:eastAsia="Times New Roman"/>
                <w:b/>
                <w:bCs/>
                <w:sz w:val="20"/>
                <w:szCs w:val="20"/>
              </w:rPr>
              <w:t> </w:t>
            </w:r>
          </w:p>
        </w:tc>
      </w:tr>
      <w:tr w:rsidR="00000000" w14:paraId="4AF87607" w14:textId="77777777">
        <w:tc>
          <w:tcPr>
            <w:tcW w:w="0" w:type="auto"/>
            <w:vAlign w:val="bottom"/>
            <w:hideMark/>
          </w:tcPr>
          <w:p w14:paraId="5C4211C1"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DAFF739"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2AC24F2"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7112064B"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B8855CB"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85031FA"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579A0681" w14:textId="77777777" w:rsidR="00000000" w:rsidRDefault="001826C1">
            <w:pPr>
              <w:rPr>
                <w:rFonts w:eastAsia="Times New Roman"/>
                <w:b/>
                <w:bCs/>
                <w:sz w:val="20"/>
                <w:szCs w:val="20"/>
              </w:rPr>
            </w:pPr>
            <w:r>
              <w:rPr>
                <w:rFonts w:eastAsia="Times New Roman"/>
                <w:b/>
                <w:bCs/>
                <w:sz w:val="20"/>
                <w:szCs w:val="20"/>
              </w:rPr>
              <w:t> </w:t>
            </w:r>
          </w:p>
        </w:tc>
      </w:tr>
      <w:tr w:rsidR="00000000" w14:paraId="587DC0AF" w14:textId="77777777">
        <w:tc>
          <w:tcPr>
            <w:tcW w:w="3200" w:type="pct"/>
            <w:shd w:val="clear" w:color="auto" w:fill="CCEEFF"/>
            <w:vAlign w:val="bottom"/>
            <w:hideMark/>
          </w:tcPr>
          <w:p w14:paraId="38D4CB5A" w14:textId="77777777" w:rsidR="00000000" w:rsidRDefault="001826C1">
            <w:pPr>
              <w:rPr>
                <w:rFonts w:eastAsia="Times New Roman"/>
                <w:sz w:val="20"/>
                <w:szCs w:val="20"/>
              </w:rPr>
            </w:pPr>
            <w:r>
              <w:rPr>
                <w:rFonts w:eastAsia="Times New Roman"/>
                <w:sz w:val="20"/>
                <w:szCs w:val="20"/>
              </w:rPr>
              <w:t>Beginning balance</w:t>
            </w:r>
          </w:p>
        </w:tc>
        <w:tc>
          <w:tcPr>
            <w:tcW w:w="100" w:type="pct"/>
            <w:shd w:val="clear" w:color="auto" w:fill="CCEEFF"/>
            <w:vAlign w:val="bottom"/>
            <w:hideMark/>
          </w:tcPr>
          <w:p w14:paraId="568A093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8918FA8"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5340C45F" w14:textId="77777777" w:rsidR="00000000" w:rsidRDefault="001826C1">
            <w:pPr>
              <w:jc w:val="right"/>
              <w:rPr>
                <w:rFonts w:eastAsia="Times New Roman"/>
                <w:sz w:val="20"/>
                <w:szCs w:val="20"/>
              </w:rPr>
            </w:pPr>
            <w:r>
              <w:rPr>
                <w:rFonts w:eastAsia="Times New Roman"/>
                <w:sz w:val="20"/>
                <w:szCs w:val="20"/>
              </w:rPr>
              <w:t>7,176,391</w:t>
            </w:r>
          </w:p>
        </w:tc>
        <w:tc>
          <w:tcPr>
            <w:tcW w:w="50" w:type="pct"/>
            <w:shd w:val="clear" w:color="auto" w:fill="CCEEFF"/>
            <w:vAlign w:val="bottom"/>
            <w:hideMark/>
          </w:tcPr>
          <w:p w14:paraId="76BA4E05"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4500A07"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D9DA441"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53B3392A" w14:textId="77777777" w:rsidR="00000000" w:rsidRDefault="001826C1">
            <w:pPr>
              <w:jc w:val="right"/>
              <w:rPr>
                <w:rFonts w:eastAsia="Times New Roman"/>
                <w:sz w:val="20"/>
                <w:szCs w:val="20"/>
              </w:rPr>
            </w:pPr>
            <w:r>
              <w:rPr>
                <w:rFonts w:eastAsia="Times New Roman"/>
                <w:sz w:val="20"/>
                <w:szCs w:val="20"/>
              </w:rPr>
              <w:t>6,620,464</w:t>
            </w:r>
          </w:p>
        </w:tc>
        <w:tc>
          <w:tcPr>
            <w:tcW w:w="50" w:type="pct"/>
            <w:shd w:val="clear" w:color="auto" w:fill="CCEEFF"/>
            <w:vAlign w:val="bottom"/>
            <w:hideMark/>
          </w:tcPr>
          <w:p w14:paraId="1DA4DB4C" w14:textId="77777777" w:rsidR="00000000" w:rsidRDefault="001826C1">
            <w:pPr>
              <w:rPr>
                <w:rFonts w:eastAsia="Times New Roman"/>
                <w:sz w:val="20"/>
                <w:szCs w:val="20"/>
              </w:rPr>
            </w:pPr>
            <w:r>
              <w:rPr>
                <w:rFonts w:eastAsia="Times New Roman"/>
                <w:sz w:val="20"/>
                <w:szCs w:val="20"/>
              </w:rPr>
              <w:t> </w:t>
            </w:r>
          </w:p>
        </w:tc>
      </w:tr>
      <w:tr w:rsidR="00000000" w14:paraId="2A04E09D" w14:textId="77777777">
        <w:tc>
          <w:tcPr>
            <w:tcW w:w="0" w:type="auto"/>
            <w:shd w:val="clear" w:color="auto" w:fill="FFFFFF"/>
            <w:vAlign w:val="bottom"/>
            <w:hideMark/>
          </w:tcPr>
          <w:p w14:paraId="6B55DDC0" w14:textId="77777777" w:rsidR="00000000" w:rsidRDefault="001826C1">
            <w:pPr>
              <w:rPr>
                <w:rFonts w:eastAsia="Times New Roman"/>
                <w:sz w:val="20"/>
                <w:szCs w:val="20"/>
              </w:rPr>
            </w:pPr>
            <w:r>
              <w:rPr>
                <w:rFonts w:eastAsia="Times New Roman"/>
                <w:sz w:val="20"/>
                <w:szCs w:val="20"/>
              </w:rPr>
              <w:t>Provision</w:t>
            </w:r>
          </w:p>
        </w:tc>
        <w:tc>
          <w:tcPr>
            <w:tcW w:w="0" w:type="auto"/>
            <w:shd w:val="clear" w:color="auto" w:fill="FFFFFF"/>
            <w:vAlign w:val="bottom"/>
            <w:hideMark/>
          </w:tcPr>
          <w:p w14:paraId="582909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57E20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B8668A6" w14:textId="77777777" w:rsidR="00000000" w:rsidRDefault="001826C1">
            <w:pPr>
              <w:jc w:val="right"/>
              <w:rPr>
                <w:rFonts w:eastAsia="Times New Roman"/>
                <w:sz w:val="20"/>
                <w:szCs w:val="20"/>
              </w:rPr>
            </w:pPr>
            <w:r>
              <w:rPr>
                <w:rFonts w:eastAsia="Times New Roman"/>
                <w:sz w:val="20"/>
                <w:szCs w:val="20"/>
              </w:rPr>
              <w:t>371,468</w:t>
            </w:r>
          </w:p>
        </w:tc>
        <w:tc>
          <w:tcPr>
            <w:tcW w:w="0" w:type="auto"/>
            <w:shd w:val="clear" w:color="auto" w:fill="FFFFFF"/>
            <w:vAlign w:val="bottom"/>
            <w:hideMark/>
          </w:tcPr>
          <w:p w14:paraId="6E69A7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63E974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A3F42D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7F4BC40" w14:textId="77777777" w:rsidR="00000000" w:rsidRDefault="001826C1">
            <w:pPr>
              <w:jc w:val="right"/>
              <w:rPr>
                <w:rFonts w:eastAsia="Times New Roman"/>
                <w:sz w:val="20"/>
                <w:szCs w:val="20"/>
              </w:rPr>
            </w:pPr>
            <w:r>
              <w:rPr>
                <w:rFonts w:eastAsia="Times New Roman"/>
                <w:sz w:val="20"/>
                <w:szCs w:val="20"/>
              </w:rPr>
              <w:t>400,158</w:t>
            </w:r>
          </w:p>
        </w:tc>
        <w:tc>
          <w:tcPr>
            <w:tcW w:w="0" w:type="auto"/>
            <w:shd w:val="clear" w:color="auto" w:fill="FFFFFF"/>
            <w:vAlign w:val="bottom"/>
            <w:hideMark/>
          </w:tcPr>
          <w:p w14:paraId="42E6C448" w14:textId="77777777" w:rsidR="00000000" w:rsidRDefault="001826C1">
            <w:pPr>
              <w:rPr>
                <w:rFonts w:eastAsia="Times New Roman"/>
                <w:sz w:val="20"/>
                <w:szCs w:val="20"/>
              </w:rPr>
            </w:pPr>
            <w:r>
              <w:rPr>
                <w:rFonts w:eastAsia="Times New Roman"/>
                <w:sz w:val="20"/>
                <w:szCs w:val="20"/>
              </w:rPr>
              <w:t> </w:t>
            </w:r>
          </w:p>
        </w:tc>
      </w:tr>
      <w:tr w:rsidR="00000000" w14:paraId="44665506" w14:textId="77777777">
        <w:tc>
          <w:tcPr>
            <w:tcW w:w="0" w:type="auto"/>
            <w:shd w:val="clear" w:color="auto" w:fill="CCEEFF"/>
            <w:tcMar>
              <w:top w:w="0" w:type="dxa"/>
              <w:left w:w="0" w:type="dxa"/>
              <w:bottom w:w="30" w:type="dxa"/>
              <w:right w:w="0" w:type="dxa"/>
            </w:tcMar>
            <w:vAlign w:val="bottom"/>
            <w:hideMark/>
          </w:tcPr>
          <w:p w14:paraId="1829B470" w14:textId="77777777" w:rsidR="00000000" w:rsidRDefault="001826C1">
            <w:pPr>
              <w:rPr>
                <w:rFonts w:eastAsia="Times New Roman"/>
                <w:sz w:val="20"/>
                <w:szCs w:val="20"/>
              </w:rPr>
            </w:pPr>
            <w:r>
              <w:rPr>
                <w:rFonts w:eastAsia="Times New Roman"/>
                <w:sz w:val="20"/>
                <w:szCs w:val="20"/>
              </w:rPr>
              <w:t>Adjustments/true-ups</w:t>
            </w:r>
          </w:p>
        </w:tc>
        <w:tc>
          <w:tcPr>
            <w:tcW w:w="0" w:type="auto"/>
            <w:shd w:val="clear" w:color="auto" w:fill="CCEEFF"/>
            <w:tcMar>
              <w:top w:w="0" w:type="dxa"/>
              <w:left w:w="0" w:type="dxa"/>
              <w:bottom w:w="30" w:type="dxa"/>
              <w:right w:w="0" w:type="dxa"/>
            </w:tcMar>
            <w:vAlign w:val="bottom"/>
            <w:hideMark/>
          </w:tcPr>
          <w:p w14:paraId="12FBF88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779B2E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2D0FE51" w14:textId="77777777" w:rsidR="00000000" w:rsidRDefault="001826C1">
            <w:pPr>
              <w:jc w:val="right"/>
              <w:rPr>
                <w:rFonts w:eastAsia="Times New Roman"/>
                <w:sz w:val="20"/>
                <w:szCs w:val="20"/>
              </w:rPr>
            </w:pPr>
            <w:r>
              <w:rPr>
                <w:rFonts w:eastAsia="Times New Roman"/>
                <w:sz w:val="20"/>
                <w:szCs w:val="20"/>
              </w:rPr>
              <w:t>(393,349</w:t>
            </w:r>
          </w:p>
        </w:tc>
        <w:tc>
          <w:tcPr>
            <w:tcW w:w="0" w:type="auto"/>
            <w:shd w:val="clear" w:color="auto" w:fill="CCEEFF"/>
            <w:tcMar>
              <w:top w:w="0" w:type="dxa"/>
              <w:left w:w="0" w:type="dxa"/>
              <w:bottom w:w="30" w:type="dxa"/>
              <w:right w:w="0" w:type="dxa"/>
            </w:tcMar>
            <w:vAlign w:val="bottom"/>
            <w:hideMark/>
          </w:tcPr>
          <w:p w14:paraId="66B93E51"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6B98A1E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988447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BB7FE9F" w14:textId="77777777" w:rsidR="00000000" w:rsidRDefault="001826C1">
            <w:pPr>
              <w:jc w:val="right"/>
              <w:rPr>
                <w:rFonts w:eastAsia="Times New Roman"/>
                <w:sz w:val="20"/>
                <w:szCs w:val="20"/>
              </w:rPr>
            </w:pPr>
            <w:r>
              <w:rPr>
                <w:rFonts w:eastAsia="Times New Roman"/>
                <w:sz w:val="20"/>
                <w:szCs w:val="20"/>
              </w:rPr>
              <w:t>155,769</w:t>
            </w:r>
          </w:p>
        </w:tc>
        <w:tc>
          <w:tcPr>
            <w:tcW w:w="0" w:type="auto"/>
            <w:shd w:val="clear" w:color="auto" w:fill="CCEEFF"/>
            <w:tcMar>
              <w:top w:w="0" w:type="dxa"/>
              <w:left w:w="0" w:type="dxa"/>
              <w:bottom w:w="30" w:type="dxa"/>
              <w:right w:w="0" w:type="dxa"/>
            </w:tcMar>
            <w:vAlign w:val="bottom"/>
            <w:hideMark/>
          </w:tcPr>
          <w:p w14:paraId="3CAFEEBB" w14:textId="77777777" w:rsidR="00000000" w:rsidRDefault="001826C1">
            <w:pPr>
              <w:rPr>
                <w:rFonts w:eastAsia="Times New Roman"/>
                <w:sz w:val="20"/>
                <w:szCs w:val="20"/>
              </w:rPr>
            </w:pPr>
            <w:r>
              <w:rPr>
                <w:rFonts w:eastAsia="Times New Roman"/>
                <w:sz w:val="20"/>
                <w:szCs w:val="20"/>
              </w:rPr>
              <w:t> </w:t>
            </w:r>
          </w:p>
        </w:tc>
      </w:tr>
      <w:tr w:rsidR="00000000" w14:paraId="45FC33E4" w14:textId="77777777">
        <w:tc>
          <w:tcPr>
            <w:tcW w:w="0" w:type="auto"/>
            <w:shd w:val="clear" w:color="auto" w:fill="FFFFFF"/>
            <w:tcMar>
              <w:top w:w="0" w:type="dxa"/>
              <w:left w:w="0" w:type="dxa"/>
              <w:bottom w:w="50" w:type="dxa"/>
              <w:right w:w="0" w:type="dxa"/>
            </w:tcMar>
            <w:vAlign w:val="bottom"/>
            <w:hideMark/>
          </w:tcPr>
          <w:p w14:paraId="24D89FE6" w14:textId="77777777" w:rsidR="00000000" w:rsidRDefault="001826C1">
            <w:pPr>
              <w:rPr>
                <w:rFonts w:eastAsia="Times New Roman"/>
                <w:sz w:val="20"/>
                <w:szCs w:val="20"/>
              </w:rPr>
            </w:pPr>
            <w:r>
              <w:rPr>
                <w:rFonts w:eastAsia="Times New Roman"/>
                <w:sz w:val="20"/>
                <w:szCs w:val="20"/>
              </w:rPr>
              <w:t>Ending balance</w:t>
            </w:r>
          </w:p>
        </w:tc>
        <w:tc>
          <w:tcPr>
            <w:tcW w:w="0" w:type="auto"/>
            <w:shd w:val="clear" w:color="auto" w:fill="FFFFFF"/>
            <w:tcMar>
              <w:top w:w="0" w:type="dxa"/>
              <w:left w:w="0" w:type="dxa"/>
              <w:bottom w:w="50" w:type="dxa"/>
              <w:right w:w="0" w:type="dxa"/>
            </w:tcMar>
            <w:vAlign w:val="bottom"/>
            <w:hideMark/>
          </w:tcPr>
          <w:p w14:paraId="257AF06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8667670"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DDA95A9" w14:textId="77777777" w:rsidR="00000000" w:rsidRDefault="001826C1">
            <w:pPr>
              <w:jc w:val="right"/>
              <w:rPr>
                <w:rFonts w:eastAsia="Times New Roman"/>
                <w:sz w:val="20"/>
                <w:szCs w:val="20"/>
              </w:rPr>
            </w:pPr>
            <w:r>
              <w:rPr>
                <w:rFonts w:eastAsia="Times New Roman"/>
                <w:sz w:val="20"/>
                <w:szCs w:val="20"/>
              </w:rPr>
              <w:t>7,154,510</w:t>
            </w:r>
          </w:p>
        </w:tc>
        <w:tc>
          <w:tcPr>
            <w:tcW w:w="0" w:type="auto"/>
            <w:shd w:val="clear" w:color="auto" w:fill="FFFFFF"/>
            <w:tcMar>
              <w:top w:w="0" w:type="dxa"/>
              <w:left w:w="0" w:type="dxa"/>
              <w:bottom w:w="50" w:type="dxa"/>
              <w:right w:w="0" w:type="dxa"/>
            </w:tcMar>
            <w:vAlign w:val="bottom"/>
            <w:hideMark/>
          </w:tcPr>
          <w:p w14:paraId="15AC285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893A6E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376F94F"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6471C2D" w14:textId="77777777" w:rsidR="00000000" w:rsidRDefault="001826C1">
            <w:pPr>
              <w:jc w:val="right"/>
              <w:rPr>
                <w:rFonts w:eastAsia="Times New Roman"/>
                <w:sz w:val="20"/>
                <w:szCs w:val="20"/>
              </w:rPr>
            </w:pPr>
            <w:r>
              <w:rPr>
                <w:rFonts w:eastAsia="Times New Roman"/>
                <w:sz w:val="20"/>
                <w:szCs w:val="20"/>
              </w:rPr>
              <w:t>7,176,391</w:t>
            </w:r>
          </w:p>
        </w:tc>
        <w:tc>
          <w:tcPr>
            <w:tcW w:w="0" w:type="auto"/>
            <w:shd w:val="clear" w:color="auto" w:fill="FFFFFF"/>
            <w:tcMar>
              <w:top w:w="0" w:type="dxa"/>
              <w:left w:w="0" w:type="dxa"/>
              <w:bottom w:w="50" w:type="dxa"/>
              <w:right w:w="0" w:type="dxa"/>
            </w:tcMar>
            <w:vAlign w:val="bottom"/>
            <w:hideMark/>
          </w:tcPr>
          <w:p w14:paraId="1110A0F9" w14:textId="77777777" w:rsidR="00000000" w:rsidRDefault="001826C1">
            <w:pPr>
              <w:rPr>
                <w:rFonts w:eastAsia="Times New Roman"/>
                <w:sz w:val="20"/>
                <w:szCs w:val="20"/>
              </w:rPr>
            </w:pPr>
            <w:r>
              <w:rPr>
                <w:rFonts w:eastAsia="Times New Roman"/>
                <w:sz w:val="20"/>
                <w:szCs w:val="20"/>
              </w:rPr>
              <w:t> </w:t>
            </w:r>
          </w:p>
        </w:tc>
      </w:tr>
    </w:tbl>
    <w:p w14:paraId="775F9DF2" w14:textId="77777777" w:rsidR="00000000" w:rsidRDefault="001826C1">
      <w:pPr>
        <w:pStyle w:val="a3"/>
        <w:spacing w:before="0" w:beforeAutospacing="0" w:after="0" w:afterAutospacing="0"/>
        <w:jc w:val="both"/>
        <w:rPr>
          <w:sz w:val="20"/>
          <w:szCs w:val="20"/>
        </w:rPr>
      </w:pPr>
      <w:r>
        <w:rPr>
          <w:sz w:val="20"/>
          <w:szCs w:val="20"/>
        </w:rPr>
        <w:t> </w:t>
      </w:r>
    </w:p>
    <w:p w14:paraId="2A3B513D" w14:textId="77777777" w:rsidR="00000000" w:rsidRDefault="001826C1">
      <w:pPr>
        <w:pStyle w:val="a3"/>
        <w:spacing w:before="0" w:beforeAutospacing="0" w:after="0" w:afterAutospacing="0"/>
        <w:jc w:val="both"/>
        <w:rPr>
          <w:sz w:val="20"/>
          <w:szCs w:val="20"/>
        </w:rPr>
      </w:pPr>
      <w:r>
        <w:rPr>
          <w:sz w:val="20"/>
          <w:szCs w:val="20"/>
        </w:rPr>
        <w:t xml:space="preserve">The adjustments/true-ups for 2019 primarily represent the deferred tax effect of the Company’s adoption of ASC 606. The adjustments/true-ups for </w:t>
      </w:r>
      <w:r>
        <w:rPr>
          <w:sz w:val="20"/>
          <w:szCs w:val="20"/>
        </w:rPr>
        <w:t>2018 primarily represent the use of federal net operating losses to offset the Transition Tax as defined below. Accordingly, additional valuation allowances needed to be provided. Since a full valuation allowance is recorded on the Company’s deferred tax a</w:t>
      </w:r>
      <w:r>
        <w:rPr>
          <w:sz w:val="20"/>
          <w:szCs w:val="20"/>
        </w:rPr>
        <w:t>ssets, there was no effect on the Company’s consolidated balance sheet.</w:t>
      </w:r>
    </w:p>
    <w:p w14:paraId="40A8629C"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7413C20" w14:textId="77777777">
        <w:trPr>
          <w:divId w:val="1362587516"/>
        </w:trPr>
        <w:tc>
          <w:tcPr>
            <w:tcW w:w="5000" w:type="pct"/>
            <w:hideMark/>
          </w:tcPr>
          <w:p w14:paraId="16DBBF29"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0</w:t>
            </w:r>
          </w:p>
        </w:tc>
      </w:tr>
    </w:tbl>
    <w:tbl>
      <w:tblPr>
        <w:tblW w:w="5000" w:type="pct"/>
        <w:tblCellMar>
          <w:left w:w="0" w:type="dxa"/>
          <w:right w:w="0" w:type="dxa"/>
        </w:tblCellMar>
        <w:tblLook w:val="04A0" w:firstRow="1" w:lastRow="0" w:firstColumn="1" w:lastColumn="0" w:noHBand="0" w:noVBand="1"/>
      </w:tblPr>
      <w:tblGrid>
        <w:gridCol w:w="8306"/>
      </w:tblGrid>
      <w:tr w:rsidR="00000000" w14:paraId="2682705F" w14:textId="77777777">
        <w:tc>
          <w:tcPr>
            <w:tcW w:w="5000" w:type="pct"/>
            <w:hideMark/>
          </w:tcPr>
          <w:p w14:paraId="6CAC3BE3" w14:textId="77777777" w:rsidR="00000000" w:rsidRDefault="001826C1">
            <w:pPr>
              <w:jc w:val="center"/>
              <w:rPr>
                <w:rFonts w:eastAsia="Times New Roman"/>
                <w:sz w:val="20"/>
                <w:szCs w:val="20"/>
              </w:rPr>
            </w:pPr>
            <w:r>
              <w:rPr>
                <w:rFonts w:eastAsia="Times New Roman"/>
                <w:sz w:val="20"/>
                <w:szCs w:val="20"/>
              </w:rPr>
              <w:t> </w:t>
            </w:r>
          </w:p>
        </w:tc>
      </w:tr>
    </w:tbl>
    <w:p w14:paraId="751DBE8E" w14:textId="77777777" w:rsidR="00000000" w:rsidRDefault="001826C1">
      <w:pPr>
        <w:pStyle w:val="a3"/>
        <w:spacing w:before="0" w:beforeAutospacing="0" w:after="0" w:afterAutospacing="0"/>
        <w:jc w:val="both"/>
        <w:rPr>
          <w:sz w:val="20"/>
          <w:szCs w:val="20"/>
        </w:rPr>
      </w:pPr>
      <w:r>
        <w:rPr>
          <w:sz w:val="20"/>
          <w:szCs w:val="20"/>
        </w:rPr>
        <w:t> </w:t>
      </w:r>
    </w:p>
    <w:p w14:paraId="112449D2" w14:textId="77777777" w:rsidR="00000000" w:rsidRDefault="001826C1">
      <w:pPr>
        <w:pStyle w:val="a3"/>
        <w:spacing w:before="0" w:beforeAutospacing="0" w:after="0" w:afterAutospacing="0"/>
        <w:jc w:val="both"/>
        <w:rPr>
          <w:sz w:val="20"/>
          <w:szCs w:val="20"/>
        </w:rPr>
      </w:pPr>
      <w:r>
        <w:rPr>
          <w:sz w:val="20"/>
          <w:szCs w:val="20"/>
        </w:rPr>
        <w:t xml:space="preserve">The loss before </w:t>
      </w:r>
      <w:r>
        <w:rPr>
          <w:sz w:val="20"/>
          <w:szCs w:val="20"/>
        </w:rPr>
        <w:t>tax for financial reporting purposes during the years ended December 31, 2019 and 2018 consisted of the following:</w:t>
      </w:r>
    </w:p>
    <w:p w14:paraId="3830B70F" w14:textId="77777777" w:rsidR="00000000" w:rsidRDefault="001826C1">
      <w:pPr>
        <w:pStyle w:val="a3"/>
        <w:spacing w:before="0" w:beforeAutospacing="0" w:after="0" w:afterAutospacing="0"/>
        <w:jc w:val="both"/>
        <w:rPr>
          <w:sz w:val="20"/>
          <w:szCs w:val="20"/>
        </w:rPr>
      </w:pPr>
      <w:r>
        <w:rPr>
          <w:sz w:val="20"/>
          <w:szCs w:val="20"/>
        </w:rPr>
        <w:t> </w:t>
      </w:r>
    </w:p>
    <w:tbl>
      <w:tblPr>
        <w:tblW w:w="3750" w:type="pct"/>
        <w:tblCellMar>
          <w:left w:w="0" w:type="dxa"/>
          <w:right w:w="0" w:type="dxa"/>
        </w:tblCellMar>
        <w:tblLook w:val="04A0" w:firstRow="1" w:lastRow="0" w:firstColumn="1" w:lastColumn="0" w:noHBand="0" w:noVBand="1"/>
      </w:tblPr>
      <w:tblGrid>
        <w:gridCol w:w="3966"/>
        <w:gridCol w:w="104"/>
        <w:gridCol w:w="100"/>
        <w:gridCol w:w="867"/>
        <w:gridCol w:w="67"/>
        <w:gridCol w:w="92"/>
        <w:gridCol w:w="100"/>
        <w:gridCol w:w="867"/>
        <w:gridCol w:w="67"/>
      </w:tblGrid>
      <w:tr w:rsidR="00000000" w14:paraId="4F057EAC" w14:textId="77777777">
        <w:tc>
          <w:tcPr>
            <w:tcW w:w="0" w:type="auto"/>
            <w:vAlign w:val="bottom"/>
            <w:hideMark/>
          </w:tcPr>
          <w:p w14:paraId="3FEB960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BE6C994"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FD02075" w14:textId="77777777" w:rsidR="00000000" w:rsidRDefault="001826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1E7A25B6" w14:textId="77777777" w:rsidR="00000000" w:rsidRDefault="001826C1">
            <w:pPr>
              <w:rPr>
                <w:rFonts w:eastAsia="Times New Roman"/>
                <w:b/>
                <w:bCs/>
                <w:sz w:val="20"/>
                <w:szCs w:val="20"/>
              </w:rPr>
            </w:pPr>
            <w:r>
              <w:rPr>
                <w:rFonts w:eastAsia="Times New Roman"/>
                <w:b/>
                <w:bCs/>
                <w:sz w:val="20"/>
                <w:szCs w:val="20"/>
              </w:rPr>
              <w:t> </w:t>
            </w:r>
          </w:p>
        </w:tc>
      </w:tr>
      <w:tr w:rsidR="00000000" w14:paraId="2A7B9FD6" w14:textId="77777777">
        <w:tc>
          <w:tcPr>
            <w:tcW w:w="0" w:type="auto"/>
            <w:vAlign w:val="bottom"/>
            <w:hideMark/>
          </w:tcPr>
          <w:p w14:paraId="20D9783C"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1E650E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BBB06EA"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104F3AF"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56054EA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4A71A7C"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39AFDB44" w14:textId="77777777" w:rsidR="00000000" w:rsidRDefault="001826C1">
            <w:pPr>
              <w:rPr>
                <w:rFonts w:eastAsia="Times New Roman"/>
                <w:b/>
                <w:bCs/>
                <w:sz w:val="20"/>
                <w:szCs w:val="20"/>
              </w:rPr>
            </w:pPr>
            <w:r>
              <w:rPr>
                <w:rFonts w:eastAsia="Times New Roman"/>
                <w:b/>
                <w:bCs/>
                <w:sz w:val="20"/>
                <w:szCs w:val="20"/>
              </w:rPr>
              <w:t> </w:t>
            </w:r>
          </w:p>
        </w:tc>
      </w:tr>
      <w:tr w:rsidR="00000000" w14:paraId="00756A5E" w14:textId="77777777">
        <w:tc>
          <w:tcPr>
            <w:tcW w:w="3200" w:type="pct"/>
            <w:shd w:val="clear" w:color="auto" w:fill="CCEEFF"/>
            <w:vAlign w:val="bottom"/>
            <w:hideMark/>
          </w:tcPr>
          <w:p w14:paraId="63AFB04D" w14:textId="77777777" w:rsidR="00000000" w:rsidRDefault="001826C1">
            <w:pPr>
              <w:rPr>
                <w:rFonts w:eastAsia="Times New Roman"/>
                <w:sz w:val="20"/>
                <w:szCs w:val="20"/>
              </w:rPr>
            </w:pPr>
            <w:r>
              <w:rPr>
                <w:rFonts w:eastAsia="Times New Roman"/>
                <w:sz w:val="20"/>
                <w:szCs w:val="20"/>
              </w:rPr>
              <w:t>United States</w:t>
            </w:r>
          </w:p>
        </w:tc>
        <w:tc>
          <w:tcPr>
            <w:tcW w:w="100" w:type="pct"/>
            <w:shd w:val="clear" w:color="auto" w:fill="CCEEFF"/>
            <w:vAlign w:val="bottom"/>
            <w:hideMark/>
          </w:tcPr>
          <w:p w14:paraId="660B78D3"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1272458"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35AA412D" w14:textId="77777777" w:rsidR="00000000" w:rsidRDefault="001826C1">
            <w:pPr>
              <w:jc w:val="right"/>
              <w:rPr>
                <w:rFonts w:eastAsia="Times New Roman"/>
                <w:sz w:val="20"/>
                <w:szCs w:val="20"/>
              </w:rPr>
            </w:pPr>
            <w:r>
              <w:rPr>
                <w:rFonts w:eastAsia="Times New Roman"/>
                <w:sz w:val="20"/>
                <w:szCs w:val="20"/>
              </w:rPr>
              <w:t>(1,154,831</w:t>
            </w:r>
          </w:p>
        </w:tc>
        <w:tc>
          <w:tcPr>
            <w:tcW w:w="50" w:type="pct"/>
            <w:shd w:val="clear" w:color="auto" w:fill="CCEEFF"/>
            <w:vAlign w:val="bottom"/>
            <w:hideMark/>
          </w:tcPr>
          <w:p w14:paraId="5F9322D4"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2AAC03CC"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41A685A"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242203DD" w14:textId="77777777" w:rsidR="00000000" w:rsidRDefault="001826C1">
            <w:pPr>
              <w:jc w:val="right"/>
              <w:rPr>
                <w:rFonts w:eastAsia="Times New Roman"/>
                <w:sz w:val="20"/>
                <w:szCs w:val="20"/>
              </w:rPr>
            </w:pPr>
            <w:r>
              <w:rPr>
                <w:rFonts w:eastAsia="Times New Roman"/>
                <w:sz w:val="20"/>
                <w:szCs w:val="20"/>
              </w:rPr>
              <w:t>(4,111,539</w:t>
            </w:r>
          </w:p>
        </w:tc>
        <w:tc>
          <w:tcPr>
            <w:tcW w:w="50" w:type="pct"/>
            <w:shd w:val="clear" w:color="auto" w:fill="CCEEFF"/>
            <w:vAlign w:val="bottom"/>
            <w:hideMark/>
          </w:tcPr>
          <w:p w14:paraId="47FAED7B" w14:textId="77777777" w:rsidR="00000000" w:rsidRDefault="001826C1">
            <w:pPr>
              <w:rPr>
                <w:rFonts w:eastAsia="Times New Roman"/>
                <w:sz w:val="20"/>
                <w:szCs w:val="20"/>
              </w:rPr>
            </w:pPr>
            <w:r>
              <w:rPr>
                <w:rFonts w:eastAsia="Times New Roman"/>
                <w:sz w:val="20"/>
                <w:szCs w:val="20"/>
              </w:rPr>
              <w:t>)</w:t>
            </w:r>
          </w:p>
        </w:tc>
      </w:tr>
      <w:tr w:rsidR="00000000" w14:paraId="21AED4AD" w14:textId="77777777">
        <w:tc>
          <w:tcPr>
            <w:tcW w:w="0" w:type="auto"/>
            <w:shd w:val="clear" w:color="auto" w:fill="FFFFFF"/>
            <w:tcMar>
              <w:top w:w="0" w:type="dxa"/>
              <w:left w:w="0" w:type="dxa"/>
              <w:bottom w:w="30" w:type="dxa"/>
              <w:right w:w="0" w:type="dxa"/>
            </w:tcMar>
            <w:vAlign w:val="bottom"/>
            <w:hideMark/>
          </w:tcPr>
          <w:p w14:paraId="337E5418" w14:textId="77777777" w:rsidR="00000000" w:rsidRDefault="001826C1">
            <w:pPr>
              <w:rPr>
                <w:rFonts w:eastAsia="Times New Roman"/>
                <w:sz w:val="20"/>
                <w:szCs w:val="20"/>
              </w:rPr>
            </w:pPr>
            <w:r>
              <w:rPr>
                <w:rFonts w:eastAsia="Times New Roman"/>
                <w:sz w:val="20"/>
                <w:szCs w:val="20"/>
              </w:rPr>
              <w:t>Foreign</w:t>
            </w:r>
          </w:p>
        </w:tc>
        <w:tc>
          <w:tcPr>
            <w:tcW w:w="0" w:type="auto"/>
            <w:shd w:val="clear" w:color="auto" w:fill="FFFFFF"/>
            <w:tcMar>
              <w:top w:w="0" w:type="dxa"/>
              <w:left w:w="0" w:type="dxa"/>
              <w:bottom w:w="30" w:type="dxa"/>
              <w:right w:w="0" w:type="dxa"/>
            </w:tcMar>
            <w:vAlign w:val="bottom"/>
            <w:hideMark/>
          </w:tcPr>
          <w:p w14:paraId="106CDC3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B47D6A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E0258C9" w14:textId="77777777" w:rsidR="00000000" w:rsidRDefault="001826C1">
            <w:pPr>
              <w:jc w:val="right"/>
              <w:rPr>
                <w:rFonts w:eastAsia="Times New Roman"/>
                <w:sz w:val="20"/>
                <w:szCs w:val="20"/>
              </w:rPr>
            </w:pPr>
            <w:r>
              <w:rPr>
                <w:rFonts w:eastAsia="Times New Roman"/>
                <w:sz w:val="20"/>
                <w:szCs w:val="20"/>
              </w:rPr>
              <w:t>475,811</w:t>
            </w:r>
          </w:p>
        </w:tc>
        <w:tc>
          <w:tcPr>
            <w:tcW w:w="0" w:type="auto"/>
            <w:shd w:val="clear" w:color="auto" w:fill="FFFFFF"/>
            <w:tcMar>
              <w:top w:w="0" w:type="dxa"/>
              <w:left w:w="0" w:type="dxa"/>
              <w:bottom w:w="30" w:type="dxa"/>
              <w:right w:w="0" w:type="dxa"/>
            </w:tcMar>
            <w:vAlign w:val="bottom"/>
            <w:hideMark/>
          </w:tcPr>
          <w:p w14:paraId="4B14FB4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EF8879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F77946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9855C15" w14:textId="77777777" w:rsidR="00000000" w:rsidRDefault="001826C1">
            <w:pPr>
              <w:jc w:val="right"/>
              <w:rPr>
                <w:rFonts w:eastAsia="Times New Roman"/>
                <w:sz w:val="20"/>
                <w:szCs w:val="20"/>
              </w:rPr>
            </w:pPr>
            <w:r>
              <w:rPr>
                <w:rFonts w:eastAsia="Times New Roman"/>
                <w:sz w:val="20"/>
                <w:szCs w:val="20"/>
              </w:rPr>
              <w:t>1,815,674</w:t>
            </w:r>
          </w:p>
        </w:tc>
        <w:tc>
          <w:tcPr>
            <w:tcW w:w="0" w:type="auto"/>
            <w:shd w:val="clear" w:color="auto" w:fill="FFFFFF"/>
            <w:tcMar>
              <w:top w:w="0" w:type="dxa"/>
              <w:left w:w="0" w:type="dxa"/>
              <w:bottom w:w="30" w:type="dxa"/>
              <w:right w:w="0" w:type="dxa"/>
            </w:tcMar>
            <w:vAlign w:val="bottom"/>
            <w:hideMark/>
          </w:tcPr>
          <w:p w14:paraId="1C2A669A" w14:textId="77777777" w:rsidR="00000000" w:rsidRDefault="001826C1">
            <w:pPr>
              <w:rPr>
                <w:rFonts w:eastAsia="Times New Roman"/>
                <w:sz w:val="20"/>
                <w:szCs w:val="20"/>
              </w:rPr>
            </w:pPr>
            <w:r>
              <w:rPr>
                <w:rFonts w:eastAsia="Times New Roman"/>
                <w:sz w:val="20"/>
                <w:szCs w:val="20"/>
              </w:rPr>
              <w:t> </w:t>
            </w:r>
          </w:p>
        </w:tc>
      </w:tr>
      <w:tr w:rsidR="00000000" w14:paraId="4E73210E" w14:textId="77777777">
        <w:tc>
          <w:tcPr>
            <w:tcW w:w="0" w:type="auto"/>
            <w:shd w:val="clear" w:color="auto" w:fill="CCEEFF"/>
            <w:tcMar>
              <w:top w:w="0" w:type="dxa"/>
              <w:left w:w="0" w:type="dxa"/>
              <w:bottom w:w="50" w:type="dxa"/>
              <w:right w:w="0" w:type="dxa"/>
            </w:tcMar>
            <w:vAlign w:val="bottom"/>
            <w:hideMark/>
          </w:tcPr>
          <w:p w14:paraId="4B21A333" w14:textId="77777777" w:rsidR="00000000" w:rsidRDefault="001826C1">
            <w:pPr>
              <w:rPr>
                <w:rFonts w:eastAsia="Times New Roman"/>
                <w:sz w:val="20"/>
                <w:szCs w:val="20"/>
              </w:rPr>
            </w:pPr>
            <w:r>
              <w:rPr>
                <w:rFonts w:eastAsia="Times New Roman"/>
                <w:sz w:val="20"/>
                <w:szCs w:val="20"/>
              </w:rPr>
              <w:t>Total</w:t>
            </w:r>
          </w:p>
        </w:tc>
        <w:tc>
          <w:tcPr>
            <w:tcW w:w="0" w:type="auto"/>
            <w:shd w:val="clear" w:color="auto" w:fill="CCEEFF"/>
            <w:tcMar>
              <w:top w:w="0" w:type="dxa"/>
              <w:left w:w="0" w:type="dxa"/>
              <w:bottom w:w="50" w:type="dxa"/>
              <w:right w:w="0" w:type="dxa"/>
            </w:tcMar>
            <w:vAlign w:val="bottom"/>
            <w:hideMark/>
          </w:tcPr>
          <w:p w14:paraId="647EB7C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C5CA4A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3926962E" w14:textId="77777777" w:rsidR="00000000" w:rsidRDefault="001826C1">
            <w:pPr>
              <w:jc w:val="right"/>
              <w:rPr>
                <w:rFonts w:eastAsia="Times New Roman"/>
                <w:sz w:val="20"/>
                <w:szCs w:val="20"/>
              </w:rPr>
            </w:pPr>
            <w:r>
              <w:rPr>
                <w:rFonts w:eastAsia="Times New Roman"/>
                <w:sz w:val="20"/>
                <w:szCs w:val="20"/>
              </w:rPr>
              <w:t>(679,020</w:t>
            </w:r>
          </w:p>
        </w:tc>
        <w:tc>
          <w:tcPr>
            <w:tcW w:w="0" w:type="auto"/>
            <w:shd w:val="clear" w:color="auto" w:fill="CCEEFF"/>
            <w:tcMar>
              <w:top w:w="0" w:type="dxa"/>
              <w:left w:w="0" w:type="dxa"/>
              <w:bottom w:w="50" w:type="dxa"/>
              <w:right w:w="0" w:type="dxa"/>
            </w:tcMar>
            <w:vAlign w:val="bottom"/>
            <w:hideMark/>
          </w:tcPr>
          <w:p w14:paraId="185C3D01"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259CFE1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2CDABEE"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7497391" w14:textId="77777777" w:rsidR="00000000" w:rsidRDefault="001826C1">
            <w:pPr>
              <w:jc w:val="right"/>
              <w:rPr>
                <w:rFonts w:eastAsia="Times New Roman"/>
                <w:sz w:val="20"/>
                <w:szCs w:val="20"/>
              </w:rPr>
            </w:pPr>
            <w:r>
              <w:rPr>
                <w:rFonts w:eastAsia="Times New Roman"/>
                <w:sz w:val="20"/>
                <w:szCs w:val="20"/>
              </w:rPr>
              <w:t>(2,295,865</w:t>
            </w:r>
          </w:p>
        </w:tc>
        <w:tc>
          <w:tcPr>
            <w:tcW w:w="0" w:type="auto"/>
            <w:shd w:val="clear" w:color="auto" w:fill="CCEEFF"/>
            <w:tcMar>
              <w:top w:w="0" w:type="dxa"/>
              <w:left w:w="0" w:type="dxa"/>
              <w:bottom w:w="50" w:type="dxa"/>
              <w:right w:w="0" w:type="dxa"/>
            </w:tcMar>
            <w:vAlign w:val="bottom"/>
            <w:hideMark/>
          </w:tcPr>
          <w:p w14:paraId="57E38506" w14:textId="77777777" w:rsidR="00000000" w:rsidRDefault="001826C1">
            <w:pPr>
              <w:rPr>
                <w:rFonts w:eastAsia="Times New Roman"/>
                <w:sz w:val="20"/>
                <w:szCs w:val="20"/>
              </w:rPr>
            </w:pPr>
            <w:r>
              <w:rPr>
                <w:rFonts w:eastAsia="Times New Roman"/>
                <w:sz w:val="20"/>
                <w:szCs w:val="20"/>
              </w:rPr>
              <w:t>)</w:t>
            </w:r>
          </w:p>
        </w:tc>
      </w:tr>
    </w:tbl>
    <w:p w14:paraId="31C7E2D0" w14:textId="77777777" w:rsidR="00000000" w:rsidRDefault="001826C1">
      <w:pPr>
        <w:pStyle w:val="a3"/>
        <w:spacing w:before="0" w:beforeAutospacing="0" w:after="0" w:afterAutospacing="0"/>
        <w:jc w:val="both"/>
        <w:rPr>
          <w:sz w:val="20"/>
          <w:szCs w:val="20"/>
        </w:rPr>
      </w:pPr>
      <w:r>
        <w:rPr>
          <w:sz w:val="20"/>
          <w:szCs w:val="20"/>
        </w:rPr>
        <w:t> </w:t>
      </w:r>
    </w:p>
    <w:p w14:paraId="5C551F66" w14:textId="77777777" w:rsidR="00000000" w:rsidRDefault="001826C1">
      <w:pPr>
        <w:pStyle w:val="a3"/>
        <w:spacing w:before="0" w:beforeAutospacing="0" w:after="0" w:afterAutospacing="0"/>
        <w:jc w:val="both"/>
        <w:rPr>
          <w:sz w:val="20"/>
          <w:szCs w:val="20"/>
        </w:rPr>
      </w:pPr>
      <w:r>
        <w:rPr>
          <w:sz w:val="20"/>
          <w:szCs w:val="20"/>
        </w:rPr>
        <w:t xml:space="preserve">The provision </w:t>
      </w:r>
      <w:r>
        <w:rPr>
          <w:sz w:val="20"/>
          <w:szCs w:val="20"/>
        </w:rPr>
        <w:t>(benefit) for income taxes for the years ended December 31, 2019 and 2018 consisted of the following:</w:t>
      </w:r>
    </w:p>
    <w:p w14:paraId="48A28417" w14:textId="77777777" w:rsidR="00000000" w:rsidRDefault="001826C1">
      <w:pPr>
        <w:pStyle w:val="a3"/>
        <w:spacing w:before="0" w:beforeAutospacing="0" w:after="0" w:afterAutospacing="0"/>
        <w:jc w:val="both"/>
        <w:rPr>
          <w:sz w:val="20"/>
          <w:szCs w:val="20"/>
        </w:rPr>
      </w:pPr>
      <w:r>
        <w:rPr>
          <w:sz w:val="20"/>
          <w:szCs w:val="20"/>
        </w:rPr>
        <w:t> </w:t>
      </w:r>
    </w:p>
    <w:tbl>
      <w:tblPr>
        <w:tblW w:w="3750" w:type="pct"/>
        <w:tblCellMar>
          <w:left w:w="0" w:type="dxa"/>
          <w:right w:w="0" w:type="dxa"/>
        </w:tblCellMar>
        <w:tblLook w:val="04A0" w:firstRow="1" w:lastRow="0" w:firstColumn="1" w:lastColumn="0" w:noHBand="0" w:noVBand="1"/>
      </w:tblPr>
      <w:tblGrid>
        <w:gridCol w:w="3970"/>
        <w:gridCol w:w="108"/>
        <w:gridCol w:w="100"/>
        <w:gridCol w:w="867"/>
        <w:gridCol w:w="50"/>
        <w:gridCol w:w="101"/>
        <w:gridCol w:w="100"/>
        <w:gridCol w:w="867"/>
        <w:gridCol w:w="67"/>
      </w:tblGrid>
      <w:tr w:rsidR="00000000" w14:paraId="3E29C94E" w14:textId="77777777">
        <w:tc>
          <w:tcPr>
            <w:tcW w:w="0" w:type="auto"/>
            <w:vAlign w:val="bottom"/>
            <w:hideMark/>
          </w:tcPr>
          <w:p w14:paraId="1DB23FBF"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A44509C"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09D562CB" w14:textId="77777777" w:rsidR="00000000" w:rsidRDefault="001826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5A3BAB5C" w14:textId="77777777" w:rsidR="00000000" w:rsidRDefault="001826C1">
            <w:pPr>
              <w:rPr>
                <w:rFonts w:eastAsia="Times New Roman"/>
                <w:b/>
                <w:bCs/>
                <w:sz w:val="20"/>
                <w:szCs w:val="20"/>
              </w:rPr>
            </w:pPr>
            <w:r>
              <w:rPr>
                <w:rFonts w:eastAsia="Times New Roman"/>
                <w:b/>
                <w:bCs/>
                <w:sz w:val="20"/>
                <w:szCs w:val="20"/>
              </w:rPr>
              <w:t> </w:t>
            </w:r>
          </w:p>
        </w:tc>
      </w:tr>
      <w:tr w:rsidR="00000000" w14:paraId="5A9DD98E" w14:textId="77777777">
        <w:tc>
          <w:tcPr>
            <w:tcW w:w="0" w:type="auto"/>
            <w:vAlign w:val="bottom"/>
            <w:hideMark/>
          </w:tcPr>
          <w:p w14:paraId="641C89DA"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35E16C34"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400D1F9"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4E83F115"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6C4923D"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E2AFF4F"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429148AC" w14:textId="77777777" w:rsidR="00000000" w:rsidRDefault="001826C1">
            <w:pPr>
              <w:rPr>
                <w:rFonts w:eastAsia="Times New Roman"/>
                <w:b/>
                <w:bCs/>
                <w:sz w:val="20"/>
                <w:szCs w:val="20"/>
              </w:rPr>
            </w:pPr>
            <w:r>
              <w:rPr>
                <w:rFonts w:eastAsia="Times New Roman"/>
                <w:b/>
                <w:bCs/>
                <w:sz w:val="20"/>
                <w:szCs w:val="20"/>
              </w:rPr>
              <w:t> </w:t>
            </w:r>
          </w:p>
        </w:tc>
      </w:tr>
      <w:tr w:rsidR="00000000" w14:paraId="6A038107" w14:textId="77777777">
        <w:tc>
          <w:tcPr>
            <w:tcW w:w="0" w:type="auto"/>
            <w:shd w:val="clear" w:color="auto" w:fill="CCEEFF"/>
            <w:vAlign w:val="bottom"/>
            <w:hideMark/>
          </w:tcPr>
          <w:p w14:paraId="74B00C14" w14:textId="77777777" w:rsidR="00000000" w:rsidRDefault="001826C1">
            <w:pPr>
              <w:rPr>
                <w:rFonts w:eastAsia="Times New Roman"/>
                <w:sz w:val="20"/>
                <w:szCs w:val="20"/>
              </w:rPr>
            </w:pPr>
            <w:r>
              <w:rPr>
                <w:rFonts w:eastAsia="Times New Roman"/>
                <w:sz w:val="20"/>
                <w:szCs w:val="20"/>
              </w:rPr>
              <w:t>Current:</w:t>
            </w:r>
          </w:p>
        </w:tc>
        <w:tc>
          <w:tcPr>
            <w:tcW w:w="0" w:type="auto"/>
            <w:shd w:val="clear" w:color="auto" w:fill="CCEEFF"/>
            <w:vAlign w:val="bottom"/>
            <w:hideMark/>
          </w:tcPr>
          <w:p w14:paraId="20CC3FE6" w14:textId="77777777" w:rsidR="00000000" w:rsidRDefault="001826C1">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56BC0BE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29E3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61BE437" w14:textId="77777777" w:rsidR="00000000" w:rsidRDefault="001826C1">
            <w:pPr>
              <w:rPr>
                <w:rFonts w:eastAsia="Times New Roman"/>
                <w:sz w:val="20"/>
                <w:szCs w:val="20"/>
              </w:rPr>
            </w:pPr>
            <w:r>
              <w:rPr>
                <w:rFonts w:eastAsia="Times New Roman"/>
                <w:sz w:val="20"/>
                <w:szCs w:val="20"/>
              </w:rPr>
              <w:t> </w:t>
            </w:r>
          </w:p>
        </w:tc>
        <w:tc>
          <w:tcPr>
            <w:tcW w:w="0" w:type="auto"/>
            <w:gridSpan w:val="2"/>
            <w:shd w:val="clear" w:color="auto" w:fill="CCEEFF"/>
            <w:vAlign w:val="bottom"/>
            <w:hideMark/>
          </w:tcPr>
          <w:p w14:paraId="070EFC1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4E96CE5" w14:textId="77777777" w:rsidR="00000000" w:rsidRDefault="001826C1">
            <w:pPr>
              <w:rPr>
                <w:rFonts w:eastAsia="Times New Roman"/>
                <w:sz w:val="20"/>
                <w:szCs w:val="20"/>
              </w:rPr>
            </w:pPr>
            <w:r>
              <w:rPr>
                <w:rFonts w:eastAsia="Times New Roman"/>
                <w:sz w:val="20"/>
                <w:szCs w:val="20"/>
              </w:rPr>
              <w:t> </w:t>
            </w:r>
          </w:p>
        </w:tc>
      </w:tr>
      <w:tr w:rsidR="00000000" w14:paraId="1A2ECA40" w14:textId="77777777">
        <w:tc>
          <w:tcPr>
            <w:tcW w:w="0" w:type="auto"/>
            <w:shd w:val="clear" w:color="auto" w:fill="FFFFFF"/>
            <w:tcMar>
              <w:top w:w="0" w:type="dxa"/>
              <w:left w:w="200" w:type="dxa"/>
              <w:bottom w:w="0" w:type="dxa"/>
              <w:right w:w="0" w:type="dxa"/>
            </w:tcMar>
            <w:vAlign w:val="bottom"/>
            <w:hideMark/>
          </w:tcPr>
          <w:p w14:paraId="2379E2B4" w14:textId="77777777" w:rsidR="00000000" w:rsidRDefault="001826C1">
            <w:pPr>
              <w:rPr>
                <w:rFonts w:eastAsia="Times New Roman"/>
                <w:sz w:val="20"/>
                <w:szCs w:val="20"/>
              </w:rPr>
            </w:pPr>
            <w:r>
              <w:rPr>
                <w:rFonts w:eastAsia="Times New Roman"/>
                <w:sz w:val="20"/>
                <w:szCs w:val="20"/>
              </w:rPr>
              <w:t>Federal</w:t>
            </w:r>
          </w:p>
        </w:tc>
        <w:tc>
          <w:tcPr>
            <w:tcW w:w="0" w:type="auto"/>
            <w:shd w:val="clear" w:color="auto" w:fill="FFFFFF"/>
            <w:vAlign w:val="bottom"/>
            <w:hideMark/>
          </w:tcPr>
          <w:p w14:paraId="15FAE2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C5351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C939146"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438E7F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270D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3427D6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8D0CC4D"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0D3A8C8E" w14:textId="77777777" w:rsidR="00000000" w:rsidRDefault="001826C1">
            <w:pPr>
              <w:rPr>
                <w:rFonts w:eastAsia="Times New Roman"/>
                <w:sz w:val="20"/>
                <w:szCs w:val="20"/>
              </w:rPr>
            </w:pPr>
            <w:r>
              <w:rPr>
                <w:rFonts w:eastAsia="Times New Roman"/>
                <w:sz w:val="20"/>
                <w:szCs w:val="20"/>
              </w:rPr>
              <w:t> </w:t>
            </w:r>
          </w:p>
        </w:tc>
      </w:tr>
      <w:tr w:rsidR="00000000" w14:paraId="02313C5A" w14:textId="77777777">
        <w:tc>
          <w:tcPr>
            <w:tcW w:w="3200" w:type="pct"/>
            <w:shd w:val="clear" w:color="auto" w:fill="CCEEFF"/>
            <w:tcMar>
              <w:top w:w="0" w:type="dxa"/>
              <w:left w:w="200" w:type="dxa"/>
              <w:bottom w:w="0" w:type="dxa"/>
              <w:right w:w="0" w:type="dxa"/>
            </w:tcMar>
            <w:vAlign w:val="bottom"/>
            <w:hideMark/>
          </w:tcPr>
          <w:p w14:paraId="1011C89A" w14:textId="77777777" w:rsidR="00000000" w:rsidRDefault="001826C1">
            <w:pPr>
              <w:rPr>
                <w:rFonts w:eastAsia="Times New Roman"/>
                <w:sz w:val="20"/>
                <w:szCs w:val="20"/>
              </w:rPr>
            </w:pPr>
            <w:r>
              <w:rPr>
                <w:rFonts w:eastAsia="Times New Roman"/>
                <w:sz w:val="20"/>
                <w:szCs w:val="20"/>
              </w:rPr>
              <w:t>State</w:t>
            </w:r>
          </w:p>
        </w:tc>
        <w:tc>
          <w:tcPr>
            <w:tcW w:w="100" w:type="pct"/>
            <w:shd w:val="clear" w:color="auto" w:fill="CCEEFF"/>
            <w:vAlign w:val="bottom"/>
            <w:hideMark/>
          </w:tcPr>
          <w:p w14:paraId="15497D23"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F525C3D" w14:textId="77777777" w:rsidR="00000000" w:rsidRDefault="001826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5A976A9" w14:textId="77777777" w:rsidR="00000000" w:rsidRDefault="001826C1">
            <w:pPr>
              <w:jc w:val="right"/>
              <w:rPr>
                <w:rFonts w:eastAsia="Times New Roman"/>
                <w:sz w:val="20"/>
                <w:szCs w:val="20"/>
              </w:rPr>
            </w:pPr>
            <w:r>
              <w:rPr>
                <w:rFonts w:eastAsia="Times New Roman"/>
                <w:sz w:val="20"/>
                <w:szCs w:val="20"/>
              </w:rPr>
              <w:t>102,677</w:t>
            </w:r>
          </w:p>
        </w:tc>
        <w:tc>
          <w:tcPr>
            <w:tcW w:w="50" w:type="pct"/>
            <w:shd w:val="clear" w:color="auto" w:fill="CCEEFF"/>
            <w:vAlign w:val="bottom"/>
            <w:hideMark/>
          </w:tcPr>
          <w:p w14:paraId="613A1DD0"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D96AE66"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68AD3FDE" w14:textId="77777777" w:rsidR="00000000" w:rsidRDefault="001826C1">
            <w:pPr>
              <w:rPr>
                <w:rFonts w:eastAsia="Times New Roman"/>
                <w:sz w:val="20"/>
                <w:szCs w:val="20"/>
              </w:rPr>
            </w:pPr>
            <w:r>
              <w:rPr>
                <w:rFonts w:eastAsia="Times New Roman"/>
                <w:sz w:val="20"/>
                <w:szCs w:val="20"/>
              </w:rPr>
              <w:t> </w:t>
            </w:r>
          </w:p>
        </w:tc>
        <w:tc>
          <w:tcPr>
            <w:tcW w:w="700" w:type="pct"/>
            <w:shd w:val="clear" w:color="auto" w:fill="CCEEFF"/>
            <w:vAlign w:val="bottom"/>
            <w:hideMark/>
          </w:tcPr>
          <w:p w14:paraId="5978060F" w14:textId="77777777" w:rsidR="00000000" w:rsidRDefault="001826C1">
            <w:pPr>
              <w:jc w:val="right"/>
              <w:rPr>
                <w:rFonts w:eastAsia="Times New Roman"/>
                <w:sz w:val="20"/>
                <w:szCs w:val="20"/>
              </w:rPr>
            </w:pPr>
            <w:r>
              <w:rPr>
                <w:rFonts w:eastAsia="Times New Roman"/>
                <w:sz w:val="20"/>
                <w:szCs w:val="20"/>
              </w:rPr>
              <w:t>49,000</w:t>
            </w:r>
          </w:p>
        </w:tc>
        <w:tc>
          <w:tcPr>
            <w:tcW w:w="50" w:type="pct"/>
            <w:shd w:val="clear" w:color="auto" w:fill="CCEEFF"/>
            <w:vAlign w:val="bottom"/>
            <w:hideMark/>
          </w:tcPr>
          <w:p w14:paraId="6C8D4231" w14:textId="77777777" w:rsidR="00000000" w:rsidRDefault="001826C1">
            <w:pPr>
              <w:rPr>
                <w:rFonts w:eastAsia="Times New Roman"/>
                <w:sz w:val="20"/>
                <w:szCs w:val="20"/>
              </w:rPr>
            </w:pPr>
            <w:r>
              <w:rPr>
                <w:rFonts w:eastAsia="Times New Roman"/>
                <w:sz w:val="20"/>
                <w:szCs w:val="20"/>
              </w:rPr>
              <w:t> </w:t>
            </w:r>
          </w:p>
        </w:tc>
      </w:tr>
      <w:tr w:rsidR="00000000" w14:paraId="05D95DF8" w14:textId="77777777">
        <w:tc>
          <w:tcPr>
            <w:tcW w:w="0" w:type="auto"/>
            <w:shd w:val="clear" w:color="auto" w:fill="FFFFFF"/>
            <w:tcMar>
              <w:top w:w="0" w:type="dxa"/>
              <w:left w:w="200" w:type="dxa"/>
              <w:bottom w:w="30" w:type="dxa"/>
              <w:right w:w="0" w:type="dxa"/>
            </w:tcMar>
            <w:vAlign w:val="bottom"/>
            <w:hideMark/>
          </w:tcPr>
          <w:p w14:paraId="35E50790" w14:textId="77777777" w:rsidR="00000000" w:rsidRDefault="001826C1">
            <w:pPr>
              <w:rPr>
                <w:rFonts w:eastAsia="Times New Roman"/>
                <w:sz w:val="20"/>
                <w:szCs w:val="20"/>
              </w:rPr>
            </w:pPr>
            <w:r>
              <w:rPr>
                <w:rFonts w:eastAsia="Times New Roman"/>
                <w:sz w:val="20"/>
                <w:szCs w:val="20"/>
              </w:rPr>
              <w:t>Foreign</w:t>
            </w:r>
          </w:p>
        </w:tc>
        <w:tc>
          <w:tcPr>
            <w:tcW w:w="0" w:type="auto"/>
            <w:shd w:val="clear" w:color="auto" w:fill="FFFFFF"/>
            <w:tcMar>
              <w:top w:w="0" w:type="dxa"/>
              <w:left w:w="0" w:type="dxa"/>
              <w:bottom w:w="30" w:type="dxa"/>
              <w:right w:w="0" w:type="dxa"/>
            </w:tcMar>
            <w:vAlign w:val="bottom"/>
            <w:hideMark/>
          </w:tcPr>
          <w:p w14:paraId="2E5FE20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6DFDC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AE9F94" w14:textId="77777777" w:rsidR="00000000" w:rsidRDefault="001826C1">
            <w:pPr>
              <w:jc w:val="right"/>
              <w:rPr>
                <w:rFonts w:eastAsia="Times New Roman"/>
                <w:sz w:val="20"/>
                <w:szCs w:val="20"/>
              </w:rPr>
            </w:pPr>
            <w:r>
              <w:rPr>
                <w:rFonts w:eastAsia="Times New Roman"/>
                <w:sz w:val="20"/>
                <w:szCs w:val="20"/>
              </w:rPr>
              <w:t>9,937</w:t>
            </w:r>
          </w:p>
        </w:tc>
        <w:tc>
          <w:tcPr>
            <w:tcW w:w="0" w:type="auto"/>
            <w:shd w:val="clear" w:color="auto" w:fill="FFFFFF"/>
            <w:tcMar>
              <w:top w:w="0" w:type="dxa"/>
              <w:left w:w="0" w:type="dxa"/>
              <w:bottom w:w="30" w:type="dxa"/>
              <w:right w:w="0" w:type="dxa"/>
            </w:tcMar>
            <w:vAlign w:val="bottom"/>
            <w:hideMark/>
          </w:tcPr>
          <w:p w14:paraId="2B2CBF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6EADA1C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23C64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57B599A" w14:textId="77777777" w:rsidR="00000000" w:rsidRDefault="001826C1">
            <w:pPr>
              <w:jc w:val="right"/>
              <w:rPr>
                <w:rFonts w:eastAsia="Times New Roman"/>
                <w:sz w:val="20"/>
                <w:szCs w:val="20"/>
              </w:rPr>
            </w:pPr>
            <w:r>
              <w:rPr>
                <w:rFonts w:eastAsia="Times New Roman"/>
                <w:sz w:val="20"/>
                <w:szCs w:val="20"/>
              </w:rPr>
              <w:t>1,341</w:t>
            </w:r>
          </w:p>
        </w:tc>
        <w:tc>
          <w:tcPr>
            <w:tcW w:w="0" w:type="auto"/>
            <w:shd w:val="clear" w:color="auto" w:fill="FFFFFF"/>
            <w:tcMar>
              <w:top w:w="0" w:type="dxa"/>
              <w:left w:w="0" w:type="dxa"/>
              <w:bottom w:w="30" w:type="dxa"/>
              <w:right w:w="0" w:type="dxa"/>
            </w:tcMar>
            <w:vAlign w:val="bottom"/>
            <w:hideMark/>
          </w:tcPr>
          <w:p w14:paraId="18295CCA" w14:textId="77777777" w:rsidR="00000000" w:rsidRDefault="001826C1">
            <w:pPr>
              <w:rPr>
                <w:rFonts w:eastAsia="Times New Roman"/>
                <w:sz w:val="20"/>
                <w:szCs w:val="20"/>
              </w:rPr>
            </w:pPr>
            <w:r>
              <w:rPr>
                <w:rFonts w:eastAsia="Times New Roman"/>
                <w:sz w:val="20"/>
                <w:szCs w:val="20"/>
              </w:rPr>
              <w:t> </w:t>
            </w:r>
          </w:p>
        </w:tc>
      </w:tr>
      <w:tr w:rsidR="00000000" w14:paraId="78C62D6D" w14:textId="77777777">
        <w:tc>
          <w:tcPr>
            <w:tcW w:w="0" w:type="auto"/>
            <w:shd w:val="clear" w:color="auto" w:fill="CCEEFF"/>
            <w:vAlign w:val="bottom"/>
            <w:hideMark/>
          </w:tcPr>
          <w:p w14:paraId="7EF6A9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D11BA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F41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619A43B" w14:textId="77777777" w:rsidR="00000000" w:rsidRDefault="001826C1">
            <w:pPr>
              <w:jc w:val="right"/>
              <w:rPr>
                <w:rFonts w:eastAsia="Times New Roman"/>
                <w:sz w:val="20"/>
                <w:szCs w:val="20"/>
              </w:rPr>
            </w:pPr>
            <w:r>
              <w:rPr>
                <w:rFonts w:eastAsia="Times New Roman"/>
                <w:sz w:val="20"/>
                <w:szCs w:val="20"/>
              </w:rPr>
              <w:t>112,614</w:t>
            </w:r>
          </w:p>
        </w:tc>
        <w:tc>
          <w:tcPr>
            <w:tcW w:w="0" w:type="auto"/>
            <w:shd w:val="clear" w:color="auto" w:fill="CCEEFF"/>
            <w:vAlign w:val="bottom"/>
            <w:hideMark/>
          </w:tcPr>
          <w:p w14:paraId="40BE43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23E3B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1E409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5C804A" w14:textId="77777777" w:rsidR="00000000" w:rsidRDefault="001826C1">
            <w:pPr>
              <w:jc w:val="right"/>
              <w:rPr>
                <w:rFonts w:eastAsia="Times New Roman"/>
                <w:sz w:val="20"/>
                <w:szCs w:val="20"/>
              </w:rPr>
            </w:pPr>
            <w:r>
              <w:rPr>
                <w:rFonts w:eastAsia="Times New Roman"/>
                <w:sz w:val="20"/>
                <w:szCs w:val="20"/>
              </w:rPr>
              <w:t>50,341</w:t>
            </w:r>
          </w:p>
        </w:tc>
        <w:tc>
          <w:tcPr>
            <w:tcW w:w="0" w:type="auto"/>
            <w:shd w:val="clear" w:color="auto" w:fill="CCEEFF"/>
            <w:vAlign w:val="bottom"/>
            <w:hideMark/>
          </w:tcPr>
          <w:p w14:paraId="2BB27884" w14:textId="77777777" w:rsidR="00000000" w:rsidRDefault="001826C1">
            <w:pPr>
              <w:rPr>
                <w:rFonts w:eastAsia="Times New Roman"/>
                <w:sz w:val="20"/>
                <w:szCs w:val="20"/>
              </w:rPr>
            </w:pPr>
            <w:r>
              <w:rPr>
                <w:rFonts w:eastAsia="Times New Roman"/>
                <w:sz w:val="20"/>
                <w:szCs w:val="20"/>
              </w:rPr>
              <w:t> </w:t>
            </w:r>
          </w:p>
        </w:tc>
      </w:tr>
      <w:tr w:rsidR="00000000" w14:paraId="57580062" w14:textId="77777777">
        <w:tc>
          <w:tcPr>
            <w:tcW w:w="0" w:type="auto"/>
            <w:shd w:val="clear" w:color="auto" w:fill="FFFFFF"/>
            <w:vAlign w:val="bottom"/>
            <w:hideMark/>
          </w:tcPr>
          <w:p w14:paraId="65C9A7C1" w14:textId="77777777" w:rsidR="00000000" w:rsidRDefault="001826C1">
            <w:pPr>
              <w:rPr>
                <w:rFonts w:eastAsia="Times New Roman"/>
                <w:sz w:val="20"/>
                <w:szCs w:val="20"/>
              </w:rPr>
            </w:pPr>
            <w:r>
              <w:rPr>
                <w:rFonts w:eastAsia="Times New Roman"/>
                <w:sz w:val="20"/>
                <w:szCs w:val="20"/>
              </w:rPr>
              <w:t>Deferred:</w:t>
            </w:r>
          </w:p>
        </w:tc>
        <w:tc>
          <w:tcPr>
            <w:tcW w:w="0" w:type="auto"/>
            <w:shd w:val="clear" w:color="auto" w:fill="FFFFFF"/>
            <w:vAlign w:val="bottom"/>
            <w:hideMark/>
          </w:tcPr>
          <w:p w14:paraId="04358C6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55722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AE5C46F"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BADBA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DB9A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D45EB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742E87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CDD782B" w14:textId="77777777" w:rsidR="00000000" w:rsidRDefault="001826C1">
            <w:pPr>
              <w:rPr>
                <w:rFonts w:eastAsia="Times New Roman"/>
                <w:sz w:val="20"/>
                <w:szCs w:val="20"/>
              </w:rPr>
            </w:pPr>
            <w:r>
              <w:rPr>
                <w:rFonts w:eastAsia="Times New Roman"/>
                <w:sz w:val="20"/>
                <w:szCs w:val="20"/>
              </w:rPr>
              <w:t> </w:t>
            </w:r>
          </w:p>
        </w:tc>
      </w:tr>
      <w:tr w:rsidR="00000000" w14:paraId="43F658D3" w14:textId="77777777">
        <w:tc>
          <w:tcPr>
            <w:tcW w:w="0" w:type="auto"/>
            <w:shd w:val="clear" w:color="auto" w:fill="CCEEFF"/>
            <w:tcMar>
              <w:top w:w="0" w:type="dxa"/>
              <w:left w:w="200" w:type="dxa"/>
              <w:bottom w:w="0" w:type="dxa"/>
              <w:right w:w="0" w:type="dxa"/>
            </w:tcMar>
            <w:vAlign w:val="bottom"/>
            <w:hideMark/>
          </w:tcPr>
          <w:p w14:paraId="661385B1" w14:textId="77777777" w:rsidR="00000000" w:rsidRDefault="001826C1">
            <w:pPr>
              <w:rPr>
                <w:rFonts w:eastAsia="Times New Roman"/>
                <w:sz w:val="20"/>
                <w:szCs w:val="20"/>
              </w:rPr>
            </w:pPr>
            <w:r>
              <w:rPr>
                <w:rFonts w:eastAsia="Times New Roman"/>
                <w:sz w:val="20"/>
                <w:szCs w:val="20"/>
              </w:rPr>
              <w:t>Federal</w:t>
            </w:r>
          </w:p>
        </w:tc>
        <w:tc>
          <w:tcPr>
            <w:tcW w:w="0" w:type="auto"/>
            <w:shd w:val="clear" w:color="auto" w:fill="CCEEFF"/>
            <w:vAlign w:val="bottom"/>
            <w:hideMark/>
          </w:tcPr>
          <w:p w14:paraId="15FCCC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3235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2A88AC" w14:textId="77777777" w:rsidR="00000000" w:rsidRDefault="001826C1">
            <w:pPr>
              <w:jc w:val="right"/>
              <w:rPr>
                <w:rFonts w:eastAsia="Times New Roman"/>
                <w:sz w:val="20"/>
                <w:szCs w:val="20"/>
              </w:rPr>
            </w:pPr>
            <w:r>
              <w:rPr>
                <w:rFonts w:eastAsia="Times New Roman"/>
                <w:sz w:val="20"/>
                <w:szCs w:val="20"/>
              </w:rPr>
              <w:t>27,689</w:t>
            </w:r>
          </w:p>
        </w:tc>
        <w:tc>
          <w:tcPr>
            <w:tcW w:w="0" w:type="auto"/>
            <w:shd w:val="clear" w:color="auto" w:fill="CCEEFF"/>
            <w:vAlign w:val="bottom"/>
            <w:hideMark/>
          </w:tcPr>
          <w:p w14:paraId="05C9EA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361D4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0EBC8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9648C85" w14:textId="77777777" w:rsidR="00000000" w:rsidRDefault="001826C1">
            <w:pPr>
              <w:jc w:val="right"/>
              <w:rPr>
                <w:rFonts w:eastAsia="Times New Roman"/>
                <w:sz w:val="20"/>
                <w:szCs w:val="20"/>
              </w:rPr>
            </w:pPr>
            <w:r>
              <w:rPr>
                <w:rFonts w:eastAsia="Times New Roman"/>
                <w:sz w:val="20"/>
                <w:szCs w:val="20"/>
              </w:rPr>
              <w:t>(225,347</w:t>
            </w:r>
          </w:p>
        </w:tc>
        <w:tc>
          <w:tcPr>
            <w:tcW w:w="0" w:type="auto"/>
            <w:shd w:val="clear" w:color="auto" w:fill="CCEEFF"/>
            <w:vAlign w:val="bottom"/>
            <w:hideMark/>
          </w:tcPr>
          <w:p w14:paraId="516FAAC0" w14:textId="77777777" w:rsidR="00000000" w:rsidRDefault="001826C1">
            <w:pPr>
              <w:rPr>
                <w:rFonts w:eastAsia="Times New Roman"/>
                <w:sz w:val="20"/>
                <w:szCs w:val="20"/>
              </w:rPr>
            </w:pPr>
            <w:r>
              <w:rPr>
                <w:rFonts w:eastAsia="Times New Roman"/>
                <w:sz w:val="20"/>
                <w:szCs w:val="20"/>
              </w:rPr>
              <w:t>)</w:t>
            </w:r>
          </w:p>
        </w:tc>
      </w:tr>
      <w:tr w:rsidR="00000000" w14:paraId="0E98B936" w14:textId="77777777">
        <w:tc>
          <w:tcPr>
            <w:tcW w:w="0" w:type="auto"/>
            <w:shd w:val="clear" w:color="auto" w:fill="FFFFFF"/>
            <w:tcMar>
              <w:top w:w="0" w:type="dxa"/>
              <w:left w:w="200" w:type="dxa"/>
              <w:bottom w:w="30" w:type="dxa"/>
              <w:right w:w="0" w:type="dxa"/>
            </w:tcMar>
            <w:vAlign w:val="bottom"/>
            <w:hideMark/>
          </w:tcPr>
          <w:p w14:paraId="5CBA5EA8" w14:textId="77777777" w:rsidR="00000000" w:rsidRDefault="001826C1">
            <w:pPr>
              <w:rPr>
                <w:rFonts w:eastAsia="Times New Roman"/>
                <w:sz w:val="20"/>
                <w:szCs w:val="20"/>
              </w:rPr>
            </w:pPr>
            <w:r>
              <w:rPr>
                <w:rFonts w:eastAsia="Times New Roman"/>
                <w:sz w:val="20"/>
                <w:szCs w:val="20"/>
              </w:rPr>
              <w:t>State</w:t>
            </w:r>
          </w:p>
        </w:tc>
        <w:tc>
          <w:tcPr>
            <w:tcW w:w="0" w:type="auto"/>
            <w:shd w:val="clear" w:color="auto" w:fill="FFFFFF"/>
            <w:tcMar>
              <w:top w:w="0" w:type="dxa"/>
              <w:left w:w="0" w:type="dxa"/>
              <w:bottom w:w="30" w:type="dxa"/>
              <w:right w:w="0" w:type="dxa"/>
            </w:tcMar>
            <w:vAlign w:val="bottom"/>
            <w:hideMark/>
          </w:tcPr>
          <w:p w14:paraId="74CE423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7CF73D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C9B4DE0" w14:textId="77777777" w:rsidR="00000000" w:rsidRDefault="001826C1">
            <w:pPr>
              <w:jc w:val="right"/>
              <w:rPr>
                <w:rFonts w:eastAsia="Times New Roman"/>
                <w:sz w:val="20"/>
                <w:szCs w:val="20"/>
              </w:rPr>
            </w:pPr>
            <w:r>
              <w:rPr>
                <w:rFonts w:eastAsia="Times New Roman"/>
                <w:sz w:val="20"/>
                <w:szCs w:val="20"/>
              </w:rPr>
              <w:t>52,477</w:t>
            </w:r>
          </w:p>
        </w:tc>
        <w:tc>
          <w:tcPr>
            <w:tcW w:w="0" w:type="auto"/>
            <w:shd w:val="clear" w:color="auto" w:fill="FFFFFF"/>
            <w:tcMar>
              <w:top w:w="0" w:type="dxa"/>
              <w:left w:w="0" w:type="dxa"/>
              <w:bottom w:w="30" w:type="dxa"/>
              <w:right w:w="0" w:type="dxa"/>
            </w:tcMar>
            <w:vAlign w:val="bottom"/>
            <w:hideMark/>
          </w:tcPr>
          <w:p w14:paraId="4D077D9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336AD7D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4E60FF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9005D6A" w14:textId="77777777" w:rsidR="00000000" w:rsidRDefault="001826C1">
            <w:pPr>
              <w:jc w:val="right"/>
              <w:rPr>
                <w:rFonts w:eastAsia="Times New Roman"/>
                <w:sz w:val="20"/>
                <w:szCs w:val="20"/>
              </w:rPr>
            </w:pPr>
            <w:r>
              <w:rPr>
                <w:rFonts w:eastAsia="Times New Roman"/>
                <w:sz w:val="20"/>
                <w:szCs w:val="20"/>
              </w:rPr>
              <w:t>17,621</w:t>
            </w:r>
          </w:p>
        </w:tc>
        <w:tc>
          <w:tcPr>
            <w:tcW w:w="0" w:type="auto"/>
            <w:shd w:val="clear" w:color="auto" w:fill="FFFFFF"/>
            <w:tcMar>
              <w:top w:w="0" w:type="dxa"/>
              <w:left w:w="0" w:type="dxa"/>
              <w:bottom w:w="30" w:type="dxa"/>
              <w:right w:w="0" w:type="dxa"/>
            </w:tcMar>
            <w:vAlign w:val="bottom"/>
            <w:hideMark/>
          </w:tcPr>
          <w:p w14:paraId="0E0C72B1" w14:textId="77777777" w:rsidR="00000000" w:rsidRDefault="001826C1">
            <w:pPr>
              <w:rPr>
                <w:rFonts w:eastAsia="Times New Roman"/>
                <w:sz w:val="20"/>
                <w:szCs w:val="20"/>
              </w:rPr>
            </w:pPr>
            <w:r>
              <w:rPr>
                <w:rFonts w:eastAsia="Times New Roman"/>
                <w:sz w:val="20"/>
                <w:szCs w:val="20"/>
              </w:rPr>
              <w:t> </w:t>
            </w:r>
          </w:p>
        </w:tc>
      </w:tr>
      <w:tr w:rsidR="00000000" w14:paraId="0739CC38" w14:textId="77777777">
        <w:tc>
          <w:tcPr>
            <w:tcW w:w="0" w:type="auto"/>
            <w:shd w:val="clear" w:color="auto" w:fill="CCEEFF"/>
            <w:tcMar>
              <w:top w:w="0" w:type="dxa"/>
              <w:left w:w="0" w:type="dxa"/>
              <w:bottom w:w="30" w:type="dxa"/>
              <w:right w:w="0" w:type="dxa"/>
            </w:tcMar>
            <w:vAlign w:val="bottom"/>
            <w:hideMark/>
          </w:tcPr>
          <w:p w14:paraId="1405F5F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3BA5BD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F62807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0E7B0B2" w14:textId="77777777" w:rsidR="00000000" w:rsidRDefault="001826C1">
            <w:pPr>
              <w:jc w:val="right"/>
              <w:rPr>
                <w:rFonts w:eastAsia="Times New Roman"/>
                <w:sz w:val="20"/>
                <w:szCs w:val="20"/>
              </w:rPr>
            </w:pPr>
            <w:r>
              <w:rPr>
                <w:rFonts w:eastAsia="Times New Roman"/>
                <w:sz w:val="20"/>
                <w:szCs w:val="20"/>
              </w:rPr>
              <w:t>80,166</w:t>
            </w:r>
          </w:p>
        </w:tc>
        <w:tc>
          <w:tcPr>
            <w:tcW w:w="0" w:type="auto"/>
            <w:shd w:val="clear" w:color="auto" w:fill="CCEEFF"/>
            <w:tcMar>
              <w:top w:w="0" w:type="dxa"/>
              <w:left w:w="0" w:type="dxa"/>
              <w:bottom w:w="30" w:type="dxa"/>
              <w:right w:w="0" w:type="dxa"/>
            </w:tcMar>
            <w:vAlign w:val="bottom"/>
            <w:hideMark/>
          </w:tcPr>
          <w:p w14:paraId="3372777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95E62D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50335BD"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73166C2" w14:textId="77777777" w:rsidR="00000000" w:rsidRDefault="001826C1">
            <w:pPr>
              <w:jc w:val="right"/>
              <w:rPr>
                <w:rFonts w:eastAsia="Times New Roman"/>
                <w:sz w:val="20"/>
                <w:szCs w:val="20"/>
              </w:rPr>
            </w:pPr>
            <w:r>
              <w:rPr>
                <w:rFonts w:eastAsia="Times New Roman"/>
                <w:sz w:val="20"/>
                <w:szCs w:val="20"/>
              </w:rPr>
              <w:t>(207,726</w:t>
            </w:r>
          </w:p>
        </w:tc>
        <w:tc>
          <w:tcPr>
            <w:tcW w:w="0" w:type="auto"/>
            <w:shd w:val="clear" w:color="auto" w:fill="CCEEFF"/>
            <w:tcMar>
              <w:top w:w="0" w:type="dxa"/>
              <w:left w:w="0" w:type="dxa"/>
              <w:bottom w:w="30" w:type="dxa"/>
              <w:right w:w="0" w:type="dxa"/>
            </w:tcMar>
            <w:vAlign w:val="bottom"/>
            <w:hideMark/>
          </w:tcPr>
          <w:p w14:paraId="2D3FE4D0" w14:textId="77777777" w:rsidR="00000000" w:rsidRDefault="001826C1">
            <w:pPr>
              <w:rPr>
                <w:rFonts w:eastAsia="Times New Roman"/>
                <w:sz w:val="20"/>
                <w:szCs w:val="20"/>
              </w:rPr>
            </w:pPr>
            <w:r>
              <w:rPr>
                <w:rFonts w:eastAsia="Times New Roman"/>
                <w:sz w:val="20"/>
                <w:szCs w:val="20"/>
              </w:rPr>
              <w:t>)</w:t>
            </w:r>
          </w:p>
        </w:tc>
      </w:tr>
      <w:tr w:rsidR="00000000" w14:paraId="47FB4CE8" w14:textId="77777777">
        <w:tc>
          <w:tcPr>
            <w:tcW w:w="0" w:type="auto"/>
            <w:shd w:val="clear" w:color="auto" w:fill="FFFFFF"/>
            <w:tcMar>
              <w:top w:w="0" w:type="dxa"/>
              <w:left w:w="0" w:type="dxa"/>
              <w:bottom w:w="50" w:type="dxa"/>
              <w:right w:w="0" w:type="dxa"/>
            </w:tcMar>
            <w:vAlign w:val="bottom"/>
            <w:hideMark/>
          </w:tcPr>
          <w:p w14:paraId="4F5C2CDA" w14:textId="77777777" w:rsidR="00000000" w:rsidRDefault="001826C1">
            <w:pPr>
              <w:rPr>
                <w:rFonts w:eastAsia="Times New Roman"/>
                <w:sz w:val="20"/>
                <w:szCs w:val="20"/>
              </w:rPr>
            </w:pPr>
            <w:r>
              <w:rPr>
                <w:rFonts w:eastAsia="Times New Roman"/>
                <w:sz w:val="20"/>
                <w:szCs w:val="20"/>
              </w:rPr>
              <w:t>Total income tax provision (benefit)</w:t>
            </w:r>
          </w:p>
        </w:tc>
        <w:tc>
          <w:tcPr>
            <w:tcW w:w="0" w:type="auto"/>
            <w:shd w:val="clear" w:color="auto" w:fill="FFFFFF"/>
            <w:tcMar>
              <w:top w:w="0" w:type="dxa"/>
              <w:left w:w="0" w:type="dxa"/>
              <w:bottom w:w="50" w:type="dxa"/>
              <w:right w:w="0" w:type="dxa"/>
            </w:tcMar>
            <w:vAlign w:val="bottom"/>
            <w:hideMark/>
          </w:tcPr>
          <w:p w14:paraId="1E317CFE"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6B94CEEC"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6D32BD8" w14:textId="77777777" w:rsidR="00000000" w:rsidRDefault="001826C1">
            <w:pPr>
              <w:jc w:val="right"/>
              <w:rPr>
                <w:rFonts w:eastAsia="Times New Roman"/>
                <w:sz w:val="20"/>
                <w:szCs w:val="20"/>
              </w:rPr>
            </w:pPr>
            <w:r>
              <w:rPr>
                <w:rFonts w:eastAsia="Times New Roman"/>
                <w:sz w:val="20"/>
                <w:szCs w:val="20"/>
              </w:rPr>
              <w:t>192,780</w:t>
            </w:r>
          </w:p>
        </w:tc>
        <w:tc>
          <w:tcPr>
            <w:tcW w:w="0" w:type="auto"/>
            <w:shd w:val="clear" w:color="auto" w:fill="FFFFFF"/>
            <w:tcMar>
              <w:top w:w="0" w:type="dxa"/>
              <w:left w:w="0" w:type="dxa"/>
              <w:bottom w:w="50" w:type="dxa"/>
              <w:right w:w="0" w:type="dxa"/>
            </w:tcMar>
            <w:vAlign w:val="bottom"/>
            <w:hideMark/>
          </w:tcPr>
          <w:p w14:paraId="2E45DD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495EB7F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51C55347"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A18B9FD" w14:textId="77777777" w:rsidR="00000000" w:rsidRDefault="001826C1">
            <w:pPr>
              <w:jc w:val="right"/>
              <w:rPr>
                <w:rFonts w:eastAsia="Times New Roman"/>
                <w:sz w:val="20"/>
                <w:szCs w:val="20"/>
              </w:rPr>
            </w:pPr>
            <w:r>
              <w:rPr>
                <w:rFonts w:eastAsia="Times New Roman"/>
                <w:sz w:val="20"/>
                <w:szCs w:val="20"/>
              </w:rPr>
              <w:t>(157,385</w:t>
            </w:r>
          </w:p>
        </w:tc>
        <w:tc>
          <w:tcPr>
            <w:tcW w:w="0" w:type="auto"/>
            <w:shd w:val="clear" w:color="auto" w:fill="FFFFFF"/>
            <w:tcMar>
              <w:top w:w="0" w:type="dxa"/>
              <w:left w:w="0" w:type="dxa"/>
              <w:bottom w:w="50" w:type="dxa"/>
              <w:right w:w="0" w:type="dxa"/>
            </w:tcMar>
            <w:vAlign w:val="bottom"/>
            <w:hideMark/>
          </w:tcPr>
          <w:p w14:paraId="41A3E7AA" w14:textId="77777777" w:rsidR="00000000" w:rsidRDefault="001826C1">
            <w:pPr>
              <w:rPr>
                <w:rFonts w:eastAsia="Times New Roman"/>
                <w:sz w:val="20"/>
                <w:szCs w:val="20"/>
              </w:rPr>
            </w:pPr>
            <w:r>
              <w:rPr>
                <w:rFonts w:eastAsia="Times New Roman"/>
                <w:sz w:val="20"/>
                <w:szCs w:val="20"/>
              </w:rPr>
              <w:t>)</w:t>
            </w:r>
          </w:p>
        </w:tc>
      </w:tr>
    </w:tbl>
    <w:p w14:paraId="0EC24C8E" w14:textId="77777777" w:rsidR="00000000" w:rsidRDefault="001826C1">
      <w:pPr>
        <w:pStyle w:val="a3"/>
        <w:spacing w:before="0" w:beforeAutospacing="0" w:after="0" w:afterAutospacing="0"/>
        <w:jc w:val="both"/>
        <w:rPr>
          <w:sz w:val="20"/>
          <w:szCs w:val="20"/>
        </w:rPr>
      </w:pPr>
      <w:r>
        <w:rPr>
          <w:sz w:val="20"/>
          <w:szCs w:val="20"/>
        </w:rPr>
        <w:t> </w:t>
      </w:r>
    </w:p>
    <w:p w14:paraId="4EFFA91E" w14:textId="77777777" w:rsidR="00000000" w:rsidRDefault="001826C1">
      <w:pPr>
        <w:pStyle w:val="a3"/>
        <w:spacing w:before="0" w:beforeAutospacing="0" w:after="0" w:afterAutospacing="0"/>
        <w:jc w:val="both"/>
        <w:rPr>
          <w:sz w:val="20"/>
          <w:szCs w:val="20"/>
        </w:rPr>
      </w:pPr>
      <w:r>
        <w:rPr>
          <w:sz w:val="20"/>
          <w:szCs w:val="20"/>
        </w:rPr>
        <w:t>The components of the Company’s deferred income taxes as of December 31, 2019 and 2018 are as follows:</w:t>
      </w:r>
    </w:p>
    <w:p w14:paraId="4107D351" w14:textId="77777777" w:rsidR="00000000" w:rsidRDefault="001826C1">
      <w:pPr>
        <w:pStyle w:val="a3"/>
        <w:spacing w:before="0" w:beforeAutospacing="0" w:after="0" w:afterAutospacing="0"/>
        <w:jc w:val="both"/>
        <w:rPr>
          <w:sz w:val="20"/>
          <w:szCs w:val="20"/>
        </w:rPr>
      </w:pPr>
      <w:r>
        <w:rPr>
          <w:sz w:val="20"/>
          <w:szCs w:val="20"/>
        </w:rPr>
        <w:t> </w:t>
      </w:r>
    </w:p>
    <w:tbl>
      <w:tblPr>
        <w:tblW w:w="3750" w:type="pct"/>
        <w:tblCellMar>
          <w:left w:w="0" w:type="dxa"/>
          <w:right w:w="0" w:type="dxa"/>
        </w:tblCellMar>
        <w:tblLook w:val="04A0" w:firstRow="1" w:lastRow="0" w:firstColumn="1" w:lastColumn="0" w:noHBand="0" w:noVBand="1"/>
      </w:tblPr>
      <w:tblGrid>
        <w:gridCol w:w="2972"/>
        <w:gridCol w:w="108"/>
        <w:gridCol w:w="100"/>
        <w:gridCol w:w="1354"/>
        <w:gridCol w:w="67"/>
        <w:gridCol w:w="108"/>
        <w:gridCol w:w="100"/>
        <w:gridCol w:w="1354"/>
        <w:gridCol w:w="67"/>
      </w:tblGrid>
      <w:tr w:rsidR="00000000" w14:paraId="1E381611" w14:textId="77777777">
        <w:tc>
          <w:tcPr>
            <w:tcW w:w="0" w:type="auto"/>
            <w:vAlign w:val="bottom"/>
            <w:hideMark/>
          </w:tcPr>
          <w:p w14:paraId="6442A816"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C372FC7"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1C30D2B1" w14:textId="77777777" w:rsidR="00000000" w:rsidRDefault="001826C1">
            <w:pPr>
              <w:jc w:val="center"/>
              <w:rPr>
                <w:rFonts w:eastAsia="Times New Roman"/>
                <w:b/>
                <w:bCs/>
                <w:sz w:val="20"/>
                <w:szCs w:val="20"/>
              </w:rPr>
            </w:pPr>
            <w:r>
              <w:rPr>
                <w:rFonts w:eastAsia="Times New Roman"/>
                <w:b/>
                <w:bCs/>
                <w:sz w:val="20"/>
                <w:szCs w:val="20"/>
              </w:rPr>
              <w:t>December 31, 2019</w:t>
            </w:r>
          </w:p>
        </w:tc>
        <w:tc>
          <w:tcPr>
            <w:tcW w:w="0" w:type="auto"/>
            <w:tcMar>
              <w:top w:w="0" w:type="dxa"/>
              <w:left w:w="0" w:type="dxa"/>
              <w:bottom w:w="30" w:type="dxa"/>
              <w:right w:w="0" w:type="dxa"/>
            </w:tcMar>
            <w:vAlign w:val="bottom"/>
            <w:hideMark/>
          </w:tcPr>
          <w:p w14:paraId="180F8B46"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75EAE09"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6474C2F" w14:textId="77777777" w:rsidR="00000000" w:rsidRDefault="001826C1">
            <w:pPr>
              <w:jc w:val="center"/>
              <w:rPr>
                <w:rFonts w:eastAsia="Times New Roman"/>
                <w:b/>
                <w:bCs/>
                <w:sz w:val="20"/>
                <w:szCs w:val="20"/>
              </w:rPr>
            </w:pPr>
            <w:r>
              <w:rPr>
                <w:rFonts w:eastAsia="Times New Roman"/>
                <w:b/>
                <w:bCs/>
                <w:sz w:val="20"/>
                <w:szCs w:val="20"/>
              </w:rPr>
              <w:t>December 31, 2018</w:t>
            </w:r>
          </w:p>
        </w:tc>
        <w:tc>
          <w:tcPr>
            <w:tcW w:w="0" w:type="auto"/>
            <w:tcMar>
              <w:top w:w="0" w:type="dxa"/>
              <w:left w:w="0" w:type="dxa"/>
              <w:bottom w:w="30" w:type="dxa"/>
              <w:right w:w="0" w:type="dxa"/>
            </w:tcMar>
            <w:vAlign w:val="bottom"/>
            <w:hideMark/>
          </w:tcPr>
          <w:p w14:paraId="28429AC4" w14:textId="77777777" w:rsidR="00000000" w:rsidRDefault="001826C1">
            <w:pPr>
              <w:rPr>
                <w:rFonts w:eastAsia="Times New Roman"/>
                <w:b/>
                <w:bCs/>
                <w:sz w:val="20"/>
                <w:szCs w:val="20"/>
              </w:rPr>
            </w:pPr>
            <w:r>
              <w:rPr>
                <w:rFonts w:eastAsia="Times New Roman"/>
                <w:b/>
                <w:bCs/>
                <w:sz w:val="20"/>
                <w:szCs w:val="20"/>
              </w:rPr>
              <w:t> </w:t>
            </w:r>
          </w:p>
        </w:tc>
      </w:tr>
      <w:tr w:rsidR="00000000" w14:paraId="213359E9" w14:textId="77777777">
        <w:tc>
          <w:tcPr>
            <w:tcW w:w="0" w:type="auto"/>
            <w:shd w:val="clear" w:color="auto" w:fill="CCEEFF"/>
            <w:vAlign w:val="bottom"/>
            <w:hideMark/>
          </w:tcPr>
          <w:p w14:paraId="68B33AE1" w14:textId="77777777" w:rsidR="00000000" w:rsidRDefault="001826C1">
            <w:pPr>
              <w:rPr>
                <w:rFonts w:eastAsia="Times New Roman"/>
                <w:sz w:val="20"/>
                <w:szCs w:val="20"/>
              </w:rPr>
            </w:pPr>
            <w:r>
              <w:rPr>
                <w:rFonts w:eastAsia="Times New Roman"/>
                <w:sz w:val="20"/>
                <w:szCs w:val="20"/>
              </w:rPr>
              <w:t>Deferred tax assets:</w:t>
            </w:r>
          </w:p>
        </w:tc>
        <w:tc>
          <w:tcPr>
            <w:tcW w:w="0" w:type="auto"/>
            <w:shd w:val="clear" w:color="auto" w:fill="CCEEFF"/>
            <w:vAlign w:val="bottom"/>
            <w:hideMark/>
          </w:tcPr>
          <w:p w14:paraId="3EE6A62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7FF20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75505D"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7398B4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4D011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92EF7E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9E9A6D1"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13B1A5D3" w14:textId="77777777" w:rsidR="00000000" w:rsidRDefault="001826C1">
            <w:pPr>
              <w:rPr>
                <w:rFonts w:eastAsia="Times New Roman"/>
                <w:sz w:val="20"/>
                <w:szCs w:val="20"/>
              </w:rPr>
            </w:pPr>
            <w:r>
              <w:rPr>
                <w:rFonts w:eastAsia="Times New Roman"/>
                <w:sz w:val="20"/>
                <w:szCs w:val="20"/>
              </w:rPr>
              <w:t> </w:t>
            </w:r>
          </w:p>
        </w:tc>
      </w:tr>
      <w:tr w:rsidR="00000000" w14:paraId="22F3D83E" w14:textId="77777777">
        <w:tc>
          <w:tcPr>
            <w:tcW w:w="2400" w:type="pct"/>
            <w:shd w:val="clear" w:color="auto" w:fill="FFFFFF"/>
            <w:tcMar>
              <w:top w:w="0" w:type="dxa"/>
              <w:left w:w="200" w:type="dxa"/>
              <w:bottom w:w="0" w:type="dxa"/>
              <w:right w:w="0" w:type="dxa"/>
            </w:tcMar>
            <w:vAlign w:val="bottom"/>
            <w:hideMark/>
          </w:tcPr>
          <w:p w14:paraId="4A0CF358" w14:textId="77777777" w:rsidR="00000000" w:rsidRDefault="001826C1">
            <w:pPr>
              <w:rPr>
                <w:rFonts w:eastAsia="Times New Roman"/>
                <w:sz w:val="20"/>
                <w:szCs w:val="20"/>
              </w:rPr>
            </w:pPr>
            <w:r>
              <w:rPr>
                <w:rFonts w:eastAsia="Times New Roman"/>
                <w:sz w:val="20"/>
                <w:szCs w:val="20"/>
              </w:rPr>
              <w:t>Allowance for doubtful accounts</w:t>
            </w:r>
          </w:p>
        </w:tc>
        <w:tc>
          <w:tcPr>
            <w:tcW w:w="100" w:type="pct"/>
            <w:shd w:val="clear" w:color="auto" w:fill="FFFFFF"/>
            <w:vAlign w:val="bottom"/>
            <w:hideMark/>
          </w:tcPr>
          <w:p w14:paraId="6DE05D8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537190E3" w14:textId="77777777" w:rsidR="00000000" w:rsidRDefault="001826C1">
            <w:pPr>
              <w:rPr>
                <w:rFonts w:eastAsia="Times New Roman"/>
                <w:sz w:val="20"/>
                <w:szCs w:val="20"/>
              </w:rPr>
            </w:pPr>
            <w:r>
              <w:rPr>
                <w:rFonts w:eastAsia="Times New Roman"/>
                <w:sz w:val="20"/>
                <w:szCs w:val="20"/>
              </w:rPr>
              <w:t>$</w:t>
            </w:r>
          </w:p>
        </w:tc>
        <w:tc>
          <w:tcPr>
            <w:tcW w:w="1100" w:type="pct"/>
            <w:shd w:val="clear" w:color="auto" w:fill="FFFFFF"/>
            <w:vAlign w:val="bottom"/>
            <w:hideMark/>
          </w:tcPr>
          <w:p w14:paraId="46D023D0" w14:textId="77777777" w:rsidR="00000000" w:rsidRDefault="001826C1">
            <w:pPr>
              <w:jc w:val="right"/>
              <w:rPr>
                <w:rFonts w:eastAsia="Times New Roman"/>
                <w:sz w:val="20"/>
                <w:szCs w:val="20"/>
              </w:rPr>
            </w:pPr>
            <w:r>
              <w:rPr>
                <w:rFonts w:eastAsia="Times New Roman"/>
                <w:sz w:val="20"/>
                <w:szCs w:val="20"/>
              </w:rPr>
              <w:t>65,529</w:t>
            </w:r>
          </w:p>
        </w:tc>
        <w:tc>
          <w:tcPr>
            <w:tcW w:w="50" w:type="pct"/>
            <w:shd w:val="clear" w:color="auto" w:fill="FFFFFF"/>
            <w:vAlign w:val="bottom"/>
            <w:hideMark/>
          </w:tcPr>
          <w:p w14:paraId="39FACA1D"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FFFFFF"/>
            <w:vAlign w:val="bottom"/>
            <w:hideMark/>
          </w:tcPr>
          <w:p w14:paraId="6528956C" w14:textId="77777777" w:rsidR="00000000" w:rsidRDefault="001826C1">
            <w:pPr>
              <w:rPr>
                <w:rFonts w:eastAsia="Times New Roman"/>
                <w:sz w:val="20"/>
                <w:szCs w:val="20"/>
              </w:rPr>
            </w:pPr>
            <w:r>
              <w:rPr>
                <w:rFonts w:eastAsia="Times New Roman"/>
                <w:sz w:val="20"/>
                <w:szCs w:val="20"/>
              </w:rPr>
              <w:t> </w:t>
            </w:r>
          </w:p>
        </w:tc>
        <w:tc>
          <w:tcPr>
            <w:tcW w:w="50" w:type="pct"/>
            <w:shd w:val="clear" w:color="auto" w:fill="FFFFFF"/>
            <w:vAlign w:val="bottom"/>
            <w:hideMark/>
          </w:tcPr>
          <w:p w14:paraId="60F936BC" w14:textId="77777777" w:rsidR="00000000" w:rsidRDefault="001826C1">
            <w:pPr>
              <w:rPr>
                <w:rFonts w:eastAsia="Times New Roman"/>
                <w:sz w:val="20"/>
                <w:szCs w:val="20"/>
              </w:rPr>
            </w:pPr>
            <w:r>
              <w:rPr>
                <w:rFonts w:eastAsia="Times New Roman"/>
                <w:sz w:val="20"/>
                <w:szCs w:val="20"/>
              </w:rPr>
              <w:t>$</w:t>
            </w:r>
          </w:p>
        </w:tc>
        <w:tc>
          <w:tcPr>
            <w:tcW w:w="1100" w:type="pct"/>
            <w:shd w:val="clear" w:color="auto" w:fill="FFFFFF"/>
            <w:vAlign w:val="bottom"/>
            <w:hideMark/>
          </w:tcPr>
          <w:p w14:paraId="53B5B6B8" w14:textId="77777777" w:rsidR="00000000" w:rsidRDefault="001826C1">
            <w:pPr>
              <w:jc w:val="right"/>
              <w:rPr>
                <w:rFonts w:eastAsia="Times New Roman"/>
                <w:sz w:val="20"/>
                <w:szCs w:val="20"/>
              </w:rPr>
            </w:pPr>
            <w:r>
              <w:rPr>
                <w:rFonts w:eastAsia="Times New Roman"/>
                <w:sz w:val="20"/>
                <w:szCs w:val="20"/>
              </w:rPr>
              <w:t>46,492</w:t>
            </w:r>
          </w:p>
        </w:tc>
        <w:tc>
          <w:tcPr>
            <w:tcW w:w="50" w:type="pct"/>
            <w:shd w:val="clear" w:color="auto" w:fill="FFFFFF"/>
            <w:vAlign w:val="bottom"/>
            <w:hideMark/>
          </w:tcPr>
          <w:p w14:paraId="7D2F844F" w14:textId="77777777" w:rsidR="00000000" w:rsidRDefault="001826C1">
            <w:pPr>
              <w:rPr>
                <w:rFonts w:eastAsia="Times New Roman"/>
                <w:sz w:val="20"/>
                <w:szCs w:val="20"/>
              </w:rPr>
            </w:pPr>
            <w:r>
              <w:rPr>
                <w:rFonts w:eastAsia="Times New Roman"/>
                <w:sz w:val="20"/>
                <w:szCs w:val="20"/>
              </w:rPr>
              <w:t> </w:t>
            </w:r>
          </w:p>
        </w:tc>
      </w:tr>
      <w:tr w:rsidR="00000000" w14:paraId="1BF27827" w14:textId="77777777">
        <w:tc>
          <w:tcPr>
            <w:tcW w:w="0" w:type="auto"/>
            <w:shd w:val="clear" w:color="auto" w:fill="CCEEFF"/>
            <w:tcMar>
              <w:top w:w="0" w:type="dxa"/>
              <w:left w:w="200" w:type="dxa"/>
              <w:bottom w:w="0" w:type="dxa"/>
              <w:right w:w="0" w:type="dxa"/>
            </w:tcMar>
            <w:vAlign w:val="bottom"/>
            <w:hideMark/>
          </w:tcPr>
          <w:p w14:paraId="7FBB7AA4" w14:textId="77777777" w:rsidR="00000000" w:rsidRDefault="001826C1">
            <w:pPr>
              <w:rPr>
                <w:rFonts w:eastAsia="Times New Roman"/>
                <w:sz w:val="20"/>
                <w:szCs w:val="20"/>
              </w:rPr>
            </w:pPr>
            <w:r>
              <w:rPr>
                <w:rFonts w:eastAsia="Times New Roman"/>
                <w:sz w:val="20"/>
                <w:szCs w:val="20"/>
              </w:rPr>
              <w:t>Deferred revenue</w:t>
            </w:r>
          </w:p>
        </w:tc>
        <w:tc>
          <w:tcPr>
            <w:tcW w:w="0" w:type="auto"/>
            <w:shd w:val="clear" w:color="auto" w:fill="CCEEFF"/>
            <w:vAlign w:val="bottom"/>
            <w:hideMark/>
          </w:tcPr>
          <w:p w14:paraId="565CE7A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2FD8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781F62C" w14:textId="77777777" w:rsidR="00000000" w:rsidRDefault="001826C1">
            <w:pPr>
              <w:jc w:val="right"/>
              <w:rPr>
                <w:rFonts w:eastAsia="Times New Roman"/>
                <w:sz w:val="20"/>
                <w:szCs w:val="20"/>
              </w:rPr>
            </w:pPr>
            <w:r>
              <w:rPr>
                <w:rFonts w:eastAsia="Times New Roman"/>
                <w:sz w:val="20"/>
                <w:szCs w:val="20"/>
              </w:rPr>
              <w:t>4,807</w:t>
            </w:r>
          </w:p>
        </w:tc>
        <w:tc>
          <w:tcPr>
            <w:tcW w:w="0" w:type="auto"/>
            <w:shd w:val="clear" w:color="auto" w:fill="CCEEFF"/>
            <w:vAlign w:val="bottom"/>
            <w:hideMark/>
          </w:tcPr>
          <w:p w14:paraId="2FCDCD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554673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20817D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86BCA3" w14:textId="77777777" w:rsidR="00000000" w:rsidRDefault="001826C1">
            <w:pPr>
              <w:jc w:val="right"/>
              <w:rPr>
                <w:rFonts w:eastAsia="Times New Roman"/>
                <w:sz w:val="20"/>
                <w:szCs w:val="20"/>
              </w:rPr>
            </w:pPr>
            <w:r>
              <w:rPr>
                <w:rFonts w:eastAsia="Times New Roman"/>
                <w:sz w:val="20"/>
                <w:szCs w:val="20"/>
              </w:rPr>
              <w:t>4,664</w:t>
            </w:r>
          </w:p>
        </w:tc>
        <w:tc>
          <w:tcPr>
            <w:tcW w:w="0" w:type="auto"/>
            <w:shd w:val="clear" w:color="auto" w:fill="CCEEFF"/>
            <w:vAlign w:val="bottom"/>
            <w:hideMark/>
          </w:tcPr>
          <w:p w14:paraId="5AFFA1E3" w14:textId="77777777" w:rsidR="00000000" w:rsidRDefault="001826C1">
            <w:pPr>
              <w:rPr>
                <w:rFonts w:eastAsia="Times New Roman"/>
                <w:sz w:val="20"/>
                <w:szCs w:val="20"/>
              </w:rPr>
            </w:pPr>
            <w:r>
              <w:rPr>
                <w:rFonts w:eastAsia="Times New Roman"/>
                <w:sz w:val="20"/>
                <w:szCs w:val="20"/>
              </w:rPr>
              <w:t> </w:t>
            </w:r>
          </w:p>
        </w:tc>
      </w:tr>
      <w:tr w:rsidR="00000000" w14:paraId="564C9BC4" w14:textId="77777777">
        <w:tc>
          <w:tcPr>
            <w:tcW w:w="0" w:type="auto"/>
            <w:shd w:val="clear" w:color="auto" w:fill="FFFFFF"/>
            <w:tcMar>
              <w:top w:w="0" w:type="dxa"/>
              <w:left w:w="200" w:type="dxa"/>
              <w:bottom w:w="0" w:type="dxa"/>
              <w:right w:w="0" w:type="dxa"/>
            </w:tcMar>
            <w:vAlign w:val="bottom"/>
            <w:hideMark/>
          </w:tcPr>
          <w:p w14:paraId="3FF83F38" w14:textId="77777777" w:rsidR="00000000" w:rsidRDefault="001826C1">
            <w:pPr>
              <w:rPr>
                <w:rFonts w:eastAsia="Times New Roman"/>
                <w:sz w:val="20"/>
                <w:szCs w:val="20"/>
              </w:rPr>
            </w:pPr>
            <w:r>
              <w:rPr>
                <w:rFonts w:eastAsia="Times New Roman"/>
                <w:sz w:val="20"/>
                <w:szCs w:val="20"/>
              </w:rPr>
              <w:t>Deferred rent</w:t>
            </w:r>
          </w:p>
        </w:tc>
        <w:tc>
          <w:tcPr>
            <w:tcW w:w="0" w:type="auto"/>
            <w:shd w:val="clear" w:color="auto" w:fill="FFFFFF"/>
            <w:vAlign w:val="bottom"/>
            <w:hideMark/>
          </w:tcPr>
          <w:p w14:paraId="319E13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4C92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91207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769663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684E5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691CC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595863" w14:textId="77777777" w:rsidR="00000000" w:rsidRDefault="001826C1">
            <w:pPr>
              <w:jc w:val="right"/>
              <w:rPr>
                <w:rFonts w:eastAsia="Times New Roman"/>
                <w:sz w:val="20"/>
                <w:szCs w:val="20"/>
              </w:rPr>
            </w:pPr>
            <w:r>
              <w:rPr>
                <w:rFonts w:eastAsia="Times New Roman"/>
                <w:sz w:val="20"/>
                <w:szCs w:val="20"/>
              </w:rPr>
              <w:t>4,275</w:t>
            </w:r>
          </w:p>
        </w:tc>
        <w:tc>
          <w:tcPr>
            <w:tcW w:w="0" w:type="auto"/>
            <w:shd w:val="clear" w:color="auto" w:fill="FFFFFF"/>
            <w:vAlign w:val="bottom"/>
            <w:hideMark/>
          </w:tcPr>
          <w:p w14:paraId="48A0A7A7" w14:textId="77777777" w:rsidR="00000000" w:rsidRDefault="001826C1">
            <w:pPr>
              <w:rPr>
                <w:rFonts w:eastAsia="Times New Roman"/>
                <w:sz w:val="20"/>
                <w:szCs w:val="20"/>
              </w:rPr>
            </w:pPr>
            <w:r>
              <w:rPr>
                <w:rFonts w:eastAsia="Times New Roman"/>
                <w:sz w:val="20"/>
                <w:szCs w:val="20"/>
              </w:rPr>
              <w:t> </w:t>
            </w:r>
          </w:p>
        </w:tc>
      </w:tr>
      <w:tr w:rsidR="00000000" w14:paraId="682B5B7D" w14:textId="77777777">
        <w:tc>
          <w:tcPr>
            <w:tcW w:w="0" w:type="auto"/>
            <w:shd w:val="clear" w:color="auto" w:fill="CCEEFF"/>
            <w:tcMar>
              <w:top w:w="0" w:type="dxa"/>
              <w:left w:w="200" w:type="dxa"/>
              <w:bottom w:w="0" w:type="dxa"/>
              <w:right w:w="0" w:type="dxa"/>
            </w:tcMar>
            <w:vAlign w:val="bottom"/>
            <w:hideMark/>
          </w:tcPr>
          <w:p w14:paraId="54008FD5" w14:textId="77777777" w:rsidR="00000000" w:rsidRDefault="001826C1">
            <w:pPr>
              <w:rPr>
                <w:rFonts w:eastAsia="Times New Roman"/>
                <w:sz w:val="20"/>
                <w:szCs w:val="20"/>
              </w:rPr>
            </w:pPr>
            <w:r>
              <w:rPr>
                <w:rFonts w:eastAsia="Times New Roman"/>
                <w:sz w:val="20"/>
                <w:szCs w:val="20"/>
              </w:rPr>
              <w:t>Property and intangible assets</w:t>
            </w:r>
          </w:p>
        </w:tc>
        <w:tc>
          <w:tcPr>
            <w:tcW w:w="0" w:type="auto"/>
            <w:shd w:val="clear" w:color="auto" w:fill="CCEEFF"/>
            <w:vAlign w:val="bottom"/>
            <w:hideMark/>
          </w:tcPr>
          <w:p w14:paraId="349AD23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7F81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08A10E7" w14:textId="77777777" w:rsidR="00000000" w:rsidRDefault="001826C1">
            <w:pPr>
              <w:jc w:val="right"/>
              <w:rPr>
                <w:rFonts w:eastAsia="Times New Roman"/>
                <w:sz w:val="20"/>
                <w:szCs w:val="20"/>
              </w:rPr>
            </w:pPr>
            <w:r>
              <w:rPr>
                <w:rFonts w:eastAsia="Times New Roman"/>
                <w:sz w:val="20"/>
                <w:szCs w:val="20"/>
              </w:rPr>
              <w:t>2,301,987</w:t>
            </w:r>
          </w:p>
        </w:tc>
        <w:tc>
          <w:tcPr>
            <w:tcW w:w="0" w:type="auto"/>
            <w:shd w:val="clear" w:color="auto" w:fill="CCEEFF"/>
            <w:vAlign w:val="bottom"/>
            <w:hideMark/>
          </w:tcPr>
          <w:p w14:paraId="2BB74B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1C729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08E51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ED4FB50" w14:textId="77777777" w:rsidR="00000000" w:rsidRDefault="001826C1">
            <w:pPr>
              <w:jc w:val="right"/>
              <w:rPr>
                <w:rFonts w:eastAsia="Times New Roman"/>
                <w:sz w:val="20"/>
                <w:szCs w:val="20"/>
              </w:rPr>
            </w:pPr>
            <w:r>
              <w:rPr>
                <w:rFonts w:eastAsia="Times New Roman"/>
                <w:sz w:val="20"/>
                <w:szCs w:val="20"/>
              </w:rPr>
              <w:t>2,336,221</w:t>
            </w:r>
          </w:p>
        </w:tc>
        <w:tc>
          <w:tcPr>
            <w:tcW w:w="0" w:type="auto"/>
            <w:shd w:val="clear" w:color="auto" w:fill="CCEEFF"/>
            <w:vAlign w:val="bottom"/>
            <w:hideMark/>
          </w:tcPr>
          <w:p w14:paraId="3BB9F651" w14:textId="77777777" w:rsidR="00000000" w:rsidRDefault="001826C1">
            <w:pPr>
              <w:rPr>
                <w:rFonts w:eastAsia="Times New Roman"/>
                <w:sz w:val="20"/>
                <w:szCs w:val="20"/>
              </w:rPr>
            </w:pPr>
            <w:r>
              <w:rPr>
                <w:rFonts w:eastAsia="Times New Roman"/>
                <w:sz w:val="20"/>
                <w:szCs w:val="20"/>
              </w:rPr>
              <w:t> </w:t>
            </w:r>
          </w:p>
        </w:tc>
      </w:tr>
      <w:tr w:rsidR="00000000" w14:paraId="000750C0" w14:textId="77777777">
        <w:tc>
          <w:tcPr>
            <w:tcW w:w="0" w:type="auto"/>
            <w:shd w:val="clear" w:color="auto" w:fill="FFFFFF"/>
            <w:tcMar>
              <w:top w:w="0" w:type="dxa"/>
              <w:left w:w="200" w:type="dxa"/>
              <w:bottom w:w="0" w:type="dxa"/>
              <w:right w:w="0" w:type="dxa"/>
            </w:tcMar>
            <w:vAlign w:val="bottom"/>
            <w:hideMark/>
          </w:tcPr>
          <w:p w14:paraId="6261B0FC" w14:textId="77777777" w:rsidR="00000000" w:rsidRDefault="001826C1">
            <w:pPr>
              <w:rPr>
                <w:rFonts w:eastAsia="Times New Roman"/>
                <w:sz w:val="20"/>
                <w:szCs w:val="20"/>
              </w:rPr>
            </w:pPr>
            <w:r>
              <w:rPr>
                <w:rFonts w:eastAsia="Times New Roman"/>
                <w:sz w:val="20"/>
                <w:szCs w:val="20"/>
              </w:rPr>
              <w:t>State net operating loss (“NOL”) carryforwards</w:t>
            </w:r>
          </w:p>
        </w:tc>
        <w:tc>
          <w:tcPr>
            <w:tcW w:w="0" w:type="auto"/>
            <w:shd w:val="clear" w:color="auto" w:fill="FFFFFF"/>
            <w:vAlign w:val="bottom"/>
            <w:hideMark/>
          </w:tcPr>
          <w:p w14:paraId="58CFA6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14414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BD4B353" w14:textId="77777777" w:rsidR="00000000" w:rsidRDefault="001826C1">
            <w:pPr>
              <w:jc w:val="right"/>
              <w:rPr>
                <w:rFonts w:eastAsia="Times New Roman"/>
                <w:sz w:val="20"/>
                <w:szCs w:val="20"/>
              </w:rPr>
            </w:pPr>
            <w:r>
              <w:rPr>
                <w:rFonts w:eastAsia="Times New Roman"/>
                <w:sz w:val="20"/>
                <w:szCs w:val="20"/>
              </w:rPr>
              <w:t>910,274</w:t>
            </w:r>
          </w:p>
        </w:tc>
        <w:tc>
          <w:tcPr>
            <w:tcW w:w="0" w:type="auto"/>
            <w:shd w:val="clear" w:color="auto" w:fill="FFFFFF"/>
            <w:vAlign w:val="bottom"/>
            <w:hideMark/>
          </w:tcPr>
          <w:p w14:paraId="49F02BA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DC8725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DD7ACC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0B3B95" w14:textId="77777777" w:rsidR="00000000" w:rsidRDefault="001826C1">
            <w:pPr>
              <w:jc w:val="right"/>
              <w:rPr>
                <w:rFonts w:eastAsia="Times New Roman"/>
                <w:sz w:val="20"/>
                <w:szCs w:val="20"/>
              </w:rPr>
            </w:pPr>
            <w:r>
              <w:rPr>
                <w:rFonts w:eastAsia="Times New Roman"/>
                <w:sz w:val="20"/>
                <w:szCs w:val="20"/>
              </w:rPr>
              <w:t>636,578</w:t>
            </w:r>
          </w:p>
        </w:tc>
        <w:tc>
          <w:tcPr>
            <w:tcW w:w="0" w:type="auto"/>
            <w:shd w:val="clear" w:color="auto" w:fill="FFFFFF"/>
            <w:vAlign w:val="bottom"/>
            <w:hideMark/>
          </w:tcPr>
          <w:p w14:paraId="37F9AA4E" w14:textId="77777777" w:rsidR="00000000" w:rsidRDefault="001826C1">
            <w:pPr>
              <w:rPr>
                <w:rFonts w:eastAsia="Times New Roman"/>
                <w:sz w:val="20"/>
                <w:szCs w:val="20"/>
              </w:rPr>
            </w:pPr>
            <w:r>
              <w:rPr>
                <w:rFonts w:eastAsia="Times New Roman"/>
                <w:sz w:val="20"/>
                <w:szCs w:val="20"/>
              </w:rPr>
              <w:t> </w:t>
            </w:r>
          </w:p>
        </w:tc>
      </w:tr>
      <w:tr w:rsidR="00000000" w14:paraId="5874717C" w14:textId="77777777">
        <w:tc>
          <w:tcPr>
            <w:tcW w:w="0" w:type="auto"/>
            <w:shd w:val="clear" w:color="auto" w:fill="CCEEFF"/>
            <w:tcMar>
              <w:top w:w="0" w:type="dxa"/>
              <w:left w:w="200" w:type="dxa"/>
              <w:bottom w:w="0" w:type="dxa"/>
              <w:right w:w="0" w:type="dxa"/>
            </w:tcMar>
            <w:vAlign w:val="bottom"/>
            <w:hideMark/>
          </w:tcPr>
          <w:p w14:paraId="33B18422" w14:textId="77777777" w:rsidR="00000000" w:rsidRDefault="001826C1">
            <w:pPr>
              <w:rPr>
                <w:rFonts w:eastAsia="Times New Roman"/>
                <w:sz w:val="20"/>
                <w:szCs w:val="20"/>
              </w:rPr>
            </w:pPr>
            <w:r>
              <w:rPr>
                <w:rFonts w:eastAsia="Times New Roman"/>
                <w:sz w:val="20"/>
                <w:szCs w:val="20"/>
              </w:rPr>
              <w:t>Federal net operating loss (“NOL”) carryforwards</w:t>
            </w:r>
          </w:p>
        </w:tc>
        <w:tc>
          <w:tcPr>
            <w:tcW w:w="0" w:type="auto"/>
            <w:shd w:val="clear" w:color="auto" w:fill="CCEEFF"/>
            <w:vAlign w:val="bottom"/>
            <w:hideMark/>
          </w:tcPr>
          <w:p w14:paraId="3C26D08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1B0A7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6E1469" w14:textId="77777777" w:rsidR="00000000" w:rsidRDefault="001826C1">
            <w:pPr>
              <w:jc w:val="right"/>
              <w:rPr>
                <w:rFonts w:eastAsia="Times New Roman"/>
                <w:sz w:val="20"/>
                <w:szCs w:val="20"/>
              </w:rPr>
            </w:pPr>
            <w:r>
              <w:rPr>
                <w:rFonts w:eastAsia="Times New Roman"/>
                <w:sz w:val="20"/>
                <w:szCs w:val="20"/>
              </w:rPr>
              <w:t>4,146,274</w:t>
            </w:r>
          </w:p>
        </w:tc>
        <w:tc>
          <w:tcPr>
            <w:tcW w:w="0" w:type="auto"/>
            <w:shd w:val="clear" w:color="auto" w:fill="CCEEFF"/>
            <w:vAlign w:val="bottom"/>
            <w:hideMark/>
          </w:tcPr>
          <w:p w14:paraId="1A11C01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601D6F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A0AD1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1C338D" w14:textId="77777777" w:rsidR="00000000" w:rsidRDefault="001826C1">
            <w:pPr>
              <w:jc w:val="right"/>
              <w:rPr>
                <w:rFonts w:eastAsia="Times New Roman"/>
                <w:sz w:val="20"/>
                <w:szCs w:val="20"/>
              </w:rPr>
            </w:pPr>
            <w:r>
              <w:rPr>
                <w:rFonts w:eastAsia="Times New Roman"/>
                <w:sz w:val="20"/>
                <w:szCs w:val="20"/>
              </w:rPr>
              <w:t>3,789,618</w:t>
            </w:r>
          </w:p>
        </w:tc>
        <w:tc>
          <w:tcPr>
            <w:tcW w:w="0" w:type="auto"/>
            <w:shd w:val="clear" w:color="auto" w:fill="CCEEFF"/>
            <w:vAlign w:val="bottom"/>
            <w:hideMark/>
          </w:tcPr>
          <w:p w14:paraId="1EF28210" w14:textId="77777777" w:rsidR="00000000" w:rsidRDefault="001826C1">
            <w:pPr>
              <w:rPr>
                <w:rFonts w:eastAsia="Times New Roman"/>
                <w:sz w:val="20"/>
                <w:szCs w:val="20"/>
              </w:rPr>
            </w:pPr>
            <w:r>
              <w:rPr>
                <w:rFonts w:eastAsia="Times New Roman"/>
                <w:sz w:val="20"/>
                <w:szCs w:val="20"/>
              </w:rPr>
              <w:t> </w:t>
            </w:r>
          </w:p>
        </w:tc>
      </w:tr>
      <w:tr w:rsidR="00000000" w14:paraId="1F2DCFBE" w14:textId="77777777">
        <w:tc>
          <w:tcPr>
            <w:tcW w:w="0" w:type="auto"/>
            <w:shd w:val="clear" w:color="auto" w:fill="FFFFFF"/>
            <w:tcMar>
              <w:top w:w="0" w:type="dxa"/>
              <w:left w:w="200" w:type="dxa"/>
              <w:bottom w:w="0" w:type="dxa"/>
              <w:right w:w="0" w:type="dxa"/>
            </w:tcMar>
            <w:vAlign w:val="bottom"/>
            <w:hideMark/>
          </w:tcPr>
          <w:p w14:paraId="06327B71" w14:textId="77777777" w:rsidR="00000000" w:rsidRDefault="001826C1">
            <w:pPr>
              <w:rPr>
                <w:rFonts w:eastAsia="Times New Roman"/>
                <w:sz w:val="20"/>
                <w:szCs w:val="20"/>
              </w:rPr>
            </w:pPr>
            <w:r>
              <w:rPr>
                <w:rFonts w:eastAsia="Times New Roman"/>
                <w:sz w:val="20"/>
                <w:szCs w:val="20"/>
              </w:rPr>
              <w:t>Section 163(j) interest limitation</w:t>
            </w:r>
          </w:p>
        </w:tc>
        <w:tc>
          <w:tcPr>
            <w:tcW w:w="0" w:type="auto"/>
            <w:shd w:val="clear" w:color="auto" w:fill="FFFFFF"/>
            <w:vAlign w:val="bottom"/>
            <w:hideMark/>
          </w:tcPr>
          <w:p w14:paraId="59B645E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0A4ED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421DD2" w14:textId="77777777" w:rsidR="00000000" w:rsidRDefault="001826C1">
            <w:pPr>
              <w:jc w:val="right"/>
              <w:rPr>
                <w:rFonts w:eastAsia="Times New Roman"/>
                <w:sz w:val="20"/>
                <w:szCs w:val="20"/>
              </w:rPr>
            </w:pPr>
            <w:r>
              <w:rPr>
                <w:rFonts w:eastAsia="Times New Roman"/>
                <w:sz w:val="20"/>
                <w:szCs w:val="20"/>
              </w:rPr>
              <w:t>13,499</w:t>
            </w:r>
          </w:p>
        </w:tc>
        <w:tc>
          <w:tcPr>
            <w:tcW w:w="0" w:type="auto"/>
            <w:shd w:val="clear" w:color="auto" w:fill="FFFFFF"/>
            <w:vAlign w:val="bottom"/>
            <w:hideMark/>
          </w:tcPr>
          <w:p w14:paraId="0D7EBB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F7C8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DC10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71567C" w14:textId="77777777" w:rsidR="00000000" w:rsidRDefault="001826C1">
            <w:pPr>
              <w:jc w:val="right"/>
              <w:rPr>
                <w:rFonts w:eastAsia="Times New Roman"/>
                <w:sz w:val="20"/>
                <w:szCs w:val="20"/>
              </w:rPr>
            </w:pPr>
            <w:r>
              <w:rPr>
                <w:rFonts w:eastAsia="Times New Roman"/>
                <w:sz w:val="20"/>
                <w:szCs w:val="20"/>
              </w:rPr>
              <w:t>51,319</w:t>
            </w:r>
          </w:p>
        </w:tc>
        <w:tc>
          <w:tcPr>
            <w:tcW w:w="0" w:type="auto"/>
            <w:shd w:val="clear" w:color="auto" w:fill="FFFFFF"/>
            <w:vAlign w:val="bottom"/>
            <w:hideMark/>
          </w:tcPr>
          <w:p w14:paraId="690FD366" w14:textId="77777777" w:rsidR="00000000" w:rsidRDefault="001826C1">
            <w:pPr>
              <w:rPr>
                <w:rFonts w:eastAsia="Times New Roman"/>
                <w:sz w:val="20"/>
                <w:szCs w:val="20"/>
              </w:rPr>
            </w:pPr>
            <w:r>
              <w:rPr>
                <w:rFonts w:eastAsia="Times New Roman"/>
                <w:sz w:val="20"/>
                <w:szCs w:val="20"/>
              </w:rPr>
              <w:t> </w:t>
            </w:r>
          </w:p>
        </w:tc>
      </w:tr>
      <w:tr w:rsidR="00000000" w14:paraId="21AC973E" w14:textId="77777777">
        <w:tc>
          <w:tcPr>
            <w:tcW w:w="0" w:type="auto"/>
            <w:shd w:val="clear" w:color="auto" w:fill="CCEEFF"/>
            <w:tcMar>
              <w:top w:w="0" w:type="dxa"/>
              <w:left w:w="200" w:type="dxa"/>
              <w:bottom w:w="0" w:type="dxa"/>
              <w:right w:w="0" w:type="dxa"/>
            </w:tcMar>
            <w:vAlign w:val="bottom"/>
            <w:hideMark/>
          </w:tcPr>
          <w:p w14:paraId="3B875DC7" w14:textId="77777777" w:rsidR="00000000" w:rsidRDefault="001826C1">
            <w:pPr>
              <w:rPr>
                <w:rFonts w:eastAsia="Times New Roman"/>
                <w:sz w:val="20"/>
                <w:szCs w:val="20"/>
              </w:rPr>
            </w:pPr>
            <w:r>
              <w:rPr>
                <w:rFonts w:eastAsia="Times New Roman"/>
                <w:sz w:val="20"/>
                <w:szCs w:val="20"/>
              </w:rPr>
              <w:t>Cumulative translation adjustment</w:t>
            </w:r>
          </w:p>
        </w:tc>
        <w:tc>
          <w:tcPr>
            <w:tcW w:w="0" w:type="auto"/>
            <w:shd w:val="clear" w:color="auto" w:fill="CCEEFF"/>
            <w:vAlign w:val="bottom"/>
            <w:hideMark/>
          </w:tcPr>
          <w:p w14:paraId="5325662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CCC84E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D12E470" w14:textId="77777777" w:rsidR="00000000" w:rsidRDefault="001826C1">
            <w:pPr>
              <w:jc w:val="right"/>
              <w:rPr>
                <w:rFonts w:eastAsia="Times New Roman"/>
                <w:sz w:val="20"/>
                <w:szCs w:val="20"/>
              </w:rPr>
            </w:pPr>
            <w:r>
              <w:rPr>
                <w:rFonts w:eastAsia="Times New Roman"/>
                <w:sz w:val="20"/>
                <w:szCs w:val="20"/>
              </w:rPr>
              <w:t>216,255</w:t>
            </w:r>
          </w:p>
        </w:tc>
        <w:tc>
          <w:tcPr>
            <w:tcW w:w="0" w:type="auto"/>
            <w:shd w:val="clear" w:color="auto" w:fill="CCEEFF"/>
            <w:vAlign w:val="bottom"/>
            <w:hideMark/>
          </w:tcPr>
          <w:p w14:paraId="48D26C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BA15BA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46183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1AF9AE" w14:textId="77777777" w:rsidR="00000000" w:rsidRDefault="001826C1">
            <w:pPr>
              <w:jc w:val="right"/>
              <w:rPr>
                <w:rFonts w:eastAsia="Times New Roman"/>
                <w:sz w:val="20"/>
                <w:szCs w:val="20"/>
              </w:rPr>
            </w:pPr>
            <w:r>
              <w:rPr>
                <w:rFonts w:eastAsia="Times New Roman"/>
                <w:sz w:val="20"/>
                <w:szCs w:val="20"/>
              </w:rPr>
              <w:t>349,834</w:t>
            </w:r>
          </w:p>
        </w:tc>
        <w:tc>
          <w:tcPr>
            <w:tcW w:w="0" w:type="auto"/>
            <w:shd w:val="clear" w:color="auto" w:fill="CCEEFF"/>
            <w:vAlign w:val="bottom"/>
            <w:hideMark/>
          </w:tcPr>
          <w:p w14:paraId="19E92E94" w14:textId="77777777" w:rsidR="00000000" w:rsidRDefault="001826C1">
            <w:pPr>
              <w:rPr>
                <w:rFonts w:eastAsia="Times New Roman"/>
                <w:sz w:val="20"/>
                <w:szCs w:val="20"/>
              </w:rPr>
            </w:pPr>
            <w:r>
              <w:rPr>
                <w:rFonts w:eastAsia="Times New Roman"/>
                <w:sz w:val="20"/>
                <w:szCs w:val="20"/>
              </w:rPr>
              <w:t> </w:t>
            </w:r>
          </w:p>
        </w:tc>
      </w:tr>
      <w:tr w:rsidR="00000000" w14:paraId="69DCDA30" w14:textId="77777777">
        <w:tc>
          <w:tcPr>
            <w:tcW w:w="0" w:type="auto"/>
            <w:shd w:val="clear" w:color="auto" w:fill="FFFFFF"/>
            <w:tcMar>
              <w:top w:w="0" w:type="dxa"/>
              <w:left w:w="200" w:type="dxa"/>
              <w:bottom w:w="0" w:type="dxa"/>
              <w:right w:w="0" w:type="dxa"/>
            </w:tcMar>
            <w:vAlign w:val="bottom"/>
            <w:hideMark/>
          </w:tcPr>
          <w:p w14:paraId="7532F731" w14:textId="77777777" w:rsidR="00000000" w:rsidRDefault="001826C1">
            <w:pPr>
              <w:rPr>
                <w:rFonts w:eastAsia="Times New Roman"/>
                <w:sz w:val="20"/>
                <w:szCs w:val="20"/>
              </w:rPr>
            </w:pPr>
            <w:r>
              <w:rPr>
                <w:rFonts w:eastAsia="Times New Roman"/>
                <w:sz w:val="20"/>
                <w:szCs w:val="20"/>
              </w:rPr>
              <w:t>Stock based compensation</w:t>
            </w:r>
          </w:p>
        </w:tc>
        <w:tc>
          <w:tcPr>
            <w:tcW w:w="0" w:type="auto"/>
            <w:shd w:val="clear" w:color="auto" w:fill="FFFFFF"/>
            <w:vAlign w:val="bottom"/>
            <w:hideMark/>
          </w:tcPr>
          <w:p w14:paraId="3F42128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4CE9F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5D89A2F" w14:textId="77777777" w:rsidR="00000000" w:rsidRDefault="001826C1">
            <w:pPr>
              <w:jc w:val="right"/>
              <w:rPr>
                <w:rFonts w:eastAsia="Times New Roman"/>
                <w:sz w:val="20"/>
                <w:szCs w:val="20"/>
              </w:rPr>
            </w:pPr>
            <w:r>
              <w:rPr>
                <w:rFonts w:eastAsia="Times New Roman"/>
                <w:sz w:val="20"/>
                <w:szCs w:val="20"/>
              </w:rPr>
              <w:t>118,377</w:t>
            </w:r>
          </w:p>
        </w:tc>
        <w:tc>
          <w:tcPr>
            <w:tcW w:w="0" w:type="auto"/>
            <w:shd w:val="clear" w:color="auto" w:fill="FFFFFF"/>
            <w:vAlign w:val="bottom"/>
            <w:hideMark/>
          </w:tcPr>
          <w:p w14:paraId="419FEB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27D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3658ED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267553" w14:textId="77777777" w:rsidR="00000000" w:rsidRDefault="001826C1">
            <w:pPr>
              <w:jc w:val="right"/>
              <w:rPr>
                <w:rFonts w:eastAsia="Times New Roman"/>
                <w:sz w:val="20"/>
                <w:szCs w:val="20"/>
              </w:rPr>
            </w:pPr>
            <w:r>
              <w:rPr>
                <w:rFonts w:eastAsia="Times New Roman"/>
                <w:sz w:val="20"/>
                <w:szCs w:val="20"/>
              </w:rPr>
              <w:t>335,785</w:t>
            </w:r>
          </w:p>
        </w:tc>
        <w:tc>
          <w:tcPr>
            <w:tcW w:w="0" w:type="auto"/>
            <w:shd w:val="clear" w:color="auto" w:fill="FFFFFF"/>
            <w:vAlign w:val="bottom"/>
            <w:hideMark/>
          </w:tcPr>
          <w:p w14:paraId="506FBE1A" w14:textId="77777777" w:rsidR="00000000" w:rsidRDefault="001826C1">
            <w:pPr>
              <w:rPr>
                <w:rFonts w:eastAsia="Times New Roman"/>
                <w:sz w:val="20"/>
                <w:szCs w:val="20"/>
              </w:rPr>
            </w:pPr>
            <w:r>
              <w:rPr>
                <w:rFonts w:eastAsia="Times New Roman"/>
                <w:sz w:val="20"/>
                <w:szCs w:val="20"/>
              </w:rPr>
              <w:t> </w:t>
            </w:r>
          </w:p>
        </w:tc>
      </w:tr>
      <w:tr w:rsidR="00000000" w14:paraId="58E338F2" w14:textId="77777777">
        <w:tc>
          <w:tcPr>
            <w:tcW w:w="0" w:type="auto"/>
            <w:shd w:val="clear" w:color="auto" w:fill="CCEEFF"/>
            <w:tcMar>
              <w:top w:w="0" w:type="dxa"/>
              <w:left w:w="200" w:type="dxa"/>
              <w:bottom w:w="0" w:type="dxa"/>
              <w:right w:w="0" w:type="dxa"/>
            </w:tcMar>
            <w:vAlign w:val="bottom"/>
            <w:hideMark/>
          </w:tcPr>
          <w:p w14:paraId="58AB4F1C" w14:textId="77777777" w:rsidR="00000000" w:rsidRDefault="001826C1">
            <w:pPr>
              <w:rPr>
                <w:rFonts w:eastAsia="Times New Roman"/>
                <w:sz w:val="20"/>
                <w:szCs w:val="20"/>
              </w:rPr>
            </w:pPr>
            <w:r>
              <w:rPr>
                <w:rFonts w:eastAsia="Times New Roman"/>
                <w:sz w:val="20"/>
                <w:szCs w:val="20"/>
              </w:rPr>
              <w:t>ASC 606 - Section 481(A) adjustment</w:t>
            </w:r>
          </w:p>
        </w:tc>
        <w:tc>
          <w:tcPr>
            <w:tcW w:w="0" w:type="auto"/>
            <w:shd w:val="clear" w:color="auto" w:fill="CCEEFF"/>
            <w:vAlign w:val="bottom"/>
            <w:hideMark/>
          </w:tcPr>
          <w:p w14:paraId="3F06BF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F486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DC763F" w14:textId="77777777" w:rsidR="00000000" w:rsidRDefault="001826C1">
            <w:pPr>
              <w:jc w:val="right"/>
              <w:rPr>
                <w:rFonts w:eastAsia="Times New Roman"/>
                <w:sz w:val="20"/>
                <w:szCs w:val="20"/>
              </w:rPr>
            </w:pPr>
            <w:r>
              <w:rPr>
                <w:rFonts w:eastAsia="Times New Roman"/>
                <w:sz w:val="20"/>
                <w:szCs w:val="20"/>
              </w:rPr>
              <w:t>(185,162</w:t>
            </w:r>
          </w:p>
        </w:tc>
        <w:tc>
          <w:tcPr>
            <w:tcW w:w="0" w:type="auto"/>
            <w:shd w:val="clear" w:color="auto" w:fill="CCEEFF"/>
            <w:vAlign w:val="bottom"/>
            <w:hideMark/>
          </w:tcPr>
          <w:p w14:paraId="07B1207D"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313812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3B252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B0D2A34"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318C8FC" w14:textId="77777777" w:rsidR="00000000" w:rsidRDefault="001826C1">
            <w:pPr>
              <w:rPr>
                <w:rFonts w:eastAsia="Times New Roman"/>
                <w:sz w:val="20"/>
                <w:szCs w:val="20"/>
              </w:rPr>
            </w:pPr>
            <w:r>
              <w:rPr>
                <w:rFonts w:eastAsia="Times New Roman"/>
                <w:sz w:val="20"/>
                <w:szCs w:val="20"/>
              </w:rPr>
              <w:t> </w:t>
            </w:r>
          </w:p>
        </w:tc>
      </w:tr>
      <w:tr w:rsidR="00000000" w14:paraId="1934026D" w14:textId="77777777">
        <w:tc>
          <w:tcPr>
            <w:tcW w:w="0" w:type="auto"/>
            <w:shd w:val="clear" w:color="auto" w:fill="FFFFFF"/>
            <w:tcMar>
              <w:top w:w="0" w:type="dxa"/>
              <w:left w:w="200" w:type="dxa"/>
              <w:bottom w:w="0" w:type="dxa"/>
              <w:right w:w="0" w:type="dxa"/>
            </w:tcMar>
            <w:vAlign w:val="bottom"/>
            <w:hideMark/>
          </w:tcPr>
          <w:p w14:paraId="200C8E1B" w14:textId="77777777" w:rsidR="00000000" w:rsidRDefault="001826C1">
            <w:pPr>
              <w:rPr>
                <w:rFonts w:eastAsia="Times New Roman"/>
                <w:sz w:val="20"/>
                <w:szCs w:val="20"/>
              </w:rPr>
            </w:pPr>
            <w:r>
              <w:rPr>
                <w:rFonts w:eastAsia="Times New Roman"/>
                <w:sz w:val="20"/>
                <w:szCs w:val="20"/>
              </w:rPr>
              <w:t>ASC 842-ROU asset</w:t>
            </w:r>
          </w:p>
        </w:tc>
        <w:tc>
          <w:tcPr>
            <w:tcW w:w="0" w:type="auto"/>
            <w:shd w:val="clear" w:color="auto" w:fill="FFFFFF"/>
            <w:vAlign w:val="bottom"/>
            <w:hideMark/>
          </w:tcPr>
          <w:p w14:paraId="1CB474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1EFECE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C5F2244" w14:textId="77777777" w:rsidR="00000000" w:rsidRDefault="001826C1">
            <w:pPr>
              <w:jc w:val="right"/>
              <w:rPr>
                <w:rFonts w:eastAsia="Times New Roman"/>
                <w:sz w:val="20"/>
                <w:szCs w:val="20"/>
              </w:rPr>
            </w:pPr>
            <w:r>
              <w:rPr>
                <w:rFonts w:eastAsia="Times New Roman"/>
                <w:sz w:val="20"/>
                <w:szCs w:val="20"/>
              </w:rPr>
              <w:t>(790,446</w:t>
            </w:r>
          </w:p>
        </w:tc>
        <w:tc>
          <w:tcPr>
            <w:tcW w:w="0" w:type="auto"/>
            <w:shd w:val="clear" w:color="auto" w:fill="FFFFFF"/>
            <w:vAlign w:val="bottom"/>
            <w:hideMark/>
          </w:tcPr>
          <w:p w14:paraId="68B28330"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235FA5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7544A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B2ED3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56446719" w14:textId="77777777" w:rsidR="00000000" w:rsidRDefault="001826C1">
            <w:pPr>
              <w:rPr>
                <w:rFonts w:eastAsia="Times New Roman"/>
                <w:sz w:val="20"/>
                <w:szCs w:val="20"/>
              </w:rPr>
            </w:pPr>
            <w:r>
              <w:rPr>
                <w:rFonts w:eastAsia="Times New Roman"/>
                <w:sz w:val="20"/>
                <w:szCs w:val="20"/>
              </w:rPr>
              <w:t> </w:t>
            </w:r>
          </w:p>
        </w:tc>
      </w:tr>
      <w:tr w:rsidR="00000000" w14:paraId="0C0AAED5" w14:textId="77777777">
        <w:tc>
          <w:tcPr>
            <w:tcW w:w="0" w:type="auto"/>
            <w:shd w:val="clear" w:color="auto" w:fill="CCEEFF"/>
            <w:tcMar>
              <w:top w:w="0" w:type="dxa"/>
              <w:left w:w="200" w:type="dxa"/>
              <w:bottom w:w="0" w:type="dxa"/>
              <w:right w:w="0" w:type="dxa"/>
            </w:tcMar>
            <w:vAlign w:val="bottom"/>
            <w:hideMark/>
          </w:tcPr>
          <w:p w14:paraId="7B4DC8FD" w14:textId="77777777" w:rsidR="00000000" w:rsidRDefault="001826C1">
            <w:pPr>
              <w:rPr>
                <w:rFonts w:eastAsia="Times New Roman"/>
                <w:sz w:val="20"/>
                <w:szCs w:val="20"/>
              </w:rPr>
            </w:pPr>
            <w:r>
              <w:rPr>
                <w:rFonts w:eastAsia="Times New Roman"/>
                <w:sz w:val="20"/>
                <w:szCs w:val="20"/>
              </w:rPr>
              <w:t>ASC 842 - Lease liability</w:t>
            </w:r>
          </w:p>
        </w:tc>
        <w:tc>
          <w:tcPr>
            <w:tcW w:w="0" w:type="auto"/>
            <w:shd w:val="clear" w:color="auto" w:fill="CCEEFF"/>
            <w:vAlign w:val="bottom"/>
            <w:hideMark/>
          </w:tcPr>
          <w:p w14:paraId="7224975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0CF6B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05182F0" w14:textId="77777777" w:rsidR="00000000" w:rsidRDefault="001826C1">
            <w:pPr>
              <w:jc w:val="right"/>
              <w:rPr>
                <w:rFonts w:eastAsia="Times New Roman"/>
                <w:sz w:val="20"/>
                <w:szCs w:val="20"/>
              </w:rPr>
            </w:pPr>
            <w:r>
              <w:rPr>
                <w:rFonts w:eastAsia="Times New Roman"/>
                <w:sz w:val="20"/>
                <w:szCs w:val="20"/>
              </w:rPr>
              <w:t>799,376</w:t>
            </w:r>
          </w:p>
        </w:tc>
        <w:tc>
          <w:tcPr>
            <w:tcW w:w="0" w:type="auto"/>
            <w:shd w:val="clear" w:color="auto" w:fill="CCEEFF"/>
            <w:vAlign w:val="bottom"/>
            <w:hideMark/>
          </w:tcPr>
          <w:p w14:paraId="4218F6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A6ECC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8D7350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1B705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6EB0B488" w14:textId="77777777" w:rsidR="00000000" w:rsidRDefault="001826C1">
            <w:pPr>
              <w:rPr>
                <w:rFonts w:eastAsia="Times New Roman"/>
                <w:sz w:val="20"/>
                <w:szCs w:val="20"/>
              </w:rPr>
            </w:pPr>
            <w:r>
              <w:rPr>
                <w:rFonts w:eastAsia="Times New Roman"/>
                <w:sz w:val="20"/>
                <w:szCs w:val="20"/>
              </w:rPr>
              <w:t> </w:t>
            </w:r>
          </w:p>
        </w:tc>
      </w:tr>
      <w:tr w:rsidR="00000000" w14:paraId="7623866D" w14:textId="77777777">
        <w:tc>
          <w:tcPr>
            <w:tcW w:w="0" w:type="auto"/>
            <w:shd w:val="clear" w:color="auto" w:fill="FFFFFF"/>
            <w:tcMar>
              <w:top w:w="0" w:type="dxa"/>
              <w:left w:w="200" w:type="dxa"/>
              <w:bottom w:w="0" w:type="dxa"/>
              <w:right w:w="0" w:type="dxa"/>
            </w:tcMar>
            <w:vAlign w:val="bottom"/>
            <w:hideMark/>
          </w:tcPr>
          <w:p w14:paraId="10E1EABD" w14:textId="77777777" w:rsidR="00000000" w:rsidRDefault="001826C1">
            <w:pPr>
              <w:rPr>
                <w:rFonts w:eastAsia="Times New Roman"/>
                <w:sz w:val="20"/>
                <w:szCs w:val="20"/>
              </w:rPr>
            </w:pPr>
            <w:r>
              <w:rPr>
                <w:rFonts w:eastAsia="Times New Roman"/>
                <w:sz w:val="20"/>
                <w:szCs w:val="20"/>
              </w:rPr>
              <w:t>Other</w:t>
            </w:r>
          </w:p>
        </w:tc>
        <w:tc>
          <w:tcPr>
            <w:tcW w:w="0" w:type="auto"/>
            <w:shd w:val="clear" w:color="auto" w:fill="FFFFFF"/>
            <w:vAlign w:val="bottom"/>
            <w:hideMark/>
          </w:tcPr>
          <w:p w14:paraId="45F7017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00023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06DF717" w14:textId="77777777" w:rsidR="00000000" w:rsidRDefault="001826C1">
            <w:pPr>
              <w:jc w:val="right"/>
              <w:rPr>
                <w:rFonts w:eastAsia="Times New Roman"/>
                <w:sz w:val="20"/>
                <w:szCs w:val="20"/>
              </w:rPr>
            </w:pPr>
            <w:r>
              <w:rPr>
                <w:rFonts w:eastAsia="Times New Roman"/>
                <w:sz w:val="20"/>
                <w:szCs w:val="20"/>
              </w:rPr>
              <w:t>18,238</w:t>
            </w:r>
          </w:p>
        </w:tc>
        <w:tc>
          <w:tcPr>
            <w:tcW w:w="0" w:type="auto"/>
            <w:shd w:val="clear" w:color="auto" w:fill="FFFFFF"/>
            <w:vAlign w:val="bottom"/>
            <w:hideMark/>
          </w:tcPr>
          <w:p w14:paraId="65ACDA3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3D28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44EEB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8775EC" w14:textId="77777777" w:rsidR="00000000" w:rsidRDefault="001826C1">
            <w:pPr>
              <w:jc w:val="right"/>
              <w:rPr>
                <w:rFonts w:eastAsia="Times New Roman"/>
                <w:sz w:val="20"/>
                <w:szCs w:val="20"/>
              </w:rPr>
            </w:pPr>
            <w:r>
              <w:rPr>
                <w:rFonts w:eastAsia="Times New Roman"/>
                <w:sz w:val="20"/>
                <w:szCs w:val="20"/>
              </w:rPr>
              <w:t>(24,654</w:t>
            </w:r>
          </w:p>
        </w:tc>
        <w:tc>
          <w:tcPr>
            <w:tcW w:w="0" w:type="auto"/>
            <w:shd w:val="clear" w:color="auto" w:fill="FFFFFF"/>
            <w:vAlign w:val="bottom"/>
            <w:hideMark/>
          </w:tcPr>
          <w:p w14:paraId="66C3871E" w14:textId="77777777" w:rsidR="00000000" w:rsidRDefault="001826C1">
            <w:pPr>
              <w:rPr>
                <w:rFonts w:eastAsia="Times New Roman"/>
                <w:sz w:val="20"/>
                <w:szCs w:val="20"/>
              </w:rPr>
            </w:pPr>
            <w:r>
              <w:rPr>
                <w:rFonts w:eastAsia="Times New Roman"/>
                <w:sz w:val="20"/>
                <w:szCs w:val="20"/>
              </w:rPr>
              <w:t>)</w:t>
            </w:r>
          </w:p>
        </w:tc>
      </w:tr>
      <w:tr w:rsidR="00000000" w14:paraId="3D92CA33" w14:textId="77777777">
        <w:tc>
          <w:tcPr>
            <w:tcW w:w="0" w:type="auto"/>
            <w:shd w:val="clear" w:color="auto" w:fill="CCEEFF"/>
            <w:tcMar>
              <w:top w:w="0" w:type="dxa"/>
              <w:left w:w="200" w:type="dxa"/>
              <w:bottom w:w="30" w:type="dxa"/>
              <w:right w:w="0" w:type="dxa"/>
            </w:tcMar>
            <w:vAlign w:val="bottom"/>
            <w:hideMark/>
          </w:tcPr>
          <w:p w14:paraId="4BE8FF74" w14:textId="77777777" w:rsidR="00000000" w:rsidRDefault="001826C1">
            <w:pPr>
              <w:rPr>
                <w:rFonts w:eastAsia="Times New Roman"/>
                <w:sz w:val="20"/>
                <w:szCs w:val="20"/>
              </w:rPr>
            </w:pPr>
            <w:r>
              <w:rPr>
                <w:rFonts w:eastAsia="Times New Roman"/>
                <w:sz w:val="20"/>
                <w:szCs w:val="20"/>
              </w:rPr>
              <w:t>Valuation allowance</w:t>
            </w:r>
          </w:p>
        </w:tc>
        <w:tc>
          <w:tcPr>
            <w:tcW w:w="0" w:type="auto"/>
            <w:shd w:val="clear" w:color="auto" w:fill="CCEEFF"/>
            <w:tcMar>
              <w:top w:w="0" w:type="dxa"/>
              <w:left w:w="0" w:type="dxa"/>
              <w:bottom w:w="30" w:type="dxa"/>
              <w:right w:w="0" w:type="dxa"/>
            </w:tcMar>
            <w:vAlign w:val="bottom"/>
            <w:hideMark/>
          </w:tcPr>
          <w:p w14:paraId="449CE8B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98C40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9A5B4BC" w14:textId="77777777" w:rsidR="00000000" w:rsidRDefault="001826C1">
            <w:pPr>
              <w:jc w:val="right"/>
              <w:rPr>
                <w:rFonts w:eastAsia="Times New Roman"/>
                <w:sz w:val="20"/>
                <w:szCs w:val="20"/>
              </w:rPr>
            </w:pPr>
            <w:r>
              <w:rPr>
                <w:rFonts w:eastAsia="Times New Roman"/>
                <w:sz w:val="20"/>
                <w:szCs w:val="20"/>
              </w:rPr>
              <w:t>(7,154,510</w:t>
            </w:r>
          </w:p>
        </w:tc>
        <w:tc>
          <w:tcPr>
            <w:tcW w:w="0" w:type="auto"/>
            <w:shd w:val="clear" w:color="auto" w:fill="CCEEFF"/>
            <w:tcMar>
              <w:top w:w="0" w:type="dxa"/>
              <w:left w:w="0" w:type="dxa"/>
              <w:bottom w:w="30" w:type="dxa"/>
              <w:right w:w="0" w:type="dxa"/>
            </w:tcMar>
            <w:vAlign w:val="bottom"/>
            <w:hideMark/>
          </w:tcPr>
          <w:p w14:paraId="751368DC"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04AAB49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23DEB14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14432B5" w14:textId="77777777" w:rsidR="00000000" w:rsidRDefault="001826C1">
            <w:pPr>
              <w:jc w:val="right"/>
              <w:rPr>
                <w:rFonts w:eastAsia="Times New Roman"/>
                <w:sz w:val="20"/>
                <w:szCs w:val="20"/>
              </w:rPr>
            </w:pPr>
            <w:r>
              <w:rPr>
                <w:rFonts w:eastAsia="Times New Roman"/>
                <w:sz w:val="20"/>
                <w:szCs w:val="20"/>
              </w:rPr>
              <w:t>(7,176,391</w:t>
            </w:r>
          </w:p>
        </w:tc>
        <w:tc>
          <w:tcPr>
            <w:tcW w:w="0" w:type="auto"/>
            <w:shd w:val="clear" w:color="auto" w:fill="CCEEFF"/>
            <w:tcMar>
              <w:top w:w="0" w:type="dxa"/>
              <w:left w:w="0" w:type="dxa"/>
              <w:bottom w:w="30" w:type="dxa"/>
              <w:right w:w="0" w:type="dxa"/>
            </w:tcMar>
            <w:vAlign w:val="bottom"/>
            <w:hideMark/>
          </w:tcPr>
          <w:p w14:paraId="205A26E4" w14:textId="77777777" w:rsidR="00000000" w:rsidRDefault="001826C1">
            <w:pPr>
              <w:rPr>
                <w:rFonts w:eastAsia="Times New Roman"/>
                <w:sz w:val="20"/>
                <w:szCs w:val="20"/>
              </w:rPr>
            </w:pPr>
            <w:r>
              <w:rPr>
                <w:rFonts w:eastAsia="Times New Roman"/>
                <w:sz w:val="20"/>
                <w:szCs w:val="20"/>
              </w:rPr>
              <w:t>)</w:t>
            </w:r>
          </w:p>
        </w:tc>
      </w:tr>
      <w:tr w:rsidR="00000000" w14:paraId="442CBD57" w14:textId="77777777">
        <w:tc>
          <w:tcPr>
            <w:tcW w:w="0" w:type="auto"/>
            <w:shd w:val="clear" w:color="auto" w:fill="FFFFFF"/>
            <w:tcMar>
              <w:top w:w="0" w:type="dxa"/>
              <w:left w:w="400" w:type="dxa"/>
              <w:bottom w:w="0" w:type="dxa"/>
              <w:right w:w="0" w:type="dxa"/>
            </w:tcMar>
            <w:vAlign w:val="bottom"/>
            <w:hideMark/>
          </w:tcPr>
          <w:p w14:paraId="4363EA68" w14:textId="77777777" w:rsidR="00000000" w:rsidRDefault="001826C1">
            <w:pPr>
              <w:rPr>
                <w:rFonts w:eastAsia="Times New Roman"/>
                <w:sz w:val="20"/>
                <w:szCs w:val="20"/>
              </w:rPr>
            </w:pPr>
            <w:r>
              <w:rPr>
                <w:rFonts w:eastAsia="Times New Roman"/>
                <w:sz w:val="20"/>
                <w:szCs w:val="20"/>
              </w:rPr>
              <w:t>Total deferred tax assets</w:t>
            </w:r>
          </w:p>
        </w:tc>
        <w:tc>
          <w:tcPr>
            <w:tcW w:w="0" w:type="auto"/>
            <w:shd w:val="clear" w:color="auto" w:fill="FFFFFF"/>
            <w:vAlign w:val="bottom"/>
            <w:hideMark/>
          </w:tcPr>
          <w:p w14:paraId="6B24767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0E28A0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D608AF" w14:textId="77777777" w:rsidR="00000000" w:rsidRDefault="001826C1">
            <w:pPr>
              <w:jc w:val="right"/>
              <w:rPr>
                <w:rFonts w:eastAsia="Times New Roman"/>
                <w:sz w:val="20"/>
                <w:szCs w:val="20"/>
              </w:rPr>
            </w:pPr>
            <w:r>
              <w:rPr>
                <w:rFonts w:eastAsia="Times New Roman"/>
                <w:sz w:val="20"/>
                <w:szCs w:val="20"/>
              </w:rPr>
              <w:t>464,498</w:t>
            </w:r>
          </w:p>
        </w:tc>
        <w:tc>
          <w:tcPr>
            <w:tcW w:w="0" w:type="auto"/>
            <w:shd w:val="clear" w:color="auto" w:fill="FFFFFF"/>
            <w:vAlign w:val="bottom"/>
            <w:hideMark/>
          </w:tcPr>
          <w:p w14:paraId="5717E8D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B4C034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25A0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804262" w14:textId="77777777" w:rsidR="00000000" w:rsidRDefault="001826C1">
            <w:pPr>
              <w:jc w:val="right"/>
              <w:rPr>
                <w:rFonts w:eastAsia="Times New Roman"/>
                <w:sz w:val="20"/>
                <w:szCs w:val="20"/>
              </w:rPr>
            </w:pPr>
            <w:r>
              <w:rPr>
                <w:rFonts w:eastAsia="Times New Roman"/>
                <w:sz w:val="20"/>
                <w:szCs w:val="20"/>
              </w:rPr>
              <w:t>353,741</w:t>
            </w:r>
          </w:p>
        </w:tc>
        <w:tc>
          <w:tcPr>
            <w:tcW w:w="0" w:type="auto"/>
            <w:shd w:val="clear" w:color="auto" w:fill="FFFFFF"/>
            <w:vAlign w:val="bottom"/>
            <w:hideMark/>
          </w:tcPr>
          <w:p w14:paraId="077F92BB" w14:textId="77777777" w:rsidR="00000000" w:rsidRDefault="001826C1">
            <w:pPr>
              <w:rPr>
                <w:rFonts w:eastAsia="Times New Roman"/>
                <w:sz w:val="20"/>
                <w:szCs w:val="20"/>
              </w:rPr>
            </w:pPr>
            <w:r>
              <w:rPr>
                <w:rFonts w:eastAsia="Times New Roman"/>
                <w:sz w:val="20"/>
                <w:szCs w:val="20"/>
              </w:rPr>
              <w:t> </w:t>
            </w:r>
          </w:p>
        </w:tc>
      </w:tr>
      <w:tr w:rsidR="00000000" w14:paraId="6CDB5C4B" w14:textId="77777777">
        <w:tc>
          <w:tcPr>
            <w:tcW w:w="0" w:type="auto"/>
            <w:shd w:val="clear" w:color="auto" w:fill="CCEEFF"/>
            <w:vAlign w:val="bottom"/>
            <w:hideMark/>
          </w:tcPr>
          <w:p w14:paraId="03688F4C" w14:textId="77777777" w:rsidR="00000000" w:rsidRDefault="001826C1">
            <w:pPr>
              <w:rPr>
                <w:rFonts w:eastAsia="Times New Roman"/>
                <w:sz w:val="20"/>
                <w:szCs w:val="20"/>
              </w:rPr>
            </w:pPr>
            <w:r>
              <w:rPr>
                <w:rFonts w:eastAsia="Times New Roman"/>
                <w:sz w:val="20"/>
                <w:szCs w:val="20"/>
              </w:rPr>
              <w:t>Deferred tax liabilities:</w:t>
            </w:r>
          </w:p>
        </w:tc>
        <w:tc>
          <w:tcPr>
            <w:tcW w:w="0" w:type="auto"/>
            <w:shd w:val="clear" w:color="auto" w:fill="CCEEFF"/>
            <w:vAlign w:val="bottom"/>
            <w:hideMark/>
          </w:tcPr>
          <w:p w14:paraId="5D4DFE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1CB43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3AF18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6C50CD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2F3A0F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773E54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2E8BE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14:paraId="08BA4450" w14:textId="77777777" w:rsidR="00000000" w:rsidRDefault="001826C1">
            <w:pPr>
              <w:rPr>
                <w:rFonts w:eastAsia="Times New Roman"/>
                <w:sz w:val="20"/>
                <w:szCs w:val="20"/>
              </w:rPr>
            </w:pPr>
            <w:r>
              <w:rPr>
                <w:rFonts w:eastAsia="Times New Roman"/>
                <w:sz w:val="20"/>
                <w:szCs w:val="20"/>
              </w:rPr>
              <w:t> </w:t>
            </w:r>
          </w:p>
        </w:tc>
      </w:tr>
      <w:tr w:rsidR="00000000" w14:paraId="42EE46C3" w14:textId="77777777">
        <w:tc>
          <w:tcPr>
            <w:tcW w:w="0" w:type="auto"/>
            <w:shd w:val="clear" w:color="auto" w:fill="FFFFFF"/>
            <w:tcMar>
              <w:top w:w="0" w:type="dxa"/>
              <w:left w:w="200" w:type="dxa"/>
              <w:bottom w:w="30" w:type="dxa"/>
              <w:right w:w="0" w:type="dxa"/>
            </w:tcMar>
            <w:vAlign w:val="bottom"/>
            <w:hideMark/>
          </w:tcPr>
          <w:p w14:paraId="3670A208" w14:textId="77777777" w:rsidR="00000000" w:rsidRDefault="001826C1">
            <w:pPr>
              <w:rPr>
                <w:rFonts w:eastAsia="Times New Roman"/>
                <w:sz w:val="20"/>
                <w:szCs w:val="20"/>
              </w:rPr>
            </w:pPr>
            <w:r>
              <w:rPr>
                <w:rFonts w:eastAsia="Times New Roman"/>
                <w:sz w:val="20"/>
                <w:szCs w:val="20"/>
              </w:rPr>
              <w:t>Goodwill amortization</w:t>
            </w:r>
          </w:p>
        </w:tc>
        <w:tc>
          <w:tcPr>
            <w:tcW w:w="0" w:type="auto"/>
            <w:shd w:val="clear" w:color="auto" w:fill="FFFFFF"/>
            <w:tcMar>
              <w:top w:w="0" w:type="dxa"/>
              <w:left w:w="0" w:type="dxa"/>
              <w:bottom w:w="30" w:type="dxa"/>
              <w:right w:w="0" w:type="dxa"/>
            </w:tcMar>
            <w:vAlign w:val="bottom"/>
            <w:hideMark/>
          </w:tcPr>
          <w:p w14:paraId="1A04DF4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F58BF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085EC6" w14:textId="77777777" w:rsidR="00000000" w:rsidRDefault="001826C1">
            <w:pPr>
              <w:jc w:val="right"/>
              <w:rPr>
                <w:rFonts w:eastAsia="Times New Roman"/>
                <w:sz w:val="20"/>
                <w:szCs w:val="20"/>
              </w:rPr>
            </w:pPr>
            <w:r>
              <w:rPr>
                <w:rFonts w:eastAsia="Times New Roman"/>
                <w:sz w:val="20"/>
                <w:szCs w:val="20"/>
              </w:rPr>
              <w:t>(709,010</w:t>
            </w:r>
          </w:p>
        </w:tc>
        <w:tc>
          <w:tcPr>
            <w:tcW w:w="0" w:type="auto"/>
            <w:shd w:val="clear" w:color="auto" w:fill="FFFFFF"/>
            <w:tcMar>
              <w:top w:w="0" w:type="dxa"/>
              <w:left w:w="0" w:type="dxa"/>
              <w:bottom w:w="30" w:type="dxa"/>
              <w:right w:w="0" w:type="dxa"/>
            </w:tcMar>
            <w:vAlign w:val="bottom"/>
            <w:hideMark/>
          </w:tcPr>
          <w:p w14:paraId="0628A10F"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5FB768B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A39B53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2E8B174" w14:textId="77777777" w:rsidR="00000000" w:rsidRDefault="001826C1">
            <w:pPr>
              <w:jc w:val="right"/>
              <w:rPr>
                <w:rFonts w:eastAsia="Times New Roman"/>
                <w:sz w:val="20"/>
                <w:szCs w:val="20"/>
              </w:rPr>
            </w:pPr>
            <w:r>
              <w:rPr>
                <w:rFonts w:eastAsia="Times New Roman"/>
                <w:sz w:val="20"/>
                <w:szCs w:val="20"/>
              </w:rPr>
              <w:t>(518,087</w:t>
            </w:r>
          </w:p>
        </w:tc>
        <w:tc>
          <w:tcPr>
            <w:tcW w:w="0" w:type="auto"/>
            <w:shd w:val="clear" w:color="auto" w:fill="FFFFFF"/>
            <w:tcMar>
              <w:top w:w="0" w:type="dxa"/>
              <w:left w:w="0" w:type="dxa"/>
              <w:bottom w:w="30" w:type="dxa"/>
              <w:right w:w="0" w:type="dxa"/>
            </w:tcMar>
            <w:vAlign w:val="bottom"/>
            <w:hideMark/>
          </w:tcPr>
          <w:p w14:paraId="23EC7FC4" w14:textId="77777777" w:rsidR="00000000" w:rsidRDefault="001826C1">
            <w:pPr>
              <w:rPr>
                <w:rFonts w:eastAsia="Times New Roman"/>
                <w:sz w:val="20"/>
                <w:szCs w:val="20"/>
              </w:rPr>
            </w:pPr>
            <w:r>
              <w:rPr>
                <w:rFonts w:eastAsia="Times New Roman"/>
                <w:sz w:val="20"/>
                <w:szCs w:val="20"/>
              </w:rPr>
              <w:t>)</w:t>
            </w:r>
          </w:p>
        </w:tc>
      </w:tr>
      <w:tr w:rsidR="00000000" w14:paraId="1856BEC2" w14:textId="77777777">
        <w:tc>
          <w:tcPr>
            <w:tcW w:w="0" w:type="auto"/>
            <w:shd w:val="clear" w:color="auto" w:fill="CCEEFF"/>
            <w:tcMar>
              <w:top w:w="0" w:type="dxa"/>
              <w:left w:w="400" w:type="dxa"/>
              <w:bottom w:w="50" w:type="dxa"/>
              <w:right w:w="0" w:type="dxa"/>
            </w:tcMar>
            <w:vAlign w:val="bottom"/>
            <w:hideMark/>
          </w:tcPr>
          <w:p w14:paraId="4A1D8865" w14:textId="77777777" w:rsidR="00000000" w:rsidRDefault="001826C1">
            <w:pPr>
              <w:rPr>
                <w:rFonts w:eastAsia="Times New Roman"/>
                <w:sz w:val="20"/>
                <w:szCs w:val="20"/>
              </w:rPr>
            </w:pPr>
            <w:r>
              <w:rPr>
                <w:rFonts w:eastAsia="Times New Roman"/>
                <w:sz w:val="20"/>
                <w:szCs w:val="20"/>
              </w:rPr>
              <w:t>Net deferred tax liability</w:t>
            </w:r>
          </w:p>
        </w:tc>
        <w:tc>
          <w:tcPr>
            <w:tcW w:w="0" w:type="auto"/>
            <w:shd w:val="clear" w:color="auto" w:fill="CCEEFF"/>
            <w:tcMar>
              <w:top w:w="0" w:type="dxa"/>
              <w:left w:w="0" w:type="dxa"/>
              <w:bottom w:w="50" w:type="dxa"/>
              <w:right w:w="0" w:type="dxa"/>
            </w:tcMar>
            <w:vAlign w:val="bottom"/>
            <w:hideMark/>
          </w:tcPr>
          <w:p w14:paraId="6A06778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1525A63B"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066F3E2" w14:textId="77777777" w:rsidR="00000000" w:rsidRDefault="001826C1">
            <w:pPr>
              <w:jc w:val="right"/>
              <w:rPr>
                <w:rFonts w:eastAsia="Times New Roman"/>
                <w:sz w:val="20"/>
                <w:szCs w:val="20"/>
              </w:rPr>
            </w:pPr>
            <w:r>
              <w:rPr>
                <w:rFonts w:eastAsia="Times New Roman"/>
                <w:sz w:val="20"/>
                <w:szCs w:val="20"/>
              </w:rPr>
              <w:t>(244,512</w:t>
            </w:r>
          </w:p>
        </w:tc>
        <w:tc>
          <w:tcPr>
            <w:tcW w:w="0" w:type="auto"/>
            <w:shd w:val="clear" w:color="auto" w:fill="CCEEFF"/>
            <w:tcMar>
              <w:top w:w="0" w:type="dxa"/>
              <w:left w:w="0" w:type="dxa"/>
              <w:bottom w:w="50" w:type="dxa"/>
              <w:right w:w="0" w:type="dxa"/>
            </w:tcMar>
            <w:vAlign w:val="bottom"/>
            <w:hideMark/>
          </w:tcPr>
          <w:p w14:paraId="68A705C2"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6A94C974"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9014925"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716000C2" w14:textId="77777777" w:rsidR="00000000" w:rsidRDefault="001826C1">
            <w:pPr>
              <w:jc w:val="right"/>
              <w:rPr>
                <w:rFonts w:eastAsia="Times New Roman"/>
                <w:sz w:val="20"/>
                <w:szCs w:val="20"/>
              </w:rPr>
            </w:pPr>
            <w:r>
              <w:rPr>
                <w:rFonts w:eastAsia="Times New Roman"/>
                <w:sz w:val="20"/>
                <w:szCs w:val="20"/>
              </w:rPr>
              <w:t>(164,346</w:t>
            </w:r>
          </w:p>
        </w:tc>
        <w:tc>
          <w:tcPr>
            <w:tcW w:w="0" w:type="auto"/>
            <w:shd w:val="clear" w:color="auto" w:fill="CCEEFF"/>
            <w:tcMar>
              <w:top w:w="0" w:type="dxa"/>
              <w:left w:w="0" w:type="dxa"/>
              <w:bottom w:w="50" w:type="dxa"/>
              <w:right w:w="0" w:type="dxa"/>
            </w:tcMar>
            <w:vAlign w:val="bottom"/>
            <w:hideMark/>
          </w:tcPr>
          <w:p w14:paraId="0B09F709" w14:textId="77777777" w:rsidR="00000000" w:rsidRDefault="001826C1">
            <w:pPr>
              <w:rPr>
                <w:rFonts w:eastAsia="Times New Roman"/>
                <w:sz w:val="20"/>
                <w:szCs w:val="20"/>
              </w:rPr>
            </w:pPr>
            <w:r>
              <w:rPr>
                <w:rFonts w:eastAsia="Times New Roman"/>
                <w:sz w:val="20"/>
                <w:szCs w:val="20"/>
              </w:rPr>
              <w:t>)</w:t>
            </w:r>
          </w:p>
        </w:tc>
      </w:tr>
    </w:tbl>
    <w:p w14:paraId="52E0CB94" w14:textId="77777777" w:rsidR="00000000" w:rsidRDefault="001826C1">
      <w:pPr>
        <w:pStyle w:val="a3"/>
        <w:spacing w:before="0" w:beforeAutospacing="0" w:after="0" w:afterAutospacing="0"/>
        <w:jc w:val="both"/>
        <w:rPr>
          <w:sz w:val="20"/>
          <w:szCs w:val="20"/>
        </w:rPr>
      </w:pPr>
      <w:r>
        <w:rPr>
          <w:sz w:val="20"/>
          <w:szCs w:val="20"/>
        </w:rPr>
        <w:t> </w:t>
      </w:r>
    </w:p>
    <w:p w14:paraId="14EEC1F6" w14:textId="77777777" w:rsidR="00000000" w:rsidRDefault="001826C1">
      <w:pPr>
        <w:pStyle w:val="a3"/>
        <w:spacing w:before="0" w:beforeAutospacing="0" w:after="0" w:afterAutospacing="0"/>
        <w:jc w:val="both"/>
        <w:rPr>
          <w:sz w:val="20"/>
          <w:szCs w:val="20"/>
        </w:rPr>
      </w:pPr>
      <w:r>
        <w:rPr>
          <w:sz w:val="20"/>
          <w:szCs w:val="20"/>
        </w:rPr>
        <w:t xml:space="preserve">Deferred income </w:t>
      </w:r>
      <w:r>
        <w:rPr>
          <w:sz w:val="20"/>
          <w:szCs w:val="20"/>
        </w:rPr>
        <w:t xml:space="preserve">tax balances reflect the effects of temporary differences between the carrying amounts of assets and liabilities and their tax bases, as well as from net operating loss carryforwards. Deferred income tax assets represent amounts available to reduce income </w:t>
      </w:r>
      <w:r>
        <w:rPr>
          <w:sz w:val="20"/>
          <w:szCs w:val="20"/>
        </w:rPr>
        <w:t>taxes payable on taxable income in future years.</w:t>
      </w:r>
    </w:p>
    <w:p w14:paraId="2693C200"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345C80E" w14:textId="77777777">
        <w:trPr>
          <w:divId w:val="1719402579"/>
        </w:trPr>
        <w:tc>
          <w:tcPr>
            <w:tcW w:w="5000" w:type="pct"/>
            <w:hideMark/>
          </w:tcPr>
          <w:p w14:paraId="0D86465B"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1</w:t>
            </w:r>
          </w:p>
        </w:tc>
      </w:tr>
    </w:tbl>
    <w:tbl>
      <w:tblPr>
        <w:tblW w:w="5000" w:type="pct"/>
        <w:tblCellMar>
          <w:left w:w="0" w:type="dxa"/>
          <w:right w:w="0" w:type="dxa"/>
        </w:tblCellMar>
        <w:tblLook w:val="04A0" w:firstRow="1" w:lastRow="0" w:firstColumn="1" w:lastColumn="0" w:noHBand="0" w:noVBand="1"/>
      </w:tblPr>
      <w:tblGrid>
        <w:gridCol w:w="8306"/>
      </w:tblGrid>
      <w:tr w:rsidR="00000000" w14:paraId="67D97260" w14:textId="77777777">
        <w:tc>
          <w:tcPr>
            <w:tcW w:w="5000" w:type="pct"/>
            <w:hideMark/>
          </w:tcPr>
          <w:p w14:paraId="5718A75D" w14:textId="77777777" w:rsidR="00000000" w:rsidRDefault="001826C1">
            <w:pPr>
              <w:jc w:val="center"/>
              <w:rPr>
                <w:rFonts w:eastAsia="Times New Roman"/>
                <w:sz w:val="20"/>
                <w:szCs w:val="20"/>
              </w:rPr>
            </w:pPr>
            <w:r>
              <w:rPr>
                <w:rFonts w:eastAsia="Times New Roman"/>
                <w:sz w:val="20"/>
                <w:szCs w:val="20"/>
              </w:rPr>
              <w:t> </w:t>
            </w:r>
          </w:p>
        </w:tc>
      </w:tr>
    </w:tbl>
    <w:p w14:paraId="1C05B3AE" w14:textId="77777777" w:rsidR="00000000" w:rsidRDefault="001826C1">
      <w:pPr>
        <w:pStyle w:val="a3"/>
        <w:spacing w:before="0" w:beforeAutospacing="0" w:after="0" w:afterAutospacing="0"/>
        <w:jc w:val="both"/>
        <w:rPr>
          <w:sz w:val="20"/>
          <w:szCs w:val="20"/>
        </w:rPr>
      </w:pPr>
      <w:r>
        <w:rPr>
          <w:sz w:val="20"/>
          <w:szCs w:val="20"/>
        </w:rPr>
        <w:t> </w:t>
      </w:r>
    </w:p>
    <w:p w14:paraId="21CAD5C8" w14:textId="77777777" w:rsidR="00000000" w:rsidRDefault="001826C1">
      <w:pPr>
        <w:pStyle w:val="a3"/>
        <w:spacing w:before="0" w:beforeAutospacing="0" w:after="0" w:afterAutospacing="0"/>
        <w:jc w:val="both"/>
        <w:rPr>
          <w:sz w:val="20"/>
          <w:szCs w:val="20"/>
        </w:rPr>
      </w:pPr>
      <w:r>
        <w:rPr>
          <w:sz w:val="20"/>
          <w:szCs w:val="20"/>
        </w:rPr>
        <w:t>The Company has recorded goodwill as a result of its acquisitions. Goodwill is generally not amortized for financial reporting purposes. For tax purposes, goodwill is tax deductible and amortiz</w:t>
      </w:r>
      <w:r>
        <w:rPr>
          <w:sz w:val="20"/>
          <w:szCs w:val="20"/>
        </w:rPr>
        <w:t>ed over 15 years. As such, deferred income tax expense and a deferred tax liability arise as a result of the tax-deductibility of this indefinitely lived asset (also known as a naked credit). The resulting deferred tax liability, which is expected to conti</w:t>
      </w:r>
      <w:r>
        <w:rPr>
          <w:sz w:val="20"/>
          <w:szCs w:val="20"/>
        </w:rPr>
        <w:t>nue to increase over the amortization period, will have an indefinite life. As a result of the Company incurring a tax loss for 2018 which has an indefinite life under the recent tax reform legislation, the federal deferred tax liability resulting from the</w:t>
      </w:r>
      <w:r>
        <w:rPr>
          <w:sz w:val="20"/>
          <w:szCs w:val="20"/>
        </w:rPr>
        <w:t xml:space="preserve"> amortization of goodwill was offset against the 2019 federal operating net loss, to the extent allowable. This resulted in a deferred tax benefit of approximately $208,000 in 2018. The remaining deferred tax liability could remain on the Company’s consoli</w:t>
      </w:r>
      <w:r>
        <w:rPr>
          <w:sz w:val="20"/>
          <w:szCs w:val="20"/>
        </w:rPr>
        <w:t>dated balance sheet indefinitely unless there is an impairment of goodwill (for financial reporting purposes) or a portion of the business is sold.</w:t>
      </w:r>
    </w:p>
    <w:p w14:paraId="7D781CA4" w14:textId="77777777" w:rsidR="00000000" w:rsidRDefault="001826C1">
      <w:pPr>
        <w:pStyle w:val="a3"/>
        <w:spacing w:before="0" w:beforeAutospacing="0" w:after="0" w:afterAutospacing="0"/>
        <w:jc w:val="both"/>
        <w:rPr>
          <w:sz w:val="20"/>
          <w:szCs w:val="20"/>
        </w:rPr>
      </w:pPr>
      <w:r>
        <w:rPr>
          <w:sz w:val="20"/>
          <w:szCs w:val="20"/>
        </w:rPr>
        <w:t> </w:t>
      </w:r>
    </w:p>
    <w:p w14:paraId="03EFA842" w14:textId="77777777" w:rsidR="00000000" w:rsidRDefault="001826C1">
      <w:pPr>
        <w:pStyle w:val="a3"/>
        <w:spacing w:before="0" w:beforeAutospacing="0" w:after="0" w:afterAutospacing="0"/>
        <w:jc w:val="both"/>
        <w:rPr>
          <w:sz w:val="20"/>
          <w:szCs w:val="20"/>
        </w:rPr>
      </w:pPr>
      <w:r>
        <w:rPr>
          <w:sz w:val="20"/>
          <w:szCs w:val="20"/>
        </w:rPr>
        <w:t xml:space="preserve">Due to the fact </w:t>
      </w:r>
      <w:r>
        <w:rPr>
          <w:sz w:val="20"/>
          <w:szCs w:val="20"/>
        </w:rPr>
        <w:t>that the aforementioned deferred tax liability could have an indefinite life, it is not netted against the Company’s deferred tax assets when determining the required valuation allowance in accordance with ASC 740 guidelines. Doing so would result in the u</w:t>
      </w:r>
      <w:r>
        <w:rPr>
          <w:sz w:val="20"/>
          <w:szCs w:val="20"/>
        </w:rPr>
        <w:t>nderstatement of the valuation allowance and related deferred income tax expense.</w:t>
      </w:r>
    </w:p>
    <w:p w14:paraId="1C169604" w14:textId="77777777" w:rsidR="00000000" w:rsidRDefault="001826C1">
      <w:pPr>
        <w:pStyle w:val="a3"/>
        <w:spacing w:before="0" w:beforeAutospacing="0" w:after="0" w:afterAutospacing="0"/>
        <w:jc w:val="both"/>
        <w:rPr>
          <w:sz w:val="20"/>
          <w:szCs w:val="20"/>
        </w:rPr>
      </w:pPr>
      <w:r>
        <w:rPr>
          <w:sz w:val="20"/>
          <w:szCs w:val="20"/>
        </w:rPr>
        <w:t> </w:t>
      </w:r>
    </w:p>
    <w:p w14:paraId="2985C71C" w14:textId="77777777" w:rsidR="00000000" w:rsidRDefault="001826C1">
      <w:pPr>
        <w:pStyle w:val="a3"/>
        <w:spacing w:before="0" w:beforeAutospacing="0" w:after="0" w:afterAutospacing="0"/>
        <w:jc w:val="both"/>
        <w:rPr>
          <w:sz w:val="20"/>
          <w:szCs w:val="20"/>
        </w:rPr>
      </w:pPr>
      <w:r>
        <w:rPr>
          <w:sz w:val="20"/>
          <w:szCs w:val="20"/>
        </w:rPr>
        <w:t>A reconciliation of the federal statutory income tax rate (21%) for 2019 and 2018 to the Company’s effective income tax rate (determined in dollars) for the years ended Dec</w:t>
      </w:r>
      <w:r>
        <w:rPr>
          <w:sz w:val="20"/>
          <w:szCs w:val="20"/>
        </w:rPr>
        <w:t>ember 31, 2019 and 2018 is as follows:</w:t>
      </w:r>
    </w:p>
    <w:p w14:paraId="0C3444BB" w14:textId="77777777" w:rsidR="00000000" w:rsidRDefault="001826C1">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700"/>
        <w:gridCol w:w="96"/>
        <w:gridCol w:w="100"/>
        <w:gridCol w:w="794"/>
        <w:gridCol w:w="67"/>
        <w:gridCol w:w="96"/>
        <w:gridCol w:w="100"/>
        <w:gridCol w:w="794"/>
        <w:gridCol w:w="67"/>
      </w:tblGrid>
      <w:tr w:rsidR="00000000" w14:paraId="7F48F19B" w14:textId="77777777">
        <w:tc>
          <w:tcPr>
            <w:tcW w:w="0" w:type="auto"/>
            <w:vAlign w:val="bottom"/>
            <w:hideMark/>
          </w:tcPr>
          <w:p w14:paraId="4C3D7F51"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E4A27E8"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DE9D52F" w14:textId="77777777" w:rsidR="00000000" w:rsidRDefault="001826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7EA4471C" w14:textId="77777777" w:rsidR="00000000" w:rsidRDefault="001826C1">
            <w:pPr>
              <w:rPr>
                <w:rFonts w:eastAsia="Times New Roman"/>
                <w:b/>
                <w:bCs/>
                <w:sz w:val="20"/>
                <w:szCs w:val="20"/>
              </w:rPr>
            </w:pPr>
            <w:r>
              <w:rPr>
                <w:rFonts w:eastAsia="Times New Roman"/>
                <w:b/>
                <w:bCs/>
                <w:sz w:val="20"/>
                <w:szCs w:val="20"/>
              </w:rPr>
              <w:t> </w:t>
            </w:r>
          </w:p>
        </w:tc>
      </w:tr>
      <w:tr w:rsidR="00000000" w14:paraId="7497F847" w14:textId="77777777">
        <w:tc>
          <w:tcPr>
            <w:tcW w:w="0" w:type="auto"/>
            <w:vAlign w:val="bottom"/>
            <w:hideMark/>
          </w:tcPr>
          <w:p w14:paraId="2C69D201"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2AA2C3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56FB24C"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917BF97"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0F1DBD41"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2F21F57"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1DA8ECFA" w14:textId="77777777" w:rsidR="00000000" w:rsidRDefault="001826C1">
            <w:pPr>
              <w:rPr>
                <w:rFonts w:eastAsia="Times New Roman"/>
                <w:b/>
                <w:bCs/>
                <w:sz w:val="20"/>
                <w:szCs w:val="20"/>
              </w:rPr>
            </w:pPr>
            <w:r>
              <w:rPr>
                <w:rFonts w:eastAsia="Times New Roman"/>
                <w:b/>
                <w:bCs/>
                <w:sz w:val="20"/>
                <w:szCs w:val="20"/>
              </w:rPr>
              <w:t> </w:t>
            </w:r>
          </w:p>
        </w:tc>
      </w:tr>
      <w:tr w:rsidR="00000000" w14:paraId="7F6E1E06" w14:textId="77777777">
        <w:tc>
          <w:tcPr>
            <w:tcW w:w="3200" w:type="pct"/>
            <w:shd w:val="clear" w:color="auto" w:fill="CCEEFF"/>
            <w:vAlign w:val="bottom"/>
            <w:hideMark/>
          </w:tcPr>
          <w:p w14:paraId="051CBB40" w14:textId="77777777" w:rsidR="00000000" w:rsidRDefault="001826C1">
            <w:pPr>
              <w:rPr>
                <w:rFonts w:eastAsia="Times New Roman"/>
                <w:sz w:val="20"/>
                <w:szCs w:val="20"/>
              </w:rPr>
            </w:pPr>
            <w:r>
              <w:rPr>
                <w:rFonts w:eastAsia="Times New Roman"/>
                <w:sz w:val="20"/>
                <w:szCs w:val="20"/>
              </w:rPr>
              <w:t>Federal benefit at statutory rate</w:t>
            </w:r>
          </w:p>
        </w:tc>
        <w:tc>
          <w:tcPr>
            <w:tcW w:w="100" w:type="pct"/>
            <w:shd w:val="clear" w:color="auto" w:fill="CCEEFF"/>
            <w:vAlign w:val="bottom"/>
            <w:hideMark/>
          </w:tcPr>
          <w:p w14:paraId="3A4838A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FB3280D"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17146772" w14:textId="77777777" w:rsidR="00000000" w:rsidRDefault="001826C1">
            <w:pPr>
              <w:jc w:val="right"/>
              <w:rPr>
                <w:rFonts w:eastAsia="Times New Roman"/>
                <w:sz w:val="20"/>
                <w:szCs w:val="20"/>
              </w:rPr>
            </w:pPr>
            <w:r>
              <w:rPr>
                <w:rFonts w:eastAsia="Times New Roman"/>
                <w:sz w:val="20"/>
                <w:szCs w:val="20"/>
              </w:rPr>
              <w:t>(142,594</w:t>
            </w:r>
          </w:p>
        </w:tc>
        <w:tc>
          <w:tcPr>
            <w:tcW w:w="50" w:type="pct"/>
            <w:shd w:val="clear" w:color="auto" w:fill="CCEEFF"/>
            <w:vAlign w:val="bottom"/>
            <w:hideMark/>
          </w:tcPr>
          <w:p w14:paraId="04D14979"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6BFC5E40"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BB8BF66" w14:textId="77777777" w:rsidR="00000000" w:rsidRDefault="001826C1">
            <w:pPr>
              <w:rPr>
                <w:rFonts w:eastAsia="Times New Roman"/>
                <w:sz w:val="20"/>
                <w:szCs w:val="20"/>
              </w:rPr>
            </w:pPr>
            <w:r>
              <w:rPr>
                <w:rFonts w:eastAsia="Times New Roman"/>
                <w:sz w:val="20"/>
                <w:szCs w:val="20"/>
              </w:rPr>
              <w:t>$</w:t>
            </w:r>
          </w:p>
        </w:tc>
        <w:tc>
          <w:tcPr>
            <w:tcW w:w="700" w:type="pct"/>
            <w:shd w:val="clear" w:color="auto" w:fill="CCEEFF"/>
            <w:vAlign w:val="bottom"/>
            <w:hideMark/>
          </w:tcPr>
          <w:p w14:paraId="09939987" w14:textId="77777777" w:rsidR="00000000" w:rsidRDefault="001826C1">
            <w:pPr>
              <w:jc w:val="right"/>
              <w:rPr>
                <w:rFonts w:eastAsia="Times New Roman"/>
                <w:sz w:val="20"/>
                <w:szCs w:val="20"/>
              </w:rPr>
            </w:pPr>
            <w:r>
              <w:rPr>
                <w:rFonts w:eastAsia="Times New Roman"/>
                <w:sz w:val="20"/>
                <w:szCs w:val="20"/>
              </w:rPr>
              <w:t>(482,132</w:t>
            </w:r>
          </w:p>
        </w:tc>
        <w:tc>
          <w:tcPr>
            <w:tcW w:w="50" w:type="pct"/>
            <w:shd w:val="clear" w:color="auto" w:fill="CCEEFF"/>
            <w:vAlign w:val="bottom"/>
            <w:hideMark/>
          </w:tcPr>
          <w:p w14:paraId="7E7591FA" w14:textId="77777777" w:rsidR="00000000" w:rsidRDefault="001826C1">
            <w:pPr>
              <w:rPr>
                <w:rFonts w:eastAsia="Times New Roman"/>
                <w:sz w:val="20"/>
                <w:szCs w:val="20"/>
              </w:rPr>
            </w:pPr>
            <w:r>
              <w:rPr>
                <w:rFonts w:eastAsia="Times New Roman"/>
                <w:sz w:val="20"/>
                <w:szCs w:val="20"/>
              </w:rPr>
              <w:t>)</w:t>
            </w:r>
          </w:p>
        </w:tc>
      </w:tr>
      <w:tr w:rsidR="00000000" w14:paraId="334B78DD" w14:textId="77777777">
        <w:tc>
          <w:tcPr>
            <w:tcW w:w="0" w:type="auto"/>
            <w:shd w:val="clear" w:color="auto" w:fill="FFFFFF"/>
            <w:vAlign w:val="bottom"/>
            <w:hideMark/>
          </w:tcPr>
          <w:p w14:paraId="3E82D646" w14:textId="77777777" w:rsidR="00000000" w:rsidRDefault="001826C1">
            <w:pPr>
              <w:rPr>
                <w:rFonts w:eastAsia="Times New Roman"/>
                <w:sz w:val="20"/>
                <w:szCs w:val="20"/>
              </w:rPr>
            </w:pPr>
            <w:r>
              <w:rPr>
                <w:rFonts w:eastAsia="Times New Roman"/>
                <w:sz w:val="20"/>
                <w:szCs w:val="20"/>
              </w:rPr>
              <w:t>Increase (decrease) in income taxes resulting from:</w:t>
            </w:r>
          </w:p>
        </w:tc>
        <w:tc>
          <w:tcPr>
            <w:tcW w:w="0" w:type="auto"/>
            <w:shd w:val="clear" w:color="auto" w:fill="FFFFFF"/>
            <w:vAlign w:val="bottom"/>
            <w:hideMark/>
          </w:tcPr>
          <w:p w14:paraId="3C630C4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EDAD9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CCD8E2B"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4D3F59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827A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2ABF51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9E7199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61CDE808" w14:textId="77777777" w:rsidR="00000000" w:rsidRDefault="001826C1">
            <w:pPr>
              <w:rPr>
                <w:rFonts w:eastAsia="Times New Roman"/>
                <w:sz w:val="20"/>
                <w:szCs w:val="20"/>
              </w:rPr>
            </w:pPr>
            <w:r>
              <w:rPr>
                <w:rFonts w:eastAsia="Times New Roman"/>
                <w:sz w:val="20"/>
                <w:szCs w:val="20"/>
              </w:rPr>
              <w:t> </w:t>
            </w:r>
          </w:p>
        </w:tc>
      </w:tr>
      <w:tr w:rsidR="00000000" w14:paraId="5C1F9C22" w14:textId="77777777">
        <w:tc>
          <w:tcPr>
            <w:tcW w:w="0" w:type="auto"/>
            <w:shd w:val="clear" w:color="auto" w:fill="CCEEFF"/>
            <w:tcMar>
              <w:top w:w="0" w:type="dxa"/>
              <w:left w:w="200" w:type="dxa"/>
              <w:bottom w:w="0" w:type="dxa"/>
              <w:right w:w="0" w:type="dxa"/>
            </w:tcMar>
            <w:vAlign w:val="bottom"/>
            <w:hideMark/>
          </w:tcPr>
          <w:p w14:paraId="716876B9" w14:textId="77777777" w:rsidR="00000000" w:rsidRDefault="001826C1">
            <w:pPr>
              <w:rPr>
                <w:rFonts w:eastAsia="Times New Roman"/>
                <w:sz w:val="20"/>
                <w:szCs w:val="20"/>
              </w:rPr>
            </w:pPr>
            <w:r>
              <w:rPr>
                <w:rFonts w:eastAsia="Times New Roman"/>
                <w:sz w:val="20"/>
                <w:szCs w:val="20"/>
              </w:rPr>
              <w:t>State tax expense, net of federal benefit</w:t>
            </w:r>
          </w:p>
        </w:tc>
        <w:tc>
          <w:tcPr>
            <w:tcW w:w="0" w:type="auto"/>
            <w:shd w:val="clear" w:color="auto" w:fill="CCEEFF"/>
            <w:vAlign w:val="bottom"/>
            <w:hideMark/>
          </w:tcPr>
          <w:p w14:paraId="4F9F792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F71D2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A25B75C" w14:textId="77777777" w:rsidR="00000000" w:rsidRDefault="001826C1">
            <w:pPr>
              <w:jc w:val="right"/>
              <w:rPr>
                <w:rFonts w:eastAsia="Times New Roman"/>
                <w:sz w:val="20"/>
                <w:szCs w:val="20"/>
              </w:rPr>
            </w:pPr>
            <w:r>
              <w:rPr>
                <w:rFonts w:eastAsia="Times New Roman"/>
                <w:sz w:val="20"/>
                <w:szCs w:val="20"/>
              </w:rPr>
              <w:t>142,079</w:t>
            </w:r>
          </w:p>
        </w:tc>
        <w:tc>
          <w:tcPr>
            <w:tcW w:w="0" w:type="auto"/>
            <w:shd w:val="clear" w:color="auto" w:fill="CCEEFF"/>
            <w:vAlign w:val="bottom"/>
            <w:hideMark/>
          </w:tcPr>
          <w:p w14:paraId="03F810A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EA2998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EE97E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EA22600" w14:textId="77777777" w:rsidR="00000000" w:rsidRDefault="001826C1">
            <w:pPr>
              <w:jc w:val="right"/>
              <w:rPr>
                <w:rFonts w:eastAsia="Times New Roman"/>
                <w:sz w:val="20"/>
                <w:szCs w:val="20"/>
              </w:rPr>
            </w:pPr>
            <w:r>
              <w:rPr>
                <w:rFonts w:eastAsia="Times New Roman"/>
                <w:sz w:val="20"/>
                <w:szCs w:val="20"/>
              </w:rPr>
              <w:t>29,646</w:t>
            </w:r>
          </w:p>
        </w:tc>
        <w:tc>
          <w:tcPr>
            <w:tcW w:w="0" w:type="auto"/>
            <w:shd w:val="clear" w:color="auto" w:fill="CCEEFF"/>
            <w:vAlign w:val="bottom"/>
            <w:hideMark/>
          </w:tcPr>
          <w:p w14:paraId="2D98DB3E" w14:textId="77777777" w:rsidR="00000000" w:rsidRDefault="001826C1">
            <w:pPr>
              <w:rPr>
                <w:rFonts w:eastAsia="Times New Roman"/>
                <w:sz w:val="20"/>
                <w:szCs w:val="20"/>
              </w:rPr>
            </w:pPr>
            <w:r>
              <w:rPr>
                <w:rFonts w:eastAsia="Times New Roman"/>
                <w:sz w:val="20"/>
                <w:szCs w:val="20"/>
              </w:rPr>
              <w:t> </w:t>
            </w:r>
          </w:p>
        </w:tc>
      </w:tr>
      <w:tr w:rsidR="00000000" w14:paraId="3EEF5B14" w14:textId="77777777">
        <w:tc>
          <w:tcPr>
            <w:tcW w:w="0" w:type="auto"/>
            <w:shd w:val="clear" w:color="auto" w:fill="FFFFFF"/>
            <w:tcMar>
              <w:top w:w="0" w:type="dxa"/>
              <w:left w:w="200" w:type="dxa"/>
              <w:bottom w:w="0" w:type="dxa"/>
              <w:right w:w="0" w:type="dxa"/>
            </w:tcMar>
            <w:vAlign w:val="bottom"/>
            <w:hideMark/>
          </w:tcPr>
          <w:p w14:paraId="43B5B08C" w14:textId="77777777" w:rsidR="00000000" w:rsidRDefault="001826C1">
            <w:pPr>
              <w:rPr>
                <w:rFonts w:eastAsia="Times New Roman"/>
                <w:sz w:val="20"/>
                <w:szCs w:val="20"/>
              </w:rPr>
            </w:pPr>
            <w:r>
              <w:rPr>
                <w:rFonts w:eastAsia="Times New Roman"/>
                <w:sz w:val="20"/>
                <w:szCs w:val="20"/>
              </w:rPr>
              <w:t>Non-deductible items</w:t>
            </w:r>
          </w:p>
        </w:tc>
        <w:tc>
          <w:tcPr>
            <w:tcW w:w="0" w:type="auto"/>
            <w:shd w:val="clear" w:color="auto" w:fill="FFFFFF"/>
            <w:vAlign w:val="bottom"/>
            <w:hideMark/>
          </w:tcPr>
          <w:p w14:paraId="2C42CFC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2A45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2BB5C3C" w14:textId="77777777" w:rsidR="00000000" w:rsidRDefault="001826C1">
            <w:pPr>
              <w:jc w:val="right"/>
              <w:rPr>
                <w:rFonts w:eastAsia="Times New Roman"/>
                <w:sz w:val="20"/>
                <w:szCs w:val="20"/>
              </w:rPr>
            </w:pPr>
            <w:r>
              <w:rPr>
                <w:rFonts w:eastAsia="Times New Roman"/>
                <w:sz w:val="20"/>
                <w:szCs w:val="20"/>
              </w:rPr>
              <w:t>24,883</w:t>
            </w:r>
          </w:p>
        </w:tc>
        <w:tc>
          <w:tcPr>
            <w:tcW w:w="0" w:type="auto"/>
            <w:shd w:val="clear" w:color="auto" w:fill="FFFFFF"/>
            <w:vAlign w:val="bottom"/>
            <w:hideMark/>
          </w:tcPr>
          <w:p w14:paraId="48CE491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D76C7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6830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27C496" w14:textId="77777777" w:rsidR="00000000" w:rsidRDefault="001826C1">
            <w:pPr>
              <w:jc w:val="right"/>
              <w:rPr>
                <w:rFonts w:eastAsia="Times New Roman"/>
                <w:sz w:val="20"/>
                <w:szCs w:val="20"/>
              </w:rPr>
            </w:pPr>
            <w:r>
              <w:rPr>
                <w:rFonts w:eastAsia="Times New Roman"/>
                <w:sz w:val="20"/>
                <w:szCs w:val="20"/>
              </w:rPr>
              <w:t>15,332</w:t>
            </w:r>
          </w:p>
        </w:tc>
        <w:tc>
          <w:tcPr>
            <w:tcW w:w="0" w:type="auto"/>
            <w:shd w:val="clear" w:color="auto" w:fill="FFFFFF"/>
            <w:vAlign w:val="bottom"/>
            <w:hideMark/>
          </w:tcPr>
          <w:p w14:paraId="7FAD85B5" w14:textId="77777777" w:rsidR="00000000" w:rsidRDefault="001826C1">
            <w:pPr>
              <w:rPr>
                <w:rFonts w:eastAsia="Times New Roman"/>
                <w:sz w:val="20"/>
                <w:szCs w:val="20"/>
              </w:rPr>
            </w:pPr>
            <w:r>
              <w:rPr>
                <w:rFonts w:eastAsia="Times New Roman"/>
                <w:sz w:val="20"/>
                <w:szCs w:val="20"/>
              </w:rPr>
              <w:t> </w:t>
            </w:r>
          </w:p>
        </w:tc>
      </w:tr>
      <w:tr w:rsidR="00000000" w14:paraId="2CF2CEDB" w14:textId="77777777">
        <w:tc>
          <w:tcPr>
            <w:tcW w:w="0" w:type="auto"/>
            <w:shd w:val="clear" w:color="auto" w:fill="CCEEFF"/>
            <w:tcMar>
              <w:top w:w="0" w:type="dxa"/>
              <w:left w:w="200" w:type="dxa"/>
              <w:bottom w:w="0" w:type="dxa"/>
              <w:right w:w="0" w:type="dxa"/>
            </w:tcMar>
            <w:vAlign w:val="bottom"/>
            <w:hideMark/>
          </w:tcPr>
          <w:p w14:paraId="7F85DE83" w14:textId="77777777" w:rsidR="00000000" w:rsidRDefault="001826C1">
            <w:pPr>
              <w:rPr>
                <w:rFonts w:eastAsia="Times New Roman"/>
                <w:sz w:val="20"/>
                <w:szCs w:val="20"/>
              </w:rPr>
            </w:pPr>
            <w:r>
              <w:rPr>
                <w:rFonts w:eastAsia="Times New Roman"/>
                <w:sz w:val="20"/>
                <w:szCs w:val="20"/>
              </w:rPr>
              <w:t>Impact of foreign operations</w:t>
            </w:r>
          </w:p>
        </w:tc>
        <w:tc>
          <w:tcPr>
            <w:tcW w:w="0" w:type="auto"/>
            <w:shd w:val="clear" w:color="auto" w:fill="CCEEFF"/>
            <w:vAlign w:val="bottom"/>
            <w:hideMark/>
          </w:tcPr>
          <w:p w14:paraId="4DB6360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43C73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3E81EA" w14:textId="77777777" w:rsidR="00000000" w:rsidRDefault="001826C1">
            <w:pPr>
              <w:jc w:val="right"/>
              <w:rPr>
                <w:rFonts w:eastAsia="Times New Roman"/>
                <w:sz w:val="20"/>
                <w:szCs w:val="20"/>
              </w:rPr>
            </w:pPr>
            <w:r>
              <w:rPr>
                <w:rFonts w:eastAsia="Times New Roman"/>
                <w:sz w:val="20"/>
                <w:szCs w:val="20"/>
              </w:rPr>
              <w:t>31,408</w:t>
            </w:r>
          </w:p>
        </w:tc>
        <w:tc>
          <w:tcPr>
            <w:tcW w:w="0" w:type="auto"/>
            <w:shd w:val="clear" w:color="auto" w:fill="CCEEFF"/>
            <w:vAlign w:val="bottom"/>
            <w:hideMark/>
          </w:tcPr>
          <w:p w14:paraId="420ACE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398D66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653DD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029C48" w14:textId="77777777" w:rsidR="00000000" w:rsidRDefault="001826C1">
            <w:pPr>
              <w:jc w:val="right"/>
              <w:rPr>
                <w:rFonts w:eastAsia="Times New Roman"/>
                <w:sz w:val="20"/>
                <w:szCs w:val="20"/>
              </w:rPr>
            </w:pPr>
            <w:r>
              <w:rPr>
                <w:rFonts w:eastAsia="Times New Roman"/>
                <w:sz w:val="20"/>
                <w:szCs w:val="20"/>
              </w:rPr>
              <w:t>(525,583</w:t>
            </w:r>
          </w:p>
        </w:tc>
        <w:tc>
          <w:tcPr>
            <w:tcW w:w="0" w:type="auto"/>
            <w:shd w:val="clear" w:color="auto" w:fill="CCEEFF"/>
            <w:vAlign w:val="bottom"/>
            <w:hideMark/>
          </w:tcPr>
          <w:p w14:paraId="5B321F97" w14:textId="77777777" w:rsidR="00000000" w:rsidRDefault="001826C1">
            <w:pPr>
              <w:rPr>
                <w:rFonts w:eastAsia="Times New Roman"/>
                <w:sz w:val="20"/>
                <w:szCs w:val="20"/>
              </w:rPr>
            </w:pPr>
            <w:r>
              <w:rPr>
                <w:rFonts w:eastAsia="Times New Roman"/>
                <w:sz w:val="20"/>
                <w:szCs w:val="20"/>
              </w:rPr>
              <w:t>)</w:t>
            </w:r>
          </w:p>
        </w:tc>
      </w:tr>
      <w:tr w:rsidR="00000000" w14:paraId="71BB349C" w14:textId="77777777">
        <w:tc>
          <w:tcPr>
            <w:tcW w:w="0" w:type="auto"/>
            <w:shd w:val="clear" w:color="auto" w:fill="FFFFFF"/>
            <w:tcMar>
              <w:top w:w="0" w:type="dxa"/>
              <w:left w:w="200" w:type="dxa"/>
              <w:bottom w:w="0" w:type="dxa"/>
              <w:right w:w="0" w:type="dxa"/>
            </w:tcMar>
            <w:vAlign w:val="bottom"/>
            <w:hideMark/>
          </w:tcPr>
          <w:p w14:paraId="79F669B8" w14:textId="77777777" w:rsidR="00000000" w:rsidRDefault="001826C1">
            <w:pPr>
              <w:rPr>
                <w:rFonts w:eastAsia="Times New Roman"/>
                <w:sz w:val="20"/>
                <w:szCs w:val="20"/>
              </w:rPr>
            </w:pPr>
            <w:r>
              <w:rPr>
                <w:rFonts w:eastAsia="Times New Roman"/>
                <w:sz w:val="20"/>
                <w:szCs w:val="20"/>
              </w:rPr>
              <w:t>Subpart F GILTI inclusion</w:t>
            </w:r>
          </w:p>
        </w:tc>
        <w:tc>
          <w:tcPr>
            <w:tcW w:w="0" w:type="auto"/>
            <w:shd w:val="clear" w:color="auto" w:fill="FFFFFF"/>
            <w:vAlign w:val="bottom"/>
            <w:hideMark/>
          </w:tcPr>
          <w:p w14:paraId="7D42A0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017BE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9FA3256" w14:textId="77777777" w:rsidR="00000000" w:rsidRDefault="001826C1">
            <w:pPr>
              <w:jc w:val="right"/>
              <w:rPr>
                <w:rFonts w:eastAsia="Times New Roman"/>
                <w:sz w:val="20"/>
                <w:szCs w:val="20"/>
              </w:rPr>
            </w:pPr>
            <w:r>
              <w:rPr>
                <w:rFonts w:eastAsia="Times New Roman"/>
                <w:sz w:val="20"/>
                <w:szCs w:val="20"/>
              </w:rPr>
              <w:t>69,862</w:t>
            </w:r>
          </w:p>
        </w:tc>
        <w:tc>
          <w:tcPr>
            <w:tcW w:w="0" w:type="auto"/>
            <w:shd w:val="clear" w:color="auto" w:fill="FFFFFF"/>
            <w:vAlign w:val="bottom"/>
            <w:hideMark/>
          </w:tcPr>
          <w:p w14:paraId="7E69D8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9129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0281E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3D563A" w14:textId="77777777" w:rsidR="00000000" w:rsidRDefault="001826C1">
            <w:pPr>
              <w:jc w:val="right"/>
              <w:rPr>
                <w:rFonts w:eastAsia="Times New Roman"/>
                <w:sz w:val="20"/>
                <w:szCs w:val="20"/>
              </w:rPr>
            </w:pPr>
            <w:r>
              <w:rPr>
                <w:rFonts w:eastAsia="Times New Roman"/>
                <w:sz w:val="20"/>
                <w:szCs w:val="20"/>
              </w:rPr>
              <w:t>360,742</w:t>
            </w:r>
          </w:p>
        </w:tc>
        <w:tc>
          <w:tcPr>
            <w:tcW w:w="0" w:type="auto"/>
            <w:shd w:val="clear" w:color="auto" w:fill="FFFFFF"/>
            <w:vAlign w:val="bottom"/>
            <w:hideMark/>
          </w:tcPr>
          <w:p w14:paraId="6821BF77" w14:textId="77777777" w:rsidR="00000000" w:rsidRDefault="001826C1">
            <w:pPr>
              <w:rPr>
                <w:rFonts w:eastAsia="Times New Roman"/>
                <w:sz w:val="20"/>
                <w:szCs w:val="20"/>
              </w:rPr>
            </w:pPr>
            <w:r>
              <w:rPr>
                <w:rFonts w:eastAsia="Times New Roman"/>
                <w:sz w:val="20"/>
                <w:szCs w:val="20"/>
              </w:rPr>
              <w:t> </w:t>
            </w:r>
          </w:p>
        </w:tc>
      </w:tr>
      <w:tr w:rsidR="00000000" w14:paraId="5D08F7D9" w14:textId="77777777">
        <w:tc>
          <w:tcPr>
            <w:tcW w:w="0" w:type="auto"/>
            <w:shd w:val="clear" w:color="auto" w:fill="CCEEFF"/>
            <w:tcMar>
              <w:top w:w="0" w:type="dxa"/>
              <w:left w:w="200" w:type="dxa"/>
              <w:bottom w:w="0" w:type="dxa"/>
              <w:right w:w="0" w:type="dxa"/>
            </w:tcMar>
            <w:vAlign w:val="bottom"/>
            <w:hideMark/>
          </w:tcPr>
          <w:p w14:paraId="35DE3298" w14:textId="77777777" w:rsidR="00000000" w:rsidRDefault="001826C1">
            <w:pPr>
              <w:rPr>
                <w:rFonts w:eastAsia="Times New Roman"/>
                <w:sz w:val="20"/>
                <w:szCs w:val="20"/>
              </w:rPr>
            </w:pPr>
            <w:r>
              <w:rPr>
                <w:rFonts w:eastAsia="Times New Roman"/>
                <w:sz w:val="20"/>
                <w:szCs w:val="20"/>
              </w:rPr>
              <w:t>Deferred true-up</w:t>
            </w:r>
          </w:p>
        </w:tc>
        <w:tc>
          <w:tcPr>
            <w:tcW w:w="0" w:type="auto"/>
            <w:shd w:val="clear" w:color="auto" w:fill="CCEEFF"/>
            <w:vAlign w:val="bottom"/>
            <w:hideMark/>
          </w:tcPr>
          <w:p w14:paraId="2847B6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37F34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7D8C65" w14:textId="77777777" w:rsidR="00000000" w:rsidRDefault="001826C1">
            <w:pPr>
              <w:jc w:val="right"/>
              <w:rPr>
                <w:rFonts w:eastAsia="Times New Roman"/>
                <w:sz w:val="20"/>
                <w:szCs w:val="20"/>
              </w:rPr>
            </w:pPr>
            <w:r>
              <w:rPr>
                <w:rFonts w:eastAsia="Times New Roman"/>
                <w:sz w:val="20"/>
                <w:szCs w:val="20"/>
              </w:rPr>
              <w:t>332,792</w:t>
            </w:r>
          </w:p>
        </w:tc>
        <w:tc>
          <w:tcPr>
            <w:tcW w:w="0" w:type="auto"/>
            <w:shd w:val="clear" w:color="auto" w:fill="CCEEFF"/>
            <w:vAlign w:val="bottom"/>
            <w:hideMark/>
          </w:tcPr>
          <w:p w14:paraId="467FB3B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1F4A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77CDF5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C90E2B3" w14:textId="77777777" w:rsidR="00000000" w:rsidRDefault="001826C1">
            <w:pPr>
              <w:jc w:val="right"/>
              <w:rPr>
                <w:rFonts w:eastAsia="Times New Roman"/>
                <w:sz w:val="20"/>
                <w:szCs w:val="20"/>
              </w:rPr>
            </w:pPr>
            <w:r>
              <w:rPr>
                <w:rFonts w:eastAsia="Times New Roman"/>
                <w:sz w:val="20"/>
                <w:szCs w:val="20"/>
              </w:rPr>
              <w:t>(142,869</w:t>
            </w:r>
          </w:p>
        </w:tc>
        <w:tc>
          <w:tcPr>
            <w:tcW w:w="0" w:type="auto"/>
            <w:shd w:val="clear" w:color="auto" w:fill="CCEEFF"/>
            <w:vAlign w:val="bottom"/>
            <w:hideMark/>
          </w:tcPr>
          <w:p w14:paraId="7D55BB8C" w14:textId="77777777" w:rsidR="00000000" w:rsidRDefault="001826C1">
            <w:pPr>
              <w:rPr>
                <w:rFonts w:eastAsia="Times New Roman"/>
                <w:sz w:val="20"/>
                <w:szCs w:val="20"/>
              </w:rPr>
            </w:pPr>
            <w:r>
              <w:rPr>
                <w:rFonts w:eastAsia="Times New Roman"/>
                <w:sz w:val="20"/>
                <w:szCs w:val="20"/>
              </w:rPr>
              <w:t>)</w:t>
            </w:r>
          </w:p>
        </w:tc>
      </w:tr>
      <w:tr w:rsidR="00000000" w14:paraId="35BC4101" w14:textId="77777777">
        <w:tc>
          <w:tcPr>
            <w:tcW w:w="0" w:type="auto"/>
            <w:shd w:val="clear" w:color="auto" w:fill="FFFFFF"/>
            <w:tcMar>
              <w:top w:w="0" w:type="dxa"/>
              <w:left w:w="200" w:type="dxa"/>
              <w:bottom w:w="0" w:type="dxa"/>
              <w:right w:w="0" w:type="dxa"/>
            </w:tcMar>
            <w:vAlign w:val="bottom"/>
            <w:hideMark/>
          </w:tcPr>
          <w:p w14:paraId="3C1921C4" w14:textId="77777777" w:rsidR="00000000" w:rsidRDefault="001826C1">
            <w:pPr>
              <w:rPr>
                <w:rFonts w:eastAsia="Times New Roman"/>
                <w:sz w:val="20"/>
                <w:szCs w:val="20"/>
              </w:rPr>
            </w:pPr>
            <w:r>
              <w:rPr>
                <w:rFonts w:eastAsia="Times New Roman"/>
                <w:sz w:val="20"/>
                <w:szCs w:val="20"/>
              </w:rPr>
              <w:t>Valuation allowance</w:t>
            </w:r>
          </w:p>
        </w:tc>
        <w:tc>
          <w:tcPr>
            <w:tcW w:w="0" w:type="auto"/>
            <w:shd w:val="clear" w:color="auto" w:fill="FFFFFF"/>
            <w:vAlign w:val="bottom"/>
            <w:hideMark/>
          </w:tcPr>
          <w:p w14:paraId="2B311F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6865D1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AEF1DC" w14:textId="77777777" w:rsidR="00000000" w:rsidRDefault="001826C1">
            <w:pPr>
              <w:jc w:val="right"/>
              <w:rPr>
                <w:rFonts w:eastAsia="Times New Roman"/>
                <w:sz w:val="20"/>
                <w:szCs w:val="20"/>
              </w:rPr>
            </w:pPr>
            <w:r>
              <w:rPr>
                <w:rFonts w:eastAsia="Times New Roman"/>
                <w:sz w:val="20"/>
                <w:szCs w:val="20"/>
              </w:rPr>
              <w:t>(304,009</w:t>
            </w:r>
          </w:p>
        </w:tc>
        <w:tc>
          <w:tcPr>
            <w:tcW w:w="0" w:type="auto"/>
            <w:shd w:val="clear" w:color="auto" w:fill="FFFFFF"/>
            <w:vAlign w:val="bottom"/>
            <w:hideMark/>
          </w:tcPr>
          <w:p w14:paraId="418153F9"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197F432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23F5AB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3885037" w14:textId="77777777" w:rsidR="00000000" w:rsidRDefault="001826C1">
            <w:pPr>
              <w:jc w:val="right"/>
              <w:rPr>
                <w:rFonts w:eastAsia="Times New Roman"/>
                <w:sz w:val="20"/>
                <w:szCs w:val="20"/>
              </w:rPr>
            </w:pPr>
            <w:r>
              <w:rPr>
                <w:rFonts w:eastAsia="Times New Roman"/>
                <w:sz w:val="20"/>
                <w:szCs w:val="20"/>
              </w:rPr>
              <w:t>555,927</w:t>
            </w:r>
          </w:p>
        </w:tc>
        <w:tc>
          <w:tcPr>
            <w:tcW w:w="0" w:type="auto"/>
            <w:shd w:val="clear" w:color="auto" w:fill="FFFFFF"/>
            <w:vAlign w:val="bottom"/>
            <w:hideMark/>
          </w:tcPr>
          <w:p w14:paraId="6F79FBC2" w14:textId="77777777" w:rsidR="00000000" w:rsidRDefault="001826C1">
            <w:pPr>
              <w:rPr>
                <w:rFonts w:eastAsia="Times New Roman"/>
                <w:sz w:val="20"/>
                <w:szCs w:val="20"/>
              </w:rPr>
            </w:pPr>
            <w:r>
              <w:rPr>
                <w:rFonts w:eastAsia="Times New Roman"/>
                <w:sz w:val="20"/>
                <w:szCs w:val="20"/>
              </w:rPr>
              <w:t> </w:t>
            </w:r>
          </w:p>
        </w:tc>
      </w:tr>
      <w:tr w:rsidR="00000000" w14:paraId="616BDD19" w14:textId="77777777">
        <w:tc>
          <w:tcPr>
            <w:tcW w:w="0" w:type="auto"/>
            <w:shd w:val="clear" w:color="auto" w:fill="CCEEFF"/>
            <w:tcMar>
              <w:top w:w="0" w:type="dxa"/>
              <w:left w:w="200" w:type="dxa"/>
              <w:bottom w:w="30" w:type="dxa"/>
              <w:right w:w="0" w:type="dxa"/>
            </w:tcMar>
            <w:vAlign w:val="bottom"/>
            <w:hideMark/>
          </w:tcPr>
          <w:p w14:paraId="1216A333" w14:textId="77777777" w:rsidR="00000000" w:rsidRDefault="001826C1">
            <w:pPr>
              <w:rPr>
                <w:rFonts w:eastAsia="Times New Roman"/>
                <w:sz w:val="20"/>
                <w:szCs w:val="20"/>
              </w:rPr>
            </w:pPr>
            <w:r>
              <w:rPr>
                <w:rFonts w:eastAsia="Times New Roman"/>
                <w:sz w:val="20"/>
                <w:szCs w:val="20"/>
              </w:rPr>
              <w:t>Additional tax goodwill/contingent consideration</w:t>
            </w:r>
          </w:p>
        </w:tc>
        <w:tc>
          <w:tcPr>
            <w:tcW w:w="0" w:type="auto"/>
            <w:shd w:val="clear" w:color="auto" w:fill="CCEEFF"/>
            <w:tcMar>
              <w:top w:w="0" w:type="dxa"/>
              <w:left w:w="0" w:type="dxa"/>
              <w:bottom w:w="30" w:type="dxa"/>
              <w:right w:w="0" w:type="dxa"/>
            </w:tcMar>
            <w:vAlign w:val="bottom"/>
            <w:hideMark/>
          </w:tcPr>
          <w:p w14:paraId="097F9B3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F7275F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523FDD6" w14:textId="77777777" w:rsidR="00000000" w:rsidRDefault="001826C1">
            <w:pPr>
              <w:jc w:val="right"/>
              <w:rPr>
                <w:rFonts w:eastAsia="Times New Roman"/>
                <w:sz w:val="20"/>
                <w:szCs w:val="20"/>
              </w:rPr>
            </w:pPr>
            <w:r>
              <w:rPr>
                <w:rFonts w:eastAsia="Times New Roman"/>
                <w:sz w:val="20"/>
                <w:szCs w:val="20"/>
              </w:rPr>
              <w:t>38,359</w:t>
            </w:r>
          </w:p>
        </w:tc>
        <w:tc>
          <w:tcPr>
            <w:tcW w:w="0" w:type="auto"/>
            <w:shd w:val="clear" w:color="auto" w:fill="CCEEFF"/>
            <w:tcMar>
              <w:top w:w="0" w:type="dxa"/>
              <w:left w:w="0" w:type="dxa"/>
              <w:bottom w:w="30" w:type="dxa"/>
              <w:right w:w="0" w:type="dxa"/>
            </w:tcMar>
            <w:vAlign w:val="bottom"/>
            <w:hideMark/>
          </w:tcPr>
          <w:p w14:paraId="30CDDFA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650A96A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42AEA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3342885" w14:textId="77777777" w:rsidR="00000000" w:rsidRDefault="001826C1">
            <w:pPr>
              <w:jc w:val="right"/>
              <w:rPr>
                <w:rFonts w:eastAsia="Times New Roman"/>
                <w:sz w:val="20"/>
                <w:szCs w:val="20"/>
              </w:rPr>
            </w:pPr>
            <w:r>
              <w:rPr>
                <w:rFonts w:eastAsia="Times New Roman"/>
                <w:sz w:val="20"/>
                <w:szCs w:val="20"/>
              </w:rPr>
              <w:t>31,553</w:t>
            </w:r>
          </w:p>
        </w:tc>
        <w:tc>
          <w:tcPr>
            <w:tcW w:w="0" w:type="auto"/>
            <w:shd w:val="clear" w:color="auto" w:fill="CCEEFF"/>
            <w:tcMar>
              <w:top w:w="0" w:type="dxa"/>
              <w:left w:w="0" w:type="dxa"/>
              <w:bottom w:w="30" w:type="dxa"/>
              <w:right w:w="0" w:type="dxa"/>
            </w:tcMar>
            <w:vAlign w:val="bottom"/>
            <w:hideMark/>
          </w:tcPr>
          <w:p w14:paraId="730351F3" w14:textId="77777777" w:rsidR="00000000" w:rsidRDefault="001826C1">
            <w:pPr>
              <w:rPr>
                <w:rFonts w:eastAsia="Times New Roman"/>
                <w:sz w:val="20"/>
                <w:szCs w:val="20"/>
              </w:rPr>
            </w:pPr>
            <w:r>
              <w:rPr>
                <w:rFonts w:eastAsia="Times New Roman"/>
                <w:sz w:val="20"/>
                <w:szCs w:val="20"/>
              </w:rPr>
              <w:t> </w:t>
            </w:r>
          </w:p>
        </w:tc>
      </w:tr>
      <w:tr w:rsidR="00000000" w14:paraId="6B1868FC" w14:textId="77777777">
        <w:tc>
          <w:tcPr>
            <w:tcW w:w="0" w:type="auto"/>
            <w:shd w:val="clear" w:color="auto" w:fill="FFFFFF"/>
            <w:tcMar>
              <w:top w:w="0" w:type="dxa"/>
              <w:left w:w="0" w:type="dxa"/>
              <w:bottom w:w="50" w:type="dxa"/>
              <w:right w:w="0" w:type="dxa"/>
            </w:tcMar>
            <w:vAlign w:val="bottom"/>
            <w:hideMark/>
          </w:tcPr>
          <w:p w14:paraId="020DF1CF" w14:textId="77777777" w:rsidR="00000000" w:rsidRDefault="001826C1">
            <w:pPr>
              <w:rPr>
                <w:rFonts w:eastAsia="Times New Roman"/>
                <w:sz w:val="20"/>
                <w:szCs w:val="20"/>
              </w:rPr>
            </w:pPr>
            <w:r>
              <w:rPr>
                <w:rFonts w:eastAsia="Times New Roman"/>
                <w:sz w:val="20"/>
                <w:szCs w:val="20"/>
              </w:rPr>
              <w:t>Total income tax provision (benefit)</w:t>
            </w:r>
          </w:p>
        </w:tc>
        <w:tc>
          <w:tcPr>
            <w:tcW w:w="0" w:type="auto"/>
            <w:shd w:val="clear" w:color="auto" w:fill="FFFFFF"/>
            <w:tcMar>
              <w:top w:w="0" w:type="dxa"/>
              <w:left w:w="0" w:type="dxa"/>
              <w:bottom w:w="50" w:type="dxa"/>
              <w:right w:w="0" w:type="dxa"/>
            </w:tcMar>
            <w:vAlign w:val="bottom"/>
            <w:hideMark/>
          </w:tcPr>
          <w:p w14:paraId="6C0250FD"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2FE9DBFF"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9A98733" w14:textId="77777777" w:rsidR="00000000" w:rsidRDefault="001826C1">
            <w:pPr>
              <w:jc w:val="right"/>
              <w:rPr>
                <w:rFonts w:eastAsia="Times New Roman"/>
                <w:sz w:val="20"/>
                <w:szCs w:val="20"/>
              </w:rPr>
            </w:pPr>
            <w:r>
              <w:rPr>
                <w:rFonts w:eastAsia="Times New Roman"/>
                <w:sz w:val="20"/>
                <w:szCs w:val="20"/>
              </w:rPr>
              <w:t>192,780</w:t>
            </w:r>
          </w:p>
        </w:tc>
        <w:tc>
          <w:tcPr>
            <w:tcW w:w="0" w:type="auto"/>
            <w:shd w:val="clear" w:color="auto" w:fill="FFFFFF"/>
            <w:tcMar>
              <w:top w:w="0" w:type="dxa"/>
              <w:left w:w="0" w:type="dxa"/>
              <w:bottom w:w="50" w:type="dxa"/>
              <w:right w:w="0" w:type="dxa"/>
            </w:tcMar>
            <w:vAlign w:val="bottom"/>
            <w:hideMark/>
          </w:tcPr>
          <w:p w14:paraId="37B486E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23A7D117"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780D274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BA903BF" w14:textId="77777777" w:rsidR="00000000" w:rsidRDefault="001826C1">
            <w:pPr>
              <w:jc w:val="right"/>
              <w:rPr>
                <w:rFonts w:eastAsia="Times New Roman"/>
                <w:sz w:val="20"/>
                <w:szCs w:val="20"/>
              </w:rPr>
            </w:pPr>
            <w:r>
              <w:rPr>
                <w:rFonts w:eastAsia="Times New Roman"/>
                <w:sz w:val="20"/>
                <w:szCs w:val="20"/>
              </w:rPr>
              <w:t>(157,385</w:t>
            </w:r>
          </w:p>
        </w:tc>
        <w:tc>
          <w:tcPr>
            <w:tcW w:w="0" w:type="auto"/>
            <w:shd w:val="clear" w:color="auto" w:fill="FFFFFF"/>
            <w:tcMar>
              <w:top w:w="0" w:type="dxa"/>
              <w:left w:w="0" w:type="dxa"/>
              <w:bottom w:w="50" w:type="dxa"/>
              <w:right w:w="0" w:type="dxa"/>
            </w:tcMar>
            <w:vAlign w:val="bottom"/>
            <w:hideMark/>
          </w:tcPr>
          <w:p w14:paraId="0E018357" w14:textId="77777777" w:rsidR="00000000" w:rsidRDefault="001826C1">
            <w:pPr>
              <w:rPr>
                <w:rFonts w:eastAsia="Times New Roman"/>
                <w:sz w:val="20"/>
                <w:szCs w:val="20"/>
              </w:rPr>
            </w:pPr>
            <w:r>
              <w:rPr>
                <w:rFonts w:eastAsia="Times New Roman"/>
                <w:sz w:val="20"/>
                <w:szCs w:val="20"/>
              </w:rPr>
              <w:t>)</w:t>
            </w:r>
          </w:p>
        </w:tc>
      </w:tr>
    </w:tbl>
    <w:p w14:paraId="22807739" w14:textId="77777777" w:rsidR="00000000" w:rsidRDefault="001826C1">
      <w:pPr>
        <w:pStyle w:val="a3"/>
        <w:spacing w:before="0" w:beforeAutospacing="0" w:after="0" w:afterAutospacing="0"/>
        <w:jc w:val="both"/>
        <w:rPr>
          <w:sz w:val="20"/>
          <w:szCs w:val="20"/>
        </w:rPr>
      </w:pPr>
      <w:r>
        <w:rPr>
          <w:sz w:val="20"/>
          <w:szCs w:val="20"/>
        </w:rPr>
        <w:t> </w:t>
      </w:r>
    </w:p>
    <w:p w14:paraId="356A79EF" w14:textId="77777777" w:rsidR="00000000" w:rsidRDefault="001826C1">
      <w:pPr>
        <w:pStyle w:val="a3"/>
        <w:spacing w:before="0" w:beforeAutospacing="0" w:after="0" w:afterAutospacing="0"/>
        <w:jc w:val="both"/>
        <w:rPr>
          <w:sz w:val="20"/>
          <w:szCs w:val="20"/>
        </w:rPr>
      </w:pPr>
      <w:r>
        <w:rPr>
          <w:sz w:val="20"/>
          <w:szCs w:val="20"/>
        </w:rPr>
        <w:t xml:space="preserve">At December </w:t>
      </w:r>
      <w:r>
        <w:rPr>
          <w:sz w:val="20"/>
          <w:szCs w:val="20"/>
        </w:rPr>
        <w:t>31, 2019 and 2018, the Company did not record any uncertain tax positions based on the technical merits. Therefore, a tabular roll forward was excluded and there has been no accrued interest and penalties. The Company is subject to taxation in the United S</w:t>
      </w:r>
      <w:r>
        <w:rPr>
          <w:sz w:val="20"/>
          <w:szCs w:val="20"/>
        </w:rPr>
        <w:t xml:space="preserve">tates, various states, Pakistan and Sri Lanka. As of December 31, 2019, tax years 2016 through 2018 remain open to examination in the United States by major taxing jurisdictions in which the Company is subject to tax. The Pakistan Federal Board of Revenue </w:t>
      </w:r>
      <w:r>
        <w:rPr>
          <w:sz w:val="20"/>
          <w:szCs w:val="20"/>
        </w:rPr>
        <w:t>issued a tax holiday, which precludes the Pakistan subsidiary from being subject to income taxes through June 2025. It is the Company’s policy that any assessed penalties and interest on uncertain tax positions would be charged to income tax expense.</w:t>
      </w:r>
    </w:p>
    <w:p w14:paraId="50D49074" w14:textId="77777777" w:rsidR="00000000" w:rsidRDefault="001826C1">
      <w:pPr>
        <w:pStyle w:val="a3"/>
        <w:spacing w:before="0" w:beforeAutospacing="0" w:after="0" w:afterAutospacing="0"/>
        <w:ind w:left="450"/>
        <w:jc w:val="both"/>
        <w:rPr>
          <w:sz w:val="20"/>
          <w:szCs w:val="20"/>
        </w:rPr>
      </w:pPr>
      <w:r>
        <w:rPr>
          <w:sz w:val="20"/>
          <w:szCs w:val="20"/>
        </w:rPr>
        <w:t> </w:t>
      </w:r>
    </w:p>
    <w:p w14:paraId="05B688B0" w14:textId="77777777" w:rsidR="00000000" w:rsidRDefault="001826C1">
      <w:pPr>
        <w:pStyle w:val="a3"/>
        <w:spacing w:before="0" w:beforeAutospacing="0" w:after="0" w:afterAutospacing="0"/>
        <w:jc w:val="both"/>
        <w:rPr>
          <w:sz w:val="20"/>
          <w:szCs w:val="20"/>
        </w:rPr>
      </w:pPr>
      <w:r>
        <w:rPr>
          <w:sz w:val="20"/>
          <w:szCs w:val="20"/>
        </w:rPr>
        <w:t>The</w:t>
      </w:r>
      <w:r>
        <w:rPr>
          <w:sz w:val="20"/>
          <w:szCs w:val="20"/>
        </w:rPr>
        <w:t xml:space="preserve"> Pakistan tax holiday does not have a significant impact on the Company’s effective tax rate as all of its earnings in Pakistan have been fully included in the U.S. federal tax rate of 21% for 2019 and 2018. The Pakistan statutory corporate tax rate is 29%</w:t>
      </w:r>
      <w:r>
        <w:rPr>
          <w:sz w:val="20"/>
          <w:szCs w:val="20"/>
        </w:rPr>
        <w:t xml:space="preserve"> before consideration of the aforementioned tax holiday.</w:t>
      </w:r>
    </w:p>
    <w:p w14:paraId="46A6738C" w14:textId="77777777" w:rsidR="00000000" w:rsidRDefault="001826C1">
      <w:pPr>
        <w:pStyle w:val="a3"/>
        <w:spacing w:before="0" w:beforeAutospacing="0" w:after="0" w:afterAutospacing="0"/>
        <w:ind w:left="475"/>
        <w:jc w:val="both"/>
        <w:rPr>
          <w:sz w:val="20"/>
          <w:szCs w:val="20"/>
        </w:rPr>
      </w:pPr>
      <w:r>
        <w:rPr>
          <w:sz w:val="20"/>
          <w:szCs w:val="20"/>
        </w:rPr>
        <w:t> </w:t>
      </w:r>
    </w:p>
    <w:p w14:paraId="7AAB90C1" w14:textId="77777777" w:rsidR="00000000" w:rsidRDefault="001826C1">
      <w:pPr>
        <w:pStyle w:val="a3"/>
        <w:spacing w:before="0" w:beforeAutospacing="0" w:after="0" w:afterAutospacing="0"/>
        <w:jc w:val="both"/>
        <w:rPr>
          <w:sz w:val="20"/>
          <w:szCs w:val="20"/>
        </w:rPr>
      </w:pPr>
      <w:r>
        <w:rPr>
          <w:sz w:val="20"/>
          <w:szCs w:val="20"/>
        </w:rPr>
        <w:t>The Company has a federal NOL carry forward of approximately $19.8 million of which approximately $15.8 million will expire between 2034 and 2037 and $4.0 million has an indefinite life. The Compan</w:t>
      </w:r>
      <w:r>
        <w:rPr>
          <w:sz w:val="20"/>
          <w:szCs w:val="20"/>
        </w:rPr>
        <w:t>y has state NOL carry forwards which mainly consists of approximately $38.5 million, of which $17.9 million relates to the State of New Jersey. These NOLs expire between 2034 to 2039.</w:t>
      </w:r>
    </w:p>
    <w:p w14:paraId="22DD4695" w14:textId="77777777" w:rsidR="00000000" w:rsidRDefault="001826C1">
      <w:pPr>
        <w:pStyle w:val="a3"/>
        <w:spacing w:before="0" w:beforeAutospacing="0" w:after="0" w:afterAutospacing="0"/>
        <w:jc w:val="both"/>
        <w:rPr>
          <w:sz w:val="20"/>
          <w:szCs w:val="20"/>
        </w:rPr>
      </w:pPr>
      <w:r>
        <w:rPr>
          <w:sz w:val="20"/>
          <w:szCs w:val="20"/>
        </w:rPr>
        <w:t> </w:t>
      </w:r>
    </w:p>
    <w:p w14:paraId="1DE98F62" w14:textId="77777777" w:rsidR="00000000" w:rsidRDefault="001826C1">
      <w:pPr>
        <w:pStyle w:val="a3"/>
        <w:spacing w:before="0" w:beforeAutospacing="0" w:after="0" w:afterAutospacing="0"/>
        <w:jc w:val="both"/>
        <w:rPr>
          <w:sz w:val="20"/>
          <w:szCs w:val="20"/>
        </w:rPr>
      </w:pPr>
      <w:r>
        <w:rPr>
          <w:sz w:val="20"/>
          <w:szCs w:val="20"/>
        </w:rPr>
        <w:t xml:space="preserve">The Company has a full valuation allowance on its deferred tax assets </w:t>
      </w:r>
      <w:r>
        <w:rPr>
          <w:sz w:val="20"/>
          <w:szCs w:val="20"/>
        </w:rPr>
        <w:t>in the U.S. which results in there being no U.S. deferred tax assets or liabilities recorded on the consolidated balances sheet. Other than the deferred tax liability related to the amortization of goodwill.</w:t>
      </w:r>
    </w:p>
    <w:p w14:paraId="242E607F"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70EA6560" w14:textId="77777777">
        <w:trPr>
          <w:divId w:val="1080103104"/>
        </w:trPr>
        <w:tc>
          <w:tcPr>
            <w:tcW w:w="5000" w:type="pct"/>
            <w:hideMark/>
          </w:tcPr>
          <w:p w14:paraId="22389CF7"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2</w:t>
            </w:r>
          </w:p>
        </w:tc>
      </w:tr>
    </w:tbl>
    <w:tbl>
      <w:tblPr>
        <w:tblW w:w="5000" w:type="pct"/>
        <w:tblCellMar>
          <w:left w:w="0" w:type="dxa"/>
          <w:right w:w="0" w:type="dxa"/>
        </w:tblCellMar>
        <w:tblLook w:val="04A0" w:firstRow="1" w:lastRow="0" w:firstColumn="1" w:lastColumn="0" w:noHBand="0" w:noVBand="1"/>
      </w:tblPr>
      <w:tblGrid>
        <w:gridCol w:w="8306"/>
      </w:tblGrid>
      <w:tr w:rsidR="00000000" w14:paraId="149F9165" w14:textId="77777777">
        <w:tc>
          <w:tcPr>
            <w:tcW w:w="5000" w:type="pct"/>
            <w:hideMark/>
          </w:tcPr>
          <w:p w14:paraId="6B40162C" w14:textId="77777777" w:rsidR="00000000" w:rsidRDefault="001826C1">
            <w:pPr>
              <w:jc w:val="center"/>
              <w:rPr>
                <w:rFonts w:eastAsia="Times New Roman"/>
                <w:sz w:val="20"/>
                <w:szCs w:val="20"/>
              </w:rPr>
            </w:pPr>
            <w:r>
              <w:rPr>
                <w:rFonts w:eastAsia="Times New Roman"/>
                <w:sz w:val="20"/>
                <w:szCs w:val="20"/>
              </w:rPr>
              <w:t> </w:t>
            </w:r>
          </w:p>
        </w:tc>
      </w:tr>
    </w:tbl>
    <w:p w14:paraId="48998976"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6521B478" w14:textId="77777777">
        <w:tc>
          <w:tcPr>
            <w:tcW w:w="360" w:type="dxa"/>
            <w:hideMark/>
          </w:tcPr>
          <w:p w14:paraId="453B4F6E" w14:textId="77777777" w:rsidR="00000000" w:rsidRDefault="001826C1">
            <w:pPr>
              <w:rPr>
                <w:rFonts w:eastAsia="Times New Roman"/>
                <w:b/>
                <w:bCs/>
                <w:caps/>
                <w:sz w:val="20"/>
                <w:szCs w:val="20"/>
              </w:rPr>
            </w:pPr>
            <w:r>
              <w:rPr>
                <w:rFonts w:eastAsia="Times New Roman"/>
                <w:b/>
                <w:bCs/>
                <w:caps/>
                <w:sz w:val="20"/>
                <w:szCs w:val="20"/>
              </w:rPr>
              <w:t>17.</w:t>
            </w:r>
          </w:p>
        </w:tc>
        <w:tc>
          <w:tcPr>
            <w:tcW w:w="0" w:type="auto"/>
            <w:hideMark/>
          </w:tcPr>
          <w:p w14:paraId="0F630774" w14:textId="77777777" w:rsidR="00000000" w:rsidRDefault="001826C1">
            <w:pPr>
              <w:rPr>
                <w:rFonts w:eastAsia="Times New Roman"/>
                <w:b/>
                <w:bCs/>
                <w:caps/>
                <w:sz w:val="20"/>
                <w:szCs w:val="20"/>
              </w:rPr>
            </w:pPr>
            <w:r>
              <w:rPr>
                <w:rFonts w:eastAsia="Times New Roman"/>
                <w:b/>
                <w:bCs/>
                <w:caps/>
                <w:sz w:val="20"/>
                <w:szCs w:val="20"/>
              </w:rPr>
              <w:t>OTHER (EXPENSE) INCOME – NET</w:t>
            </w:r>
          </w:p>
        </w:tc>
      </w:tr>
    </w:tbl>
    <w:p w14:paraId="59155CCC" w14:textId="77777777" w:rsidR="00000000" w:rsidRDefault="001826C1">
      <w:pPr>
        <w:pStyle w:val="a3"/>
        <w:spacing w:before="0" w:beforeAutospacing="0" w:after="0" w:afterAutospacing="0"/>
        <w:ind w:left="475"/>
        <w:jc w:val="both"/>
        <w:rPr>
          <w:sz w:val="20"/>
          <w:szCs w:val="20"/>
        </w:rPr>
      </w:pPr>
      <w:r>
        <w:rPr>
          <w:sz w:val="20"/>
          <w:szCs w:val="20"/>
        </w:rPr>
        <w:t> </w:t>
      </w:r>
    </w:p>
    <w:p w14:paraId="2395EBF5" w14:textId="77777777" w:rsidR="00000000" w:rsidRDefault="001826C1">
      <w:pPr>
        <w:pStyle w:val="a3"/>
        <w:spacing w:before="0" w:beforeAutospacing="0" w:after="0" w:afterAutospacing="0"/>
        <w:jc w:val="both"/>
        <w:rPr>
          <w:sz w:val="20"/>
          <w:szCs w:val="20"/>
        </w:rPr>
      </w:pPr>
      <w:r>
        <w:rPr>
          <w:sz w:val="20"/>
          <w:szCs w:val="20"/>
        </w:rPr>
        <w:t>Other (expense) income - net for the years ended December 31, 2019 and 2018 consisted of the following:</w:t>
      </w:r>
    </w:p>
    <w:p w14:paraId="4989D46B" w14:textId="77777777" w:rsidR="00000000" w:rsidRDefault="001826C1">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2767"/>
        <w:gridCol w:w="76"/>
        <w:gridCol w:w="100"/>
        <w:gridCol w:w="873"/>
        <w:gridCol w:w="67"/>
        <w:gridCol w:w="77"/>
        <w:gridCol w:w="100"/>
        <w:gridCol w:w="874"/>
        <w:gridCol w:w="50"/>
      </w:tblGrid>
      <w:tr w:rsidR="00000000" w14:paraId="18CDF838" w14:textId="77777777">
        <w:tc>
          <w:tcPr>
            <w:tcW w:w="0" w:type="auto"/>
            <w:vAlign w:val="bottom"/>
            <w:hideMark/>
          </w:tcPr>
          <w:p w14:paraId="47A6F279"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AB0F17C"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212D009C" w14:textId="77777777" w:rsidR="00000000" w:rsidRDefault="001826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567D1CFD" w14:textId="77777777" w:rsidR="00000000" w:rsidRDefault="001826C1">
            <w:pPr>
              <w:rPr>
                <w:rFonts w:eastAsia="Times New Roman"/>
                <w:b/>
                <w:bCs/>
                <w:sz w:val="20"/>
                <w:szCs w:val="20"/>
              </w:rPr>
            </w:pPr>
            <w:r>
              <w:rPr>
                <w:rFonts w:eastAsia="Times New Roman"/>
                <w:b/>
                <w:bCs/>
                <w:sz w:val="20"/>
                <w:szCs w:val="20"/>
              </w:rPr>
              <w:t> </w:t>
            </w:r>
          </w:p>
        </w:tc>
      </w:tr>
      <w:tr w:rsidR="00000000" w14:paraId="2651C78B" w14:textId="77777777">
        <w:tc>
          <w:tcPr>
            <w:tcW w:w="0" w:type="auto"/>
            <w:vAlign w:val="bottom"/>
            <w:hideMark/>
          </w:tcPr>
          <w:p w14:paraId="30B83BCF"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6DB4845"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5705143"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00EA5B26"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39B7722F"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DA44373"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31BC77EF" w14:textId="77777777" w:rsidR="00000000" w:rsidRDefault="001826C1">
            <w:pPr>
              <w:rPr>
                <w:rFonts w:eastAsia="Times New Roman"/>
                <w:b/>
                <w:bCs/>
                <w:sz w:val="20"/>
                <w:szCs w:val="20"/>
              </w:rPr>
            </w:pPr>
            <w:r>
              <w:rPr>
                <w:rFonts w:eastAsia="Times New Roman"/>
                <w:b/>
                <w:bCs/>
                <w:sz w:val="20"/>
                <w:szCs w:val="20"/>
              </w:rPr>
              <w:t> </w:t>
            </w:r>
          </w:p>
        </w:tc>
      </w:tr>
      <w:tr w:rsidR="00000000" w14:paraId="0218CAC0" w14:textId="77777777">
        <w:tc>
          <w:tcPr>
            <w:tcW w:w="2800" w:type="pct"/>
            <w:shd w:val="clear" w:color="auto" w:fill="CCEEFF"/>
            <w:vAlign w:val="bottom"/>
            <w:hideMark/>
          </w:tcPr>
          <w:p w14:paraId="2A60F06C" w14:textId="77777777" w:rsidR="00000000" w:rsidRDefault="001826C1">
            <w:pPr>
              <w:rPr>
                <w:rFonts w:eastAsia="Times New Roman"/>
                <w:sz w:val="20"/>
                <w:szCs w:val="20"/>
              </w:rPr>
            </w:pPr>
            <w:r>
              <w:rPr>
                <w:rFonts w:eastAsia="Times New Roman"/>
                <w:sz w:val="20"/>
                <w:szCs w:val="20"/>
              </w:rPr>
              <w:t>Foreign exchange (loss) gain</w:t>
            </w:r>
          </w:p>
        </w:tc>
        <w:tc>
          <w:tcPr>
            <w:tcW w:w="100" w:type="pct"/>
            <w:shd w:val="clear" w:color="auto" w:fill="CCEEFF"/>
            <w:vAlign w:val="bottom"/>
            <w:hideMark/>
          </w:tcPr>
          <w:p w14:paraId="63F4194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267B9669"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6E460226" w14:textId="77777777" w:rsidR="00000000" w:rsidRDefault="001826C1">
            <w:pPr>
              <w:jc w:val="right"/>
              <w:rPr>
                <w:rFonts w:eastAsia="Times New Roman"/>
                <w:sz w:val="20"/>
                <w:szCs w:val="20"/>
              </w:rPr>
            </w:pPr>
            <w:r>
              <w:rPr>
                <w:rFonts w:eastAsia="Times New Roman"/>
                <w:sz w:val="20"/>
                <w:szCs w:val="20"/>
              </w:rPr>
              <w:t>(827,121</w:t>
            </w:r>
          </w:p>
        </w:tc>
        <w:tc>
          <w:tcPr>
            <w:tcW w:w="50" w:type="pct"/>
            <w:shd w:val="clear" w:color="auto" w:fill="CCEEFF"/>
            <w:vAlign w:val="bottom"/>
            <w:hideMark/>
          </w:tcPr>
          <w:p w14:paraId="0ECD5B00" w14:textId="77777777" w:rsidR="00000000" w:rsidRDefault="001826C1">
            <w:pPr>
              <w:rPr>
                <w:rFonts w:eastAsia="Times New Roman"/>
                <w:sz w:val="20"/>
                <w:szCs w:val="20"/>
              </w:rPr>
            </w:pPr>
            <w:r>
              <w:rPr>
                <w:rFonts w:eastAsia="Times New Roman"/>
                <w:sz w:val="20"/>
                <w:szCs w:val="20"/>
              </w:rPr>
              <w:t>)</w:t>
            </w:r>
          </w:p>
        </w:tc>
        <w:tc>
          <w:tcPr>
            <w:tcW w:w="100" w:type="pct"/>
            <w:shd w:val="clear" w:color="auto" w:fill="CCEEFF"/>
            <w:vAlign w:val="bottom"/>
            <w:hideMark/>
          </w:tcPr>
          <w:p w14:paraId="7728D7C1"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4E9EF43" w14:textId="77777777" w:rsidR="00000000" w:rsidRDefault="001826C1">
            <w:pPr>
              <w:rPr>
                <w:rFonts w:eastAsia="Times New Roman"/>
                <w:sz w:val="20"/>
                <w:szCs w:val="20"/>
              </w:rPr>
            </w:pPr>
            <w:r>
              <w:rPr>
                <w:rFonts w:eastAsia="Times New Roman"/>
                <w:sz w:val="20"/>
                <w:szCs w:val="20"/>
              </w:rPr>
              <w:t>$</w:t>
            </w:r>
          </w:p>
        </w:tc>
        <w:tc>
          <w:tcPr>
            <w:tcW w:w="900" w:type="pct"/>
            <w:shd w:val="clear" w:color="auto" w:fill="CCEEFF"/>
            <w:vAlign w:val="bottom"/>
            <w:hideMark/>
          </w:tcPr>
          <w:p w14:paraId="4D8CC9C3" w14:textId="77777777" w:rsidR="00000000" w:rsidRDefault="001826C1">
            <w:pPr>
              <w:jc w:val="right"/>
              <w:rPr>
                <w:rFonts w:eastAsia="Times New Roman"/>
                <w:sz w:val="20"/>
                <w:szCs w:val="20"/>
              </w:rPr>
            </w:pPr>
            <w:r>
              <w:rPr>
                <w:rFonts w:eastAsia="Times New Roman"/>
                <w:sz w:val="20"/>
                <w:szCs w:val="20"/>
              </w:rPr>
              <w:t>434,806</w:t>
            </w:r>
          </w:p>
        </w:tc>
        <w:tc>
          <w:tcPr>
            <w:tcW w:w="50" w:type="pct"/>
            <w:shd w:val="clear" w:color="auto" w:fill="CCEEFF"/>
            <w:vAlign w:val="bottom"/>
            <w:hideMark/>
          </w:tcPr>
          <w:p w14:paraId="2D251163" w14:textId="77777777" w:rsidR="00000000" w:rsidRDefault="001826C1">
            <w:pPr>
              <w:rPr>
                <w:rFonts w:eastAsia="Times New Roman"/>
                <w:sz w:val="20"/>
                <w:szCs w:val="20"/>
              </w:rPr>
            </w:pPr>
            <w:r>
              <w:rPr>
                <w:rFonts w:eastAsia="Times New Roman"/>
                <w:sz w:val="20"/>
                <w:szCs w:val="20"/>
              </w:rPr>
              <w:t> </w:t>
            </w:r>
          </w:p>
        </w:tc>
      </w:tr>
      <w:tr w:rsidR="00000000" w14:paraId="66F58CC5" w14:textId="77777777">
        <w:tc>
          <w:tcPr>
            <w:tcW w:w="0" w:type="auto"/>
            <w:shd w:val="clear" w:color="auto" w:fill="FFFFFF"/>
            <w:tcMar>
              <w:top w:w="0" w:type="dxa"/>
              <w:left w:w="0" w:type="dxa"/>
              <w:bottom w:w="30" w:type="dxa"/>
              <w:right w:w="0" w:type="dxa"/>
            </w:tcMar>
            <w:vAlign w:val="bottom"/>
            <w:hideMark/>
          </w:tcPr>
          <w:p w14:paraId="0C26DBAE" w14:textId="77777777" w:rsidR="00000000" w:rsidRDefault="001826C1">
            <w:pPr>
              <w:rPr>
                <w:rFonts w:eastAsia="Times New Roman"/>
                <w:sz w:val="20"/>
                <w:szCs w:val="20"/>
              </w:rPr>
            </w:pPr>
            <w:r>
              <w:rPr>
                <w:rFonts w:eastAsia="Times New Roman"/>
                <w:sz w:val="20"/>
                <w:szCs w:val="20"/>
              </w:rPr>
              <w:t>Other income</w:t>
            </w:r>
          </w:p>
        </w:tc>
        <w:tc>
          <w:tcPr>
            <w:tcW w:w="0" w:type="auto"/>
            <w:shd w:val="clear" w:color="auto" w:fill="FFFFFF"/>
            <w:tcMar>
              <w:top w:w="0" w:type="dxa"/>
              <w:left w:w="0" w:type="dxa"/>
              <w:bottom w:w="30" w:type="dxa"/>
              <w:right w:w="0" w:type="dxa"/>
            </w:tcMar>
            <w:vAlign w:val="bottom"/>
            <w:hideMark/>
          </w:tcPr>
          <w:p w14:paraId="49C650F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581D11C0"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E3ED13B" w14:textId="77777777" w:rsidR="00000000" w:rsidRDefault="001826C1">
            <w:pPr>
              <w:jc w:val="right"/>
              <w:rPr>
                <w:rFonts w:eastAsia="Times New Roman"/>
                <w:sz w:val="20"/>
                <w:szCs w:val="20"/>
              </w:rPr>
            </w:pPr>
            <w:r>
              <w:rPr>
                <w:rFonts w:eastAsia="Times New Roman"/>
                <w:sz w:val="20"/>
                <w:szCs w:val="20"/>
              </w:rPr>
              <w:t>201,446</w:t>
            </w:r>
          </w:p>
        </w:tc>
        <w:tc>
          <w:tcPr>
            <w:tcW w:w="0" w:type="auto"/>
            <w:shd w:val="clear" w:color="auto" w:fill="FFFFFF"/>
            <w:tcMar>
              <w:top w:w="0" w:type="dxa"/>
              <w:left w:w="0" w:type="dxa"/>
              <w:bottom w:w="30" w:type="dxa"/>
              <w:right w:w="0" w:type="dxa"/>
            </w:tcMar>
            <w:vAlign w:val="bottom"/>
            <w:hideMark/>
          </w:tcPr>
          <w:p w14:paraId="7AEDC6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0EE54FA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E2D9F3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7411FBA" w14:textId="77777777" w:rsidR="00000000" w:rsidRDefault="001826C1">
            <w:pPr>
              <w:jc w:val="right"/>
              <w:rPr>
                <w:rFonts w:eastAsia="Times New Roman"/>
                <w:sz w:val="20"/>
                <w:szCs w:val="20"/>
              </w:rPr>
            </w:pPr>
            <w:r>
              <w:rPr>
                <w:rFonts w:eastAsia="Times New Roman"/>
                <w:sz w:val="20"/>
                <w:szCs w:val="20"/>
              </w:rPr>
              <w:t>59,526</w:t>
            </w:r>
          </w:p>
        </w:tc>
        <w:tc>
          <w:tcPr>
            <w:tcW w:w="0" w:type="auto"/>
            <w:shd w:val="clear" w:color="auto" w:fill="FFFFFF"/>
            <w:tcMar>
              <w:top w:w="0" w:type="dxa"/>
              <w:left w:w="0" w:type="dxa"/>
              <w:bottom w:w="30" w:type="dxa"/>
              <w:right w:w="0" w:type="dxa"/>
            </w:tcMar>
            <w:vAlign w:val="bottom"/>
            <w:hideMark/>
          </w:tcPr>
          <w:p w14:paraId="686ADEE3" w14:textId="77777777" w:rsidR="00000000" w:rsidRDefault="001826C1">
            <w:pPr>
              <w:rPr>
                <w:rFonts w:eastAsia="Times New Roman"/>
                <w:sz w:val="20"/>
                <w:szCs w:val="20"/>
              </w:rPr>
            </w:pPr>
            <w:r>
              <w:rPr>
                <w:rFonts w:eastAsia="Times New Roman"/>
                <w:sz w:val="20"/>
                <w:szCs w:val="20"/>
              </w:rPr>
              <w:t> </w:t>
            </w:r>
          </w:p>
        </w:tc>
      </w:tr>
      <w:tr w:rsidR="00000000" w14:paraId="464CA642" w14:textId="77777777">
        <w:tc>
          <w:tcPr>
            <w:tcW w:w="0" w:type="auto"/>
            <w:shd w:val="clear" w:color="auto" w:fill="CCEEFF"/>
            <w:tcMar>
              <w:top w:w="0" w:type="dxa"/>
              <w:left w:w="0" w:type="dxa"/>
              <w:bottom w:w="50" w:type="dxa"/>
              <w:right w:w="0" w:type="dxa"/>
            </w:tcMar>
            <w:vAlign w:val="bottom"/>
            <w:hideMark/>
          </w:tcPr>
          <w:p w14:paraId="75264764" w14:textId="77777777" w:rsidR="00000000" w:rsidRDefault="001826C1">
            <w:pPr>
              <w:rPr>
                <w:rFonts w:eastAsia="Times New Roman"/>
                <w:sz w:val="20"/>
                <w:szCs w:val="20"/>
              </w:rPr>
            </w:pPr>
            <w:r>
              <w:rPr>
                <w:rFonts w:eastAsia="Times New Roman"/>
                <w:sz w:val="20"/>
                <w:szCs w:val="20"/>
              </w:rPr>
              <w:t>Other (expense) income - net</w:t>
            </w:r>
          </w:p>
        </w:tc>
        <w:tc>
          <w:tcPr>
            <w:tcW w:w="0" w:type="auto"/>
            <w:shd w:val="clear" w:color="auto" w:fill="CCEEFF"/>
            <w:tcMar>
              <w:top w:w="0" w:type="dxa"/>
              <w:left w:w="0" w:type="dxa"/>
              <w:bottom w:w="50" w:type="dxa"/>
              <w:right w:w="0" w:type="dxa"/>
            </w:tcMar>
            <w:vAlign w:val="bottom"/>
            <w:hideMark/>
          </w:tcPr>
          <w:p w14:paraId="588DC1C3"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14F282F"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4C584D0" w14:textId="77777777" w:rsidR="00000000" w:rsidRDefault="001826C1">
            <w:pPr>
              <w:jc w:val="right"/>
              <w:rPr>
                <w:rFonts w:eastAsia="Times New Roman"/>
                <w:sz w:val="20"/>
                <w:szCs w:val="20"/>
              </w:rPr>
            </w:pPr>
            <w:r>
              <w:rPr>
                <w:rFonts w:eastAsia="Times New Roman"/>
                <w:sz w:val="20"/>
                <w:szCs w:val="20"/>
              </w:rPr>
              <w:t>(625,675</w:t>
            </w:r>
          </w:p>
        </w:tc>
        <w:tc>
          <w:tcPr>
            <w:tcW w:w="0" w:type="auto"/>
            <w:shd w:val="clear" w:color="auto" w:fill="CCEEFF"/>
            <w:tcMar>
              <w:top w:w="0" w:type="dxa"/>
              <w:left w:w="0" w:type="dxa"/>
              <w:bottom w:w="50" w:type="dxa"/>
              <w:right w:w="0" w:type="dxa"/>
            </w:tcMar>
            <w:vAlign w:val="bottom"/>
            <w:hideMark/>
          </w:tcPr>
          <w:p w14:paraId="0885156E"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7493C5B8"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64151CDA"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1900BE86" w14:textId="77777777" w:rsidR="00000000" w:rsidRDefault="001826C1">
            <w:pPr>
              <w:jc w:val="right"/>
              <w:rPr>
                <w:rFonts w:eastAsia="Times New Roman"/>
                <w:sz w:val="20"/>
                <w:szCs w:val="20"/>
              </w:rPr>
            </w:pPr>
            <w:r>
              <w:rPr>
                <w:rFonts w:eastAsia="Times New Roman"/>
                <w:sz w:val="20"/>
                <w:szCs w:val="20"/>
              </w:rPr>
              <w:t>494,332</w:t>
            </w:r>
          </w:p>
        </w:tc>
        <w:tc>
          <w:tcPr>
            <w:tcW w:w="0" w:type="auto"/>
            <w:shd w:val="clear" w:color="auto" w:fill="CCEEFF"/>
            <w:tcMar>
              <w:top w:w="0" w:type="dxa"/>
              <w:left w:w="0" w:type="dxa"/>
              <w:bottom w:w="50" w:type="dxa"/>
              <w:right w:w="0" w:type="dxa"/>
            </w:tcMar>
            <w:vAlign w:val="bottom"/>
            <w:hideMark/>
          </w:tcPr>
          <w:p w14:paraId="4C99E0AA" w14:textId="77777777" w:rsidR="00000000" w:rsidRDefault="001826C1">
            <w:pPr>
              <w:rPr>
                <w:rFonts w:eastAsia="Times New Roman"/>
                <w:sz w:val="20"/>
                <w:szCs w:val="20"/>
              </w:rPr>
            </w:pPr>
            <w:r>
              <w:rPr>
                <w:rFonts w:eastAsia="Times New Roman"/>
                <w:sz w:val="20"/>
                <w:szCs w:val="20"/>
              </w:rPr>
              <w:t> </w:t>
            </w:r>
          </w:p>
        </w:tc>
      </w:tr>
    </w:tbl>
    <w:p w14:paraId="05931D47" w14:textId="77777777" w:rsidR="00000000" w:rsidRDefault="001826C1">
      <w:pPr>
        <w:pStyle w:val="a3"/>
        <w:spacing w:before="0" w:beforeAutospacing="0" w:after="0" w:afterAutospacing="0"/>
        <w:jc w:val="both"/>
        <w:rPr>
          <w:sz w:val="20"/>
          <w:szCs w:val="20"/>
        </w:rPr>
      </w:pPr>
      <w:r>
        <w:rPr>
          <w:sz w:val="20"/>
          <w:szCs w:val="20"/>
        </w:rPr>
        <w:t> </w:t>
      </w:r>
    </w:p>
    <w:p w14:paraId="77D6E476" w14:textId="77777777" w:rsidR="00000000" w:rsidRDefault="001826C1">
      <w:pPr>
        <w:pStyle w:val="a3"/>
        <w:shd w:val="clear" w:color="auto" w:fill="FFFFFF"/>
        <w:spacing w:before="0" w:beforeAutospacing="0" w:after="0" w:afterAutospacing="0"/>
        <w:jc w:val="both"/>
        <w:rPr>
          <w:sz w:val="20"/>
          <w:szCs w:val="20"/>
        </w:rPr>
      </w:pPr>
      <w:r>
        <w:rPr>
          <w:sz w:val="20"/>
          <w:szCs w:val="20"/>
        </w:rPr>
        <w:t>Foreign currency transaction gains and losses primarily resu</w:t>
      </w:r>
      <w:r>
        <w:rPr>
          <w:sz w:val="20"/>
          <w:szCs w:val="20"/>
        </w:rPr>
        <w:t>lt from transactions in foreign currencies other than the functional currency. These transaction gains and losses are recorded in the consolidated statements of operations related to the recurring measurement and settlement of such transactions.</w:t>
      </w:r>
    </w:p>
    <w:p w14:paraId="0A078180"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5DD91A79" w14:textId="77777777">
        <w:tc>
          <w:tcPr>
            <w:tcW w:w="360" w:type="dxa"/>
            <w:hideMark/>
          </w:tcPr>
          <w:p w14:paraId="5CFFBE13" w14:textId="77777777" w:rsidR="00000000" w:rsidRDefault="001826C1">
            <w:pPr>
              <w:rPr>
                <w:rFonts w:eastAsia="Times New Roman"/>
                <w:b/>
                <w:bCs/>
                <w:caps/>
                <w:sz w:val="20"/>
                <w:szCs w:val="20"/>
              </w:rPr>
            </w:pPr>
            <w:r>
              <w:rPr>
                <w:rFonts w:eastAsia="Times New Roman"/>
                <w:b/>
                <w:bCs/>
                <w:caps/>
                <w:sz w:val="20"/>
                <w:szCs w:val="20"/>
              </w:rPr>
              <w:t>18.</w:t>
            </w:r>
          </w:p>
        </w:tc>
        <w:tc>
          <w:tcPr>
            <w:tcW w:w="0" w:type="auto"/>
            <w:hideMark/>
          </w:tcPr>
          <w:p w14:paraId="5A2BD00B" w14:textId="77777777" w:rsidR="00000000" w:rsidRDefault="001826C1">
            <w:pPr>
              <w:rPr>
                <w:rFonts w:eastAsia="Times New Roman"/>
                <w:b/>
                <w:bCs/>
                <w:caps/>
                <w:sz w:val="20"/>
                <w:szCs w:val="20"/>
              </w:rPr>
            </w:pPr>
            <w:r>
              <w:rPr>
                <w:rFonts w:eastAsia="Times New Roman"/>
                <w:b/>
                <w:bCs/>
                <w:caps/>
                <w:sz w:val="20"/>
                <w:szCs w:val="20"/>
              </w:rPr>
              <w:t>segm</w:t>
            </w:r>
            <w:r>
              <w:rPr>
                <w:rFonts w:eastAsia="Times New Roman"/>
                <w:b/>
                <w:bCs/>
                <w:caps/>
                <w:sz w:val="20"/>
                <w:szCs w:val="20"/>
              </w:rPr>
              <w:t>ent reporting</w:t>
            </w:r>
          </w:p>
        </w:tc>
      </w:tr>
    </w:tbl>
    <w:p w14:paraId="6CD9840C" w14:textId="77777777" w:rsidR="00000000" w:rsidRDefault="001826C1">
      <w:pPr>
        <w:pStyle w:val="a3"/>
        <w:spacing w:before="0" w:beforeAutospacing="0" w:after="0" w:afterAutospacing="0"/>
        <w:ind w:left="475"/>
        <w:jc w:val="both"/>
        <w:rPr>
          <w:sz w:val="20"/>
          <w:szCs w:val="20"/>
        </w:rPr>
      </w:pPr>
      <w:r>
        <w:rPr>
          <w:sz w:val="20"/>
          <w:szCs w:val="20"/>
        </w:rPr>
        <w:t> </w:t>
      </w:r>
    </w:p>
    <w:p w14:paraId="6FABB65E" w14:textId="77777777" w:rsidR="00000000" w:rsidRDefault="001826C1">
      <w:pPr>
        <w:pStyle w:val="a3"/>
        <w:spacing w:before="0" w:beforeAutospacing="0" w:after="0" w:afterAutospacing="0"/>
        <w:jc w:val="both"/>
        <w:rPr>
          <w:sz w:val="20"/>
          <w:szCs w:val="20"/>
        </w:rPr>
      </w:pPr>
      <w:r>
        <w:rPr>
          <w:sz w:val="20"/>
          <w:szCs w:val="20"/>
        </w:rPr>
        <w:t xml:space="preserve">Both our Chief </w:t>
      </w:r>
      <w:r>
        <w:rPr>
          <w:sz w:val="20"/>
          <w:szCs w:val="20"/>
        </w:rPr>
        <w:t>Executive Officer and Executive Chairman serve as the CODM, organize the Company, manage resource allocations and measure performance among two operating and reportable segments: (i) Healthcare IT and (ii) Practice Management.</w:t>
      </w:r>
    </w:p>
    <w:p w14:paraId="298037A6" w14:textId="77777777" w:rsidR="00000000" w:rsidRDefault="001826C1">
      <w:pPr>
        <w:pStyle w:val="a3"/>
        <w:spacing w:before="0" w:beforeAutospacing="0" w:after="0" w:afterAutospacing="0"/>
        <w:jc w:val="both"/>
        <w:rPr>
          <w:sz w:val="20"/>
          <w:szCs w:val="20"/>
        </w:rPr>
      </w:pPr>
      <w:r>
        <w:rPr>
          <w:sz w:val="20"/>
          <w:szCs w:val="20"/>
        </w:rPr>
        <w:t> </w:t>
      </w:r>
    </w:p>
    <w:p w14:paraId="36E3ACC1" w14:textId="77777777" w:rsidR="00000000" w:rsidRDefault="001826C1">
      <w:pPr>
        <w:pStyle w:val="a3"/>
        <w:shd w:val="clear" w:color="auto" w:fill="FFFFFF"/>
        <w:spacing w:before="0" w:beforeAutospacing="0" w:after="0" w:afterAutospacing="0"/>
        <w:jc w:val="both"/>
        <w:rPr>
          <w:sz w:val="20"/>
          <w:szCs w:val="20"/>
        </w:rPr>
      </w:pPr>
      <w:r>
        <w:rPr>
          <w:sz w:val="20"/>
          <w:szCs w:val="20"/>
        </w:rPr>
        <w:t>The Healthcare IT segment i</w:t>
      </w:r>
      <w:r>
        <w:rPr>
          <w:sz w:val="20"/>
          <w:szCs w:val="20"/>
        </w:rPr>
        <w:t>ncludes revenue cycle management and other services. The Practice management segment includes the management of three medical practices. Each segment is considered a reporting unit. The CODM evaluates financial performance of the business units on the basi</w:t>
      </w:r>
      <w:r>
        <w:rPr>
          <w:sz w:val="20"/>
          <w:szCs w:val="20"/>
        </w:rPr>
        <w:t>s of revenue and direct operating costs excluding unallocated amounts, which are mainly corporate overhead costs. Our CODM does not evaluate operating segments using asset or liability information. The accounting policies of the segments are the same as th</w:t>
      </w:r>
      <w:r>
        <w:rPr>
          <w:sz w:val="20"/>
          <w:szCs w:val="20"/>
        </w:rPr>
        <w:t>ose disclosed in the summary of significant accounting policies. The following tables present revenues, operating expenses and operating income (loss) by reportable segment for the years ended December 31, 2019 and 2018:</w:t>
      </w:r>
    </w:p>
    <w:p w14:paraId="57672C99"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14:paraId="4A62B78F" w14:textId="77777777">
        <w:tc>
          <w:tcPr>
            <w:tcW w:w="0" w:type="auto"/>
            <w:tcMar>
              <w:top w:w="0" w:type="dxa"/>
              <w:left w:w="0" w:type="dxa"/>
              <w:bottom w:w="30" w:type="dxa"/>
              <w:right w:w="0" w:type="dxa"/>
            </w:tcMar>
            <w:vAlign w:val="bottom"/>
            <w:hideMark/>
          </w:tcPr>
          <w:p w14:paraId="2C26C42C" w14:textId="77777777" w:rsidR="00000000" w:rsidRDefault="001826C1">
            <w:pP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14:paraId="6640969C" w14:textId="77777777" w:rsidR="00000000" w:rsidRDefault="001826C1">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56DEDB94" w14:textId="77777777" w:rsidR="00000000" w:rsidRDefault="001826C1">
            <w:pPr>
              <w:jc w:val="center"/>
              <w:rPr>
                <w:rFonts w:eastAsia="Times New Roman"/>
                <w:b/>
                <w:bCs/>
                <w:sz w:val="20"/>
                <w:szCs w:val="20"/>
              </w:rPr>
            </w:pPr>
            <w:r>
              <w:rPr>
                <w:rFonts w:eastAsia="Times New Roman"/>
                <w:b/>
                <w:bCs/>
                <w:sz w:val="20"/>
                <w:szCs w:val="20"/>
              </w:rPr>
              <w:t>Year Ended December 31, 2019</w:t>
            </w:r>
          </w:p>
        </w:tc>
        <w:tc>
          <w:tcPr>
            <w:tcW w:w="0" w:type="auto"/>
            <w:tcMar>
              <w:top w:w="0" w:type="dxa"/>
              <w:left w:w="0" w:type="dxa"/>
              <w:bottom w:w="30" w:type="dxa"/>
              <w:right w:w="0" w:type="dxa"/>
            </w:tcMar>
            <w:vAlign w:val="bottom"/>
            <w:hideMark/>
          </w:tcPr>
          <w:p w14:paraId="3E9A8EBD" w14:textId="77777777" w:rsidR="00000000" w:rsidRDefault="001826C1">
            <w:pPr>
              <w:rPr>
                <w:rFonts w:eastAsia="Times New Roman"/>
                <w:b/>
                <w:bCs/>
                <w:sz w:val="20"/>
                <w:szCs w:val="20"/>
              </w:rPr>
            </w:pPr>
            <w:r>
              <w:rPr>
                <w:rFonts w:eastAsia="Times New Roman"/>
                <w:b/>
                <w:bCs/>
                <w:sz w:val="20"/>
                <w:szCs w:val="20"/>
              </w:rPr>
              <w:t> </w:t>
            </w:r>
          </w:p>
        </w:tc>
      </w:tr>
      <w:tr w:rsidR="00000000" w14:paraId="4C682D2B" w14:textId="77777777">
        <w:tc>
          <w:tcPr>
            <w:tcW w:w="0" w:type="auto"/>
            <w:tcMar>
              <w:top w:w="0" w:type="dxa"/>
              <w:left w:w="0" w:type="dxa"/>
              <w:bottom w:w="30" w:type="dxa"/>
              <w:right w:w="0" w:type="dxa"/>
            </w:tcMar>
            <w:vAlign w:val="bottom"/>
            <w:hideMark/>
          </w:tcPr>
          <w:p w14:paraId="4828CD0E" w14:textId="77777777" w:rsidR="00000000" w:rsidRDefault="001826C1">
            <w:pPr>
              <w:rPr>
                <w:rFonts w:eastAsia="Times New Roman"/>
                <w:sz w:val="22"/>
                <w:szCs w:val="22"/>
              </w:rPr>
            </w:pPr>
            <w:r>
              <w:rPr>
                <w:rFonts w:eastAsia="Times New Roman"/>
                <w:sz w:val="22"/>
                <w:szCs w:val="22"/>
              </w:rPr>
              <w:t> </w:t>
            </w:r>
          </w:p>
        </w:tc>
        <w:tc>
          <w:tcPr>
            <w:tcW w:w="0" w:type="auto"/>
            <w:tcMar>
              <w:top w:w="0" w:type="dxa"/>
              <w:left w:w="0" w:type="dxa"/>
              <w:bottom w:w="30" w:type="dxa"/>
              <w:right w:w="0" w:type="dxa"/>
            </w:tcMar>
            <w:vAlign w:val="bottom"/>
            <w:hideMark/>
          </w:tcPr>
          <w:p w14:paraId="604F5F5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60094A7F" w14:textId="77777777" w:rsidR="00000000" w:rsidRDefault="001826C1">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5F7BC553"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A4DDD2A"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82A7033" w14:textId="77777777" w:rsidR="00000000" w:rsidRDefault="001826C1">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5F1F0322"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43C80871" w14:textId="77777777" w:rsidR="00000000" w:rsidRDefault="001826C1">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14:paraId="6BF8AFC3" w14:textId="77777777" w:rsidR="00000000" w:rsidRDefault="001826C1">
            <w:pPr>
              <w:pStyle w:val="a3"/>
              <w:spacing w:before="0" w:beforeAutospacing="0" w:after="0" w:afterAutospacing="0"/>
              <w:jc w:val="center"/>
              <w:rPr>
                <w:sz w:val="20"/>
                <w:szCs w:val="20"/>
              </w:rPr>
            </w:pPr>
            <w:r>
              <w:rPr>
                <w:b/>
                <w:bCs/>
                <w:sz w:val="20"/>
                <w:szCs w:val="20"/>
              </w:rPr>
              <w:t>Unallocated</w:t>
            </w:r>
          </w:p>
          <w:p w14:paraId="3E7BCE71" w14:textId="77777777" w:rsidR="00000000" w:rsidRDefault="001826C1">
            <w:pPr>
              <w:pStyle w:val="a3"/>
              <w:spacing w:before="0" w:beforeAutospacing="0" w:after="0" w:afterAutospacing="0"/>
              <w:jc w:val="center"/>
              <w:rPr>
                <w:sz w:val="20"/>
                <w:szCs w:val="20"/>
              </w:rPr>
            </w:pPr>
            <w:r>
              <w:rPr>
                <w:b/>
                <w:bCs/>
                <w:sz w:val="20"/>
                <w:szCs w:val="20"/>
              </w:rPr>
              <w:t>Corporate</w:t>
            </w:r>
          </w:p>
          <w:p w14:paraId="2EAB8F9B" w14:textId="77777777" w:rsidR="00000000" w:rsidRDefault="001826C1">
            <w:pPr>
              <w:pStyle w:val="a3"/>
              <w:spacing w:before="0" w:beforeAutospacing="0" w:after="0" w:afterAutospacing="0"/>
              <w:jc w:val="center"/>
              <w:rPr>
                <w:sz w:val="20"/>
                <w:szCs w:val="20"/>
              </w:rPr>
            </w:pPr>
            <w:r>
              <w:rPr>
                <w:b/>
                <w:bCs/>
                <w:sz w:val="20"/>
                <w:szCs w:val="20"/>
              </w:rPr>
              <w:t>Expenses</w:t>
            </w:r>
          </w:p>
        </w:tc>
        <w:tc>
          <w:tcPr>
            <w:tcW w:w="0" w:type="auto"/>
            <w:tcMar>
              <w:top w:w="0" w:type="dxa"/>
              <w:left w:w="0" w:type="dxa"/>
              <w:bottom w:w="30" w:type="dxa"/>
              <w:right w:w="0" w:type="dxa"/>
            </w:tcMar>
            <w:vAlign w:val="bottom"/>
            <w:hideMark/>
          </w:tcPr>
          <w:p w14:paraId="06B0FCE3"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4EE24032"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8C58CB0" w14:textId="77777777" w:rsidR="00000000" w:rsidRDefault="001826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2DB32391" w14:textId="77777777" w:rsidR="00000000" w:rsidRDefault="001826C1">
            <w:pPr>
              <w:rPr>
                <w:rFonts w:eastAsia="Times New Roman"/>
                <w:b/>
                <w:bCs/>
                <w:sz w:val="20"/>
                <w:szCs w:val="20"/>
              </w:rPr>
            </w:pPr>
            <w:r>
              <w:rPr>
                <w:rFonts w:eastAsia="Times New Roman"/>
                <w:b/>
                <w:bCs/>
                <w:sz w:val="20"/>
                <w:szCs w:val="20"/>
              </w:rPr>
              <w:t> </w:t>
            </w:r>
          </w:p>
        </w:tc>
      </w:tr>
      <w:tr w:rsidR="00000000" w14:paraId="7647404D" w14:textId="77777777">
        <w:tc>
          <w:tcPr>
            <w:tcW w:w="1800" w:type="pct"/>
            <w:shd w:val="clear" w:color="auto" w:fill="CCEEFF"/>
            <w:vAlign w:val="bottom"/>
            <w:hideMark/>
          </w:tcPr>
          <w:p w14:paraId="5399AD00" w14:textId="77777777" w:rsidR="00000000" w:rsidRDefault="001826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498EC5CC"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0546F310"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0DE75906" w14:textId="77777777" w:rsidR="00000000" w:rsidRDefault="001826C1">
            <w:pPr>
              <w:jc w:val="right"/>
              <w:rPr>
                <w:rFonts w:eastAsia="Times New Roman"/>
                <w:sz w:val="20"/>
                <w:szCs w:val="20"/>
              </w:rPr>
            </w:pPr>
            <w:r>
              <w:rPr>
                <w:rFonts w:eastAsia="Times New Roman"/>
                <w:sz w:val="20"/>
                <w:szCs w:val="20"/>
              </w:rPr>
              <w:t>51,171,508</w:t>
            </w:r>
          </w:p>
        </w:tc>
        <w:tc>
          <w:tcPr>
            <w:tcW w:w="50" w:type="pct"/>
            <w:shd w:val="clear" w:color="auto" w:fill="CCEEFF"/>
            <w:vAlign w:val="bottom"/>
            <w:hideMark/>
          </w:tcPr>
          <w:p w14:paraId="7F4EF519"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31DA996"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3FF8960"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2D461652" w14:textId="77777777" w:rsidR="00000000" w:rsidRDefault="001826C1">
            <w:pPr>
              <w:jc w:val="right"/>
              <w:rPr>
                <w:rFonts w:eastAsia="Times New Roman"/>
                <w:sz w:val="20"/>
                <w:szCs w:val="20"/>
              </w:rPr>
            </w:pPr>
            <w:r>
              <w:rPr>
                <w:rFonts w:eastAsia="Times New Roman"/>
                <w:sz w:val="20"/>
                <w:szCs w:val="20"/>
              </w:rPr>
              <w:t>13,267,086</w:t>
            </w:r>
          </w:p>
        </w:tc>
        <w:tc>
          <w:tcPr>
            <w:tcW w:w="50" w:type="pct"/>
            <w:shd w:val="clear" w:color="auto" w:fill="CCEEFF"/>
            <w:vAlign w:val="bottom"/>
            <w:hideMark/>
          </w:tcPr>
          <w:p w14:paraId="74D317BC"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6142803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F3E37DE"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20F210B9" w14:textId="77777777" w:rsidR="00000000" w:rsidRDefault="001826C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01785138"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7FD073CF"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AF7BB51"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0CDA0632" w14:textId="77777777" w:rsidR="00000000" w:rsidRDefault="001826C1">
            <w:pPr>
              <w:jc w:val="right"/>
              <w:rPr>
                <w:rFonts w:eastAsia="Times New Roman"/>
                <w:sz w:val="20"/>
                <w:szCs w:val="20"/>
              </w:rPr>
            </w:pPr>
            <w:r>
              <w:rPr>
                <w:rFonts w:eastAsia="Times New Roman"/>
                <w:sz w:val="20"/>
                <w:szCs w:val="20"/>
              </w:rPr>
              <w:t>64,438,594</w:t>
            </w:r>
          </w:p>
        </w:tc>
        <w:tc>
          <w:tcPr>
            <w:tcW w:w="50" w:type="pct"/>
            <w:shd w:val="clear" w:color="auto" w:fill="CCEEFF"/>
            <w:vAlign w:val="bottom"/>
            <w:hideMark/>
          </w:tcPr>
          <w:p w14:paraId="232C51B5" w14:textId="77777777" w:rsidR="00000000" w:rsidRDefault="001826C1">
            <w:pPr>
              <w:rPr>
                <w:rFonts w:eastAsia="Times New Roman"/>
                <w:sz w:val="20"/>
                <w:szCs w:val="20"/>
              </w:rPr>
            </w:pPr>
            <w:r>
              <w:rPr>
                <w:rFonts w:eastAsia="Times New Roman"/>
                <w:sz w:val="20"/>
                <w:szCs w:val="20"/>
              </w:rPr>
              <w:t> </w:t>
            </w:r>
          </w:p>
        </w:tc>
      </w:tr>
      <w:tr w:rsidR="00000000" w14:paraId="6EC58870" w14:textId="77777777">
        <w:tc>
          <w:tcPr>
            <w:tcW w:w="0" w:type="auto"/>
            <w:shd w:val="clear" w:color="auto" w:fill="FFFFFF"/>
            <w:vAlign w:val="bottom"/>
            <w:hideMark/>
          </w:tcPr>
          <w:p w14:paraId="267AC8FA" w14:textId="77777777" w:rsidR="00000000" w:rsidRDefault="001826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4F7CF42A"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07AFC4D4"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7D1EBD1F" w14:textId="77777777" w:rsidR="00000000" w:rsidRDefault="001826C1">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1F4A52BD"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0154D589"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2E909714"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7C00977B" w14:textId="77777777" w:rsidR="00000000" w:rsidRDefault="001826C1">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3DC03E63"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13261F07"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388118D3"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4BA222DB" w14:textId="77777777" w:rsidR="00000000" w:rsidRDefault="001826C1">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261FFAFC"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33EC5DB4"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0DD39929" w14:textId="77777777" w:rsidR="00000000" w:rsidRDefault="001826C1">
            <w:pPr>
              <w:rPr>
                <w:rFonts w:eastAsia="Times New Roman"/>
                <w:sz w:val="22"/>
                <w:szCs w:val="22"/>
              </w:rPr>
            </w:pPr>
            <w:r>
              <w:rPr>
                <w:rFonts w:eastAsia="Times New Roman"/>
                <w:sz w:val="22"/>
                <w:szCs w:val="22"/>
              </w:rPr>
              <w:t> </w:t>
            </w:r>
          </w:p>
        </w:tc>
        <w:tc>
          <w:tcPr>
            <w:tcW w:w="0" w:type="auto"/>
            <w:shd w:val="clear" w:color="auto" w:fill="FFFFFF"/>
            <w:vAlign w:val="bottom"/>
            <w:hideMark/>
          </w:tcPr>
          <w:p w14:paraId="09A77A69" w14:textId="77777777" w:rsidR="00000000" w:rsidRDefault="001826C1">
            <w:pPr>
              <w:jc w:val="right"/>
              <w:rPr>
                <w:rFonts w:eastAsia="Times New Roman"/>
                <w:sz w:val="22"/>
                <w:szCs w:val="22"/>
              </w:rPr>
            </w:pPr>
            <w:r>
              <w:rPr>
                <w:rFonts w:eastAsia="Times New Roman"/>
                <w:sz w:val="22"/>
                <w:szCs w:val="22"/>
              </w:rPr>
              <w:t> </w:t>
            </w:r>
          </w:p>
        </w:tc>
        <w:tc>
          <w:tcPr>
            <w:tcW w:w="0" w:type="auto"/>
            <w:shd w:val="clear" w:color="auto" w:fill="FFFFFF"/>
            <w:vAlign w:val="bottom"/>
            <w:hideMark/>
          </w:tcPr>
          <w:p w14:paraId="790FD0AD" w14:textId="77777777" w:rsidR="00000000" w:rsidRDefault="001826C1">
            <w:pPr>
              <w:rPr>
                <w:rFonts w:eastAsia="Times New Roman"/>
                <w:sz w:val="22"/>
                <w:szCs w:val="22"/>
              </w:rPr>
            </w:pPr>
            <w:r>
              <w:rPr>
                <w:rFonts w:eastAsia="Times New Roman"/>
                <w:sz w:val="22"/>
                <w:szCs w:val="22"/>
              </w:rPr>
              <w:t> </w:t>
            </w:r>
          </w:p>
        </w:tc>
      </w:tr>
      <w:tr w:rsidR="00000000" w14:paraId="6E01841C" w14:textId="77777777">
        <w:tc>
          <w:tcPr>
            <w:tcW w:w="0" w:type="auto"/>
            <w:shd w:val="clear" w:color="auto" w:fill="CCEEFF"/>
            <w:tcMar>
              <w:top w:w="0" w:type="dxa"/>
              <w:left w:w="200" w:type="dxa"/>
              <w:bottom w:w="0" w:type="dxa"/>
              <w:right w:w="0" w:type="dxa"/>
            </w:tcMar>
            <w:vAlign w:val="bottom"/>
            <w:hideMark/>
          </w:tcPr>
          <w:p w14:paraId="2B1019D0" w14:textId="77777777" w:rsidR="00000000" w:rsidRDefault="001826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23BB14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B0ABD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6123B7E" w14:textId="77777777" w:rsidR="00000000" w:rsidRDefault="001826C1">
            <w:pPr>
              <w:jc w:val="right"/>
              <w:rPr>
                <w:rFonts w:eastAsia="Times New Roman"/>
                <w:sz w:val="20"/>
                <w:szCs w:val="20"/>
              </w:rPr>
            </w:pPr>
            <w:r>
              <w:rPr>
                <w:rFonts w:eastAsia="Times New Roman"/>
                <w:sz w:val="20"/>
                <w:szCs w:val="20"/>
              </w:rPr>
              <w:t>30,798,404</w:t>
            </w:r>
          </w:p>
        </w:tc>
        <w:tc>
          <w:tcPr>
            <w:tcW w:w="0" w:type="auto"/>
            <w:shd w:val="clear" w:color="auto" w:fill="CCEEFF"/>
            <w:vAlign w:val="bottom"/>
            <w:hideMark/>
          </w:tcPr>
          <w:p w14:paraId="4481276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9D1004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0421D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933FF4" w14:textId="77777777" w:rsidR="00000000" w:rsidRDefault="001826C1">
            <w:pPr>
              <w:jc w:val="right"/>
              <w:rPr>
                <w:rFonts w:eastAsia="Times New Roman"/>
                <w:sz w:val="20"/>
                <w:szCs w:val="20"/>
              </w:rPr>
            </w:pPr>
            <w:r>
              <w:rPr>
                <w:rFonts w:eastAsia="Times New Roman"/>
                <w:sz w:val="20"/>
                <w:szCs w:val="20"/>
              </w:rPr>
              <w:t>10,387,620</w:t>
            </w:r>
          </w:p>
        </w:tc>
        <w:tc>
          <w:tcPr>
            <w:tcW w:w="0" w:type="auto"/>
            <w:shd w:val="clear" w:color="auto" w:fill="CCEEFF"/>
            <w:vAlign w:val="bottom"/>
            <w:hideMark/>
          </w:tcPr>
          <w:p w14:paraId="4309170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C477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247A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8D139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B356FD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C1102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A8D8F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986A65" w14:textId="77777777" w:rsidR="00000000" w:rsidRDefault="001826C1">
            <w:pPr>
              <w:jc w:val="right"/>
              <w:rPr>
                <w:rFonts w:eastAsia="Times New Roman"/>
                <w:sz w:val="20"/>
                <w:szCs w:val="20"/>
              </w:rPr>
            </w:pPr>
            <w:r>
              <w:rPr>
                <w:rFonts w:eastAsia="Times New Roman"/>
                <w:sz w:val="20"/>
                <w:szCs w:val="20"/>
              </w:rPr>
              <w:t>41,186,024</w:t>
            </w:r>
          </w:p>
        </w:tc>
        <w:tc>
          <w:tcPr>
            <w:tcW w:w="0" w:type="auto"/>
            <w:shd w:val="clear" w:color="auto" w:fill="CCEEFF"/>
            <w:vAlign w:val="bottom"/>
            <w:hideMark/>
          </w:tcPr>
          <w:p w14:paraId="1536AFC3" w14:textId="77777777" w:rsidR="00000000" w:rsidRDefault="001826C1">
            <w:pPr>
              <w:rPr>
                <w:rFonts w:eastAsia="Times New Roman"/>
                <w:sz w:val="20"/>
                <w:szCs w:val="20"/>
              </w:rPr>
            </w:pPr>
            <w:r>
              <w:rPr>
                <w:rFonts w:eastAsia="Times New Roman"/>
                <w:sz w:val="20"/>
                <w:szCs w:val="20"/>
              </w:rPr>
              <w:t> </w:t>
            </w:r>
          </w:p>
        </w:tc>
      </w:tr>
      <w:tr w:rsidR="00000000" w14:paraId="0EB4C64B" w14:textId="77777777">
        <w:tc>
          <w:tcPr>
            <w:tcW w:w="0" w:type="auto"/>
            <w:shd w:val="clear" w:color="auto" w:fill="FFFFFF"/>
            <w:tcMar>
              <w:top w:w="0" w:type="dxa"/>
              <w:left w:w="200" w:type="dxa"/>
              <w:bottom w:w="0" w:type="dxa"/>
              <w:right w:w="0" w:type="dxa"/>
            </w:tcMar>
            <w:vAlign w:val="bottom"/>
            <w:hideMark/>
          </w:tcPr>
          <w:p w14:paraId="4B360FD2" w14:textId="77777777" w:rsidR="00000000" w:rsidRDefault="001826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7409C99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88CC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298260" w14:textId="77777777" w:rsidR="00000000" w:rsidRDefault="001826C1">
            <w:pPr>
              <w:jc w:val="right"/>
              <w:rPr>
                <w:rFonts w:eastAsia="Times New Roman"/>
                <w:sz w:val="20"/>
                <w:szCs w:val="20"/>
              </w:rPr>
            </w:pPr>
            <w:r>
              <w:rPr>
                <w:rFonts w:eastAsia="Times New Roman"/>
                <w:sz w:val="20"/>
                <w:szCs w:val="20"/>
              </w:rPr>
              <w:t>1,487,196</w:t>
            </w:r>
          </w:p>
        </w:tc>
        <w:tc>
          <w:tcPr>
            <w:tcW w:w="0" w:type="auto"/>
            <w:shd w:val="clear" w:color="auto" w:fill="FFFFFF"/>
            <w:vAlign w:val="bottom"/>
            <w:hideMark/>
          </w:tcPr>
          <w:p w14:paraId="087B69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DD3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29FF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35D07A" w14:textId="77777777" w:rsidR="00000000" w:rsidRDefault="001826C1">
            <w:pPr>
              <w:jc w:val="right"/>
              <w:rPr>
                <w:rFonts w:eastAsia="Times New Roman"/>
                <w:sz w:val="20"/>
                <w:szCs w:val="20"/>
              </w:rPr>
            </w:pPr>
            <w:r>
              <w:rPr>
                <w:rFonts w:eastAsia="Times New Roman"/>
                <w:sz w:val="20"/>
                <w:szCs w:val="20"/>
              </w:rPr>
              <w:t>34,619</w:t>
            </w:r>
          </w:p>
        </w:tc>
        <w:tc>
          <w:tcPr>
            <w:tcW w:w="0" w:type="auto"/>
            <w:shd w:val="clear" w:color="auto" w:fill="FFFFFF"/>
            <w:vAlign w:val="bottom"/>
            <w:hideMark/>
          </w:tcPr>
          <w:p w14:paraId="648BA0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BA3BE9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D2BD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6BA0F5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1AEC13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DB75EA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EB79A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4ABBBAF" w14:textId="77777777" w:rsidR="00000000" w:rsidRDefault="001826C1">
            <w:pPr>
              <w:jc w:val="right"/>
              <w:rPr>
                <w:rFonts w:eastAsia="Times New Roman"/>
                <w:sz w:val="20"/>
                <w:szCs w:val="20"/>
              </w:rPr>
            </w:pPr>
            <w:r>
              <w:rPr>
                <w:rFonts w:eastAsia="Times New Roman"/>
                <w:sz w:val="20"/>
                <w:szCs w:val="20"/>
              </w:rPr>
              <w:t>1,521,815</w:t>
            </w:r>
          </w:p>
        </w:tc>
        <w:tc>
          <w:tcPr>
            <w:tcW w:w="0" w:type="auto"/>
            <w:shd w:val="clear" w:color="auto" w:fill="FFFFFF"/>
            <w:vAlign w:val="bottom"/>
            <w:hideMark/>
          </w:tcPr>
          <w:p w14:paraId="5B4C06FC" w14:textId="77777777" w:rsidR="00000000" w:rsidRDefault="001826C1">
            <w:pPr>
              <w:rPr>
                <w:rFonts w:eastAsia="Times New Roman"/>
                <w:sz w:val="20"/>
                <w:szCs w:val="20"/>
              </w:rPr>
            </w:pPr>
            <w:r>
              <w:rPr>
                <w:rFonts w:eastAsia="Times New Roman"/>
                <w:sz w:val="20"/>
                <w:szCs w:val="20"/>
              </w:rPr>
              <w:t> </w:t>
            </w:r>
          </w:p>
        </w:tc>
      </w:tr>
      <w:tr w:rsidR="00000000" w14:paraId="7FA1964F" w14:textId="77777777">
        <w:tc>
          <w:tcPr>
            <w:tcW w:w="0" w:type="auto"/>
            <w:shd w:val="clear" w:color="auto" w:fill="CCEEFF"/>
            <w:tcMar>
              <w:top w:w="0" w:type="dxa"/>
              <w:left w:w="200" w:type="dxa"/>
              <w:bottom w:w="0" w:type="dxa"/>
              <w:right w:w="0" w:type="dxa"/>
            </w:tcMar>
            <w:vAlign w:val="bottom"/>
            <w:hideMark/>
          </w:tcPr>
          <w:p w14:paraId="4827EF6E" w14:textId="77777777" w:rsidR="00000000" w:rsidRDefault="001826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3F1934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EE3EB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2E9FA6F" w14:textId="77777777" w:rsidR="00000000" w:rsidRDefault="001826C1">
            <w:pPr>
              <w:jc w:val="right"/>
              <w:rPr>
                <w:rFonts w:eastAsia="Times New Roman"/>
                <w:sz w:val="20"/>
                <w:szCs w:val="20"/>
              </w:rPr>
            </w:pPr>
            <w:r>
              <w:rPr>
                <w:rFonts w:eastAsia="Times New Roman"/>
                <w:sz w:val="20"/>
                <w:szCs w:val="20"/>
              </w:rPr>
              <w:t>11,124,271</w:t>
            </w:r>
          </w:p>
        </w:tc>
        <w:tc>
          <w:tcPr>
            <w:tcW w:w="0" w:type="auto"/>
            <w:shd w:val="clear" w:color="auto" w:fill="CCEEFF"/>
            <w:vAlign w:val="bottom"/>
            <w:hideMark/>
          </w:tcPr>
          <w:p w14:paraId="65392E0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DA74A6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5DE91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68AA3BA" w14:textId="77777777" w:rsidR="00000000" w:rsidRDefault="001826C1">
            <w:pPr>
              <w:jc w:val="right"/>
              <w:rPr>
                <w:rFonts w:eastAsia="Times New Roman"/>
                <w:sz w:val="20"/>
                <w:szCs w:val="20"/>
              </w:rPr>
            </w:pPr>
            <w:r>
              <w:rPr>
                <w:rFonts w:eastAsia="Times New Roman"/>
                <w:sz w:val="20"/>
                <w:szCs w:val="20"/>
              </w:rPr>
              <w:t>2,066,522</w:t>
            </w:r>
          </w:p>
        </w:tc>
        <w:tc>
          <w:tcPr>
            <w:tcW w:w="0" w:type="auto"/>
            <w:shd w:val="clear" w:color="auto" w:fill="CCEEFF"/>
            <w:vAlign w:val="bottom"/>
            <w:hideMark/>
          </w:tcPr>
          <w:p w14:paraId="3FB8184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87F91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F6BC2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3FF0B6A" w14:textId="77777777" w:rsidR="00000000" w:rsidRDefault="001826C1">
            <w:pPr>
              <w:jc w:val="right"/>
              <w:rPr>
                <w:rFonts w:eastAsia="Times New Roman"/>
                <w:sz w:val="20"/>
                <w:szCs w:val="20"/>
              </w:rPr>
            </w:pPr>
            <w:r>
              <w:rPr>
                <w:rFonts w:eastAsia="Times New Roman"/>
                <w:sz w:val="20"/>
                <w:szCs w:val="20"/>
              </w:rPr>
              <w:t>4,721,004</w:t>
            </w:r>
          </w:p>
        </w:tc>
        <w:tc>
          <w:tcPr>
            <w:tcW w:w="0" w:type="auto"/>
            <w:shd w:val="clear" w:color="auto" w:fill="CCEEFF"/>
            <w:vAlign w:val="bottom"/>
            <w:hideMark/>
          </w:tcPr>
          <w:p w14:paraId="0A65B3E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B483C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3167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45F686A" w14:textId="77777777" w:rsidR="00000000" w:rsidRDefault="001826C1">
            <w:pPr>
              <w:jc w:val="right"/>
              <w:rPr>
                <w:rFonts w:eastAsia="Times New Roman"/>
                <w:sz w:val="20"/>
                <w:szCs w:val="20"/>
              </w:rPr>
            </w:pPr>
            <w:r>
              <w:rPr>
                <w:rFonts w:eastAsia="Times New Roman"/>
                <w:sz w:val="20"/>
                <w:szCs w:val="20"/>
              </w:rPr>
              <w:t>17,911,797</w:t>
            </w:r>
          </w:p>
        </w:tc>
        <w:tc>
          <w:tcPr>
            <w:tcW w:w="0" w:type="auto"/>
            <w:shd w:val="clear" w:color="auto" w:fill="CCEEFF"/>
            <w:vAlign w:val="bottom"/>
            <w:hideMark/>
          </w:tcPr>
          <w:p w14:paraId="6B3587A4" w14:textId="77777777" w:rsidR="00000000" w:rsidRDefault="001826C1">
            <w:pPr>
              <w:rPr>
                <w:rFonts w:eastAsia="Times New Roman"/>
                <w:sz w:val="20"/>
                <w:szCs w:val="20"/>
              </w:rPr>
            </w:pPr>
            <w:r>
              <w:rPr>
                <w:rFonts w:eastAsia="Times New Roman"/>
                <w:sz w:val="20"/>
                <w:szCs w:val="20"/>
              </w:rPr>
              <w:t> </w:t>
            </w:r>
          </w:p>
        </w:tc>
      </w:tr>
      <w:tr w:rsidR="00000000" w14:paraId="4E8376C0" w14:textId="77777777">
        <w:tc>
          <w:tcPr>
            <w:tcW w:w="0" w:type="auto"/>
            <w:shd w:val="clear" w:color="auto" w:fill="FFFFFF"/>
            <w:tcMar>
              <w:top w:w="0" w:type="dxa"/>
              <w:left w:w="200" w:type="dxa"/>
              <w:bottom w:w="0" w:type="dxa"/>
              <w:right w:w="0" w:type="dxa"/>
            </w:tcMar>
            <w:vAlign w:val="bottom"/>
            <w:hideMark/>
          </w:tcPr>
          <w:p w14:paraId="75105F17" w14:textId="77777777" w:rsidR="00000000" w:rsidRDefault="001826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101CE21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F19E25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0C4173" w14:textId="77777777" w:rsidR="00000000" w:rsidRDefault="001826C1">
            <w:pPr>
              <w:jc w:val="right"/>
              <w:rPr>
                <w:rFonts w:eastAsia="Times New Roman"/>
                <w:sz w:val="20"/>
                <w:szCs w:val="20"/>
              </w:rPr>
            </w:pPr>
            <w:r>
              <w:rPr>
                <w:rFonts w:eastAsia="Times New Roman"/>
                <w:sz w:val="20"/>
                <w:szCs w:val="20"/>
              </w:rPr>
              <w:t>870,780</w:t>
            </w:r>
          </w:p>
        </w:tc>
        <w:tc>
          <w:tcPr>
            <w:tcW w:w="0" w:type="auto"/>
            <w:shd w:val="clear" w:color="auto" w:fill="FFFFFF"/>
            <w:vAlign w:val="bottom"/>
            <w:hideMark/>
          </w:tcPr>
          <w:p w14:paraId="7437B49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816E5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77321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4C94DF6"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09C093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BDF24D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A955D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F38265E"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3824C0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500DFE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9B65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D94E0EB" w14:textId="77777777" w:rsidR="00000000" w:rsidRDefault="001826C1">
            <w:pPr>
              <w:jc w:val="right"/>
              <w:rPr>
                <w:rFonts w:eastAsia="Times New Roman"/>
                <w:sz w:val="20"/>
                <w:szCs w:val="20"/>
              </w:rPr>
            </w:pPr>
            <w:r>
              <w:rPr>
                <w:rFonts w:eastAsia="Times New Roman"/>
                <w:sz w:val="20"/>
                <w:szCs w:val="20"/>
              </w:rPr>
              <w:t>870,780</w:t>
            </w:r>
          </w:p>
        </w:tc>
        <w:tc>
          <w:tcPr>
            <w:tcW w:w="0" w:type="auto"/>
            <w:shd w:val="clear" w:color="auto" w:fill="FFFFFF"/>
            <w:vAlign w:val="bottom"/>
            <w:hideMark/>
          </w:tcPr>
          <w:p w14:paraId="23855E68" w14:textId="77777777" w:rsidR="00000000" w:rsidRDefault="001826C1">
            <w:pPr>
              <w:rPr>
                <w:rFonts w:eastAsia="Times New Roman"/>
                <w:sz w:val="20"/>
                <w:szCs w:val="20"/>
              </w:rPr>
            </w:pPr>
            <w:r>
              <w:rPr>
                <w:rFonts w:eastAsia="Times New Roman"/>
                <w:sz w:val="20"/>
                <w:szCs w:val="20"/>
              </w:rPr>
              <w:t> </w:t>
            </w:r>
          </w:p>
        </w:tc>
      </w:tr>
      <w:tr w:rsidR="00000000" w14:paraId="2E9EBAFD" w14:textId="77777777">
        <w:tc>
          <w:tcPr>
            <w:tcW w:w="0" w:type="auto"/>
            <w:shd w:val="clear" w:color="auto" w:fill="CCEEFF"/>
            <w:tcMar>
              <w:top w:w="0" w:type="dxa"/>
              <w:left w:w="200" w:type="dxa"/>
              <w:bottom w:w="0" w:type="dxa"/>
              <w:right w:w="0" w:type="dxa"/>
            </w:tcMar>
            <w:vAlign w:val="bottom"/>
            <w:hideMark/>
          </w:tcPr>
          <w:p w14:paraId="246F7BB8"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63E9FE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2DF4C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B79D27A" w14:textId="77777777" w:rsidR="00000000" w:rsidRDefault="001826C1">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14:paraId="3B8C8FC0"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vAlign w:val="bottom"/>
            <w:hideMark/>
          </w:tcPr>
          <w:p w14:paraId="1A73954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F32F7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15C047F"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22557D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A806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204F76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39525A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3BD1763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B014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70CCFF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19361CA" w14:textId="77777777" w:rsidR="00000000" w:rsidRDefault="001826C1">
            <w:pPr>
              <w:jc w:val="right"/>
              <w:rPr>
                <w:rFonts w:eastAsia="Times New Roman"/>
                <w:sz w:val="20"/>
                <w:szCs w:val="20"/>
              </w:rPr>
            </w:pPr>
            <w:r>
              <w:rPr>
                <w:rFonts w:eastAsia="Times New Roman"/>
                <w:sz w:val="20"/>
                <w:szCs w:val="20"/>
              </w:rPr>
              <w:t>(343,768</w:t>
            </w:r>
          </w:p>
        </w:tc>
        <w:tc>
          <w:tcPr>
            <w:tcW w:w="0" w:type="auto"/>
            <w:shd w:val="clear" w:color="auto" w:fill="CCEEFF"/>
            <w:vAlign w:val="bottom"/>
            <w:hideMark/>
          </w:tcPr>
          <w:p w14:paraId="6E1B7685" w14:textId="77777777" w:rsidR="00000000" w:rsidRDefault="001826C1">
            <w:pPr>
              <w:rPr>
                <w:rFonts w:eastAsia="Times New Roman"/>
                <w:sz w:val="20"/>
                <w:szCs w:val="20"/>
              </w:rPr>
            </w:pPr>
            <w:r>
              <w:rPr>
                <w:rFonts w:eastAsia="Times New Roman"/>
                <w:sz w:val="20"/>
                <w:szCs w:val="20"/>
              </w:rPr>
              <w:t>)</w:t>
            </w:r>
          </w:p>
        </w:tc>
      </w:tr>
      <w:tr w:rsidR="00000000" w14:paraId="02BF12EC" w14:textId="77777777">
        <w:tc>
          <w:tcPr>
            <w:tcW w:w="0" w:type="auto"/>
            <w:shd w:val="clear" w:color="auto" w:fill="FFFFFF"/>
            <w:tcMar>
              <w:top w:w="0" w:type="dxa"/>
              <w:left w:w="200" w:type="dxa"/>
              <w:bottom w:w="0" w:type="dxa"/>
              <w:right w:w="0" w:type="dxa"/>
            </w:tcMar>
            <w:vAlign w:val="bottom"/>
            <w:hideMark/>
          </w:tcPr>
          <w:p w14:paraId="1A783A54" w14:textId="77777777" w:rsidR="00000000" w:rsidRDefault="001826C1">
            <w:pPr>
              <w:rPr>
                <w:rFonts w:eastAsia="Times New Roman"/>
                <w:sz w:val="20"/>
                <w:szCs w:val="20"/>
              </w:rPr>
            </w:pPr>
            <w:r>
              <w:rPr>
                <w:rFonts w:eastAsia="Times New Roman"/>
                <w:sz w:val="20"/>
                <w:szCs w:val="20"/>
              </w:rPr>
              <w:t>Depreciation and amortization</w:t>
            </w:r>
          </w:p>
        </w:tc>
        <w:tc>
          <w:tcPr>
            <w:tcW w:w="0" w:type="auto"/>
            <w:shd w:val="clear" w:color="auto" w:fill="FFFFFF"/>
            <w:vAlign w:val="bottom"/>
            <w:hideMark/>
          </w:tcPr>
          <w:p w14:paraId="116267C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7333CA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3AA3E23" w14:textId="77777777" w:rsidR="00000000" w:rsidRDefault="001826C1">
            <w:pPr>
              <w:jc w:val="right"/>
              <w:rPr>
                <w:rFonts w:eastAsia="Times New Roman"/>
                <w:sz w:val="20"/>
                <w:szCs w:val="20"/>
              </w:rPr>
            </w:pPr>
            <w:r>
              <w:rPr>
                <w:rFonts w:eastAsia="Times New Roman"/>
                <w:sz w:val="20"/>
                <w:szCs w:val="20"/>
              </w:rPr>
              <w:t>2,689,240</w:t>
            </w:r>
          </w:p>
        </w:tc>
        <w:tc>
          <w:tcPr>
            <w:tcW w:w="0" w:type="auto"/>
            <w:shd w:val="clear" w:color="auto" w:fill="FFFFFF"/>
            <w:vAlign w:val="bottom"/>
            <w:hideMark/>
          </w:tcPr>
          <w:p w14:paraId="451EA76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408AFF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C54AF7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7DC3C4C" w14:textId="77777777" w:rsidR="00000000" w:rsidRDefault="001826C1">
            <w:pPr>
              <w:jc w:val="right"/>
              <w:rPr>
                <w:rFonts w:eastAsia="Times New Roman"/>
                <w:sz w:val="20"/>
                <w:szCs w:val="20"/>
              </w:rPr>
            </w:pPr>
            <w:r>
              <w:rPr>
                <w:rFonts w:eastAsia="Times New Roman"/>
                <w:sz w:val="20"/>
                <w:szCs w:val="20"/>
              </w:rPr>
              <w:t>316,366</w:t>
            </w:r>
          </w:p>
        </w:tc>
        <w:tc>
          <w:tcPr>
            <w:tcW w:w="0" w:type="auto"/>
            <w:shd w:val="clear" w:color="auto" w:fill="FFFFFF"/>
            <w:vAlign w:val="bottom"/>
            <w:hideMark/>
          </w:tcPr>
          <w:p w14:paraId="5702282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8CBDD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FFD56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4E11FE0"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B90881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2C1277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71466B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B52377" w14:textId="77777777" w:rsidR="00000000" w:rsidRDefault="001826C1">
            <w:pPr>
              <w:jc w:val="right"/>
              <w:rPr>
                <w:rFonts w:eastAsia="Times New Roman"/>
                <w:sz w:val="20"/>
                <w:szCs w:val="20"/>
              </w:rPr>
            </w:pPr>
            <w:r>
              <w:rPr>
                <w:rFonts w:eastAsia="Times New Roman"/>
                <w:sz w:val="20"/>
                <w:szCs w:val="20"/>
              </w:rPr>
              <w:t>3,005,606</w:t>
            </w:r>
          </w:p>
        </w:tc>
        <w:tc>
          <w:tcPr>
            <w:tcW w:w="0" w:type="auto"/>
            <w:shd w:val="clear" w:color="auto" w:fill="FFFFFF"/>
            <w:vAlign w:val="bottom"/>
            <w:hideMark/>
          </w:tcPr>
          <w:p w14:paraId="641E8AC8" w14:textId="77777777" w:rsidR="00000000" w:rsidRDefault="001826C1">
            <w:pPr>
              <w:rPr>
                <w:rFonts w:eastAsia="Times New Roman"/>
                <w:sz w:val="20"/>
                <w:szCs w:val="20"/>
              </w:rPr>
            </w:pPr>
            <w:r>
              <w:rPr>
                <w:rFonts w:eastAsia="Times New Roman"/>
                <w:sz w:val="20"/>
                <w:szCs w:val="20"/>
              </w:rPr>
              <w:t> </w:t>
            </w:r>
          </w:p>
        </w:tc>
      </w:tr>
      <w:tr w:rsidR="00000000" w14:paraId="09276ED6" w14:textId="77777777">
        <w:tc>
          <w:tcPr>
            <w:tcW w:w="0" w:type="auto"/>
            <w:shd w:val="clear" w:color="auto" w:fill="CCEEFF"/>
            <w:tcMar>
              <w:top w:w="0" w:type="dxa"/>
              <w:left w:w="200" w:type="dxa"/>
              <w:bottom w:w="0" w:type="dxa"/>
              <w:right w:w="0" w:type="dxa"/>
            </w:tcMar>
            <w:vAlign w:val="bottom"/>
            <w:hideMark/>
          </w:tcPr>
          <w:p w14:paraId="7745894D" w14:textId="77777777" w:rsidR="00000000" w:rsidRDefault="001826C1">
            <w:pPr>
              <w:rPr>
                <w:rFonts w:eastAsia="Times New Roman"/>
                <w:sz w:val="20"/>
                <w:szCs w:val="20"/>
              </w:rPr>
            </w:pPr>
            <w:r>
              <w:rPr>
                <w:rFonts w:eastAsia="Times New Roman"/>
                <w:sz w:val="20"/>
                <w:szCs w:val="20"/>
              </w:rPr>
              <w:t>Restructuring and impairment charges</w:t>
            </w:r>
          </w:p>
        </w:tc>
        <w:tc>
          <w:tcPr>
            <w:tcW w:w="0" w:type="auto"/>
            <w:shd w:val="clear" w:color="auto" w:fill="CCEEFF"/>
            <w:vAlign w:val="bottom"/>
            <w:hideMark/>
          </w:tcPr>
          <w:p w14:paraId="41B1373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469F836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0810B7D" w14:textId="77777777" w:rsidR="00000000" w:rsidRDefault="001826C1">
            <w:pPr>
              <w:jc w:val="right"/>
              <w:rPr>
                <w:rFonts w:eastAsia="Times New Roman"/>
                <w:sz w:val="20"/>
                <w:szCs w:val="20"/>
              </w:rPr>
            </w:pPr>
            <w:r>
              <w:rPr>
                <w:rFonts w:eastAsia="Times New Roman"/>
                <w:sz w:val="20"/>
                <w:szCs w:val="20"/>
              </w:rPr>
              <w:t>219,013</w:t>
            </w:r>
          </w:p>
        </w:tc>
        <w:tc>
          <w:tcPr>
            <w:tcW w:w="0" w:type="auto"/>
            <w:shd w:val="clear" w:color="auto" w:fill="CCEEFF"/>
            <w:vAlign w:val="bottom"/>
            <w:hideMark/>
          </w:tcPr>
          <w:p w14:paraId="21A2AB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88805A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54ED1C2"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BD1C88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0A06E71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DB52F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A0A94C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2F9DE2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6CD15F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4CFEE8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7FFB14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740B5A6" w14:textId="77777777" w:rsidR="00000000" w:rsidRDefault="001826C1">
            <w:pPr>
              <w:jc w:val="right"/>
              <w:rPr>
                <w:rFonts w:eastAsia="Times New Roman"/>
                <w:sz w:val="20"/>
                <w:szCs w:val="20"/>
              </w:rPr>
            </w:pPr>
            <w:r>
              <w:rPr>
                <w:rFonts w:eastAsia="Times New Roman"/>
                <w:sz w:val="20"/>
                <w:szCs w:val="20"/>
              </w:rPr>
              <w:t>219,013</w:t>
            </w:r>
          </w:p>
        </w:tc>
        <w:tc>
          <w:tcPr>
            <w:tcW w:w="0" w:type="auto"/>
            <w:shd w:val="clear" w:color="auto" w:fill="CCEEFF"/>
            <w:vAlign w:val="bottom"/>
            <w:hideMark/>
          </w:tcPr>
          <w:p w14:paraId="08859EBD" w14:textId="77777777" w:rsidR="00000000" w:rsidRDefault="001826C1">
            <w:pPr>
              <w:rPr>
                <w:rFonts w:eastAsia="Times New Roman"/>
                <w:sz w:val="20"/>
                <w:szCs w:val="20"/>
              </w:rPr>
            </w:pPr>
            <w:r>
              <w:rPr>
                <w:rFonts w:eastAsia="Times New Roman"/>
                <w:sz w:val="20"/>
                <w:szCs w:val="20"/>
              </w:rPr>
              <w:t> </w:t>
            </w:r>
          </w:p>
        </w:tc>
      </w:tr>
      <w:tr w:rsidR="00000000" w14:paraId="4EC0C73E" w14:textId="77777777">
        <w:tc>
          <w:tcPr>
            <w:tcW w:w="0" w:type="auto"/>
            <w:shd w:val="clear" w:color="auto" w:fill="FFFFFF"/>
            <w:tcMar>
              <w:top w:w="0" w:type="dxa"/>
              <w:left w:w="400" w:type="dxa"/>
              <w:bottom w:w="0" w:type="dxa"/>
              <w:right w:w="0" w:type="dxa"/>
            </w:tcMar>
            <w:vAlign w:val="bottom"/>
            <w:hideMark/>
          </w:tcPr>
          <w:p w14:paraId="48D3C7BB" w14:textId="77777777" w:rsidR="00000000" w:rsidRDefault="001826C1">
            <w:pPr>
              <w:rPr>
                <w:rFonts w:eastAsia="Times New Roman"/>
                <w:sz w:val="20"/>
                <w:szCs w:val="20"/>
              </w:rPr>
            </w:pPr>
            <w:r>
              <w:rPr>
                <w:rFonts w:eastAsia="Times New Roman"/>
                <w:sz w:val="20"/>
                <w:szCs w:val="20"/>
              </w:rPr>
              <w:t>Total operating expenses</w:t>
            </w:r>
          </w:p>
        </w:tc>
        <w:tc>
          <w:tcPr>
            <w:tcW w:w="0" w:type="auto"/>
            <w:shd w:val="clear" w:color="auto" w:fill="FFFFFF"/>
            <w:vAlign w:val="bottom"/>
            <w:hideMark/>
          </w:tcPr>
          <w:p w14:paraId="7FA22F6A"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C01F79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283F58E" w14:textId="77777777" w:rsidR="00000000" w:rsidRDefault="001826C1">
            <w:pPr>
              <w:jc w:val="right"/>
              <w:rPr>
                <w:rFonts w:eastAsia="Times New Roman"/>
                <w:sz w:val="20"/>
                <w:szCs w:val="20"/>
              </w:rPr>
            </w:pPr>
            <w:r>
              <w:rPr>
                <w:rFonts w:eastAsia="Times New Roman"/>
                <w:sz w:val="20"/>
                <w:szCs w:val="20"/>
              </w:rPr>
              <w:t>46,845,136</w:t>
            </w:r>
          </w:p>
        </w:tc>
        <w:tc>
          <w:tcPr>
            <w:tcW w:w="0" w:type="auto"/>
            <w:shd w:val="clear" w:color="auto" w:fill="FFFFFF"/>
            <w:vAlign w:val="bottom"/>
            <w:hideMark/>
          </w:tcPr>
          <w:p w14:paraId="5B702E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A30D3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F3F2A8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354E9F29" w14:textId="77777777" w:rsidR="00000000" w:rsidRDefault="001826C1">
            <w:pPr>
              <w:jc w:val="right"/>
              <w:rPr>
                <w:rFonts w:eastAsia="Times New Roman"/>
                <w:sz w:val="20"/>
                <w:szCs w:val="20"/>
              </w:rPr>
            </w:pPr>
            <w:r>
              <w:rPr>
                <w:rFonts w:eastAsia="Times New Roman"/>
                <w:sz w:val="20"/>
                <w:szCs w:val="20"/>
              </w:rPr>
              <w:t>12,805,127</w:t>
            </w:r>
          </w:p>
        </w:tc>
        <w:tc>
          <w:tcPr>
            <w:tcW w:w="0" w:type="auto"/>
            <w:shd w:val="clear" w:color="auto" w:fill="FFFFFF"/>
            <w:vAlign w:val="bottom"/>
            <w:hideMark/>
          </w:tcPr>
          <w:p w14:paraId="243CAAF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677424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836B6B8"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60CA6A2" w14:textId="77777777" w:rsidR="00000000" w:rsidRDefault="001826C1">
            <w:pPr>
              <w:jc w:val="right"/>
              <w:rPr>
                <w:rFonts w:eastAsia="Times New Roman"/>
                <w:sz w:val="20"/>
                <w:szCs w:val="20"/>
              </w:rPr>
            </w:pPr>
            <w:r>
              <w:rPr>
                <w:rFonts w:eastAsia="Times New Roman"/>
                <w:sz w:val="20"/>
                <w:szCs w:val="20"/>
              </w:rPr>
              <w:t>4,721,004</w:t>
            </w:r>
          </w:p>
        </w:tc>
        <w:tc>
          <w:tcPr>
            <w:tcW w:w="0" w:type="auto"/>
            <w:shd w:val="clear" w:color="auto" w:fill="FFFFFF"/>
            <w:vAlign w:val="bottom"/>
            <w:hideMark/>
          </w:tcPr>
          <w:p w14:paraId="7E615D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39EC7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13284C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6A1D7D05" w14:textId="77777777" w:rsidR="00000000" w:rsidRDefault="001826C1">
            <w:pPr>
              <w:jc w:val="right"/>
              <w:rPr>
                <w:rFonts w:eastAsia="Times New Roman"/>
                <w:sz w:val="20"/>
                <w:szCs w:val="20"/>
              </w:rPr>
            </w:pPr>
            <w:r>
              <w:rPr>
                <w:rFonts w:eastAsia="Times New Roman"/>
                <w:sz w:val="20"/>
                <w:szCs w:val="20"/>
              </w:rPr>
              <w:t>64,371,267</w:t>
            </w:r>
          </w:p>
        </w:tc>
        <w:tc>
          <w:tcPr>
            <w:tcW w:w="0" w:type="auto"/>
            <w:shd w:val="clear" w:color="auto" w:fill="FFFFFF"/>
            <w:vAlign w:val="bottom"/>
            <w:hideMark/>
          </w:tcPr>
          <w:p w14:paraId="08520CC6" w14:textId="77777777" w:rsidR="00000000" w:rsidRDefault="001826C1">
            <w:pPr>
              <w:rPr>
                <w:rFonts w:eastAsia="Times New Roman"/>
                <w:sz w:val="20"/>
                <w:szCs w:val="20"/>
              </w:rPr>
            </w:pPr>
            <w:r>
              <w:rPr>
                <w:rFonts w:eastAsia="Times New Roman"/>
                <w:sz w:val="20"/>
                <w:szCs w:val="20"/>
              </w:rPr>
              <w:t> </w:t>
            </w:r>
          </w:p>
        </w:tc>
      </w:tr>
      <w:tr w:rsidR="00000000" w14:paraId="1C918B82" w14:textId="77777777">
        <w:tc>
          <w:tcPr>
            <w:tcW w:w="0" w:type="auto"/>
            <w:shd w:val="clear" w:color="auto" w:fill="CCEEFF"/>
            <w:tcMar>
              <w:top w:w="0" w:type="dxa"/>
              <w:left w:w="0" w:type="dxa"/>
              <w:bottom w:w="50" w:type="dxa"/>
              <w:right w:w="0" w:type="dxa"/>
            </w:tcMar>
            <w:vAlign w:val="bottom"/>
            <w:hideMark/>
          </w:tcPr>
          <w:p w14:paraId="54A88205" w14:textId="77777777" w:rsidR="00000000" w:rsidRDefault="001826C1">
            <w:pPr>
              <w:rPr>
                <w:rFonts w:eastAsia="Times New Roman"/>
                <w:sz w:val="20"/>
                <w:szCs w:val="20"/>
              </w:rPr>
            </w:pPr>
            <w:r>
              <w:rPr>
                <w:rFonts w:eastAsia="Times New Roman"/>
                <w:sz w:val="20"/>
                <w:szCs w:val="20"/>
              </w:rPr>
              <w:t>Operating income (loss)</w:t>
            </w:r>
          </w:p>
        </w:tc>
        <w:tc>
          <w:tcPr>
            <w:tcW w:w="0" w:type="auto"/>
            <w:shd w:val="clear" w:color="auto" w:fill="CCEEFF"/>
            <w:tcMar>
              <w:top w:w="0" w:type="dxa"/>
              <w:left w:w="0" w:type="dxa"/>
              <w:bottom w:w="50" w:type="dxa"/>
              <w:right w:w="0" w:type="dxa"/>
            </w:tcMar>
            <w:vAlign w:val="bottom"/>
            <w:hideMark/>
          </w:tcPr>
          <w:p w14:paraId="5F90D44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522BA4AB"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6F5912E7" w14:textId="77777777" w:rsidR="00000000" w:rsidRDefault="001826C1">
            <w:pPr>
              <w:jc w:val="right"/>
              <w:rPr>
                <w:rFonts w:eastAsia="Times New Roman"/>
                <w:sz w:val="20"/>
                <w:szCs w:val="20"/>
              </w:rPr>
            </w:pPr>
            <w:r>
              <w:rPr>
                <w:rFonts w:eastAsia="Times New Roman"/>
                <w:sz w:val="20"/>
                <w:szCs w:val="20"/>
              </w:rPr>
              <w:t>4,326,372</w:t>
            </w:r>
          </w:p>
        </w:tc>
        <w:tc>
          <w:tcPr>
            <w:tcW w:w="0" w:type="auto"/>
            <w:shd w:val="clear" w:color="auto" w:fill="CCEEFF"/>
            <w:tcMar>
              <w:top w:w="0" w:type="dxa"/>
              <w:left w:w="0" w:type="dxa"/>
              <w:bottom w:w="50" w:type="dxa"/>
              <w:right w:w="0" w:type="dxa"/>
            </w:tcMar>
            <w:vAlign w:val="bottom"/>
            <w:hideMark/>
          </w:tcPr>
          <w:p w14:paraId="47371F8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28C06DC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79415EC9"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5BDE34E3" w14:textId="77777777" w:rsidR="00000000" w:rsidRDefault="001826C1">
            <w:pPr>
              <w:jc w:val="right"/>
              <w:rPr>
                <w:rFonts w:eastAsia="Times New Roman"/>
                <w:sz w:val="20"/>
                <w:szCs w:val="20"/>
              </w:rPr>
            </w:pPr>
            <w:r>
              <w:rPr>
                <w:rFonts w:eastAsia="Times New Roman"/>
                <w:sz w:val="20"/>
                <w:szCs w:val="20"/>
              </w:rPr>
              <w:t>461,959</w:t>
            </w:r>
          </w:p>
        </w:tc>
        <w:tc>
          <w:tcPr>
            <w:tcW w:w="0" w:type="auto"/>
            <w:shd w:val="clear" w:color="auto" w:fill="CCEEFF"/>
            <w:tcMar>
              <w:top w:w="0" w:type="dxa"/>
              <w:left w:w="0" w:type="dxa"/>
              <w:bottom w:w="50" w:type="dxa"/>
              <w:right w:w="0" w:type="dxa"/>
            </w:tcMar>
            <w:vAlign w:val="bottom"/>
            <w:hideMark/>
          </w:tcPr>
          <w:p w14:paraId="769FC9A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14:paraId="6B07AF55"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20DE3B67"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0899AB13" w14:textId="77777777" w:rsidR="00000000" w:rsidRDefault="001826C1">
            <w:pPr>
              <w:jc w:val="right"/>
              <w:rPr>
                <w:rFonts w:eastAsia="Times New Roman"/>
                <w:sz w:val="20"/>
                <w:szCs w:val="20"/>
              </w:rPr>
            </w:pPr>
            <w:r>
              <w:rPr>
                <w:rFonts w:eastAsia="Times New Roman"/>
                <w:sz w:val="20"/>
                <w:szCs w:val="20"/>
              </w:rPr>
              <w:t>(4,721,004</w:t>
            </w:r>
          </w:p>
        </w:tc>
        <w:tc>
          <w:tcPr>
            <w:tcW w:w="0" w:type="auto"/>
            <w:shd w:val="clear" w:color="auto" w:fill="CCEEFF"/>
            <w:tcMar>
              <w:top w:w="0" w:type="dxa"/>
              <w:left w:w="0" w:type="dxa"/>
              <w:bottom w:w="50" w:type="dxa"/>
              <w:right w:w="0" w:type="dxa"/>
            </w:tcMar>
            <w:vAlign w:val="bottom"/>
            <w:hideMark/>
          </w:tcPr>
          <w:p w14:paraId="0A44A46A"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14:paraId="066425F1"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14:paraId="4B104134"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14:paraId="49A239A3" w14:textId="77777777" w:rsidR="00000000" w:rsidRDefault="001826C1">
            <w:pPr>
              <w:jc w:val="right"/>
              <w:rPr>
                <w:rFonts w:eastAsia="Times New Roman"/>
                <w:sz w:val="20"/>
                <w:szCs w:val="20"/>
              </w:rPr>
            </w:pPr>
            <w:r>
              <w:rPr>
                <w:rFonts w:eastAsia="Times New Roman"/>
                <w:sz w:val="20"/>
                <w:szCs w:val="20"/>
              </w:rPr>
              <w:t>67,327</w:t>
            </w:r>
          </w:p>
        </w:tc>
        <w:tc>
          <w:tcPr>
            <w:tcW w:w="0" w:type="auto"/>
            <w:shd w:val="clear" w:color="auto" w:fill="CCEEFF"/>
            <w:tcMar>
              <w:top w:w="0" w:type="dxa"/>
              <w:left w:w="0" w:type="dxa"/>
              <w:bottom w:w="50" w:type="dxa"/>
              <w:right w:w="0" w:type="dxa"/>
            </w:tcMar>
            <w:vAlign w:val="bottom"/>
            <w:hideMark/>
          </w:tcPr>
          <w:p w14:paraId="6F8A0292" w14:textId="77777777" w:rsidR="00000000" w:rsidRDefault="001826C1">
            <w:pPr>
              <w:rPr>
                <w:rFonts w:eastAsia="Times New Roman"/>
                <w:sz w:val="20"/>
                <w:szCs w:val="20"/>
              </w:rPr>
            </w:pPr>
            <w:r>
              <w:rPr>
                <w:rFonts w:eastAsia="Times New Roman"/>
                <w:sz w:val="20"/>
                <w:szCs w:val="20"/>
              </w:rPr>
              <w:t> </w:t>
            </w:r>
          </w:p>
        </w:tc>
      </w:tr>
    </w:tbl>
    <w:p w14:paraId="16A1C66E"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3C14531F" w14:textId="77777777">
        <w:trPr>
          <w:divId w:val="615016408"/>
        </w:trPr>
        <w:tc>
          <w:tcPr>
            <w:tcW w:w="5000" w:type="pct"/>
            <w:hideMark/>
          </w:tcPr>
          <w:p w14:paraId="57463962"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3</w:t>
            </w:r>
          </w:p>
        </w:tc>
      </w:tr>
    </w:tbl>
    <w:tbl>
      <w:tblPr>
        <w:tblW w:w="5000" w:type="pct"/>
        <w:tblCellMar>
          <w:left w:w="0" w:type="dxa"/>
          <w:right w:w="0" w:type="dxa"/>
        </w:tblCellMar>
        <w:tblLook w:val="04A0" w:firstRow="1" w:lastRow="0" w:firstColumn="1" w:lastColumn="0" w:noHBand="0" w:noVBand="1"/>
      </w:tblPr>
      <w:tblGrid>
        <w:gridCol w:w="8306"/>
      </w:tblGrid>
      <w:tr w:rsidR="00000000" w14:paraId="230C2A6C" w14:textId="77777777">
        <w:tc>
          <w:tcPr>
            <w:tcW w:w="5000" w:type="pct"/>
            <w:hideMark/>
          </w:tcPr>
          <w:p w14:paraId="72C5A307" w14:textId="77777777" w:rsidR="00000000" w:rsidRDefault="001826C1">
            <w:pPr>
              <w:jc w:val="center"/>
              <w:rPr>
                <w:rFonts w:eastAsia="Times New Roman"/>
                <w:sz w:val="20"/>
                <w:szCs w:val="20"/>
              </w:rPr>
            </w:pPr>
            <w:r>
              <w:rPr>
                <w:rFonts w:eastAsia="Times New Roman"/>
                <w:sz w:val="20"/>
                <w:szCs w:val="20"/>
              </w:rPr>
              <w:t> </w:t>
            </w:r>
          </w:p>
        </w:tc>
      </w:tr>
    </w:tbl>
    <w:p w14:paraId="24C433D9" w14:textId="77777777" w:rsidR="00000000" w:rsidRDefault="001826C1">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981"/>
        <w:gridCol w:w="157"/>
        <w:gridCol w:w="100"/>
        <w:gridCol w:w="988"/>
        <w:gridCol w:w="74"/>
        <w:gridCol w:w="157"/>
        <w:gridCol w:w="101"/>
        <w:gridCol w:w="1035"/>
        <w:gridCol w:w="74"/>
        <w:gridCol w:w="157"/>
        <w:gridCol w:w="101"/>
        <w:gridCol w:w="988"/>
        <w:gridCol w:w="74"/>
        <w:gridCol w:w="157"/>
        <w:gridCol w:w="100"/>
        <w:gridCol w:w="988"/>
        <w:gridCol w:w="74"/>
      </w:tblGrid>
      <w:tr w:rsidR="00000000" w14:paraId="3C522457" w14:textId="77777777">
        <w:tc>
          <w:tcPr>
            <w:tcW w:w="0" w:type="auto"/>
            <w:vAlign w:val="bottom"/>
            <w:hideMark/>
          </w:tcPr>
          <w:p w14:paraId="1605D1AB"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78494BAF" w14:textId="77777777" w:rsidR="00000000" w:rsidRDefault="001826C1">
            <w:pPr>
              <w:rPr>
                <w:rFonts w:eastAsia="Times New Roman"/>
                <w:b/>
                <w:bCs/>
                <w:sz w:val="20"/>
                <w:szCs w:val="20"/>
              </w:rPr>
            </w:pPr>
            <w:r>
              <w:rPr>
                <w:rFonts w:eastAsia="Times New Roman"/>
                <w:b/>
                <w:bCs/>
                <w:sz w:val="20"/>
                <w:szCs w:val="20"/>
              </w:rPr>
              <w:t> </w:t>
            </w:r>
          </w:p>
        </w:tc>
        <w:tc>
          <w:tcPr>
            <w:tcW w:w="0" w:type="auto"/>
            <w:gridSpan w:val="14"/>
            <w:tcBorders>
              <w:bottom w:val="single" w:sz="12" w:space="0" w:color="000000"/>
            </w:tcBorders>
            <w:vAlign w:val="bottom"/>
            <w:hideMark/>
          </w:tcPr>
          <w:p w14:paraId="2EE96C1D" w14:textId="77777777" w:rsidR="00000000" w:rsidRDefault="001826C1">
            <w:pPr>
              <w:jc w:val="center"/>
              <w:rPr>
                <w:rFonts w:eastAsia="Times New Roman"/>
                <w:b/>
                <w:bCs/>
                <w:sz w:val="20"/>
                <w:szCs w:val="20"/>
              </w:rPr>
            </w:pPr>
            <w:r>
              <w:rPr>
                <w:rFonts w:eastAsia="Times New Roman"/>
                <w:b/>
                <w:bCs/>
                <w:sz w:val="20"/>
                <w:szCs w:val="20"/>
              </w:rPr>
              <w:t>Year Ended December 31, 2018</w:t>
            </w:r>
          </w:p>
        </w:tc>
        <w:tc>
          <w:tcPr>
            <w:tcW w:w="0" w:type="auto"/>
            <w:tcMar>
              <w:top w:w="0" w:type="dxa"/>
              <w:left w:w="0" w:type="dxa"/>
              <w:bottom w:w="30" w:type="dxa"/>
              <w:right w:w="0" w:type="dxa"/>
            </w:tcMar>
            <w:vAlign w:val="bottom"/>
            <w:hideMark/>
          </w:tcPr>
          <w:p w14:paraId="4BE571F8" w14:textId="77777777" w:rsidR="00000000" w:rsidRDefault="001826C1">
            <w:pPr>
              <w:rPr>
                <w:rFonts w:eastAsia="Times New Roman"/>
                <w:b/>
                <w:bCs/>
                <w:sz w:val="20"/>
                <w:szCs w:val="20"/>
              </w:rPr>
            </w:pPr>
            <w:r>
              <w:rPr>
                <w:rFonts w:eastAsia="Times New Roman"/>
                <w:b/>
                <w:bCs/>
                <w:sz w:val="20"/>
                <w:szCs w:val="20"/>
              </w:rPr>
              <w:t> </w:t>
            </w:r>
          </w:p>
        </w:tc>
      </w:tr>
      <w:tr w:rsidR="00000000" w14:paraId="014F6BB4" w14:textId="77777777">
        <w:tc>
          <w:tcPr>
            <w:tcW w:w="0" w:type="auto"/>
            <w:tcMar>
              <w:top w:w="0" w:type="dxa"/>
              <w:left w:w="0" w:type="dxa"/>
              <w:bottom w:w="30" w:type="dxa"/>
              <w:right w:w="0" w:type="dxa"/>
            </w:tcMar>
            <w:vAlign w:val="bottom"/>
            <w:hideMark/>
          </w:tcPr>
          <w:p w14:paraId="3648F100"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27526D36"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20346CC9" w14:textId="77777777" w:rsidR="00000000" w:rsidRDefault="001826C1">
            <w:pPr>
              <w:jc w:val="center"/>
              <w:rPr>
                <w:rFonts w:eastAsia="Times New Roman"/>
                <w:b/>
                <w:bCs/>
                <w:sz w:val="20"/>
                <w:szCs w:val="20"/>
              </w:rPr>
            </w:pPr>
            <w:r>
              <w:rPr>
                <w:rFonts w:eastAsia="Times New Roman"/>
                <w:b/>
                <w:bCs/>
                <w:sz w:val="20"/>
                <w:szCs w:val="20"/>
              </w:rPr>
              <w:t>Healthcare IT</w:t>
            </w:r>
          </w:p>
        </w:tc>
        <w:tc>
          <w:tcPr>
            <w:tcW w:w="0" w:type="auto"/>
            <w:tcMar>
              <w:top w:w="0" w:type="dxa"/>
              <w:left w:w="0" w:type="dxa"/>
              <w:bottom w:w="30" w:type="dxa"/>
              <w:right w:w="0" w:type="dxa"/>
            </w:tcMar>
            <w:vAlign w:val="bottom"/>
            <w:hideMark/>
          </w:tcPr>
          <w:p w14:paraId="163E2F64"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6AACD708"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03C24798" w14:textId="77777777" w:rsidR="00000000" w:rsidRDefault="001826C1">
            <w:pPr>
              <w:jc w:val="center"/>
              <w:rPr>
                <w:rFonts w:eastAsia="Times New Roman"/>
                <w:b/>
                <w:bCs/>
                <w:sz w:val="20"/>
                <w:szCs w:val="20"/>
              </w:rPr>
            </w:pPr>
            <w:r>
              <w:rPr>
                <w:rFonts w:eastAsia="Times New Roman"/>
                <w:b/>
                <w:bCs/>
                <w:sz w:val="20"/>
                <w:szCs w:val="20"/>
              </w:rPr>
              <w:t>Practice Management</w:t>
            </w:r>
          </w:p>
        </w:tc>
        <w:tc>
          <w:tcPr>
            <w:tcW w:w="0" w:type="auto"/>
            <w:tcMar>
              <w:top w:w="0" w:type="dxa"/>
              <w:left w:w="0" w:type="dxa"/>
              <w:bottom w:w="30" w:type="dxa"/>
              <w:right w:w="0" w:type="dxa"/>
            </w:tcMar>
            <w:vAlign w:val="bottom"/>
            <w:hideMark/>
          </w:tcPr>
          <w:p w14:paraId="4F414518"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16049060"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48236082" w14:textId="77777777" w:rsidR="00000000" w:rsidRDefault="001826C1">
            <w:pPr>
              <w:jc w:val="center"/>
              <w:rPr>
                <w:rFonts w:eastAsia="Times New Roman"/>
                <w:b/>
                <w:bCs/>
                <w:sz w:val="20"/>
                <w:szCs w:val="20"/>
              </w:rPr>
            </w:pPr>
            <w:r>
              <w:rPr>
                <w:rFonts w:eastAsia="Times New Roman"/>
                <w:b/>
                <w:bCs/>
                <w:sz w:val="20"/>
                <w:szCs w:val="20"/>
              </w:rPr>
              <w:t>Unallocated</w:t>
            </w:r>
            <w:r>
              <w:rPr>
                <w:rFonts w:eastAsia="Times New Roman"/>
                <w:b/>
                <w:bCs/>
                <w:sz w:val="20"/>
                <w:szCs w:val="20"/>
              </w:rPr>
              <w:br/>
              <w:t xml:space="preserve">Corporate </w:t>
            </w:r>
            <w:r>
              <w:rPr>
                <w:rFonts w:eastAsia="Times New Roman"/>
                <w:b/>
                <w:bCs/>
                <w:sz w:val="20"/>
                <w:szCs w:val="20"/>
              </w:rPr>
              <w:br/>
              <w:t>Expenses</w:t>
            </w:r>
          </w:p>
        </w:tc>
        <w:tc>
          <w:tcPr>
            <w:tcW w:w="0" w:type="auto"/>
            <w:tcMar>
              <w:top w:w="0" w:type="dxa"/>
              <w:left w:w="0" w:type="dxa"/>
              <w:bottom w:w="30" w:type="dxa"/>
              <w:right w:w="0" w:type="dxa"/>
            </w:tcMar>
            <w:vAlign w:val="bottom"/>
            <w:hideMark/>
          </w:tcPr>
          <w:p w14:paraId="103A2675"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1E21811"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79C21B8A" w14:textId="77777777" w:rsidR="00000000" w:rsidRDefault="001826C1">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14:paraId="26A77565" w14:textId="77777777" w:rsidR="00000000" w:rsidRDefault="001826C1">
            <w:pPr>
              <w:rPr>
                <w:rFonts w:eastAsia="Times New Roman"/>
                <w:b/>
                <w:bCs/>
                <w:sz w:val="20"/>
                <w:szCs w:val="20"/>
              </w:rPr>
            </w:pPr>
            <w:r>
              <w:rPr>
                <w:rFonts w:eastAsia="Times New Roman"/>
                <w:b/>
                <w:bCs/>
                <w:sz w:val="20"/>
                <w:szCs w:val="20"/>
              </w:rPr>
              <w:t> </w:t>
            </w:r>
          </w:p>
        </w:tc>
      </w:tr>
      <w:tr w:rsidR="00000000" w14:paraId="0650BA8D" w14:textId="77777777">
        <w:tc>
          <w:tcPr>
            <w:tcW w:w="1800" w:type="pct"/>
            <w:shd w:val="clear" w:color="auto" w:fill="CCEEFF"/>
            <w:vAlign w:val="bottom"/>
            <w:hideMark/>
          </w:tcPr>
          <w:p w14:paraId="5EE37ADB" w14:textId="77777777" w:rsidR="00000000" w:rsidRDefault="001826C1">
            <w:pPr>
              <w:rPr>
                <w:rFonts w:eastAsia="Times New Roman"/>
                <w:sz w:val="20"/>
                <w:szCs w:val="20"/>
              </w:rPr>
            </w:pPr>
            <w:r>
              <w:rPr>
                <w:rFonts w:eastAsia="Times New Roman"/>
                <w:sz w:val="20"/>
                <w:szCs w:val="20"/>
              </w:rPr>
              <w:t>Net revenue</w:t>
            </w:r>
          </w:p>
        </w:tc>
        <w:tc>
          <w:tcPr>
            <w:tcW w:w="100" w:type="pct"/>
            <w:shd w:val="clear" w:color="auto" w:fill="CCEEFF"/>
            <w:vAlign w:val="bottom"/>
            <w:hideMark/>
          </w:tcPr>
          <w:p w14:paraId="57ED12AD"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CF26A76"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3AEB151F" w14:textId="77777777" w:rsidR="00000000" w:rsidRDefault="001826C1">
            <w:pPr>
              <w:jc w:val="right"/>
              <w:rPr>
                <w:rFonts w:eastAsia="Times New Roman"/>
                <w:sz w:val="20"/>
                <w:szCs w:val="20"/>
              </w:rPr>
            </w:pPr>
            <w:r>
              <w:rPr>
                <w:rFonts w:eastAsia="Times New Roman"/>
                <w:sz w:val="20"/>
                <w:szCs w:val="20"/>
              </w:rPr>
              <w:t>44,044,700</w:t>
            </w:r>
          </w:p>
        </w:tc>
        <w:tc>
          <w:tcPr>
            <w:tcW w:w="50" w:type="pct"/>
            <w:shd w:val="clear" w:color="auto" w:fill="CCEEFF"/>
            <w:vAlign w:val="bottom"/>
            <w:hideMark/>
          </w:tcPr>
          <w:p w14:paraId="67962173"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58E14CB"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36C06552"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0DFBCFC3" w14:textId="77777777" w:rsidR="00000000" w:rsidRDefault="001826C1">
            <w:pPr>
              <w:jc w:val="right"/>
              <w:rPr>
                <w:rFonts w:eastAsia="Times New Roman"/>
                <w:sz w:val="20"/>
                <w:szCs w:val="20"/>
              </w:rPr>
            </w:pPr>
            <w:r>
              <w:rPr>
                <w:rFonts w:eastAsia="Times New Roman"/>
                <w:sz w:val="20"/>
                <w:szCs w:val="20"/>
              </w:rPr>
              <w:t>6,501,081</w:t>
            </w:r>
          </w:p>
        </w:tc>
        <w:tc>
          <w:tcPr>
            <w:tcW w:w="50" w:type="pct"/>
            <w:shd w:val="clear" w:color="auto" w:fill="CCEEFF"/>
            <w:vAlign w:val="bottom"/>
            <w:hideMark/>
          </w:tcPr>
          <w:p w14:paraId="105E1E92"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05C77965"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5088CD90"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2B42FE28" w14:textId="77777777" w:rsidR="00000000" w:rsidRDefault="001826C1">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14:paraId="441D0D23"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298DD1EE"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40BB659D" w14:textId="77777777" w:rsidR="00000000" w:rsidRDefault="001826C1">
            <w:pPr>
              <w:rPr>
                <w:rFonts w:eastAsia="Times New Roman"/>
                <w:sz w:val="20"/>
                <w:szCs w:val="20"/>
              </w:rPr>
            </w:pPr>
            <w:r>
              <w:rPr>
                <w:rFonts w:eastAsia="Times New Roman"/>
                <w:sz w:val="20"/>
                <w:szCs w:val="20"/>
              </w:rPr>
              <w:t>$</w:t>
            </w:r>
          </w:p>
        </w:tc>
        <w:tc>
          <w:tcPr>
            <w:tcW w:w="600" w:type="pct"/>
            <w:shd w:val="clear" w:color="auto" w:fill="CCEEFF"/>
            <w:vAlign w:val="bottom"/>
            <w:hideMark/>
          </w:tcPr>
          <w:p w14:paraId="7035FCD1" w14:textId="77777777" w:rsidR="00000000" w:rsidRDefault="001826C1">
            <w:pPr>
              <w:jc w:val="right"/>
              <w:rPr>
                <w:rFonts w:eastAsia="Times New Roman"/>
                <w:sz w:val="20"/>
                <w:szCs w:val="20"/>
              </w:rPr>
            </w:pPr>
            <w:r>
              <w:rPr>
                <w:rFonts w:eastAsia="Times New Roman"/>
                <w:sz w:val="20"/>
                <w:szCs w:val="20"/>
              </w:rPr>
              <w:t>50,545,781</w:t>
            </w:r>
          </w:p>
        </w:tc>
        <w:tc>
          <w:tcPr>
            <w:tcW w:w="50" w:type="pct"/>
            <w:shd w:val="clear" w:color="auto" w:fill="CCEEFF"/>
            <w:vAlign w:val="bottom"/>
            <w:hideMark/>
          </w:tcPr>
          <w:p w14:paraId="6230D463" w14:textId="77777777" w:rsidR="00000000" w:rsidRDefault="001826C1">
            <w:pPr>
              <w:rPr>
                <w:rFonts w:eastAsia="Times New Roman"/>
                <w:sz w:val="20"/>
                <w:szCs w:val="20"/>
              </w:rPr>
            </w:pPr>
            <w:r>
              <w:rPr>
                <w:rFonts w:eastAsia="Times New Roman"/>
                <w:sz w:val="20"/>
                <w:szCs w:val="20"/>
              </w:rPr>
              <w:t> </w:t>
            </w:r>
          </w:p>
        </w:tc>
      </w:tr>
      <w:tr w:rsidR="00000000" w14:paraId="225E6AAD" w14:textId="77777777">
        <w:tc>
          <w:tcPr>
            <w:tcW w:w="0" w:type="auto"/>
            <w:shd w:val="clear" w:color="auto" w:fill="FFFFFF"/>
            <w:vAlign w:val="bottom"/>
            <w:hideMark/>
          </w:tcPr>
          <w:p w14:paraId="62116BDE" w14:textId="77777777" w:rsidR="00000000" w:rsidRDefault="001826C1">
            <w:pPr>
              <w:rPr>
                <w:rFonts w:eastAsia="Times New Roman"/>
                <w:sz w:val="20"/>
                <w:szCs w:val="20"/>
              </w:rPr>
            </w:pPr>
            <w:r>
              <w:rPr>
                <w:rFonts w:eastAsia="Times New Roman"/>
                <w:sz w:val="20"/>
                <w:szCs w:val="20"/>
              </w:rPr>
              <w:t>Operating expenses:</w:t>
            </w:r>
          </w:p>
        </w:tc>
        <w:tc>
          <w:tcPr>
            <w:tcW w:w="0" w:type="auto"/>
            <w:shd w:val="clear" w:color="auto" w:fill="FFFFFF"/>
            <w:vAlign w:val="bottom"/>
            <w:hideMark/>
          </w:tcPr>
          <w:p w14:paraId="516409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5D7E0E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5DAB316"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215384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31D854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E8E4A7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3CB52A9"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2A2EBCF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132F1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102280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C73204"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76D6C5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6792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868D4E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8BBBCEA" w14:textId="77777777" w:rsidR="00000000" w:rsidRDefault="001826C1">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14:paraId="354B3C8B" w14:textId="77777777" w:rsidR="00000000" w:rsidRDefault="001826C1">
            <w:pPr>
              <w:rPr>
                <w:rFonts w:eastAsia="Times New Roman"/>
                <w:sz w:val="20"/>
                <w:szCs w:val="20"/>
              </w:rPr>
            </w:pPr>
            <w:r>
              <w:rPr>
                <w:rFonts w:eastAsia="Times New Roman"/>
                <w:sz w:val="20"/>
                <w:szCs w:val="20"/>
              </w:rPr>
              <w:t> </w:t>
            </w:r>
          </w:p>
        </w:tc>
      </w:tr>
      <w:tr w:rsidR="00000000" w14:paraId="69990960" w14:textId="77777777">
        <w:tc>
          <w:tcPr>
            <w:tcW w:w="0" w:type="auto"/>
            <w:shd w:val="clear" w:color="auto" w:fill="CCEEFF"/>
            <w:tcMar>
              <w:top w:w="0" w:type="dxa"/>
              <w:left w:w="200" w:type="dxa"/>
              <w:bottom w:w="0" w:type="dxa"/>
              <w:right w:w="0" w:type="dxa"/>
            </w:tcMar>
            <w:vAlign w:val="bottom"/>
            <w:hideMark/>
          </w:tcPr>
          <w:p w14:paraId="1B2F41F2" w14:textId="77777777" w:rsidR="00000000" w:rsidRDefault="001826C1">
            <w:pPr>
              <w:rPr>
                <w:rFonts w:eastAsia="Times New Roman"/>
                <w:sz w:val="20"/>
                <w:szCs w:val="20"/>
              </w:rPr>
            </w:pPr>
            <w:r>
              <w:rPr>
                <w:rFonts w:eastAsia="Times New Roman"/>
                <w:sz w:val="20"/>
                <w:szCs w:val="20"/>
              </w:rPr>
              <w:t>Direct operating costs</w:t>
            </w:r>
          </w:p>
        </w:tc>
        <w:tc>
          <w:tcPr>
            <w:tcW w:w="0" w:type="auto"/>
            <w:shd w:val="clear" w:color="auto" w:fill="CCEEFF"/>
            <w:vAlign w:val="bottom"/>
            <w:hideMark/>
          </w:tcPr>
          <w:p w14:paraId="7F01A53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D2D54E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F1EF4DD" w14:textId="77777777" w:rsidR="00000000" w:rsidRDefault="001826C1">
            <w:pPr>
              <w:jc w:val="right"/>
              <w:rPr>
                <w:rFonts w:eastAsia="Times New Roman"/>
                <w:sz w:val="20"/>
                <w:szCs w:val="20"/>
              </w:rPr>
            </w:pPr>
            <w:r>
              <w:rPr>
                <w:rFonts w:eastAsia="Times New Roman"/>
                <w:sz w:val="20"/>
                <w:szCs w:val="20"/>
              </w:rPr>
              <w:t>26,289,770</w:t>
            </w:r>
          </w:p>
        </w:tc>
        <w:tc>
          <w:tcPr>
            <w:tcW w:w="0" w:type="auto"/>
            <w:shd w:val="clear" w:color="auto" w:fill="CCEEFF"/>
            <w:vAlign w:val="bottom"/>
            <w:hideMark/>
          </w:tcPr>
          <w:p w14:paraId="71A49F1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37944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374DC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AAF9013" w14:textId="77777777" w:rsidR="00000000" w:rsidRDefault="001826C1">
            <w:pPr>
              <w:jc w:val="right"/>
              <w:rPr>
                <w:rFonts w:eastAsia="Times New Roman"/>
                <w:sz w:val="20"/>
                <w:szCs w:val="20"/>
              </w:rPr>
            </w:pPr>
            <w:r>
              <w:rPr>
                <w:rFonts w:eastAsia="Times New Roman"/>
                <w:sz w:val="20"/>
                <w:szCs w:val="20"/>
              </w:rPr>
              <w:t>4,962,765</w:t>
            </w:r>
          </w:p>
        </w:tc>
        <w:tc>
          <w:tcPr>
            <w:tcW w:w="0" w:type="auto"/>
            <w:shd w:val="clear" w:color="auto" w:fill="CCEEFF"/>
            <w:vAlign w:val="bottom"/>
            <w:hideMark/>
          </w:tcPr>
          <w:p w14:paraId="1C371F8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9C0D30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56CD01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A77072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35B0B8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6D5630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345C7F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715D55A" w14:textId="77777777" w:rsidR="00000000" w:rsidRDefault="001826C1">
            <w:pPr>
              <w:jc w:val="right"/>
              <w:rPr>
                <w:rFonts w:eastAsia="Times New Roman"/>
                <w:sz w:val="20"/>
                <w:szCs w:val="20"/>
              </w:rPr>
            </w:pPr>
            <w:r>
              <w:rPr>
                <w:rFonts w:eastAsia="Times New Roman"/>
                <w:sz w:val="20"/>
                <w:szCs w:val="20"/>
              </w:rPr>
              <w:t>31,252,535</w:t>
            </w:r>
          </w:p>
        </w:tc>
        <w:tc>
          <w:tcPr>
            <w:tcW w:w="0" w:type="auto"/>
            <w:shd w:val="clear" w:color="auto" w:fill="CCEEFF"/>
            <w:vAlign w:val="bottom"/>
            <w:hideMark/>
          </w:tcPr>
          <w:p w14:paraId="1BA6D07D" w14:textId="77777777" w:rsidR="00000000" w:rsidRDefault="001826C1">
            <w:pPr>
              <w:rPr>
                <w:rFonts w:eastAsia="Times New Roman"/>
                <w:sz w:val="20"/>
                <w:szCs w:val="20"/>
              </w:rPr>
            </w:pPr>
            <w:r>
              <w:rPr>
                <w:rFonts w:eastAsia="Times New Roman"/>
                <w:sz w:val="20"/>
                <w:szCs w:val="20"/>
              </w:rPr>
              <w:t> </w:t>
            </w:r>
          </w:p>
        </w:tc>
      </w:tr>
      <w:tr w:rsidR="00000000" w14:paraId="337B53FE" w14:textId="77777777">
        <w:tc>
          <w:tcPr>
            <w:tcW w:w="0" w:type="auto"/>
            <w:shd w:val="clear" w:color="auto" w:fill="FFFFFF"/>
            <w:tcMar>
              <w:top w:w="0" w:type="dxa"/>
              <w:left w:w="200" w:type="dxa"/>
              <w:bottom w:w="0" w:type="dxa"/>
              <w:right w:w="0" w:type="dxa"/>
            </w:tcMar>
            <w:vAlign w:val="bottom"/>
            <w:hideMark/>
          </w:tcPr>
          <w:p w14:paraId="2F098A08" w14:textId="77777777" w:rsidR="00000000" w:rsidRDefault="001826C1">
            <w:pPr>
              <w:rPr>
                <w:rFonts w:eastAsia="Times New Roman"/>
                <w:sz w:val="20"/>
                <w:szCs w:val="20"/>
              </w:rPr>
            </w:pPr>
            <w:r>
              <w:rPr>
                <w:rFonts w:eastAsia="Times New Roman"/>
                <w:sz w:val="20"/>
                <w:szCs w:val="20"/>
              </w:rPr>
              <w:t>Selling and marketing</w:t>
            </w:r>
          </w:p>
        </w:tc>
        <w:tc>
          <w:tcPr>
            <w:tcW w:w="0" w:type="auto"/>
            <w:shd w:val="clear" w:color="auto" w:fill="FFFFFF"/>
            <w:vAlign w:val="bottom"/>
            <w:hideMark/>
          </w:tcPr>
          <w:p w14:paraId="1C012CC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4206A6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A9F82AF" w14:textId="77777777" w:rsidR="00000000" w:rsidRDefault="001826C1">
            <w:pPr>
              <w:jc w:val="right"/>
              <w:rPr>
                <w:rFonts w:eastAsia="Times New Roman"/>
                <w:sz w:val="20"/>
                <w:szCs w:val="20"/>
              </w:rPr>
            </w:pPr>
            <w:r>
              <w:rPr>
                <w:rFonts w:eastAsia="Times New Roman"/>
                <w:sz w:val="20"/>
                <w:szCs w:val="20"/>
              </w:rPr>
              <w:t>1,593,052</w:t>
            </w:r>
          </w:p>
        </w:tc>
        <w:tc>
          <w:tcPr>
            <w:tcW w:w="0" w:type="auto"/>
            <w:shd w:val="clear" w:color="auto" w:fill="FFFFFF"/>
            <w:vAlign w:val="bottom"/>
            <w:hideMark/>
          </w:tcPr>
          <w:p w14:paraId="7465382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2751E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17E1E4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E5D54D3" w14:textId="77777777" w:rsidR="00000000" w:rsidRDefault="001826C1">
            <w:pPr>
              <w:jc w:val="right"/>
              <w:rPr>
                <w:rFonts w:eastAsia="Times New Roman"/>
                <w:sz w:val="20"/>
                <w:szCs w:val="20"/>
              </w:rPr>
            </w:pPr>
            <w:r>
              <w:rPr>
                <w:rFonts w:eastAsia="Times New Roman"/>
                <w:sz w:val="20"/>
                <w:szCs w:val="20"/>
              </w:rPr>
              <w:t>18,930</w:t>
            </w:r>
          </w:p>
        </w:tc>
        <w:tc>
          <w:tcPr>
            <w:tcW w:w="0" w:type="auto"/>
            <w:shd w:val="clear" w:color="auto" w:fill="FFFFFF"/>
            <w:vAlign w:val="bottom"/>
            <w:hideMark/>
          </w:tcPr>
          <w:p w14:paraId="3D8C0F3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130EA9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CA406B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BA13607"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2A264D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B034B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87CB3D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30C7C26" w14:textId="77777777" w:rsidR="00000000" w:rsidRDefault="001826C1">
            <w:pPr>
              <w:jc w:val="right"/>
              <w:rPr>
                <w:rFonts w:eastAsia="Times New Roman"/>
                <w:sz w:val="20"/>
                <w:szCs w:val="20"/>
              </w:rPr>
            </w:pPr>
            <w:r>
              <w:rPr>
                <w:rFonts w:eastAsia="Times New Roman"/>
                <w:sz w:val="20"/>
                <w:szCs w:val="20"/>
              </w:rPr>
              <w:t>1,611,982</w:t>
            </w:r>
          </w:p>
        </w:tc>
        <w:tc>
          <w:tcPr>
            <w:tcW w:w="0" w:type="auto"/>
            <w:shd w:val="clear" w:color="auto" w:fill="FFFFFF"/>
            <w:vAlign w:val="bottom"/>
            <w:hideMark/>
          </w:tcPr>
          <w:p w14:paraId="7103A26E" w14:textId="77777777" w:rsidR="00000000" w:rsidRDefault="001826C1">
            <w:pPr>
              <w:rPr>
                <w:rFonts w:eastAsia="Times New Roman"/>
                <w:sz w:val="20"/>
                <w:szCs w:val="20"/>
              </w:rPr>
            </w:pPr>
            <w:r>
              <w:rPr>
                <w:rFonts w:eastAsia="Times New Roman"/>
                <w:sz w:val="20"/>
                <w:szCs w:val="20"/>
              </w:rPr>
              <w:t> </w:t>
            </w:r>
          </w:p>
        </w:tc>
      </w:tr>
      <w:tr w:rsidR="00000000" w14:paraId="530F123D" w14:textId="77777777">
        <w:tc>
          <w:tcPr>
            <w:tcW w:w="0" w:type="auto"/>
            <w:shd w:val="clear" w:color="auto" w:fill="CCEEFF"/>
            <w:tcMar>
              <w:top w:w="0" w:type="dxa"/>
              <w:left w:w="200" w:type="dxa"/>
              <w:bottom w:w="0" w:type="dxa"/>
              <w:right w:w="0" w:type="dxa"/>
            </w:tcMar>
            <w:vAlign w:val="bottom"/>
            <w:hideMark/>
          </w:tcPr>
          <w:p w14:paraId="1D51FED5" w14:textId="77777777" w:rsidR="00000000" w:rsidRDefault="001826C1">
            <w:pPr>
              <w:rPr>
                <w:rFonts w:eastAsia="Times New Roman"/>
                <w:sz w:val="20"/>
                <w:szCs w:val="20"/>
              </w:rPr>
            </w:pPr>
            <w:r>
              <w:rPr>
                <w:rFonts w:eastAsia="Times New Roman"/>
                <w:sz w:val="20"/>
                <w:szCs w:val="20"/>
              </w:rPr>
              <w:t>General and administrative</w:t>
            </w:r>
          </w:p>
        </w:tc>
        <w:tc>
          <w:tcPr>
            <w:tcW w:w="0" w:type="auto"/>
            <w:shd w:val="clear" w:color="auto" w:fill="CCEEFF"/>
            <w:vAlign w:val="bottom"/>
            <w:hideMark/>
          </w:tcPr>
          <w:p w14:paraId="6DA9F6C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2C6C785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850C7C4" w14:textId="77777777" w:rsidR="00000000" w:rsidRDefault="001826C1">
            <w:pPr>
              <w:jc w:val="right"/>
              <w:rPr>
                <w:rFonts w:eastAsia="Times New Roman"/>
                <w:sz w:val="20"/>
                <w:szCs w:val="20"/>
              </w:rPr>
            </w:pPr>
            <w:r>
              <w:rPr>
                <w:rFonts w:eastAsia="Times New Roman"/>
                <w:sz w:val="20"/>
                <w:szCs w:val="20"/>
              </w:rPr>
              <w:t>9,834,749</w:t>
            </w:r>
          </w:p>
        </w:tc>
        <w:tc>
          <w:tcPr>
            <w:tcW w:w="0" w:type="auto"/>
            <w:shd w:val="clear" w:color="auto" w:fill="CCEEFF"/>
            <w:vAlign w:val="bottom"/>
            <w:hideMark/>
          </w:tcPr>
          <w:p w14:paraId="2E0C8C3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26BBD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A546E9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4238DEB" w14:textId="77777777" w:rsidR="00000000" w:rsidRDefault="001826C1">
            <w:pPr>
              <w:jc w:val="right"/>
              <w:rPr>
                <w:rFonts w:eastAsia="Times New Roman"/>
                <w:sz w:val="20"/>
                <w:szCs w:val="20"/>
              </w:rPr>
            </w:pPr>
            <w:r>
              <w:rPr>
                <w:rFonts w:eastAsia="Times New Roman"/>
                <w:sz w:val="20"/>
                <w:szCs w:val="20"/>
              </w:rPr>
              <w:t>1,164,505</w:t>
            </w:r>
          </w:p>
        </w:tc>
        <w:tc>
          <w:tcPr>
            <w:tcW w:w="0" w:type="auto"/>
            <w:shd w:val="clear" w:color="auto" w:fill="CCEEFF"/>
            <w:vAlign w:val="bottom"/>
            <w:hideMark/>
          </w:tcPr>
          <w:p w14:paraId="23083BE7"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DEEC3F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BE1AE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BE307ED" w14:textId="77777777" w:rsidR="00000000" w:rsidRDefault="001826C1">
            <w:pPr>
              <w:jc w:val="right"/>
              <w:rPr>
                <w:rFonts w:eastAsia="Times New Roman"/>
                <w:sz w:val="20"/>
                <w:szCs w:val="20"/>
              </w:rPr>
            </w:pPr>
            <w:r>
              <w:rPr>
                <w:rFonts w:eastAsia="Times New Roman"/>
                <w:sz w:val="20"/>
                <w:szCs w:val="20"/>
              </w:rPr>
              <w:t>5,265,219</w:t>
            </w:r>
          </w:p>
        </w:tc>
        <w:tc>
          <w:tcPr>
            <w:tcW w:w="0" w:type="auto"/>
            <w:shd w:val="clear" w:color="auto" w:fill="CCEEFF"/>
            <w:vAlign w:val="bottom"/>
            <w:hideMark/>
          </w:tcPr>
          <w:p w14:paraId="0FB3EF4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4F065D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1580CA0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8D2E987" w14:textId="77777777" w:rsidR="00000000" w:rsidRDefault="001826C1">
            <w:pPr>
              <w:jc w:val="right"/>
              <w:rPr>
                <w:rFonts w:eastAsia="Times New Roman"/>
                <w:sz w:val="20"/>
                <w:szCs w:val="20"/>
              </w:rPr>
            </w:pPr>
            <w:r>
              <w:rPr>
                <w:rFonts w:eastAsia="Times New Roman"/>
                <w:sz w:val="20"/>
                <w:szCs w:val="20"/>
              </w:rPr>
              <w:t>16,264,473</w:t>
            </w:r>
          </w:p>
        </w:tc>
        <w:tc>
          <w:tcPr>
            <w:tcW w:w="0" w:type="auto"/>
            <w:shd w:val="clear" w:color="auto" w:fill="CCEEFF"/>
            <w:vAlign w:val="bottom"/>
            <w:hideMark/>
          </w:tcPr>
          <w:p w14:paraId="1E558D01" w14:textId="77777777" w:rsidR="00000000" w:rsidRDefault="001826C1">
            <w:pPr>
              <w:rPr>
                <w:rFonts w:eastAsia="Times New Roman"/>
                <w:sz w:val="20"/>
                <w:szCs w:val="20"/>
              </w:rPr>
            </w:pPr>
            <w:r>
              <w:rPr>
                <w:rFonts w:eastAsia="Times New Roman"/>
                <w:sz w:val="20"/>
                <w:szCs w:val="20"/>
              </w:rPr>
              <w:t> </w:t>
            </w:r>
          </w:p>
        </w:tc>
      </w:tr>
      <w:tr w:rsidR="00000000" w14:paraId="0A7BADCD" w14:textId="77777777">
        <w:tc>
          <w:tcPr>
            <w:tcW w:w="0" w:type="auto"/>
            <w:shd w:val="clear" w:color="auto" w:fill="FFFFFF"/>
            <w:tcMar>
              <w:top w:w="0" w:type="dxa"/>
              <w:left w:w="200" w:type="dxa"/>
              <w:bottom w:w="0" w:type="dxa"/>
              <w:right w:w="0" w:type="dxa"/>
            </w:tcMar>
            <w:vAlign w:val="bottom"/>
            <w:hideMark/>
          </w:tcPr>
          <w:p w14:paraId="043B94D1" w14:textId="77777777" w:rsidR="00000000" w:rsidRDefault="001826C1">
            <w:pPr>
              <w:rPr>
                <w:rFonts w:eastAsia="Times New Roman"/>
                <w:sz w:val="20"/>
                <w:szCs w:val="20"/>
              </w:rPr>
            </w:pPr>
            <w:r>
              <w:rPr>
                <w:rFonts w:eastAsia="Times New Roman"/>
                <w:sz w:val="20"/>
                <w:szCs w:val="20"/>
              </w:rPr>
              <w:t>Research and development</w:t>
            </w:r>
          </w:p>
        </w:tc>
        <w:tc>
          <w:tcPr>
            <w:tcW w:w="0" w:type="auto"/>
            <w:shd w:val="clear" w:color="auto" w:fill="FFFFFF"/>
            <w:vAlign w:val="bottom"/>
            <w:hideMark/>
          </w:tcPr>
          <w:p w14:paraId="7CC8C38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D0310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9907646" w14:textId="77777777" w:rsidR="00000000" w:rsidRDefault="001826C1">
            <w:pPr>
              <w:jc w:val="right"/>
              <w:rPr>
                <w:rFonts w:eastAsia="Times New Roman"/>
                <w:sz w:val="20"/>
                <w:szCs w:val="20"/>
              </w:rPr>
            </w:pPr>
            <w:r>
              <w:rPr>
                <w:rFonts w:eastAsia="Times New Roman"/>
                <w:sz w:val="20"/>
                <w:szCs w:val="20"/>
              </w:rPr>
              <w:t>1,029,510</w:t>
            </w:r>
          </w:p>
        </w:tc>
        <w:tc>
          <w:tcPr>
            <w:tcW w:w="0" w:type="auto"/>
            <w:shd w:val="clear" w:color="auto" w:fill="FFFFFF"/>
            <w:vAlign w:val="bottom"/>
            <w:hideMark/>
          </w:tcPr>
          <w:p w14:paraId="761632C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CA78E0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2FFAA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3545B721"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4E8F35B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70DA22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11135E4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F13CF83"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14:paraId="260C9DA6"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4D08A09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5F060FB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06966655" w14:textId="77777777" w:rsidR="00000000" w:rsidRDefault="001826C1">
            <w:pPr>
              <w:jc w:val="right"/>
              <w:rPr>
                <w:rFonts w:eastAsia="Times New Roman"/>
                <w:sz w:val="20"/>
                <w:szCs w:val="20"/>
              </w:rPr>
            </w:pPr>
            <w:r>
              <w:rPr>
                <w:rFonts w:eastAsia="Times New Roman"/>
                <w:sz w:val="20"/>
                <w:szCs w:val="20"/>
              </w:rPr>
              <w:t>1,029,510</w:t>
            </w:r>
          </w:p>
        </w:tc>
        <w:tc>
          <w:tcPr>
            <w:tcW w:w="0" w:type="auto"/>
            <w:shd w:val="clear" w:color="auto" w:fill="FFFFFF"/>
            <w:vAlign w:val="bottom"/>
            <w:hideMark/>
          </w:tcPr>
          <w:p w14:paraId="52E085D9" w14:textId="77777777" w:rsidR="00000000" w:rsidRDefault="001826C1">
            <w:pPr>
              <w:rPr>
                <w:rFonts w:eastAsia="Times New Roman"/>
                <w:sz w:val="20"/>
                <w:szCs w:val="20"/>
              </w:rPr>
            </w:pPr>
            <w:r>
              <w:rPr>
                <w:rFonts w:eastAsia="Times New Roman"/>
                <w:sz w:val="20"/>
                <w:szCs w:val="20"/>
              </w:rPr>
              <w:t> </w:t>
            </w:r>
          </w:p>
        </w:tc>
      </w:tr>
      <w:tr w:rsidR="00000000" w14:paraId="5BFFF8EF" w14:textId="77777777">
        <w:tc>
          <w:tcPr>
            <w:tcW w:w="0" w:type="auto"/>
            <w:shd w:val="clear" w:color="auto" w:fill="CCEEFF"/>
            <w:tcMar>
              <w:top w:w="0" w:type="dxa"/>
              <w:left w:w="200" w:type="dxa"/>
              <w:bottom w:w="0" w:type="dxa"/>
              <w:right w:w="0" w:type="dxa"/>
            </w:tcMar>
            <w:vAlign w:val="bottom"/>
            <w:hideMark/>
          </w:tcPr>
          <w:p w14:paraId="45C74E64" w14:textId="77777777" w:rsidR="00000000" w:rsidRDefault="001826C1">
            <w:pPr>
              <w:rPr>
                <w:rFonts w:eastAsia="Times New Roman"/>
                <w:sz w:val="20"/>
                <w:szCs w:val="20"/>
              </w:rPr>
            </w:pPr>
            <w:r>
              <w:rPr>
                <w:rFonts w:eastAsia="Times New Roman"/>
                <w:sz w:val="20"/>
                <w:szCs w:val="20"/>
              </w:rPr>
              <w:t>Change in contingent consideration</w:t>
            </w:r>
          </w:p>
        </w:tc>
        <w:tc>
          <w:tcPr>
            <w:tcW w:w="0" w:type="auto"/>
            <w:shd w:val="clear" w:color="auto" w:fill="CCEEFF"/>
            <w:vAlign w:val="bottom"/>
            <w:hideMark/>
          </w:tcPr>
          <w:p w14:paraId="0A171FA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42634E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38C7E5E5" w14:textId="77777777" w:rsidR="00000000" w:rsidRDefault="001826C1">
            <w:pPr>
              <w:jc w:val="right"/>
              <w:rPr>
                <w:rFonts w:eastAsia="Times New Roman"/>
                <w:sz w:val="20"/>
                <w:szCs w:val="20"/>
              </w:rPr>
            </w:pPr>
            <w:r>
              <w:rPr>
                <w:rFonts w:eastAsia="Times New Roman"/>
                <w:sz w:val="20"/>
                <w:szCs w:val="20"/>
              </w:rPr>
              <w:t>73,271</w:t>
            </w:r>
          </w:p>
        </w:tc>
        <w:tc>
          <w:tcPr>
            <w:tcW w:w="0" w:type="auto"/>
            <w:shd w:val="clear" w:color="auto" w:fill="CCEEFF"/>
            <w:vAlign w:val="bottom"/>
            <w:hideMark/>
          </w:tcPr>
          <w:p w14:paraId="67CB5E93"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7FF82C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EC3C76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7C6EEB9"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55C123B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8434F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03F1C46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6D075118"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14:paraId="4CBEE4BA"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5999B2"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526A319B"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vAlign w:val="bottom"/>
            <w:hideMark/>
          </w:tcPr>
          <w:p w14:paraId="4EFDEF62" w14:textId="77777777" w:rsidR="00000000" w:rsidRDefault="001826C1">
            <w:pPr>
              <w:jc w:val="right"/>
              <w:rPr>
                <w:rFonts w:eastAsia="Times New Roman"/>
                <w:sz w:val="20"/>
                <w:szCs w:val="20"/>
              </w:rPr>
            </w:pPr>
            <w:r>
              <w:rPr>
                <w:rFonts w:eastAsia="Times New Roman"/>
                <w:sz w:val="20"/>
                <w:szCs w:val="20"/>
              </w:rPr>
              <w:t>73,271</w:t>
            </w:r>
          </w:p>
        </w:tc>
        <w:tc>
          <w:tcPr>
            <w:tcW w:w="0" w:type="auto"/>
            <w:shd w:val="clear" w:color="auto" w:fill="CCEEFF"/>
            <w:vAlign w:val="bottom"/>
            <w:hideMark/>
          </w:tcPr>
          <w:p w14:paraId="7ED567E7" w14:textId="77777777" w:rsidR="00000000" w:rsidRDefault="001826C1">
            <w:pPr>
              <w:rPr>
                <w:rFonts w:eastAsia="Times New Roman"/>
                <w:sz w:val="20"/>
                <w:szCs w:val="20"/>
              </w:rPr>
            </w:pPr>
            <w:r>
              <w:rPr>
                <w:rFonts w:eastAsia="Times New Roman"/>
                <w:sz w:val="20"/>
                <w:szCs w:val="20"/>
              </w:rPr>
              <w:t> </w:t>
            </w:r>
          </w:p>
        </w:tc>
      </w:tr>
      <w:tr w:rsidR="00000000" w14:paraId="53400FA2" w14:textId="77777777">
        <w:tc>
          <w:tcPr>
            <w:tcW w:w="0" w:type="auto"/>
            <w:shd w:val="clear" w:color="auto" w:fill="FFFFFF"/>
            <w:tcMar>
              <w:top w:w="0" w:type="dxa"/>
              <w:left w:w="200" w:type="dxa"/>
              <w:bottom w:w="30" w:type="dxa"/>
              <w:right w:w="0" w:type="dxa"/>
            </w:tcMar>
            <w:vAlign w:val="bottom"/>
            <w:hideMark/>
          </w:tcPr>
          <w:p w14:paraId="05FDD7F2" w14:textId="77777777" w:rsidR="00000000" w:rsidRDefault="001826C1">
            <w:pPr>
              <w:rPr>
                <w:rFonts w:eastAsia="Times New Roman"/>
                <w:sz w:val="20"/>
                <w:szCs w:val="20"/>
              </w:rPr>
            </w:pPr>
            <w:r>
              <w:rPr>
                <w:rFonts w:eastAsia="Times New Roman"/>
                <w:sz w:val="20"/>
                <w:szCs w:val="20"/>
              </w:rPr>
              <w:t>Depreciation and amortization</w:t>
            </w:r>
          </w:p>
        </w:tc>
        <w:tc>
          <w:tcPr>
            <w:tcW w:w="0" w:type="auto"/>
            <w:shd w:val="clear" w:color="auto" w:fill="FFFFFF"/>
            <w:tcMar>
              <w:top w:w="0" w:type="dxa"/>
              <w:left w:w="0" w:type="dxa"/>
              <w:bottom w:w="30" w:type="dxa"/>
              <w:right w:w="0" w:type="dxa"/>
            </w:tcMar>
            <w:vAlign w:val="bottom"/>
            <w:hideMark/>
          </w:tcPr>
          <w:p w14:paraId="765220B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7BD5F4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46FDD295" w14:textId="77777777" w:rsidR="00000000" w:rsidRDefault="001826C1">
            <w:pPr>
              <w:jc w:val="right"/>
              <w:rPr>
                <w:rFonts w:eastAsia="Times New Roman"/>
                <w:sz w:val="20"/>
                <w:szCs w:val="20"/>
              </w:rPr>
            </w:pPr>
            <w:r>
              <w:rPr>
                <w:rFonts w:eastAsia="Times New Roman"/>
                <w:sz w:val="20"/>
                <w:szCs w:val="20"/>
              </w:rPr>
              <w:t>2,700,577</w:t>
            </w:r>
          </w:p>
        </w:tc>
        <w:tc>
          <w:tcPr>
            <w:tcW w:w="0" w:type="auto"/>
            <w:shd w:val="clear" w:color="auto" w:fill="FFFFFF"/>
            <w:tcMar>
              <w:top w:w="0" w:type="dxa"/>
              <w:left w:w="0" w:type="dxa"/>
              <w:bottom w:w="30" w:type="dxa"/>
              <w:right w:w="0" w:type="dxa"/>
            </w:tcMar>
            <w:vAlign w:val="bottom"/>
            <w:hideMark/>
          </w:tcPr>
          <w:p w14:paraId="12846E2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7D82A7B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868A6EB"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01D84909" w14:textId="77777777" w:rsidR="00000000" w:rsidRDefault="001826C1">
            <w:pPr>
              <w:jc w:val="right"/>
              <w:rPr>
                <w:rFonts w:eastAsia="Times New Roman"/>
                <w:sz w:val="20"/>
                <w:szCs w:val="20"/>
              </w:rPr>
            </w:pPr>
            <w:r>
              <w:rPr>
                <w:rFonts w:eastAsia="Times New Roman"/>
                <w:sz w:val="20"/>
                <w:szCs w:val="20"/>
              </w:rPr>
              <w:t>153,250</w:t>
            </w:r>
          </w:p>
        </w:tc>
        <w:tc>
          <w:tcPr>
            <w:tcW w:w="0" w:type="auto"/>
            <w:shd w:val="clear" w:color="auto" w:fill="FFFFFF"/>
            <w:tcMar>
              <w:top w:w="0" w:type="dxa"/>
              <w:left w:w="0" w:type="dxa"/>
              <w:bottom w:w="30" w:type="dxa"/>
              <w:right w:w="0" w:type="dxa"/>
            </w:tcMar>
            <w:vAlign w:val="bottom"/>
            <w:hideMark/>
          </w:tcPr>
          <w:p w14:paraId="61769291"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1CE1BCA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0EA2A4"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1B8236DC"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14:paraId="6D7F621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14:paraId="4AE4350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2FD3FBE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14:paraId="7272BD81" w14:textId="77777777" w:rsidR="00000000" w:rsidRDefault="001826C1">
            <w:pPr>
              <w:jc w:val="right"/>
              <w:rPr>
                <w:rFonts w:eastAsia="Times New Roman"/>
                <w:sz w:val="20"/>
                <w:szCs w:val="20"/>
              </w:rPr>
            </w:pPr>
            <w:r>
              <w:rPr>
                <w:rFonts w:eastAsia="Times New Roman"/>
                <w:sz w:val="20"/>
                <w:szCs w:val="20"/>
              </w:rPr>
              <w:t>2,853,827</w:t>
            </w:r>
          </w:p>
        </w:tc>
        <w:tc>
          <w:tcPr>
            <w:tcW w:w="0" w:type="auto"/>
            <w:shd w:val="clear" w:color="auto" w:fill="FFFFFF"/>
            <w:tcMar>
              <w:top w:w="0" w:type="dxa"/>
              <w:left w:w="0" w:type="dxa"/>
              <w:bottom w:w="30" w:type="dxa"/>
              <w:right w:w="0" w:type="dxa"/>
            </w:tcMar>
            <w:vAlign w:val="bottom"/>
            <w:hideMark/>
          </w:tcPr>
          <w:p w14:paraId="36DCE4BE" w14:textId="77777777" w:rsidR="00000000" w:rsidRDefault="001826C1">
            <w:pPr>
              <w:rPr>
                <w:rFonts w:eastAsia="Times New Roman"/>
                <w:sz w:val="20"/>
                <w:szCs w:val="20"/>
              </w:rPr>
            </w:pPr>
            <w:r>
              <w:rPr>
                <w:rFonts w:eastAsia="Times New Roman"/>
                <w:sz w:val="20"/>
                <w:szCs w:val="20"/>
              </w:rPr>
              <w:t> </w:t>
            </w:r>
          </w:p>
        </w:tc>
      </w:tr>
      <w:tr w:rsidR="00000000" w14:paraId="6D4BB019" w14:textId="77777777">
        <w:tc>
          <w:tcPr>
            <w:tcW w:w="0" w:type="auto"/>
            <w:shd w:val="clear" w:color="auto" w:fill="CCEEFF"/>
            <w:tcMar>
              <w:top w:w="0" w:type="dxa"/>
              <w:left w:w="400" w:type="dxa"/>
              <w:bottom w:w="30" w:type="dxa"/>
              <w:right w:w="0" w:type="dxa"/>
            </w:tcMar>
            <w:vAlign w:val="bottom"/>
            <w:hideMark/>
          </w:tcPr>
          <w:p w14:paraId="5BA4A60C" w14:textId="77777777" w:rsidR="00000000" w:rsidRDefault="001826C1">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30" w:type="dxa"/>
              <w:right w:w="0" w:type="dxa"/>
            </w:tcMar>
            <w:vAlign w:val="bottom"/>
            <w:hideMark/>
          </w:tcPr>
          <w:p w14:paraId="5682FF49"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A88870E"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B227BC" w14:textId="77777777" w:rsidR="00000000" w:rsidRDefault="001826C1">
            <w:pPr>
              <w:jc w:val="right"/>
              <w:rPr>
                <w:rFonts w:eastAsia="Times New Roman"/>
                <w:sz w:val="20"/>
                <w:szCs w:val="20"/>
              </w:rPr>
            </w:pPr>
            <w:r>
              <w:rPr>
                <w:rFonts w:eastAsia="Times New Roman"/>
                <w:sz w:val="20"/>
                <w:szCs w:val="20"/>
              </w:rPr>
              <w:t>41,520,929</w:t>
            </w:r>
          </w:p>
        </w:tc>
        <w:tc>
          <w:tcPr>
            <w:tcW w:w="0" w:type="auto"/>
            <w:shd w:val="clear" w:color="auto" w:fill="CCEEFF"/>
            <w:tcMar>
              <w:top w:w="0" w:type="dxa"/>
              <w:left w:w="0" w:type="dxa"/>
              <w:bottom w:w="30" w:type="dxa"/>
              <w:right w:w="0" w:type="dxa"/>
            </w:tcMar>
            <w:vAlign w:val="bottom"/>
            <w:hideMark/>
          </w:tcPr>
          <w:p w14:paraId="67AB36AE"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2E5D93D1"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6FC944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32D0B84A" w14:textId="77777777" w:rsidR="00000000" w:rsidRDefault="001826C1">
            <w:pPr>
              <w:jc w:val="right"/>
              <w:rPr>
                <w:rFonts w:eastAsia="Times New Roman"/>
                <w:sz w:val="20"/>
                <w:szCs w:val="20"/>
              </w:rPr>
            </w:pPr>
            <w:r>
              <w:rPr>
                <w:rFonts w:eastAsia="Times New Roman"/>
                <w:sz w:val="20"/>
                <w:szCs w:val="20"/>
              </w:rPr>
              <w:t>6,299,450</w:t>
            </w:r>
          </w:p>
        </w:tc>
        <w:tc>
          <w:tcPr>
            <w:tcW w:w="0" w:type="auto"/>
            <w:shd w:val="clear" w:color="auto" w:fill="CCEEFF"/>
            <w:tcMar>
              <w:top w:w="0" w:type="dxa"/>
              <w:left w:w="0" w:type="dxa"/>
              <w:bottom w:w="30" w:type="dxa"/>
              <w:right w:w="0" w:type="dxa"/>
            </w:tcMar>
            <w:vAlign w:val="bottom"/>
            <w:hideMark/>
          </w:tcPr>
          <w:p w14:paraId="0C3AC295"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45477D7C"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A5D017"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0E2CFE97" w14:textId="77777777" w:rsidR="00000000" w:rsidRDefault="001826C1">
            <w:pPr>
              <w:jc w:val="right"/>
              <w:rPr>
                <w:rFonts w:eastAsia="Times New Roman"/>
                <w:sz w:val="20"/>
                <w:szCs w:val="20"/>
              </w:rPr>
            </w:pPr>
            <w:r>
              <w:rPr>
                <w:rFonts w:eastAsia="Times New Roman"/>
                <w:sz w:val="20"/>
                <w:szCs w:val="20"/>
              </w:rPr>
              <w:t>5,265,219</w:t>
            </w:r>
          </w:p>
        </w:tc>
        <w:tc>
          <w:tcPr>
            <w:tcW w:w="0" w:type="auto"/>
            <w:shd w:val="clear" w:color="auto" w:fill="CCEEFF"/>
            <w:tcMar>
              <w:top w:w="0" w:type="dxa"/>
              <w:left w:w="0" w:type="dxa"/>
              <w:bottom w:w="30" w:type="dxa"/>
              <w:right w:w="0" w:type="dxa"/>
            </w:tcMar>
            <w:vAlign w:val="bottom"/>
            <w:hideMark/>
          </w:tcPr>
          <w:p w14:paraId="6F2FA07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14:paraId="112C35F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81E65A5"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712E57E2" w14:textId="77777777" w:rsidR="00000000" w:rsidRDefault="001826C1">
            <w:pPr>
              <w:jc w:val="right"/>
              <w:rPr>
                <w:rFonts w:eastAsia="Times New Roman"/>
                <w:sz w:val="20"/>
                <w:szCs w:val="20"/>
              </w:rPr>
            </w:pPr>
            <w:r>
              <w:rPr>
                <w:rFonts w:eastAsia="Times New Roman"/>
                <w:sz w:val="20"/>
                <w:szCs w:val="20"/>
              </w:rPr>
              <w:t>53,085,598</w:t>
            </w:r>
          </w:p>
        </w:tc>
        <w:tc>
          <w:tcPr>
            <w:tcW w:w="0" w:type="auto"/>
            <w:shd w:val="clear" w:color="auto" w:fill="CCEEFF"/>
            <w:tcMar>
              <w:top w:w="0" w:type="dxa"/>
              <w:left w:w="0" w:type="dxa"/>
              <w:bottom w:w="30" w:type="dxa"/>
              <w:right w:w="0" w:type="dxa"/>
            </w:tcMar>
            <w:vAlign w:val="bottom"/>
            <w:hideMark/>
          </w:tcPr>
          <w:p w14:paraId="19EE7D5A" w14:textId="77777777" w:rsidR="00000000" w:rsidRDefault="001826C1">
            <w:pPr>
              <w:rPr>
                <w:rFonts w:eastAsia="Times New Roman"/>
                <w:sz w:val="20"/>
                <w:szCs w:val="20"/>
              </w:rPr>
            </w:pPr>
            <w:r>
              <w:rPr>
                <w:rFonts w:eastAsia="Times New Roman"/>
                <w:sz w:val="20"/>
                <w:szCs w:val="20"/>
              </w:rPr>
              <w:t> </w:t>
            </w:r>
          </w:p>
        </w:tc>
      </w:tr>
      <w:tr w:rsidR="00000000" w14:paraId="5245567B" w14:textId="77777777">
        <w:tc>
          <w:tcPr>
            <w:tcW w:w="0" w:type="auto"/>
            <w:shd w:val="clear" w:color="auto" w:fill="FFFFFF"/>
            <w:tcMar>
              <w:top w:w="0" w:type="dxa"/>
              <w:left w:w="0" w:type="dxa"/>
              <w:bottom w:w="50" w:type="dxa"/>
              <w:right w:w="0" w:type="dxa"/>
            </w:tcMar>
            <w:vAlign w:val="bottom"/>
            <w:hideMark/>
          </w:tcPr>
          <w:p w14:paraId="0BAF9716" w14:textId="77777777" w:rsidR="00000000" w:rsidRDefault="001826C1">
            <w:pPr>
              <w:rPr>
                <w:rFonts w:eastAsia="Times New Roman"/>
                <w:sz w:val="20"/>
                <w:szCs w:val="20"/>
              </w:rPr>
            </w:pPr>
            <w:r>
              <w:rPr>
                <w:rFonts w:eastAsia="Times New Roman"/>
                <w:sz w:val="20"/>
                <w:szCs w:val="20"/>
              </w:rPr>
              <w:t>Operating income (loss)</w:t>
            </w:r>
          </w:p>
        </w:tc>
        <w:tc>
          <w:tcPr>
            <w:tcW w:w="0" w:type="auto"/>
            <w:shd w:val="clear" w:color="auto" w:fill="FFFFFF"/>
            <w:tcMar>
              <w:top w:w="0" w:type="dxa"/>
              <w:left w:w="0" w:type="dxa"/>
              <w:bottom w:w="50" w:type="dxa"/>
              <w:right w:w="0" w:type="dxa"/>
            </w:tcMar>
            <w:vAlign w:val="bottom"/>
            <w:hideMark/>
          </w:tcPr>
          <w:p w14:paraId="6A43DEF6"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8CD7781"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0D6E7E89" w14:textId="77777777" w:rsidR="00000000" w:rsidRDefault="001826C1">
            <w:pPr>
              <w:jc w:val="right"/>
              <w:rPr>
                <w:rFonts w:eastAsia="Times New Roman"/>
                <w:sz w:val="20"/>
                <w:szCs w:val="20"/>
              </w:rPr>
            </w:pPr>
            <w:r>
              <w:rPr>
                <w:rFonts w:eastAsia="Times New Roman"/>
                <w:sz w:val="20"/>
                <w:szCs w:val="20"/>
              </w:rPr>
              <w:t>2,523,771</w:t>
            </w:r>
          </w:p>
        </w:tc>
        <w:tc>
          <w:tcPr>
            <w:tcW w:w="0" w:type="auto"/>
            <w:shd w:val="clear" w:color="auto" w:fill="FFFFFF"/>
            <w:tcMar>
              <w:top w:w="0" w:type="dxa"/>
              <w:left w:w="0" w:type="dxa"/>
              <w:bottom w:w="50" w:type="dxa"/>
              <w:right w:w="0" w:type="dxa"/>
            </w:tcMar>
            <w:vAlign w:val="bottom"/>
            <w:hideMark/>
          </w:tcPr>
          <w:p w14:paraId="62F90C1C"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7526CCF"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0025047D"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2729E73C" w14:textId="77777777" w:rsidR="00000000" w:rsidRDefault="001826C1">
            <w:pPr>
              <w:jc w:val="right"/>
              <w:rPr>
                <w:rFonts w:eastAsia="Times New Roman"/>
                <w:sz w:val="20"/>
                <w:szCs w:val="20"/>
              </w:rPr>
            </w:pPr>
            <w:r>
              <w:rPr>
                <w:rFonts w:eastAsia="Times New Roman"/>
                <w:sz w:val="20"/>
                <w:szCs w:val="20"/>
              </w:rPr>
              <w:t>201,631</w:t>
            </w:r>
          </w:p>
        </w:tc>
        <w:tc>
          <w:tcPr>
            <w:tcW w:w="0" w:type="auto"/>
            <w:shd w:val="clear" w:color="auto" w:fill="FFFFFF"/>
            <w:tcMar>
              <w:top w:w="0" w:type="dxa"/>
              <w:left w:w="0" w:type="dxa"/>
              <w:bottom w:w="50" w:type="dxa"/>
              <w:right w:w="0" w:type="dxa"/>
            </w:tcMar>
            <w:vAlign w:val="bottom"/>
            <w:hideMark/>
          </w:tcPr>
          <w:p w14:paraId="0D98A8A4"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348A5426"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9CB14F7"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3EF0156E" w14:textId="77777777" w:rsidR="00000000" w:rsidRDefault="001826C1">
            <w:pPr>
              <w:jc w:val="right"/>
              <w:rPr>
                <w:rFonts w:eastAsia="Times New Roman"/>
                <w:sz w:val="20"/>
                <w:szCs w:val="20"/>
              </w:rPr>
            </w:pPr>
            <w:r>
              <w:rPr>
                <w:rFonts w:eastAsia="Times New Roman"/>
                <w:sz w:val="20"/>
                <w:szCs w:val="20"/>
              </w:rPr>
              <w:t>(5,265,219</w:t>
            </w:r>
          </w:p>
        </w:tc>
        <w:tc>
          <w:tcPr>
            <w:tcW w:w="0" w:type="auto"/>
            <w:shd w:val="clear" w:color="auto" w:fill="FFFFFF"/>
            <w:tcMar>
              <w:top w:w="0" w:type="dxa"/>
              <w:left w:w="0" w:type="dxa"/>
              <w:bottom w:w="50" w:type="dxa"/>
              <w:right w:w="0" w:type="dxa"/>
            </w:tcMar>
            <w:vAlign w:val="bottom"/>
            <w:hideMark/>
          </w:tcPr>
          <w:p w14:paraId="1B7304AA"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2686B039"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1823329B"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19592B1E" w14:textId="77777777" w:rsidR="00000000" w:rsidRDefault="001826C1">
            <w:pPr>
              <w:jc w:val="right"/>
              <w:rPr>
                <w:rFonts w:eastAsia="Times New Roman"/>
                <w:sz w:val="20"/>
                <w:szCs w:val="20"/>
              </w:rPr>
            </w:pPr>
            <w:r>
              <w:rPr>
                <w:rFonts w:eastAsia="Times New Roman"/>
                <w:sz w:val="20"/>
                <w:szCs w:val="20"/>
              </w:rPr>
              <w:t>(2,539,817</w:t>
            </w:r>
          </w:p>
        </w:tc>
        <w:tc>
          <w:tcPr>
            <w:tcW w:w="0" w:type="auto"/>
            <w:shd w:val="clear" w:color="auto" w:fill="FFFFFF"/>
            <w:tcMar>
              <w:top w:w="0" w:type="dxa"/>
              <w:left w:w="0" w:type="dxa"/>
              <w:bottom w:w="50" w:type="dxa"/>
              <w:right w:w="0" w:type="dxa"/>
            </w:tcMar>
            <w:vAlign w:val="bottom"/>
            <w:hideMark/>
          </w:tcPr>
          <w:p w14:paraId="0CD7EA54" w14:textId="77777777" w:rsidR="00000000" w:rsidRDefault="001826C1">
            <w:pPr>
              <w:rPr>
                <w:rFonts w:eastAsia="Times New Roman"/>
                <w:sz w:val="20"/>
                <w:szCs w:val="20"/>
              </w:rPr>
            </w:pPr>
            <w:r>
              <w:rPr>
                <w:rFonts w:eastAsia="Times New Roman"/>
                <w:sz w:val="20"/>
                <w:szCs w:val="20"/>
              </w:rPr>
              <w:t>)</w:t>
            </w:r>
          </w:p>
        </w:tc>
      </w:tr>
    </w:tbl>
    <w:p w14:paraId="49138ED7" w14:textId="77777777" w:rsidR="00000000" w:rsidRDefault="001826C1">
      <w:pPr>
        <w:pStyle w:val="a3"/>
        <w:shd w:val="clear" w:color="auto" w:fill="FFFFFF"/>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1B3052BA" w14:textId="77777777">
        <w:tc>
          <w:tcPr>
            <w:tcW w:w="360" w:type="dxa"/>
            <w:hideMark/>
          </w:tcPr>
          <w:p w14:paraId="0E5BA600" w14:textId="77777777" w:rsidR="00000000" w:rsidRDefault="001826C1">
            <w:pPr>
              <w:rPr>
                <w:rFonts w:eastAsia="Times New Roman"/>
                <w:b/>
                <w:bCs/>
                <w:caps/>
                <w:sz w:val="20"/>
                <w:szCs w:val="20"/>
              </w:rPr>
            </w:pPr>
            <w:r>
              <w:rPr>
                <w:rFonts w:eastAsia="Times New Roman"/>
                <w:b/>
                <w:bCs/>
                <w:caps/>
                <w:sz w:val="20"/>
                <w:szCs w:val="20"/>
              </w:rPr>
              <w:t>19.</w:t>
            </w:r>
          </w:p>
        </w:tc>
        <w:tc>
          <w:tcPr>
            <w:tcW w:w="0" w:type="auto"/>
            <w:hideMark/>
          </w:tcPr>
          <w:p w14:paraId="6CFC03F2" w14:textId="77777777" w:rsidR="00000000" w:rsidRDefault="001826C1">
            <w:pPr>
              <w:rPr>
                <w:rFonts w:eastAsia="Times New Roman"/>
                <w:b/>
                <w:bCs/>
                <w:caps/>
                <w:sz w:val="20"/>
                <w:szCs w:val="20"/>
              </w:rPr>
            </w:pPr>
            <w:r>
              <w:rPr>
                <w:rFonts w:eastAsia="Times New Roman"/>
                <w:b/>
                <w:bCs/>
                <w:caps/>
                <w:sz w:val="20"/>
                <w:szCs w:val="20"/>
              </w:rPr>
              <w:t>FAIR VALUE OF FINANCIAL INSTRUMENTS</w:t>
            </w:r>
          </w:p>
        </w:tc>
      </w:tr>
    </w:tbl>
    <w:p w14:paraId="27E26E22" w14:textId="77777777" w:rsidR="00000000" w:rsidRDefault="001826C1">
      <w:pPr>
        <w:pStyle w:val="a3"/>
        <w:spacing w:before="0" w:beforeAutospacing="0" w:after="0" w:afterAutospacing="0"/>
        <w:ind w:left="475"/>
        <w:jc w:val="both"/>
        <w:rPr>
          <w:sz w:val="20"/>
          <w:szCs w:val="20"/>
        </w:rPr>
      </w:pPr>
      <w:r>
        <w:rPr>
          <w:sz w:val="20"/>
          <w:szCs w:val="20"/>
        </w:rPr>
        <w:t> </w:t>
      </w:r>
    </w:p>
    <w:p w14:paraId="34A7C98C" w14:textId="77777777" w:rsidR="00000000" w:rsidRDefault="001826C1">
      <w:pPr>
        <w:pStyle w:val="a3"/>
        <w:spacing w:before="0" w:beforeAutospacing="0" w:after="0" w:afterAutospacing="0"/>
        <w:jc w:val="both"/>
        <w:rPr>
          <w:sz w:val="20"/>
          <w:szCs w:val="20"/>
        </w:rPr>
      </w:pPr>
      <w:r>
        <w:rPr>
          <w:sz w:val="20"/>
          <w:szCs w:val="20"/>
        </w:rPr>
        <w:t xml:space="preserve">As of December </w:t>
      </w:r>
      <w:r>
        <w:rPr>
          <w:sz w:val="20"/>
          <w:szCs w:val="20"/>
        </w:rPr>
        <w:t>31, 2019, and December 31, 2018, the carrying amounts of accounts receivable, accounts payable and accrued expenses approximated their estimated fair values because of the short term nature of these financial instruments.</w:t>
      </w:r>
    </w:p>
    <w:p w14:paraId="23EBC65E" w14:textId="77777777" w:rsidR="00000000" w:rsidRDefault="001826C1">
      <w:pPr>
        <w:pStyle w:val="a3"/>
        <w:spacing w:before="0" w:beforeAutospacing="0" w:after="0" w:afterAutospacing="0"/>
        <w:jc w:val="both"/>
        <w:rPr>
          <w:sz w:val="20"/>
          <w:szCs w:val="20"/>
        </w:rPr>
      </w:pPr>
      <w:r>
        <w:rPr>
          <w:sz w:val="20"/>
          <w:szCs w:val="20"/>
        </w:rPr>
        <w:t> </w:t>
      </w:r>
    </w:p>
    <w:p w14:paraId="2725DB11" w14:textId="77777777" w:rsidR="00000000" w:rsidRDefault="001826C1">
      <w:pPr>
        <w:pStyle w:val="a3"/>
        <w:spacing w:before="0" w:beforeAutospacing="0" w:after="0" w:afterAutospacing="0"/>
        <w:jc w:val="both"/>
        <w:rPr>
          <w:sz w:val="20"/>
          <w:szCs w:val="20"/>
        </w:rPr>
      </w:pPr>
      <w:r>
        <w:rPr>
          <w:i/>
          <w:iCs/>
          <w:sz w:val="20"/>
          <w:szCs w:val="20"/>
        </w:rPr>
        <w:t>Fair value measurements-Level 2</w:t>
      </w:r>
    </w:p>
    <w:p w14:paraId="7251E99F" w14:textId="77777777" w:rsidR="00000000" w:rsidRDefault="001826C1">
      <w:pPr>
        <w:pStyle w:val="a3"/>
        <w:spacing w:before="0" w:beforeAutospacing="0" w:after="0" w:afterAutospacing="0"/>
        <w:jc w:val="both"/>
        <w:rPr>
          <w:sz w:val="20"/>
          <w:szCs w:val="20"/>
        </w:rPr>
      </w:pPr>
      <w:r>
        <w:rPr>
          <w:sz w:val="20"/>
          <w:szCs w:val="20"/>
        </w:rPr>
        <w:t> </w:t>
      </w:r>
    </w:p>
    <w:p w14:paraId="4B7C7FC8" w14:textId="77777777" w:rsidR="00000000" w:rsidRDefault="001826C1">
      <w:pPr>
        <w:pStyle w:val="a3"/>
        <w:spacing w:before="0" w:beforeAutospacing="0" w:after="0" w:afterAutospacing="0"/>
        <w:jc w:val="both"/>
        <w:rPr>
          <w:sz w:val="20"/>
          <w:szCs w:val="20"/>
        </w:rPr>
      </w:pPr>
      <w:r>
        <w:rPr>
          <w:sz w:val="20"/>
          <w:szCs w:val="20"/>
        </w:rPr>
        <w:t>Our notes payable are carried at cost and approximate fair value since the interest rates being charged approximate market rates. As a result, the Company categorizes these borrowings as Level 2 in the fair value hierarchy.</w:t>
      </w:r>
    </w:p>
    <w:p w14:paraId="023F01CA" w14:textId="77777777" w:rsidR="00000000" w:rsidRDefault="001826C1">
      <w:pPr>
        <w:pStyle w:val="a3"/>
        <w:spacing w:before="0" w:beforeAutospacing="0" w:after="0" w:afterAutospacing="0"/>
        <w:jc w:val="both"/>
        <w:rPr>
          <w:sz w:val="20"/>
          <w:szCs w:val="20"/>
        </w:rPr>
      </w:pPr>
      <w:r>
        <w:rPr>
          <w:sz w:val="20"/>
          <w:szCs w:val="20"/>
        </w:rPr>
        <w:t> </w:t>
      </w:r>
    </w:p>
    <w:p w14:paraId="46344599" w14:textId="77777777" w:rsidR="00000000" w:rsidRDefault="001826C1">
      <w:pPr>
        <w:pStyle w:val="a3"/>
        <w:spacing w:before="0" w:beforeAutospacing="0" w:after="0" w:afterAutospacing="0"/>
        <w:jc w:val="both"/>
        <w:rPr>
          <w:sz w:val="20"/>
          <w:szCs w:val="20"/>
        </w:rPr>
      </w:pPr>
      <w:r>
        <w:rPr>
          <w:i/>
          <w:iCs/>
          <w:sz w:val="20"/>
          <w:szCs w:val="20"/>
        </w:rPr>
        <w:t>Contingent Consideration</w:t>
      </w:r>
    </w:p>
    <w:p w14:paraId="5E5EE6A9" w14:textId="77777777" w:rsidR="00000000" w:rsidRDefault="001826C1">
      <w:pPr>
        <w:pStyle w:val="a3"/>
        <w:spacing w:before="0" w:beforeAutospacing="0" w:after="0" w:afterAutospacing="0"/>
        <w:jc w:val="both"/>
        <w:rPr>
          <w:sz w:val="20"/>
          <w:szCs w:val="20"/>
        </w:rPr>
      </w:pPr>
      <w:r>
        <w:rPr>
          <w:sz w:val="20"/>
          <w:szCs w:val="20"/>
        </w:rPr>
        <w:t> </w:t>
      </w:r>
    </w:p>
    <w:p w14:paraId="79C3B756" w14:textId="77777777" w:rsidR="00000000" w:rsidRDefault="001826C1">
      <w:pPr>
        <w:pStyle w:val="a3"/>
        <w:spacing w:before="0" w:beforeAutospacing="0" w:after="0" w:afterAutospacing="0"/>
        <w:jc w:val="both"/>
        <w:rPr>
          <w:sz w:val="20"/>
          <w:szCs w:val="20"/>
        </w:rPr>
      </w:pPr>
      <w:r>
        <w:rPr>
          <w:sz w:val="20"/>
          <w:szCs w:val="20"/>
        </w:rPr>
        <w:t>T</w:t>
      </w:r>
      <w:r>
        <w:rPr>
          <w:sz w:val="20"/>
          <w:szCs w:val="20"/>
        </w:rPr>
        <w:t>he Company’s contingent consideration of approximately $526,000 as of December 31, 2018, is a Level 3 liability. The fair value of the contingent consideration at December 31, 2018 was primarily driven by changes in revenue estimates related to the acquisi</w:t>
      </w:r>
      <w:r>
        <w:rPr>
          <w:sz w:val="20"/>
          <w:szCs w:val="20"/>
        </w:rPr>
        <w:t>tions during 2015 and 2016, the passage of time and the associated discount rate. Due to the number of factors used to determine contingent consideration, it was not possible to determine a range of outcomes. During 2019, the contingent consideration liabi</w:t>
      </w:r>
      <w:r>
        <w:rPr>
          <w:sz w:val="20"/>
          <w:szCs w:val="20"/>
        </w:rPr>
        <w:t>lity was fully settled.</w:t>
      </w:r>
    </w:p>
    <w:p w14:paraId="645D4531" w14:textId="77777777" w:rsidR="00000000" w:rsidRDefault="001826C1">
      <w:pPr>
        <w:pStyle w:val="a3"/>
        <w:spacing w:before="0" w:beforeAutospacing="0" w:after="0" w:afterAutospacing="0"/>
        <w:jc w:val="both"/>
        <w:rPr>
          <w:sz w:val="20"/>
          <w:szCs w:val="20"/>
        </w:rPr>
      </w:pPr>
      <w:r>
        <w:rPr>
          <w:sz w:val="20"/>
          <w:szCs w:val="20"/>
        </w:rPr>
        <w:t> </w:t>
      </w:r>
    </w:p>
    <w:p w14:paraId="693458D1" w14:textId="77777777" w:rsidR="00000000" w:rsidRDefault="001826C1">
      <w:pPr>
        <w:pStyle w:val="a3"/>
        <w:spacing w:before="0" w:beforeAutospacing="0" w:after="0" w:afterAutospacing="0"/>
        <w:jc w:val="both"/>
        <w:rPr>
          <w:sz w:val="20"/>
          <w:szCs w:val="20"/>
        </w:rPr>
      </w:pPr>
      <w:r>
        <w:rPr>
          <w:sz w:val="20"/>
          <w:szCs w:val="20"/>
        </w:rPr>
        <w:t>The following table provides a reconciliation of the beginning and ending balances for the contingent consideration measured at fair value using significant unobservable inputs (Level 3):</w:t>
      </w:r>
    </w:p>
    <w:p w14:paraId="184038F9" w14:textId="77777777" w:rsidR="00000000" w:rsidRDefault="001826C1">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1568"/>
        <w:gridCol w:w="73"/>
        <w:gridCol w:w="100"/>
        <w:gridCol w:w="1468"/>
        <w:gridCol w:w="67"/>
        <w:gridCol w:w="73"/>
        <w:gridCol w:w="100"/>
        <w:gridCol w:w="1468"/>
        <w:gridCol w:w="67"/>
      </w:tblGrid>
      <w:tr w:rsidR="00000000" w14:paraId="0744F7FC" w14:textId="77777777">
        <w:tc>
          <w:tcPr>
            <w:tcW w:w="0" w:type="auto"/>
            <w:vAlign w:val="bottom"/>
            <w:hideMark/>
          </w:tcPr>
          <w:p w14:paraId="72D66346" w14:textId="77777777" w:rsidR="00000000" w:rsidRDefault="001826C1">
            <w:pPr>
              <w:rPr>
                <w:rFonts w:eastAsia="Times New Roman"/>
                <w:sz w:val="20"/>
                <w:szCs w:val="20"/>
              </w:rPr>
            </w:pPr>
            <w:r>
              <w:rPr>
                <w:rFonts w:eastAsia="Times New Roman"/>
                <w:sz w:val="20"/>
                <w:szCs w:val="20"/>
              </w:rPr>
              <w:t> </w:t>
            </w:r>
          </w:p>
        </w:tc>
        <w:tc>
          <w:tcPr>
            <w:tcW w:w="0" w:type="auto"/>
            <w:vAlign w:val="bottom"/>
            <w:hideMark/>
          </w:tcPr>
          <w:p w14:paraId="25AB64D3"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vAlign w:val="bottom"/>
            <w:hideMark/>
          </w:tcPr>
          <w:p w14:paraId="3B47B7D0" w14:textId="77777777" w:rsidR="00000000" w:rsidRDefault="001826C1">
            <w:pPr>
              <w:jc w:val="center"/>
              <w:rPr>
                <w:rFonts w:eastAsia="Times New Roman"/>
                <w:b/>
                <w:bCs/>
                <w:sz w:val="20"/>
                <w:szCs w:val="20"/>
              </w:rPr>
            </w:pPr>
            <w:r>
              <w:rPr>
                <w:rFonts w:eastAsia="Times New Roman"/>
                <w:b/>
                <w:bCs/>
                <w:sz w:val="20"/>
                <w:szCs w:val="20"/>
              </w:rPr>
              <w:t xml:space="preserve">Fair Value Measurement at Reporting </w:t>
            </w:r>
            <w:r>
              <w:rPr>
                <w:rFonts w:eastAsia="Times New Roman"/>
                <w:b/>
                <w:bCs/>
                <w:sz w:val="20"/>
                <w:szCs w:val="20"/>
              </w:rPr>
              <w:t>Date</w:t>
            </w:r>
            <w:r>
              <w:rPr>
                <w:rFonts w:eastAsia="Times New Roman"/>
                <w:b/>
                <w:bCs/>
                <w:sz w:val="20"/>
                <w:szCs w:val="20"/>
              </w:rPr>
              <w:br/>
              <w:t>Using Significant Unobservable Inputs, Level 3</w:t>
            </w:r>
          </w:p>
        </w:tc>
        <w:tc>
          <w:tcPr>
            <w:tcW w:w="0" w:type="auto"/>
            <w:vAlign w:val="bottom"/>
            <w:hideMark/>
          </w:tcPr>
          <w:p w14:paraId="49637324" w14:textId="77777777" w:rsidR="00000000" w:rsidRDefault="001826C1">
            <w:pPr>
              <w:rPr>
                <w:rFonts w:eastAsia="Times New Roman"/>
                <w:b/>
                <w:bCs/>
                <w:sz w:val="20"/>
                <w:szCs w:val="20"/>
              </w:rPr>
            </w:pPr>
            <w:r>
              <w:rPr>
                <w:rFonts w:eastAsia="Times New Roman"/>
                <w:b/>
                <w:bCs/>
                <w:sz w:val="20"/>
                <w:szCs w:val="20"/>
              </w:rPr>
              <w:t> </w:t>
            </w:r>
          </w:p>
        </w:tc>
      </w:tr>
      <w:tr w:rsidR="00000000" w14:paraId="4D4ED0DB" w14:textId="77777777">
        <w:tc>
          <w:tcPr>
            <w:tcW w:w="0" w:type="auto"/>
            <w:vAlign w:val="bottom"/>
            <w:hideMark/>
          </w:tcPr>
          <w:p w14:paraId="7BEA3218"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6290C1B8" w14:textId="77777777" w:rsidR="00000000" w:rsidRDefault="001826C1">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14:paraId="6664AB8C" w14:textId="77777777" w:rsidR="00000000" w:rsidRDefault="001826C1">
            <w:pPr>
              <w:jc w:val="center"/>
              <w:rPr>
                <w:rFonts w:eastAsia="Times New Roman"/>
                <w:b/>
                <w:bCs/>
                <w:sz w:val="20"/>
                <w:szCs w:val="20"/>
              </w:rPr>
            </w:pPr>
            <w:r>
              <w:rPr>
                <w:rFonts w:eastAsia="Times New Roman"/>
                <w:b/>
                <w:bCs/>
                <w:sz w:val="20"/>
                <w:szCs w:val="20"/>
              </w:rPr>
              <w:t>Year Ended December 31,</w:t>
            </w:r>
          </w:p>
        </w:tc>
        <w:tc>
          <w:tcPr>
            <w:tcW w:w="0" w:type="auto"/>
            <w:tcMar>
              <w:top w:w="0" w:type="dxa"/>
              <w:left w:w="0" w:type="dxa"/>
              <w:bottom w:w="30" w:type="dxa"/>
              <w:right w:w="0" w:type="dxa"/>
            </w:tcMar>
            <w:vAlign w:val="bottom"/>
            <w:hideMark/>
          </w:tcPr>
          <w:p w14:paraId="3F1615CB" w14:textId="77777777" w:rsidR="00000000" w:rsidRDefault="001826C1">
            <w:pPr>
              <w:rPr>
                <w:rFonts w:eastAsia="Times New Roman"/>
                <w:b/>
                <w:bCs/>
                <w:sz w:val="20"/>
                <w:szCs w:val="20"/>
              </w:rPr>
            </w:pPr>
            <w:r>
              <w:rPr>
                <w:rFonts w:eastAsia="Times New Roman"/>
                <w:b/>
                <w:bCs/>
                <w:sz w:val="20"/>
                <w:szCs w:val="20"/>
              </w:rPr>
              <w:t> </w:t>
            </w:r>
          </w:p>
        </w:tc>
      </w:tr>
      <w:tr w:rsidR="00000000" w14:paraId="5A220763" w14:textId="77777777">
        <w:tc>
          <w:tcPr>
            <w:tcW w:w="0" w:type="auto"/>
            <w:vAlign w:val="bottom"/>
            <w:hideMark/>
          </w:tcPr>
          <w:p w14:paraId="63AF3FAB" w14:textId="77777777" w:rsidR="00000000" w:rsidRDefault="001826C1">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14:paraId="552A625B"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560C11BA" w14:textId="77777777" w:rsidR="00000000" w:rsidRDefault="001826C1">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14:paraId="2810F027" w14:textId="77777777" w:rsidR="00000000" w:rsidRDefault="001826C1">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14:paraId="2CD9CB01" w14:textId="77777777" w:rsidR="00000000" w:rsidRDefault="001826C1">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14:paraId="3A4DC01A" w14:textId="77777777" w:rsidR="00000000" w:rsidRDefault="001826C1">
            <w:pPr>
              <w:jc w:val="center"/>
              <w:rPr>
                <w:rFonts w:eastAsia="Times New Roman"/>
                <w:b/>
                <w:bCs/>
                <w:sz w:val="20"/>
                <w:szCs w:val="20"/>
              </w:rPr>
            </w:pPr>
            <w:r>
              <w:rPr>
                <w:rFonts w:eastAsia="Times New Roman"/>
                <w:b/>
                <w:bCs/>
                <w:sz w:val="20"/>
                <w:szCs w:val="20"/>
              </w:rPr>
              <w:t>2018</w:t>
            </w:r>
          </w:p>
        </w:tc>
        <w:tc>
          <w:tcPr>
            <w:tcW w:w="0" w:type="auto"/>
            <w:tcMar>
              <w:top w:w="0" w:type="dxa"/>
              <w:left w:w="0" w:type="dxa"/>
              <w:bottom w:w="30" w:type="dxa"/>
              <w:right w:w="0" w:type="dxa"/>
            </w:tcMar>
            <w:vAlign w:val="bottom"/>
            <w:hideMark/>
          </w:tcPr>
          <w:p w14:paraId="53CF7E02" w14:textId="77777777" w:rsidR="00000000" w:rsidRDefault="001826C1">
            <w:pPr>
              <w:rPr>
                <w:rFonts w:eastAsia="Times New Roman"/>
                <w:b/>
                <w:bCs/>
                <w:sz w:val="20"/>
                <w:szCs w:val="20"/>
              </w:rPr>
            </w:pPr>
            <w:r>
              <w:rPr>
                <w:rFonts w:eastAsia="Times New Roman"/>
                <w:b/>
                <w:bCs/>
                <w:sz w:val="20"/>
                <w:szCs w:val="20"/>
              </w:rPr>
              <w:t> </w:t>
            </w:r>
          </w:p>
        </w:tc>
      </w:tr>
      <w:tr w:rsidR="00000000" w14:paraId="3F67B06A" w14:textId="77777777">
        <w:tc>
          <w:tcPr>
            <w:tcW w:w="1600" w:type="pct"/>
            <w:shd w:val="clear" w:color="auto" w:fill="CCEEFF"/>
            <w:vAlign w:val="bottom"/>
            <w:hideMark/>
          </w:tcPr>
          <w:p w14:paraId="66825A0C" w14:textId="77777777" w:rsidR="00000000" w:rsidRDefault="001826C1">
            <w:pPr>
              <w:rPr>
                <w:rFonts w:eastAsia="Times New Roman"/>
                <w:sz w:val="20"/>
                <w:szCs w:val="20"/>
              </w:rPr>
            </w:pPr>
            <w:r>
              <w:rPr>
                <w:rFonts w:eastAsia="Times New Roman"/>
                <w:sz w:val="20"/>
                <w:szCs w:val="20"/>
              </w:rPr>
              <w:t>Balance - January 1,</w:t>
            </w:r>
          </w:p>
        </w:tc>
        <w:tc>
          <w:tcPr>
            <w:tcW w:w="100" w:type="pct"/>
            <w:shd w:val="clear" w:color="auto" w:fill="CCEEFF"/>
            <w:vAlign w:val="bottom"/>
            <w:hideMark/>
          </w:tcPr>
          <w:p w14:paraId="31C56C95"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7DE34B05" w14:textId="77777777" w:rsidR="00000000" w:rsidRDefault="001826C1">
            <w:pPr>
              <w:rPr>
                <w:rFonts w:eastAsia="Times New Roman"/>
                <w:sz w:val="20"/>
                <w:szCs w:val="20"/>
              </w:rPr>
            </w:pPr>
            <w:r>
              <w:rPr>
                <w:rFonts w:eastAsia="Times New Roman"/>
                <w:sz w:val="20"/>
                <w:szCs w:val="20"/>
              </w:rPr>
              <w:t>$</w:t>
            </w:r>
          </w:p>
        </w:tc>
        <w:tc>
          <w:tcPr>
            <w:tcW w:w="1500" w:type="pct"/>
            <w:shd w:val="clear" w:color="auto" w:fill="CCEEFF"/>
            <w:vAlign w:val="bottom"/>
            <w:hideMark/>
          </w:tcPr>
          <w:p w14:paraId="13C1F62E" w14:textId="77777777" w:rsidR="00000000" w:rsidRDefault="001826C1">
            <w:pPr>
              <w:jc w:val="right"/>
              <w:rPr>
                <w:rFonts w:eastAsia="Times New Roman"/>
                <w:sz w:val="20"/>
                <w:szCs w:val="20"/>
              </w:rPr>
            </w:pPr>
            <w:r>
              <w:rPr>
                <w:rFonts w:eastAsia="Times New Roman"/>
                <w:sz w:val="20"/>
                <w:szCs w:val="20"/>
              </w:rPr>
              <w:t>526,432</w:t>
            </w:r>
          </w:p>
        </w:tc>
        <w:tc>
          <w:tcPr>
            <w:tcW w:w="50" w:type="pct"/>
            <w:shd w:val="clear" w:color="auto" w:fill="CCEEFF"/>
            <w:vAlign w:val="bottom"/>
            <w:hideMark/>
          </w:tcPr>
          <w:p w14:paraId="130E03D4" w14:textId="77777777" w:rsidR="00000000" w:rsidRDefault="001826C1">
            <w:pPr>
              <w:rPr>
                <w:rFonts w:eastAsia="Times New Roman"/>
                <w:sz w:val="20"/>
                <w:szCs w:val="20"/>
              </w:rPr>
            </w:pPr>
            <w:r>
              <w:rPr>
                <w:rFonts w:eastAsia="Times New Roman"/>
                <w:sz w:val="20"/>
                <w:szCs w:val="20"/>
              </w:rPr>
              <w:t> </w:t>
            </w:r>
          </w:p>
        </w:tc>
        <w:tc>
          <w:tcPr>
            <w:tcW w:w="100" w:type="pct"/>
            <w:shd w:val="clear" w:color="auto" w:fill="CCEEFF"/>
            <w:vAlign w:val="bottom"/>
            <w:hideMark/>
          </w:tcPr>
          <w:p w14:paraId="1BB58993" w14:textId="77777777" w:rsidR="00000000" w:rsidRDefault="001826C1">
            <w:pPr>
              <w:rPr>
                <w:rFonts w:eastAsia="Times New Roman"/>
                <w:sz w:val="20"/>
                <w:szCs w:val="20"/>
              </w:rPr>
            </w:pPr>
            <w:r>
              <w:rPr>
                <w:rFonts w:eastAsia="Times New Roman"/>
                <w:sz w:val="20"/>
                <w:szCs w:val="20"/>
              </w:rPr>
              <w:t> </w:t>
            </w:r>
          </w:p>
        </w:tc>
        <w:tc>
          <w:tcPr>
            <w:tcW w:w="50" w:type="pct"/>
            <w:shd w:val="clear" w:color="auto" w:fill="CCEEFF"/>
            <w:vAlign w:val="bottom"/>
            <w:hideMark/>
          </w:tcPr>
          <w:p w14:paraId="1E6B90AA" w14:textId="77777777" w:rsidR="00000000" w:rsidRDefault="001826C1">
            <w:pPr>
              <w:rPr>
                <w:rFonts w:eastAsia="Times New Roman"/>
                <w:sz w:val="20"/>
                <w:szCs w:val="20"/>
              </w:rPr>
            </w:pPr>
            <w:r>
              <w:rPr>
                <w:rFonts w:eastAsia="Times New Roman"/>
                <w:sz w:val="20"/>
                <w:szCs w:val="20"/>
              </w:rPr>
              <w:t>$</w:t>
            </w:r>
          </w:p>
        </w:tc>
        <w:tc>
          <w:tcPr>
            <w:tcW w:w="1500" w:type="pct"/>
            <w:shd w:val="clear" w:color="auto" w:fill="CCEEFF"/>
            <w:vAlign w:val="bottom"/>
            <w:hideMark/>
          </w:tcPr>
          <w:p w14:paraId="1F998F72" w14:textId="77777777" w:rsidR="00000000" w:rsidRDefault="001826C1">
            <w:pPr>
              <w:jc w:val="right"/>
              <w:rPr>
                <w:rFonts w:eastAsia="Times New Roman"/>
                <w:sz w:val="20"/>
                <w:szCs w:val="20"/>
              </w:rPr>
            </w:pPr>
            <w:r>
              <w:rPr>
                <w:rFonts w:eastAsia="Times New Roman"/>
                <w:sz w:val="20"/>
                <w:szCs w:val="20"/>
              </w:rPr>
              <w:t>603,411</w:t>
            </w:r>
          </w:p>
        </w:tc>
        <w:tc>
          <w:tcPr>
            <w:tcW w:w="50" w:type="pct"/>
            <w:shd w:val="clear" w:color="auto" w:fill="CCEEFF"/>
            <w:vAlign w:val="bottom"/>
            <w:hideMark/>
          </w:tcPr>
          <w:p w14:paraId="6120B90A" w14:textId="77777777" w:rsidR="00000000" w:rsidRDefault="001826C1">
            <w:pPr>
              <w:rPr>
                <w:rFonts w:eastAsia="Times New Roman"/>
                <w:sz w:val="20"/>
                <w:szCs w:val="20"/>
              </w:rPr>
            </w:pPr>
            <w:r>
              <w:rPr>
                <w:rFonts w:eastAsia="Times New Roman"/>
                <w:sz w:val="20"/>
                <w:szCs w:val="20"/>
              </w:rPr>
              <w:t> </w:t>
            </w:r>
          </w:p>
        </w:tc>
      </w:tr>
      <w:tr w:rsidR="00000000" w14:paraId="1F0E1553" w14:textId="77777777">
        <w:tc>
          <w:tcPr>
            <w:tcW w:w="0" w:type="auto"/>
            <w:shd w:val="clear" w:color="auto" w:fill="FFFFFF"/>
            <w:vAlign w:val="bottom"/>
            <w:hideMark/>
          </w:tcPr>
          <w:p w14:paraId="07E7AF0C" w14:textId="77777777" w:rsidR="00000000" w:rsidRDefault="001826C1">
            <w:pPr>
              <w:rPr>
                <w:rFonts w:eastAsia="Times New Roman"/>
                <w:sz w:val="20"/>
                <w:szCs w:val="20"/>
              </w:rPr>
            </w:pPr>
            <w:r>
              <w:rPr>
                <w:rFonts w:eastAsia="Times New Roman"/>
                <w:sz w:val="20"/>
                <w:szCs w:val="20"/>
              </w:rPr>
              <w:t>Change in fair value</w:t>
            </w:r>
          </w:p>
        </w:tc>
        <w:tc>
          <w:tcPr>
            <w:tcW w:w="0" w:type="auto"/>
            <w:shd w:val="clear" w:color="auto" w:fill="FFFFFF"/>
            <w:vAlign w:val="bottom"/>
            <w:hideMark/>
          </w:tcPr>
          <w:p w14:paraId="5E331F59"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6A4677D0"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2C6F68A4" w14:textId="77777777" w:rsidR="00000000" w:rsidRDefault="001826C1">
            <w:pPr>
              <w:jc w:val="right"/>
              <w:rPr>
                <w:rFonts w:eastAsia="Times New Roman"/>
                <w:sz w:val="20"/>
                <w:szCs w:val="20"/>
              </w:rPr>
            </w:pPr>
            <w:r>
              <w:rPr>
                <w:rFonts w:eastAsia="Times New Roman"/>
                <w:sz w:val="20"/>
                <w:szCs w:val="20"/>
              </w:rPr>
              <w:t>(343,768</w:t>
            </w:r>
          </w:p>
        </w:tc>
        <w:tc>
          <w:tcPr>
            <w:tcW w:w="0" w:type="auto"/>
            <w:shd w:val="clear" w:color="auto" w:fill="FFFFFF"/>
            <w:vAlign w:val="bottom"/>
            <w:hideMark/>
          </w:tcPr>
          <w:p w14:paraId="490E1BA4" w14:textId="77777777" w:rsidR="00000000" w:rsidRDefault="001826C1">
            <w:pPr>
              <w:rPr>
                <w:rFonts w:eastAsia="Times New Roman"/>
                <w:sz w:val="20"/>
                <w:szCs w:val="20"/>
              </w:rPr>
            </w:pPr>
            <w:r>
              <w:rPr>
                <w:rFonts w:eastAsia="Times New Roman"/>
                <w:sz w:val="20"/>
                <w:szCs w:val="20"/>
              </w:rPr>
              <w:t>)</w:t>
            </w:r>
          </w:p>
        </w:tc>
        <w:tc>
          <w:tcPr>
            <w:tcW w:w="0" w:type="auto"/>
            <w:shd w:val="clear" w:color="auto" w:fill="FFFFFF"/>
            <w:vAlign w:val="bottom"/>
            <w:hideMark/>
          </w:tcPr>
          <w:p w14:paraId="3D474808"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2A3327F"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vAlign w:val="bottom"/>
            <w:hideMark/>
          </w:tcPr>
          <w:p w14:paraId="79D518EF" w14:textId="77777777" w:rsidR="00000000" w:rsidRDefault="001826C1">
            <w:pPr>
              <w:jc w:val="right"/>
              <w:rPr>
                <w:rFonts w:eastAsia="Times New Roman"/>
                <w:sz w:val="20"/>
                <w:szCs w:val="20"/>
              </w:rPr>
            </w:pPr>
            <w:r>
              <w:rPr>
                <w:rFonts w:eastAsia="Times New Roman"/>
                <w:sz w:val="20"/>
                <w:szCs w:val="20"/>
              </w:rPr>
              <w:t>73,271</w:t>
            </w:r>
          </w:p>
        </w:tc>
        <w:tc>
          <w:tcPr>
            <w:tcW w:w="0" w:type="auto"/>
            <w:shd w:val="clear" w:color="auto" w:fill="FFFFFF"/>
            <w:vAlign w:val="bottom"/>
            <w:hideMark/>
          </w:tcPr>
          <w:p w14:paraId="7F2A911E" w14:textId="77777777" w:rsidR="00000000" w:rsidRDefault="001826C1">
            <w:pPr>
              <w:rPr>
                <w:rFonts w:eastAsia="Times New Roman"/>
                <w:sz w:val="20"/>
                <w:szCs w:val="20"/>
              </w:rPr>
            </w:pPr>
            <w:r>
              <w:rPr>
                <w:rFonts w:eastAsia="Times New Roman"/>
                <w:sz w:val="20"/>
                <w:szCs w:val="20"/>
              </w:rPr>
              <w:t> </w:t>
            </w:r>
          </w:p>
        </w:tc>
      </w:tr>
      <w:tr w:rsidR="00000000" w14:paraId="3E328064" w14:textId="77777777">
        <w:tc>
          <w:tcPr>
            <w:tcW w:w="0" w:type="auto"/>
            <w:shd w:val="clear" w:color="auto" w:fill="CCEEFF"/>
            <w:tcMar>
              <w:top w:w="0" w:type="dxa"/>
              <w:left w:w="0" w:type="dxa"/>
              <w:bottom w:w="30" w:type="dxa"/>
              <w:right w:w="0" w:type="dxa"/>
            </w:tcMar>
            <w:vAlign w:val="bottom"/>
            <w:hideMark/>
          </w:tcPr>
          <w:p w14:paraId="7A54DA81" w14:textId="77777777" w:rsidR="00000000" w:rsidRDefault="001826C1">
            <w:pPr>
              <w:rPr>
                <w:rFonts w:eastAsia="Times New Roman"/>
                <w:sz w:val="20"/>
                <w:szCs w:val="20"/>
              </w:rPr>
            </w:pPr>
            <w:r>
              <w:rPr>
                <w:rFonts w:eastAsia="Times New Roman"/>
                <w:sz w:val="20"/>
                <w:szCs w:val="20"/>
              </w:rPr>
              <w:t>Payments</w:t>
            </w:r>
          </w:p>
        </w:tc>
        <w:tc>
          <w:tcPr>
            <w:tcW w:w="0" w:type="auto"/>
            <w:shd w:val="clear" w:color="auto" w:fill="CCEEFF"/>
            <w:tcMar>
              <w:top w:w="0" w:type="dxa"/>
              <w:left w:w="0" w:type="dxa"/>
              <w:bottom w:w="30" w:type="dxa"/>
              <w:right w:w="0" w:type="dxa"/>
            </w:tcMar>
            <w:vAlign w:val="bottom"/>
            <w:hideMark/>
          </w:tcPr>
          <w:p w14:paraId="244F8066"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18FD948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3715B1" w14:textId="77777777" w:rsidR="00000000" w:rsidRDefault="001826C1">
            <w:pPr>
              <w:jc w:val="right"/>
              <w:rPr>
                <w:rFonts w:eastAsia="Times New Roman"/>
                <w:sz w:val="20"/>
                <w:szCs w:val="20"/>
              </w:rPr>
            </w:pPr>
            <w:r>
              <w:rPr>
                <w:rFonts w:eastAsia="Times New Roman"/>
                <w:sz w:val="20"/>
                <w:szCs w:val="20"/>
              </w:rPr>
              <w:t>(182,664</w:t>
            </w:r>
          </w:p>
        </w:tc>
        <w:tc>
          <w:tcPr>
            <w:tcW w:w="0" w:type="auto"/>
            <w:shd w:val="clear" w:color="auto" w:fill="CCEEFF"/>
            <w:tcMar>
              <w:top w:w="0" w:type="dxa"/>
              <w:left w:w="0" w:type="dxa"/>
              <w:bottom w:w="30" w:type="dxa"/>
              <w:right w:w="0" w:type="dxa"/>
            </w:tcMar>
            <w:vAlign w:val="bottom"/>
            <w:hideMark/>
          </w:tcPr>
          <w:p w14:paraId="034818AC" w14:textId="77777777" w:rsidR="00000000" w:rsidRDefault="001826C1">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14:paraId="7FE72B23"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626EE7CF" w14:textId="77777777" w:rsidR="00000000" w:rsidRDefault="001826C1">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14:paraId="53BFD7F9" w14:textId="77777777" w:rsidR="00000000" w:rsidRDefault="001826C1">
            <w:pPr>
              <w:jc w:val="right"/>
              <w:rPr>
                <w:rFonts w:eastAsia="Times New Roman"/>
                <w:sz w:val="20"/>
                <w:szCs w:val="20"/>
              </w:rPr>
            </w:pPr>
            <w:r>
              <w:rPr>
                <w:rFonts w:eastAsia="Times New Roman"/>
                <w:sz w:val="20"/>
                <w:szCs w:val="20"/>
              </w:rPr>
              <w:t>(150,250</w:t>
            </w:r>
          </w:p>
        </w:tc>
        <w:tc>
          <w:tcPr>
            <w:tcW w:w="0" w:type="auto"/>
            <w:shd w:val="clear" w:color="auto" w:fill="CCEEFF"/>
            <w:tcMar>
              <w:top w:w="0" w:type="dxa"/>
              <w:left w:w="0" w:type="dxa"/>
              <w:bottom w:w="30" w:type="dxa"/>
              <w:right w:w="0" w:type="dxa"/>
            </w:tcMar>
            <w:vAlign w:val="bottom"/>
            <w:hideMark/>
          </w:tcPr>
          <w:p w14:paraId="01CD5B41" w14:textId="77777777" w:rsidR="00000000" w:rsidRDefault="001826C1">
            <w:pPr>
              <w:rPr>
                <w:rFonts w:eastAsia="Times New Roman"/>
                <w:sz w:val="20"/>
                <w:szCs w:val="20"/>
              </w:rPr>
            </w:pPr>
            <w:r>
              <w:rPr>
                <w:rFonts w:eastAsia="Times New Roman"/>
                <w:sz w:val="20"/>
                <w:szCs w:val="20"/>
              </w:rPr>
              <w:t>)</w:t>
            </w:r>
          </w:p>
        </w:tc>
      </w:tr>
      <w:tr w:rsidR="00000000" w14:paraId="21CCA14E" w14:textId="77777777">
        <w:tc>
          <w:tcPr>
            <w:tcW w:w="0" w:type="auto"/>
            <w:shd w:val="clear" w:color="auto" w:fill="FFFFFF"/>
            <w:tcMar>
              <w:top w:w="0" w:type="dxa"/>
              <w:left w:w="0" w:type="dxa"/>
              <w:bottom w:w="50" w:type="dxa"/>
              <w:right w:w="0" w:type="dxa"/>
            </w:tcMar>
            <w:vAlign w:val="bottom"/>
            <w:hideMark/>
          </w:tcPr>
          <w:p w14:paraId="32744383" w14:textId="77777777" w:rsidR="00000000" w:rsidRDefault="001826C1">
            <w:pPr>
              <w:rPr>
                <w:rFonts w:eastAsia="Times New Roman"/>
                <w:sz w:val="20"/>
                <w:szCs w:val="20"/>
              </w:rPr>
            </w:pPr>
            <w:r>
              <w:rPr>
                <w:rFonts w:eastAsia="Times New Roman"/>
                <w:sz w:val="20"/>
                <w:szCs w:val="20"/>
              </w:rPr>
              <w:t>Balance - December 31,</w:t>
            </w:r>
          </w:p>
        </w:tc>
        <w:tc>
          <w:tcPr>
            <w:tcW w:w="0" w:type="auto"/>
            <w:shd w:val="clear" w:color="auto" w:fill="FFFFFF"/>
            <w:tcMar>
              <w:top w:w="0" w:type="dxa"/>
              <w:left w:w="0" w:type="dxa"/>
              <w:bottom w:w="50" w:type="dxa"/>
              <w:right w:w="0" w:type="dxa"/>
            </w:tcMar>
            <w:vAlign w:val="bottom"/>
            <w:hideMark/>
          </w:tcPr>
          <w:p w14:paraId="314ED880"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38D46D28"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486C7C62" w14:textId="77777777" w:rsidR="00000000" w:rsidRDefault="001826C1">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50" w:type="dxa"/>
              <w:right w:w="0" w:type="dxa"/>
            </w:tcMar>
            <w:vAlign w:val="bottom"/>
            <w:hideMark/>
          </w:tcPr>
          <w:p w14:paraId="04ECA82D" w14:textId="77777777" w:rsidR="00000000" w:rsidRDefault="001826C1">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14:paraId="05FC8165" w14:textId="77777777" w:rsidR="00000000" w:rsidRDefault="001826C1">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14:paraId="42FCB843" w14:textId="77777777" w:rsidR="00000000" w:rsidRDefault="001826C1">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14:paraId="7435C17F" w14:textId="77777777" w:rsidR="00000000" w:rsidRDefault="001826C1">
            <w:pPr>
              <w:jc w:val="right"/>
              <w:rPr>
                <w:rFonts w:eastAsia="Times New Roman"/>
                <w:sz w:val="20"/>
                <w:szCs w:val="20"/>
              </w:rPr>
            </w:pPr>
            <w:r>
              <w:rPr>
                <w:rFonts w:eastAsia="Times New Roman"/>
                <w:sz w:val="20"/>
                <w:szCs w:val="20"/>
              </w:rPr>
              <w:t>526,432</w:t>
            </w:r>
          </w:p>
        </w:tc>
        <w:tc>
          <w:tcPr>
            <w:tcW w:w="0" w:type="auto"/>
            <w:shd w:val="clear" w:color="auto" w:fill="FFFFFF"/>
            <w:tcMar>
              <w:top w:w="0" w:type="dxa"/>
              <w:left w:w="0" w:type="dxa"/>
              <w:bottom w:w="50" w:type="dxa"/>
              <w:right w:w="0" w:type="dxa"/>
            </w:tcMar>
            <w:vAlign w:val="bottom"/>
            <w:hideMark/>
          </w:tcPr>
          <w:p w14:paraId="4D4D1933" w14:textId="77777777" w:rsidR="00000000" w:rsidRDefault="001826C1">
            <w:pPr>
              <w:rPr>
                <w:rFonts w:eastAsia="Times New Roman"/>
                <w:sz w:val="20"/>
                <w:szCs w:val="20"/>
              </w:rPr>
            </w:pPr>
            <w:r>
              <w:rPr>
                <w:rFonts w:eastAsia="Times New Roman"/>
                <w:sz w:val="20"/>
                <w:szCs w:val="20"/>
              </w:rPr>
              <w:t> </w:t>
            </w:r>
          </w:p>
        </w:tc>
      </w:tr>
    </w:tbl>
    <w:p w14:paraId="4254F6C4"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7946"/>
      </w:tblGrid>
      <w:tr w:rsidR="00000000" w14:paraId="433FEB13" w14:textId="77777777">
        <w:tc>
          <w:tcPr>
            <w:tcW w:w="360" w:type="dxa"/>
            <w:hideMark/>
          </w:tcPr>
          <w:p w14:paraId="508B9757" w14:textId="77777777" w:rsidR="00000000" w:rsidRDefault="001826C1">
            <w:pPr>
              <w:rPr>
                <w:rFonts w:eastAsia="Times New Roman"/>
                <w:b/>
                <w:bCs/>
                <w:caps/>
                <w:sz w:val="20"/>
                <w:szCs w:val="20"/>
              </w:rPr>
            </w:pPr>
            <w:r>
              <w:rPr>
                <w:rFonts w:eastAsia="Times New Roman"/>
                <w:b/>
                <w:bCs/>
                <w:caps/>
                <w:sz w:val="20"/>
                <w:szCs w:val="20"/>
              </w:rPr>
              <w:t>20.</w:t>
            </w:r>
          </w:p>
        </w:tc>
        <w:tc>
          <w:tcPr>
            <w:tcW w:w="0" w:type="auto"/>
            <w:hideMark/>
          </w:tcPr>
          <w:p w14:paraId="1639D227" w14:textId="77777777" w:rsidR="00000000" w:rsidRDefault="001826C1">
            <w:pPr>
              <w:rPr>
                <w:rFonts w:eastAsia="Times New Roman"/>
                <w:b/>
                <w:bCs/>
                <w:caps/>
                <w:sz w:val="20"/>
                <w:szCs w:val="20"/>
              </w:rPr>
            </w:pPr>
            <w:r>
              <w:rPr>
                <w:rFonts w:eastAsia="Times New Roman"/>
                <w:b/>
                <w:bCs/>
                <w:caps/>
                <w:sz w:val="20"/>
                <w:szCs w:val="20"/>
              </w:rPr>
              <w:t>SUBSEQUENT EVENT</w:t>
            </w:r>
          </w:p>
        </w:tc>
      </w:tr>
    </w:tbl>
    <w:p w14:paraId="062A07A1" w14:textId="77777777" w:rsidR="00000000" w:rsidRDefault="001826C1">
      <w:pPr>
        <w:pStyle w:val="a3"/>
        <w:spacing w:before="0" w:beforeAutospacing="0" w:after="0" w:afterAutospacing="0"/>
        <w:ind w:left="475"/>
        <w:jc w:val="both"/>
        <w:rPr>
          <w:sz w:val="20"/>
          <w:szCs w:val="20"/>
        </w:rPr>
      </w:pPr>
      <w:r>
        <w:rPr>
          <w:sz w:val="20"/>
          <w:szCs w:val="20"/>
        </w:rPr>
        <w:t> </w:t>
      </w:r>
    </w:p>
    <w:p w14:paraId="15736928" w14:textId="77777777" w:rsidR="00000000" w:rsidRDefault="001826C1">
      <w:pPr>
        <w:pStyle w:val="a3"/>
        <w:spacing w:before="0" w:beforeAutospacing="0" w:after="0" w:afterAutospacing="0"/>
        <w:jc w:val="both"/>
        <w:rPr>
          <w:sz w:val="20"/>
          <w:szCs w:val="20"/>
        </w:rPr>
      </w:pPr>
      <w:r>
        <w:rPr>
          <w:sz w:val="20"/>
          <w:szCs w:val="20"/>
        </w:rPr>
        <w:t xml:space="preserve">On January 8, 2020, the Company entered into an Agreement and Plan of Merger (the “Merger Agreement”) with CareCloud Corporation, </w:t>
      </w:r>
      <w:r>
        <w:rPr>
          <w:sz w:val="20"/>
          <w:szCs w:val="20"/>
        </w:rPr>
        <w:t>a Delaware corporation (“CareCloud”), MTBC Merger Sub, Inc., a Delaware corporation and wholly-owned subsidiary of the Company (“Merger Sub”) and Runway Growth Credit Fund Inc. (“Runway”), solely in its capacity as a seller representative, pursuant to whic</w:t>
      </w:r>
      <w:r>
        <w:rPr>
          <w:sz w:val="20"/>
          <w:szCs w:val="20"/>
        </w:rPr>
        <w:t>h Merger Sub merged with and into CareCloud (the “Merger”), with CareCloud surviving as a wholly-owned subsidiary of the Company. The Merger became effective simultaneously with the execution of the Merger Agreement. CareCloud was the surviving corporation</w:t>
      </w:r>
      <w:r>
        <w:rPr>
          <w:sz w:val="20"/>
          <w:szCs w:val="20"/>
        </w:rPr>
        <w:t xml:space="preserve"> of the Merger and became a wholly-owned subsidiary of the Company.</w:t>
      </w:r>
    </w:p>
    <w:p w14:paraId="0795E9D1" w14:textId="77777777" w:rsidR="00000000" w:rsidRDefault="001826C1">
      <w:pPr>
        <w:pStyle w:val="a3"/>
        <w:spacing w:before="0" w:beforeAutospacing="0" w:after="0" w:afterAutospacing="0"/>
        <w:jc w:val="both"/>
        <w:rPr>
          <w:sz w:val="20"/>
          <w:szCs w:val="20"/>
        </w:rPr>
      </w:pPr>
      <w:r>
        <w:rPr>
          <w:sz w:val="20"/>
          <w:szCs w:val="20"/>
        </w:rPr>
        <w:t> </w:t>
      </w:r>
    </w:p>
    <w:p w14:paraId="1D37B8F1" w14:textId="77777777" w:rsidR="00000000" w:rsidRDefault="001826C1">
      <w:pPr>
        <w:pStyle w:val="a3"/>
        <w:spacing w:before="0" w:beforeAutospacing="0" w:after="0" w:afterAutospacing="0"/>
        <w:jc w:val="both"/>
        <w:rPr>
          <w:sz w:val="20"/>
          <w:szCs w:val="20"/>
        </w:rPr>
      </w:pPr>
      <w:r>
        <w:rPr>
          <w:sz w:val="20"/>
          <w:szCs w:val="20"/>
        </w:rPr>
        <w:t>The total consideration for the Merger paid at closing was $11.9 million in cash, the assumption of a working capital deficiency of approximately $5.1 million and 760,000 shares of the C</w:t>
      </w:r>
      <w:r>
        <w:rPr>
          <w:sz w:val="20"/>
          <w:szCs w:val="20"/>
        </w:rPr>
        <w:t>ompany’s Preferred Stock. The Merger Agreement provides that if CareCloud’s 2020 revenues exceed $36 million, there will be an earn-out payment to the seller equal to such excess, up to $3 million. Additional consideration included warrants to purchase 2,0</w:t>
      </w:r>
      <w:r>
        <w:rPr>
          <w:sz w:val="20"/>
          <w:szCs w:val="20"/>
        </w:rPr>
        <w:t>00,000 shares of the Company’s common stock, 1,000,000 of which have an exercise price per share of $7.50 and a term of two years, and the other 1,000,000 warrants have an exercise price per share of $10.00 and a term of three years.</w:t>
      </w:r>
    </w:p>
    <w:p w14:paraId="7DBEA9FF" w14:textId="77777777" w:rsidR="00000000" w:rsidRDefault="001826C1">
      <w:pPr>
        <w:pStyle w:val="a3"/>
        <w:spacing w:before="0" w:beforeAutospacing="0" w:after="0" w:afterAutospacing="0"/>
        <w:jc w:val="both"/>
        <w:rPr>
          <w:sz w:val="20"/>
          <w:szCs w:val="20"/>
        </w:rPr>
      </w:pPr>
      <w:r>
        <w:rPr>
          <w:sz w:val="20"/>
          <w:szCs w:val="20"/>
        </w:rPr>
        <w:t> </w:t>
      </w:r>
    </w:p>
    <w:p w14:paraId="168CA189" w14:textId="77777777" w:rsidR="00000000" w:rsidRDefault="001826C1">
      <w:pPr>
        <w:pStyle w:val="a3"/>
        <w:spacing w:before="0" w:beforeAutospacing="0" w:after="0" w:afterAutospacing="0"/>
        <w:jc w:val="both"/>
        <w:rPr>
          <w:sz w:val="20"/>
          <w:szCs w:val="20"/>
        </w:rPr>
      </w:pPr>
      <w:r>
        <w:rPr>
          <w:sz w:val="20"/>
          <w:szCs w:val="20"/>
        </w:rPr>
        <w:t>Of the Preferred Sto</w:t>
      </w:r>
      <w:r>
        <w:rPr>
          <w:sz w:val="20"/>
          <w:szCs w:val="20"/>
        </w:rPr>
        <w:t>ck consideration, 160,000 shares will be held in escrow for up to 24 months, and an additional 100,000 shares will be held in escrow for up to 18 months, in both cases, to satisfy indemnification obligations of the seller for losses arising from certain sp</w:t>
      </w:r>
      <w:r>
        <w:rPr>
          <w:sz w:val="20"/>
          <w:szCs w:val="20"/>
        </w:rPr>
        <w:t>ecified contingent liabilities. Shares net of such losses will be released upon joint instruction of the Company and Runway in accordance with the applicable escrow terms.</w:t>
      </w:r>
    </w:p>
    <w:p w14:paraId="2C1DCF06" w14:textId="77777777" w:rsidR="00000000" w:rsidRDefault="001826C1">
      <w:pPr>
        <w:pStyle w:val="a3"/>
        <w:spacing w:before="0" w:beforeAutospacing="0" w:after="0" w:afterAutospacing="0"/>
        <w:jc w:val="both"/>
        <w:rPr>
          <w:sz w:val="20"/>
          <w:szCs w:val="20"/>
        </w:rPr>
      </w:pPr>
      <w:r>
        <w:rPr>
          <w:sz w:val="20"/>
          <w:szCs w:val="20"/>
        </w:rPr>
        <w:t> </w:t>
      </w:r>
    </w:p>
    <w:p w14:paraId="0E9BF33F" w14:textId="77777777" w:rsidR="00000000" w:rsidRDefault="001826C1">
      <w:pPr>
        <w:pStyle w:val="a3"/>
        <w:spacing w:before="0" w:beforeAutospacing="0" w:after="0" w:afterAutospacing="0"/>
        <w:jc w:val="both"/>
        <w:rPr>
          <w:sz w:val="20"/>
          <w:szCs w:val="20"/>
        </w:rPr>
      </w:pPr>
      <w:r>
        <w:rPr>
          <w:sz w:val="20"/>
          <w:szCs w:val="20"/>
        </w:rPr>
        <w:t>The Company’s Preferred Stock and warrants being issued as part of the Merger cons</w:t>
      </w:r>
      <w:r>
        <w:rPr>
          <w:sz w:val="20"/>
          <w:szCs w:val="20"/>
        </w:rPr>
        <w:t>ideration were issued in a transaction exempt from registration under the Securities Act of 1933, as amended (the “Securities Act”). The Company has agreed that, as soon as practicable after the completion of CareCloud’s 2019 financial statements audit, th</w:t>
      </w:r>
      <w:r>
        <w:rPr>
          <w:sz w:val="20"/>
          <w:szCs w:val="20"/>
        </w:rPr>
        <w:t>e Company will register for resale under the Securities Act the Preferred Stock and the securities underlying the warrants.</w:t>
      </w:r>
    </w:p>
    <w:p w14:paraId="0FCF781B" w14:textId="77777777" w:rsidR="00000000" w:rsidRDefault="001826C1">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14:paraId="0818D34F" w14:textId="77777777">
        <w:trPr>
          <w:divId w:val="1337339523"/>
        </w:trPr>
        <w:tc>
          <w:tcPr>
            <w:tcW w:w="5000" w:type="pct"/>
            <w:hideMark/>
          </w:tcPr>
          <w:p w14:paraId="253F4A79" w14:textId="77777777" w:rsidR="00000000" w:rsidRDefault="001826C1">
            <w:pPr>
              <w:jc w:val="center"/>
              <w:rPr>
                <w:rFonts w:eastAsia="Times New Roman"/>
                <w:sz w:val="20"/>
                <w:szCs w:val="20"/>
              </w:rPr>
            </w:pPr>
            <w:r>
              <w:rPr>
                <w:rFonts w:eastAsia="Times New Roman"/>
                <w:sz w:val="20"/>
                <w:szCs w:val="20"/>
              </w:rPr>
              <w:t>F</w:t>
            </w:r>
            <w:r>
              <w:rPr>
                <w:rFonts w:eastAsia="Times New Roman"/>
                <w:sz w:val="20"/>
                <w:szCs w:val="20"/>
              </w:rPr>
              <w:t>-</w:t>
            </w:r>
            <w:r>
              <w:rPr>
                <w:rFonts w:eastAsia="Times New Roman"/>
                <w:sz w:val="20"/>
                <w:szCs w:val="20"/>
              </w:rPr>
              <w:t>3</w:t>
            </w:r>
            <w:r>
              <w:rPr>
                <w:rFonts w:eastAsia="Times New Roman"/>
                <w:sz w:val="20"/>
                <w:szCs w:val="20"/>
              </w:rPr>
              <w:t>4</w:t>
            </w:r>
          </w:p>
        </w:tc>
      </w:tr>
    </w:tbl>
    <w:p w14:paraId="3B6F3EE3" w14:textId="77777777" w:rsidR="001826C1" w:rsidRDefault="001826C1">
      <w:pPr>
        <w:divId w:val="1337339523"/>
        <w:rPr>
          <w:rFonts w:eastAsia="Times New Roman"/>
        </w:rPr>
      </w:pPr>
    </w:p>
    <w:sectPr w:rsidR="001826C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26C1"/>
    <w:rsid w:val="00182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E840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2943">
      <w:marLeft w:val="0"/>
      <w:marRight w:val="0"/>
      <w:marTop w:val="0"/>
      <w:marBottom w:val="120"/>
      <w:divBdr>
        <w:top w:val="none" w:sz="0" w:space="0" w:color="auto"/>
        <w:left w:val="none" w:sz="0" w:space="0" w:color="auto"/>
        <w:bottom w:val="single" w:sz="12" w:space="0" w:color="000000"/>
        <w:right w:val="none" w:sz="0" w:space="0" w:color="auto"/>
      </w:divBdr>
    </w:div>
    <w:div w:id="103690944">
      <w:marLeft w:val="0"/>
      <w:marRight w:val="0"/>
      <w:marTop w:val="0"/>
      <w:marBottom w:val="120"/>
      <w:divBdr>
        <w:top w:val="none" w:sz="0" w:space="0" w:color="auto"/>
        <w:left w:val="none" w:sz="0" w:space="0" w:color="auto"/>
        <w:bottom w:val="single" w:sz="12" w:space="0" w:color="000000"/>
        <w:right w:val="none" w:sz="0" w:space="0" w:color="auto"/>
      </w:divBdr>
    </w:div>
    <w:div w:id="151877025">
      <w:marLeft w:val="0"/>
      <w:marRight w:val="0"/>
      <w:marTop w:val="0"/>
      <w:marBottom w:val="120"/>
      <w:divBdr>
        <w:top w:val="none" w:sz="0" w:space="0" w:color="auto"/>
        <w:left w:val="none" w:sz="0" w:space="0" w:color="auto"/>
        <w:bottom w:val="single" w:sz="12" w:space="0" w:color="000000"/>
        <w:right w:val="none" w:sz="0" w:space="0" w:color="auto"/>
      </w:divBdr>
    </w:div>
    <w:div w:id="178354459">
      <w:marLeft w:val="0"/>
      <w:marRight w:val="0"/>
      <w:marTop w:val="0"/>
      <w:marBottom w:val="120"/>
      <w:divBdr>
        <w:top w:val="none" w:sz="0" w:space="0" w:color="auto"/>
        <w:left w:val="none" w:sz="0" w:space="0" w:color="auto"/>
        <w:bottom w:val="single" w:sz="12" w:space="0" w:color="000000"/>
        <w:right w:val="none" w:sz="0" w:space="0" w:color="auto"/>
      </w:divBdr>
    </w:div>
    <w:div w:id="182674950">
      <w:marLeft w:val="0"/>
      <w:marRight w:val="0"/>
      <w:marTop w:val="0"/>
      <w:marBottom w:val="120"/>
      <w:divBdr>
        <w:top w:val="none" w:sz="0" w:space="0" w:color="auto"/>
        <w:left w:val="none" w:sz="0" w:space="0" w:color="auto"/>
        <w:bottom w:val="single" w:sz="12" w:space="0" w:color="000000"/>
        <w:right w:val="none" w:sz="0" w:space="0" w:color="auto"/>
      </w:divBdr>
    </w:div>
    <w:div w:id="211814853">
      <w:marLeft w:val="0"/>
      <w:marRight w:val="0"/>
      <w:marTop w:val="0"/>
      <w:marBottom w:val="120"/>
      <w:divBdr>
        <w:top w:val="none" w:sz="0" w:space="0" w:color="auto"/>
        <w:left w:val="none" w:sz="0" w:space="0" w:color="auto"/>
        <w:bottom w:val="single" w:sz="12" w:space="0" w:color="000000"/>
        <w:right w:val="none" w:sz="0" w:space="0" w:color="auto"/>
      </w:divBdr>
    </w:div>
    <w:div w:id="216404161">
      <w:marLeft w:val="0"/>
      <w:marRight w:val="0"/>
      <w:marTop w:val="0"/>
      <w:marBottom w:val="120"/>
      <w:divBdr>
        <w:top w:val="none" w:sz="0" w:space="0" w:color="auto"/>
        <w:left w:val="none" w:sz="0" w:space="0" w:color="auto"/>
        <w:bottom w:val="single" w:sz="12" w:space="0" w:color="000000"/>
        <w:right w:val="none" w:sz="0" w:space="0" w:color="auto"/>
      </w:divBdr>
    </w:div>
    <w:div w:id="248319500">
      <w:marLeft w:val="0"/>
      <w:marRight w:val="0"/>
      <w:marTop w:val="0"/>
      <w:marBottom w:val="120"/>
      <w:divBdr>
        <w:top w:val="none" w:sz="0" w:space="0" w:color="auto"/>
        <w:left w:val="none" w:sz="0" w:space="0" w:color="auto"/>
        <w:bottom w:val="single" w:sz="12" w:space="0" w:color="000000"/>
        <w:right w:val="none" w:sz="0" w:space="0" w:color="auto"/>
      </w:divBdr>
    </w:div>
    <w:div w:id="249966333">
      <w:marLeft w:val="0"/>
      <w:marRight w:val="0"/>
      <w:marTop w:val="0"/>
      <w:marBottom w:val="120"/>
      <w:divBdr>
        <w:top w:val="none" w:sz="0" w:space="0" w:color="auto"/>
        <w:left w:val="none" w:sz="0" w:space="0" w:color="auto"/>
        <w:bottom w:val="single" w:sz="12" w:space="0" w:color="000000"/>
        <w:right w:val="none" w:sz="0" w:space="0" w:color="auto"/>
      </w:divBdr>
    </w:div>
    <w:div w:id="276763887">
      <w:marLeft w:val="0"/>
      <w:marRight w:val="0"/>
      <w:marTop w:val="0"/>
      <w:marBottom w:val="120"/>
      <w:divBdr>
        <w:top w:val="none" w:sz="0" w:space="0" w:color="auto"/>
        <w:left w:val="none" w:sz="0" w:space="0" w:color="auto"/>
        <w:bottom w:val="single" w:sz="12" w:space="0" w:color="000000"/>
        <w:right w:val="none" w:sz="0" w:space="0" w:color="auto"/>
      </w:divBdr>
    </w:div>
    <w:div w:id="277955283">
      <w:marLeft w:val="0"/>
      <w:marRight w:val="0"/>
      <w:marTop w:val="0"/>
      <w:marBottom w:val="120"/>
      <w:divBdr>
        <w:top w:val="none" w:sz="0" w:space="0" w:color="auto"/>
        <w:left w:val="none" w:sz="0" w:space="0" w:color="auto"/>
        <w:bottom w:val="single" w:sz="12" w:space="0" w:color="000000"/>
        <w:right w:val="none" w:sz="0" w:space="0" w:color="auto"/>
      </w:divBdr>
    </w:div>
    <w:div w:id="310795805">
      <w:marLeft w:val="0"/>
      <w:marRight w:val="0"/>
      <w:marTop w:val="0"/>
      <w:marBottom w:val="120"/>
      <w:divBdr>
        <w:top w:val="none" w:sz="0" w:space="0" w:color="auto"/>
        <w:left w:val="none" w:sz="0" w:space="0" w:color="auto"/>
        <w:bottom w:val="single" w:sz="12" w:space="0" w:color="000000"/>
        <w:right w:val="none" w:sz="0" w:space="0" w:color="auto"/>
      </w:divBdr>
    </w:div>
    <w:div w:id="335230087">
      <w:marLeft w:val="0"/>
      <w:marRight w:val="0"/>
      <w:marTop w:val="0"/>
      <w:marBottom w:val="120"/>
      <w:divBdr>
        <w:top w:val="none" w:sz="0" w:space="0" w:color="auto"/>
        <w:left w:val="none" w:sz="0" w:space="0" w:color="auto"/>
        <w:bottom w:val="single" w:sz="12" w:space="0" w:color="000000"/>
        <w:right w:val="none" w:sz="0" w:space="0" w:color="auto"/>
      </w:divBdr>
    </w:div>
    <w:div w:id="357661104">
      <w:marLeft w:val="0"/>
      <w:marRight w:val="0"/>
      <w:marTop w:val="0"/>
      <w:marBottom w:val="120"/>
      <w:divBdr>
        <w:top w:val="none" w:sz="0" w:space="0" w:color="auto"/>
        <w:left w:val="none" w:sz="0" w:space="0" w:color="auto"/>
        <w:bottom w:val="single" w:sz="12" w:space="0" w:color="000000"/>
        <w:right w:val="none" w:sz="0" w:space="0" w:color="auto"/>
      </w:divBdr>
    </w:div>
    <w:div w:id="384835584">
      <w:marLeft w:val="0"/>
      <w:marRight w:val="0"/>
      <w:marTop w:val="0"/>
      <w:marBottom w:val="120"/>
      <w:divBdr>
        <w:top w:val="none" w:sz="0" w:space="0" w:color="auto"/>
        <w:left w:val="none" w:sz="0" w:space="0" w:color="auto"/>
        <w:bottom w:val="single" w:sz="12" w:space="0" w:color="000000"/>
        <w:right w:val="none" w:sz="0" w:space="0" w:color="auto"/>
      </w:divBdr>
    </w:div>
    <w:div w:id="387384538">
      <w:marLeft w:val="0"/>
      <w:marRight w:val="0"/>
      <w:marTop w:val="0"/>
      <w:marBottom w:val="120"/>
      <w:divBdr>
        <w:top w:val="none" w:sz="0" w:space="0" w:color="auto"/>
        <w:left w:val="none" w:sz="0" w:space="0" w:color="auto"/>
        <w:bottom w:val="single" w:sz="12" w:space="0" w:color="000000"/>
        <w:right w:val="none" w:sz="0" w:space="0" w:color="auto"/>
      </w:divBdr>
    </w:div>
    <w:div w:id="441799692">
      <w:marLeft w:val="0"/>
      <w:marRight w:val="0"/>
      <w:marTop w:val="0"/>
      <w:marBottom w:val="120"/>
      <w:divBdr>
        <w:top w:val="none" w:sz="0" w:space="0" w:color="auto"/>
        <w:left w:val="none" w:sz="0" w:space="0" w:color="auto"/>
        <w:bottom w:val="single" w:sz="12" w:space="0" w:color="000000"/>
        <w:right w:val="none" w:sz="0" w:space="0" w:color="auto"/>
      </w:divBdr>
    </w:div>
    <w:div w:id="444037336">
      <w:marLeft w:val="0"/>
      <w:marRight w:val="0"/>
      <w:marTop w:val="0"/>
      <w:marBottom w:val="120"/>
      <w:divBdr>
        <w:top w:val="none" w:sz="0" w:space="0" w:color="auto"/>
        <w:left w:val="none" w:sz="0" w:space="0" w:color="auto"/>
        <w:bottom w:val="single" w:sz="12" w:space="0" w:color="000000"/>
        <w:right w:val="none" w:sz="0" w:space="0" w:color="auto"/>
      </w:divBdr>
    </w:div>
    <w:div w:id="460609707">
      <w:marLeft w:val="0"/>
      <w:marRight w:val="0"/>
      <w:marTop w:val="0"/>
      <w:marBottom w:val="120"/>
      <w:divBdr>
        <w:top w:val="none" w:sz="0" w:space="0" w:color="auto"/>
        <w:left w:val="none" w:sz="0" w:space="0" w:color="auto"/>
        <w:bottom w:val="single" w:sz="12" w:space="0" w:color="000000"/>
        <w:right w:val="none" w:sz="0" w:space="0" w:color="auto"/>
      </w:divBdr>
    </w:div>
    <w:div w:id="481429862">
      <w:marLeft w:val="0"/>
      <w:marRight w:val="0"/>
      <w:marTop w:val="0"/>
      <w:marBottom w:val="120"/>
      <w:divBdr>
        <w:top w:val="none" w:sz="0" w:space="0" w:color="auto"/>
        <w:left w:val="none" w:sz="0" w:space="0" w:color="auto"/>
        <w:bottom w:val="single" w:sz="12" w:space="0" w:color="000000"/>
        <w:right w:val="none" w:sz="0" w:space="0" w:color="auto"/>
      </w:divBdr>
    </w:div>
    <w:div w:id="504906392">
      <w:marLeft w:val="0"/>
      <w:marRight w:val="0"/>
      <w:marTop w:val="0"/>
      <w:marBottom w:val="120"/>
      <w:divBdr>
        <w:top w:val="none" w:sz="0" w:space="0" w:color="auto"/>
        <w:left w:val="none" w:sz="0" w:space="0" w:color="auto"/>
        <w:bottom w:val="single" w:sz="12" w:space="0" w:color="000000"/>
        <w:right w:val="none" w:sz="0" w:space="0" w:color="auto"/>
      </w:divBdr>
    </w:div>
    <w:div w:id="506409147">
      <w:marLeft w:val="0"/>
      <w:marRight w:val="0"/>
      <w:marTop w:val="0"/>
      <w:marBottom w:val="120"/>
      <w:divBdr>
        <w:top w:val="none" w:sz="0" w:space="0" w:color="auto"/>
        <w:left w:val="none" w:sz="0" w:space="0" w:color="auto"/>
        <w:bottom w:val="single" w:sz="12" w:space="0" w:color="000000"/>
        <w:right w:val="none" w:sz="0" w:space="0" w:color="auto"/>
      </w:divBdr>
    </w:div>
    <w:div w:id="520120849">
      <w:marLeft w:val="0"/>
      <w:marRight w:val="0"/>
      <w:marTop w:val="0"/>
      <w:marBottom w:val="120"/>
      <w:divBdr>
        <w:top w:val="none" w:sz="0" w:space="0" w:color="auto"/>
        <w:left w:val="none" w:sz="0" w:space="0" w:color="auto"/>
        <w:bottom w:val="single" w:sz="12" w:space="0" w:color="000000"/>
        <w:right w:val="none" w:sz="0" w:space="0" w:color="auto"/>
      </w:divBdr>
    </w:div>
    <w:div w:id="540095324">
      <w:marLeft w:val="0"/>
      <w:marRight w:val="0"/>
      <w:marTop w:val="0"/>
      <w:marBottom w:val="120"/>
      <w:divBdr>
        <w:top w:val="none" w:sz="0" w:space="0" w:color="auto"/>
        <w:left w:val="none" w:sz="0" w:space="0" w:color="auto"/>
        <w:bottom w:val="single" w:sz="12" w:space="0" w:color="000000"/>
        <w:right w:val="none" w:sz="0" w:space="0" w:color="auto"/>
      </w:divBdr>
    </w:div>
    <w:div w:id="554967949">
      <w:marLeft w:val="0"/>
      <w:marRight w:val="0"/>
      <w:marTop w:val="0"/>
      <w:marBottom w:val="120"/>
      <w:divBdr>
        <w:top w:val="none" w:sz="0" w:space="0" w:color="auto"/>
        <w:left w:val="none" w:sz="0" w:space="0" w:color="auto"/>
        <w:bottom w:val="single" w:sz="12" w:space="0" w:color="000000"/>
        <w:right w:val="none" w:sz="0" w:space="0" w:color="auto"/>
      </w:divBdr>
    </w:div>
    <w:div w:id="576090083">
      <w:marLeft w:val="0"/>
      <w:marRight w:val="0"/>
      <w:marTop w:val="0"/>
      <w:marBottom w:val="120"/>
      <w:divBdr>
        <w:top w:val="none" w:sz="0" w:space="0" w:color="auto"/>
        <w:left w:val="none" w:sz="0" w:space="0" w:color="auto"/>
        <w:bottom w:val="single" w:sz="12" w:space="0" w:color="000000"/>
        <w:right w:val="none" w:sz="0" w:space="0" w:color="auto"/>
      </w:divBdr>
    </w:div>
    <w:div w:id="612903441">
      <w:marLeft w:val="0"/>
      <w:marRight w:val="0"/>
      <w:marTop w:val="0"/>
      <w:marBottom w:val="120"/>
      <w:divBdr>
        <w:top w:val="none" w:sz="0" w:space="0" w:color="auto"/>
        <w:left w:val="none" w:sz="0" w:space="0" w:color="auto"/>
        <w:bottom w:val="single" w:sz="12" w:space="0" w:color="000000"/>
        <w:right w:val="none" w:sz="0" w:space="0" w:color="auto"/>
      </w:divBdr>
    </w:div>
    <w:div w:id="615016408">
      <w:marLeft w:val="0"/>
      <w:marRight w:val="0"/>
      <w:marTop w:val="0"/>
      <w:marBottom w:val="120"/>
      <w:divBdr>
        <w:top w:val="none" w:sz="0" w:space="0" w:color="auto"/>
        <w:left w:val="none" w:sz="0" w:space="0" w:color="auto"/>
        <w:bottom w:val="single" w:sz="12" w:space="0" w:color="000000"/>
        <w:right w:val="none" w:sz="0" w:space="0" w:color="auto"/>
      </w:divBdr>
    </w:div>
    <w:div w:id="636103026">
      <w:marLeft w:val="0"/>
      <w:marRight w:val="0"/>
      <w:marTop w:val="0"/>
      <w:marBottom w:val="120"/>
      <w:divBdr>
        <w:top w:val="none" w:sz="0" w:space="0" w:color="auto"/>
        <w:left w:val="none" w:sz="0" w:space="0" w:color="auto"/>
        <w:bottom w:val="single" w:sz="12" w:space="0" w:color="000000"/>
        <w:right w:val="none" w:sz="0" w:space="0" w:color="auto"/>
      </w:divBdr>
    </w:div>
    <w:div w:id="636691521">
      <w:marLeft w:val="0"/>
      <w:marRight w:val="0"/>
      <w:marTop w:val="0"/>
      <w:marBottom w:val="120"/>
      <w:divBdr>
        <w:top w:val="none" w:sz="0" w:space="0" w:color="auto"/>
        <w:left w:val="none" w:sz="0" w:space="0" w:color="auto"/>
        <w:bottom w:val="single" w:sz="12" w:space="0" w:color="000000"/>
        <w:right w:val="none" w:sz="0" w:space="0" w:color="auto"/>
      </w:divBdr>
    </w:div>
    <w:div w:id="657811669">
      <w:marLeft w:val="0"/>
      <w:marRight w:val="0"/>
      <w:marTop w:val="0"/>
      <w:marBottom w:val="120"/>
      <w:divBdr>
        <w:top w:val="none" w:sz="0" w:space="0" w:color="auto"/>
        <w:left w:val="none" w:sz="0" w:space="0" w:color="auto"/>
        <w:bottom w:val="single" w:sz="12" w:space="0" w:color="000000"/>
        <w:right w:val="none" w:sz="0" w:space="0" w:color="auto"/>
      </w:divBdr>
    </w:div>
    <w:div w:id="669600648">
      <w:marLeft w:val="0"/>
      <w:marRight w:val="0"/>
      <w:marTop w:val="0"/>
      <w:marBottom w:val="120"/>
      <w:divBdr>
        <w:top w:val="none" w:sz="0" w:space="0" w:color="auto"/>
        <w:left w:val="none" w:sz="0" w:space="0" w:color="auto"/>
        <w:bottom w:val="single" w:sz="12" w:space="0" w:color="000000"/>
        <w:right w:val="none" w:sz="0" w:space="0" w:color="auto"/>
      </w:divBdr>
    </w:div>
    <w:div w:id="696664287">
      <w:marLeft w:val="0"/>
      <w:marRight w:val="0"/>
      <w:marTop w:val="0"/>
      <w:marBottom w:val="120"/>
      <w:divBdr>
        <w:top w:val="none" w:sz="0" w:space="0" w:color="auto"/>
        <w:left w:val="none" w:sz="0" w:space="0" w:color="auto"/>
        <w:bottom w:val="single" w:sz="12" w:space="0" w:color="000000"/>
        <w:right w:val="none" w:sz="0" w:space="0" w:color="auto"/>
      </w:divBdr>
    </w:div>
    <w:div w:id="732697200">
      <w:marLeft w:val="0"/>
      <w:marRight w:val="0"/>
      <w:marTop w:val="0"/>
      <w:marBottom w:val="120"/>
      <w:divBdr>
        <w:top w:val="none" w:sz="0" w:space="0" w:color="auto"/>
        <w:left w:val="none" w:sz="0" w:space="0" w:color="auto"/>
        <w:bottom w:val="single" w:sz="12" w:space="0" w:color="000000"/>
        <w:right w:val="none" w:sz="0" w:space="0" w:color="auto"/>
      </w:divBdr>
    </w:div>
    <w:div w:id="748620728">
      <w:marLeft w:val="0"/>
      <w:marRight w:val="0"/>
      <w:marTop w:val="0"/>
      <w:marBottom w:val="120"/>
      <w:divBdr>
        <w:top w:val="none" w:sz="0" w:space="0" w:color="auto"/>
        <w:left w:val="none" w:sz="0" w:space="0" w:color="auto"/>
        <w:bottom w:val="single" w:sz="12" w:space="0" w:color="000000"/>
        <w:right w:val="none" w:sz="0" w:space="0" w:color="auto"/>
      </w:divBdr>
    </w:div>
    <w:div w:id="793447593">
      <w:marLeft w:val="0"/>
      <w:marRight w:val="0"/>
      <w:marTop w:val="0"/>
      <w:marBottom w:val="120"/>
      <w:divBdr>
        <w:top w:val="none" w:sz="0" w:space="0" w:color="auto"/>
        <w:left w:val="none" w:sz="0" w:space="0" w:color="auto"/>
        <w:bottom w:val="single" w:sz="12" w:space="0" w:color="000000"/>
        <w:right w:val="none" w:sz="0" w:space="0" w:color="auto"/>
      </w:divBdr>
    </w:div>
    <w:div w:id="797720873">
      <w:marLeft w:val="0"/>
      <w:marRight w:val="0"/>
      <w:marTop w:val="0"/>
      <w:marBottom w:val="120"/>
      <w:divBdr>
        <w:top w:val="none" w:sz="0" w:space="0" w:color="auto"/>
        <w:left w:val="none" w:sz="0" w:space="0" w:color="auto"/>
        <w:bottom w:val="single" w:sz="12" w:space="0" w:color="000000"/>
        <w:right w:val="none" w:sz="0" w:space="0" w:color="auto"/>
      </w:divBdr>
    </w:div>
    <w:div w:id="808743101">
      <w:marLeft w:val="0"/>
      <w:marRight w:val="0"/>
      <w:marTop w:val="0"/>
      <w:marBottom w:val="120"/>
      <w:divBdr>
        <w:top w:val="none" w:sz="0" w:space="0" w:color="auto"/>
        <w:left w:val="none" w:sz="0" w:space="0" w:color="auto"/>
        <w:bottom w:val="single" w:sz="12" w:space="0" w:color="000000"/>
        <w:right w:val="none" w:sz="0" w:space="0" w:color="auto"/>
      </w:divBdr>
    </w:div>
    <w:div w:id="839932963">
      <w:marLeft w:val="0"/>
      <w:marRight w:val="0"/>
      <w:marTop w:val="0"/>
      <w:marBottom w:val="120"/>
      <w:divBdr>
        <w:top w:val="none" w:sz="0" w:space="0" w:color="auto"/>
        <w:left w:val="none" w:sz="0" w:space="0" w:color="auto"/>
        <w:bottom w:val="single" w:sz="12" w:space="0" w:color="000000"/>
        <w:right w:val="none" w:sz="0" w:space="0" w:color="auto"/>
      </w:divBdr>
    </w:div>
    <w:div w:id="850142847">
      <w:marLeft w:val="0"/>
      <w:marRight w:val="0"/>
      <w:marTop w:val="0"/>
      <w:marBottom w:val="120"/>
      <w:divBdr>
        <w:top w:val="none" w:sz="0" w:space="0" w:color="auto"/>
        <w:left w:val="none" w:sz="0" w:space="0" w:color="auto"/>
        <w:bottom w:val="single" w:sz="12" w:space="0" w:color="000000"/>
        <w:right w:val="none" w:sz="0" w:space="0" w:color="auto"/>
      </w:divBdr>
    </w:div>
    <w:div w:id="853806805">
      <w:marLeft w:val="0"/>
      <w:marRight w:val="0"/>
      <w:marTop w:val="0"/>
      <w:marBottom w:val="120"/>
      <w:divBdr>
        <w:top w:val="none" w:sz="0" w:space="0" w:color="auto"/>
        <w:left w:val="none" w:sz="0" w:space="0" w:color="auto"/>
        <w:bottom w:val="single" w:sz="12" w:space="0" w:color="000000"/>
        <w:right w:val="none" w:sz="0" w:space="0" w:color="auto"/>
      </w:divBdr>
    </w:div>
    <w:div w:id="873005919">
      <w:marLeft w:val="0"/>
      <w:marRight w:val="0"/>
      <w:marTop w:val="0"/>
      <w:marBottom w:val="120"/>
      <w:divBdr>
        <w:top w:val="none" w:sz="0" w:space="0" w:color="auto"/>
        <w:left w:val="none" w:sz="0" w:space="0" w:color="auto"/>
        <w:bottom w:val="single" w:sz="12" w:space="0" w:color="000000"/>
        <w:right w:val="none" w:sz="0" w:space="0" w:color="auto"/>
      </w:divBdr>
    </w:div>
    <w:div w:id="878510934">
      <w:marLeft w:val="0"/>
      <w:marRight w:val="0"/>
      <w:marTop w:val="0"/>
      <w:marBottom w:val="120"/>
      <w:divBdr>
        <w:top w:val="none" w:sz="0" w:space="0" w:color="auto"/>
        <w:left w:val="none" w:sz="0" w:space="0" w:color="auto"/>
        <w:bottom w:val="single" w:sz="12" w:space="0" w:color="000000"/>
        <w:right w:val="none" w:sz="0" w:space="0" w:color="auto"/>
      </w:divBdr>
    </w:div>
    <w:div w:id="896084462">
      <w:marLeft w:val="0"/>
      <w:marRight w:val="0"/>
      <w:marTop w:val="0"/>
      <w:marBottom w:val="120"/>
      <w:divBdr>
        <w:top w:val="none" w:sz="0" w:space="0" w:color="auto"/>
        <w:left w:val="none" w:sz="0" w:space="0" w:color="auto"/>
        <w:bottom w:val="single" w:sz="12" w:space="0" w:color="000000"/>
        <w:right w:val="none" w:sz="0" w:space="0" w:color="auto"/>
      </w:divBdr>
    </w:div>
    <w:div w:id="906112756">
      <w:marLeft w:val="0"/>
      <w:marRight w:val="0"/>
      <w:marTop w:val="0"/>
      <w:marBottom w:val="120"/>
      <w:divBdr>
        <w:top w:val="none" w:sz="0" w:space="0" w:color="auto"/>
        <w:left w:val="none" w:sz="0" w:space="0" w:color="auto"/>
        <w:bottom w:val="single" w:sz="12" w:space="0" w:color="000000"/>
        <w:right w:val="none" w:sz="0" w:space="0" w:color="auto"/>
      </w:divBdr>
    </w:div>
    <w:div w:id="948584115">
      <w:marLeft w:val="0"/>
      <w:marRight w:val="0"/>
      <w:marTop w:val="0"/>
      <w:marBottom w:val="120"/>
      <w:divBdr>
        <w:top w:val="none" w:sz="0" w:space="0" w:color="auto"/>
        <w:left w:val="none" w:sz="0" w:space="0" w:color="auto"/>
        <w:bottom w:val="single" w:sz="12" w:space="0" w:color="000000"/>
        <w:right w:val="none" w:sz="0" w:space="0" w:color="auto"/>
      </w:divBdr>
    </w:div>
    <w:div w:id="949901181">
      <w:marLeft w:val="0"/>
      <w:marRight w:val="0"/>
      <w:marTop w:val="0"/>
      <w:marBottom w:val="120"/>
      <w:divBdr>
        <w:top w:val="none" w:sz="0" w:space="0" w:color="auto"/>
        <w:left w:val="none" w:sz="0" w:space="0" w:color="auto"/>
        <w:bottom w:val="single" w:sz="12" w:space="0" w:color="000000"/>
        <w:right w:val="none" w:sz="0" w:space="0" w:color="auto"/>
      </w:divBdr>
    </w:div>
    <w:div w:id="970676424">
      <w:marLeft w:val="0"/>
      <w:marRight w:val="0"/>
      <w:marTop w:val="0"/>
      <w:marBottom w:val="120"/>
      <w:divBdr>
        <w:top w:val="none" w:sz="0" w:space="0" w:color="auto"/>
        <w:left w:val="none" w:sz="0" w:space="0" w:color="auto"/>
        <w:bottom w:val="single" w:sz="12" w:space="0" w:color="000000"/>
        <w:right w:val="none" w:sz="0" w:space="0" w:color="auto"/>
      </w:divBdr>
    </w:div>
    <w:div w:id="972443678">
      <w:marLeft w:val="0"/>
      <w:marRight w:val="0"/>
      <w:marTop w:val="0"/>
      <w:marBottom w:val="120"/>
      <w:divBdr>
        <w:top w:val="none" w:sz="0" w:space="0" w:color="auto"/>
        <w:left w:val="none" w:sz="0" w:space="0" w:color="auto"/>
        <w:bottom w:val="single" w:sz="12" w:space="0" w:color="000000"/>
        <w:right w:val="none" w:sz="0" w:space="0" w:color="auto"/>
      </w:divBdr>
    </w:div>
    <w:div w:id="1003436555">
      <w:marLeft w:val="0"/>
      <w:marRight w:val="0"/>
      <w:marTop w:val="0"/>
      <w:marBottom w:val="120"/>
      <w:divBdr>
        <w:top w:val="none" w:sz="0" w:space="0" w:color="auto"/>
        <w:left w:val="none" w:sz="0" w:space="0" w:color="auto"/>
        <w:bottom w:val="single" w:sz="12" w:space="0" w:color="000000"/>
        <w:right w:val="none" w:sz="0" w:space="0" w:color="auto"/>
      </w:divBdr>
    </w:div>
    <w:div w:id="1009142281">
      <w:marLeft w:val="0"/>
      <w:marRight w:val="0"/>
      <w:marTop w:val="0"/>
      <w:marBottom w:val="120"/>
      <w:divBdr>
        <w:top w:val="none" w:sz="0" w:space="0" w:color="auto"/>
        <w:left w:val="none" w:sz="0" w:space="0" w:color="auto"/>
        <w:bottom w:val="single" w:sz="12" w:space="0" w:color="000000"/>
        <w:right w:val="none" w:sz="0" w:space="0" w:color="auto"/>
      </w:divBdr>
    </w:div>
    <w:div w:id="1015500793">
      <w:marLeft w:val="0"/>
      <w:marRight w:val="0"/>
      <w:marTop w:val="0"/>
      <w:marBottom w:val="0"/>
      <w:divBdr>
        <w:top w:val="none" w:sz="0" w:space="0" w:color="auto"/>
        <w:left w:val="none" w:sz="0" w:space="0" w:color="auto"/>
        <w:bottom w:val="none" w:sz="0" w:space="0" w:color="auto"/>
        <w:right w:val="none" w:sz="0" w:space="0" w:color="auto"/>
      </w:divBdr>
      <w:divsChild>
        <w:div w:id="936985192">
          <w:marLeft w:val="0"/>
          <w:marRight w:val="0"/>
          <w:marTop w:val="0"/>
          <w:marBottom w:val="0"/>
          <w:divBdr>
            <w:top w:val="single" w:sz="12" w:space="0" w:color="000000"/>
            <w:left w:val="none" w:sz="0" w:space="0" w:color="auto"/>
            <w:bottom w:val="single" w:sz="36" w:space="0" w:color="000000"/>
            <w:right w:val="none" w:sz="0" w:space="0" w:color="auto"/>
          </w:divBdr>
        </w:div>
      </w:divsChild>
    </w:div>
    <w:div w:id="1021510776">
      <w:marLeft w:val="0"/>
      <w:marRight w:val="0"/>
      <w:marTop w:val="0"/>
      <w:marBottom w:val="120"/>
      <w:divBdr>
        <w:top w:val="none" w:sz="0" w:space="0" w:color="auto"/>
        <w:left w:val="none" w:sz="0" w:space="0" w:color="auto"/>
        <w:bottom w:val="single" w:sz="12" w:space="0" w:color="000000"/>
        <w:right w:val="none" w:sz="0" w:space="0" w:color="auto"/>
      </w:divBdr>
    </w:div>
    <w:div w:id="1026713748">
      <w:marLeft w:val="0"/>
      <w:marRight w:val="0"/>
      <w:marTop w:val="0"/>
      <w:marBottom w:val="120"/>
      <w:divBdr>
        <w:top w:val="none" w:sz="0" w:space="0" w:color="auto"/>
        <w:left w:val="none" w:sz="0" w:space="0" w:color="auto"/>
        <w:bottom w:val="single" w:sz="12" w:space="0" w:color="000000"/>
        <w:right w:val="none" w:sz="0" w:space="0" w:color="auto"/>
      </w:divBdr>
    </w:div>
    <w:div w:id="1042054090">
      <w:marLeft w:val="0"/>
      <w:marRight w:val="0"/>
      <w:marTop w:val="0"/>
      <w:marBottom w:val="120"/>
      <w:divBdr>
        <w:top w:val="none" w:sz="0" w:space="0" w:color="auto"/>
        <w:left w:val="none" w:sz="0" w:space="0" w:color="auto"/>
        <w:bottom w:val="single" w:sz="12" w:space="0" w:color="000000"/>
        <w:right w:val="none" w:sz="0" w:space="0" w:color="auto"/>
      </w:divBdr>
    </w:div>
    <w:div w:id="1053769738">
      <w:marLeft w:val="0"/>
      <w:marRight w:val="0"/>
      <w:marTop w:val="0"/>
      <w:marBottom w:val="120"/>
      <w:divBdr>
        <w:top w:val="none" w:sz="0" w:space="0" w:color="auto"/>
        <w:left w:val="none" w:sz="0" w:space="0" w:color="auto"/>
        <w:bottom w:val="single" w:sz="12" w:space="0" w:color="000000"/>
        <w:right w:val="none" w:sz="0" w:space="0" w:color="auto"/>
      </w:divBdr>
    </w:div>
    <w:div w:id="1080103104">
      <w:marLeft w:val="0"/>
      <w:marRight w:val="0"/>
      <w:marTop w:val="0"/>
      <w:marBottom w:val="120"/>
      <w:divBdr>
        <w:top w:val="none" w:sz="0" w:space="0" w:color="auto"/>
        <w:left w:val="none" w:sz="0" w:space="0" w:color="auto"/>
        <w:bottom w:val="single" w:sz="12" w:space="0" w:color="000000"/>
        <w:right w:val="none" w:sz="0" w:space="0" w:color="auto"/>
      </w:divBdr>
    </w:div>
    <w:div w:id="1096511752">
      <w:marLeft w:val="0"/>
      <w:marRight w:val="0"/>
      <w:marTop w:val="0"/>
      <w:marBottom w:val="120"/>
      <w:divBdr>
        <w:top w:val="none" w:sz="0" w:space="0" w:color="auto"/>
        <w:left w:val="none" w:sz="0" w:space="0" w:color="auto"/>
        <w:bottom w:val="single" w:sz="12" w:space="0" w:color="000000"/>
        <w:right w:val="none" w:sz="0" w:space="0" w:color="auto"/>
      </w:divBdr>
    </w:div>
    <w:div w:id="1148476033">
      <w:marLeft w:val="0"/>
      <w:marRight w:val="0"/>
      <w:marTop w:val="0"/>
      <w:marBottom w:val="120"/>
      <w:divBdr>
        <w:top w:val="none" w:sz="0" w:space="0" w:color="auto"/>
        <w:left w:val="none" w:sz="0" w:space="0" w:color="auto"/>
        <w:bottom w:val="single" w:sz="12" w:space="0" w:color="000000"/>
        <w:right w:val="none" w:sz="0" w:space="0" w:color="auto"/>
      </w:divBdr>
    </w:div>
    <w:div w:id="1273364668">
      <w:marLeft w:val="0"/>
      <w:marRight w:val="0"/>
      <w:marTop w:val="0"/>
      <w:marBottom w:val="120"/>
      <w:divBdr>
        <w:top w:val="none" w:sz="0" w:space="0" w:color="auto"/>
        <w:left w:val="none" w:sz="0" w:space="0" w:color="auto"/>
        <w:bottom w:val="single" w:sz="12" w:space="0" w:color="000000"/>
        <w:right w:val="none" w:sz="0" w:space="0" w:color="auto"/>
      </w:divBdr>
    </w:div>
    <w:div w:id="1285578051">
      <w:marLeft w:val="0"/>
      <w:marRight w:val="0"/>
      <w:marTop w:val="0"/>
      <w:marBottom w:val="120"/>
      <w:divBdr>
        <w:top w:val="none" w:sz="0" w:space="0" w:color="auto"/>
        <w:left w:val="none" w:sz="0" w:space="0" w:color="auto"/>
        <w:bottom w:val="single" w:sz="12" w:space="0" w:color="000000"/>
        <w:right w:val="none" w:sz="0" w:space="0" w:color="auto"/>
      </w:divBdr>
    </w:div>
    <w:div w:id="1287810048">
      <w:marLeft w:val="0"/>
      <w:marRight w:val="0"/>
      <w:marTop w:val="0"/>
      <w:marBottom w:val="120"/>
      <w:divBdr>
        <w:top w:val="none" w:sz="0" w:space="0" w:color="auto"/>
        <w:left w:val="none" w:sz="0" w:space="0" w:color="auto"/>
        <w:bottom w:val="single" w:sz="12" w:space="0" w:color="000000"/>
        <w:right w:val="none" w:sz="0" w:space="0" w:color="auto"/>
      </w:divBdr>
    </w:div>
    <w:div w:id="1337339523">
      <w:marLeft w:val="0"/>
      <w:marRight w:val="0"/>
      <w:marTop w:val="0"/>
      <w:marBottom w:val="120"/>
      <w:divBdr>
        <w:top w:val="none" w:sz="0" w:space="0" w:color="auto"/>
        <w:left w:val="none" w:sz="0" w:space="0" w:color="auto"/>
        <w:bottom w:val="single" w:sz="12" w:space="0" w:color="000000"/>
        <w:right w:val="none" w:sz="0" w:space="0" w:color="auto"/>
      </w:divBdr>
    </w:div>
    <w:div w:id="1338462853">
      <w:marLeft w:val="0"/>
      <w:marRight w:val="0"/>
      <w:marTop w:val="0"/>
      <w:marBottom w:val="120"/>
      <w:divBdr>
        <w:top w:val="none" w:sz="0" w:space="0" w:color="auto"/>
        <w:left w:val="none" w:sz="0" w:space="0" w:color="auto"/>
        <w:bottom w:val="single" w:sz="12" w:space="0" w:color="000000"/>
        <w:right w:val="none" w:sz="0" w:space="0" w:color="auto"/>
      </w:divBdr>
    </w:div>
    <w:div w:id="1356342378">
      <w:marLeft w:val="0"/>
      <w:marRight w:val="0"/>
      <w:marTop w:val="0"/>
      <w:marBottom w:val="120"/>
      <w:divBdr>
        <w:top w:val="none" w:sz="0" w:space="0" w:color="auto"/>
        <w:left w:val="none" w:sz="0" w:space="0" w:color="auto"/>
        <w:bottom w:val="single" w:sz="12" w:space="0" w:color="000000"/>
        <w:right w:val="none" w:sz="0" w:space="0" w:color="auto"/>
      </w:divBdr>
    </w:div>
    <w:div w:id="1362587516">
      <w:marLeft w:val="0"/>
      <w:marRight w:val="0"/>
      <w:marTop w:val="0"/>
      <w:marBottom w:val="120"/>
      <w:divBdr>
        <w:top w:val="none" w:sz="0" w:space="0" w:color="auto"/>
        <w:left w:val="none" w:sz="0" w:space="0" w:color="auto"/>
        <w:bottom w:val="single" w:sz="12" w:space="0" w:color="000000"/>
        <w:right w:val="none" w:sz="0" w:space="0" w:color="auto"/>
      </w:divBdr>
    </w:div>
    <w:div w:id="1371488822">
      <w:marLeft w:val="0"/>
      <w:marRight w:val="0"/>
      <w:marTop w:val="0"/>
      <w:marBottom w:val="120"/>
      <w:divBdr>
        <w:top w:val="none" w:sz="0" w:space="0" w:color="auto"/>
        <w:left w:val="none" w:sz="0" w:space="0" w:color="auto"/>
        <w:bottom w:val="single" w:sz="12" w:space="0" w:color="000000"/>
        <w:right w:val="none" w:sz="0" w:space="0" w:color="auto"/>
      </w:divBdr>
    </w:div>
    <w:div w:id="1479806849">
      <w:marLeft w:val="0"/>
      <w:marRight w:val="0"/>
      <w:marTop w:val="0"/>
      <w:marBottom w:val="120"/>
      <w:divBdr>
        <w:top w:val="none" w:sz="0" w:space="0" w:color="auto"/>
        <w:left w:val="none" w:sz="0" w:space="0" w:color="auto"/>
        <w:bottom w:val="single" w:sz="12" w:space="0" w:color="000000"/>
        <w:right w:val="none" w:sz="0" w:space="0" w:color="auto"/>
      </w:divBdr>
    </w:div>
    <w:div w:id="1541740648">
      <w:marLeft w:val="0"/>
      <w:marRight w:val="0"/>
      <w:marTop w:val="0"/>
      <w:marBottom w:val="120"/>
      <w:divBdr>
        <w:top w:val="none" w:sz="0" w:space="0" w:color="auto"/>
        <w:left w:val="none" w:sz="0" w:space="0" w:color="auto"/>
        <w:bottom w:val="single" w:sz="12" w:space="0" w:color="000000"/>
        <w:right w:val="none" w:sz="0" w:space="0" w:color="auto"/>
      </w:divBdr>
    </w:div>
    <w:div w:id="1582333252">
      <w:marLeft w:val="0"/>
      <w:marRight w:val="0"/>
      <w:marTop w:val="0"/>
      <w:marBottom w:val="120"/>
      <w:divBdr>
        <w:top w:val="none" w:sz="0" w:space="0" w:color="auto"/>
        <w:left w:val="none" w:sz="0" w:space="0" w:color="auto"/>
        <w:bottom w:val="single" w:sz="12" w:space="0" w:color="000000"/>
        <w:right w:val="none" w:sz="0" w:space="0" w:color="auto"/>
      </w:divBdr>
    </w:div>
    <w:div w:id="1659309229">
      <w:marLeft w:val="0"/>
      <w:marRight w:val="0"/>
      <w:marTop w:val="0"/>
      <w:marBottom w:val="120"/>
      <w:divBdr>
        <w:top w:val="none" w:sz="0" w:space="0" w:color="auto"/>
        <w:left w:val="none" w:sz="0" w:space="0" w:color="auto"/>
        <w:bottom w:val="single" w:sz="12" w:space="0" w:color="000000"/>
        <w:right w:val="none" w:sz="0" w:space="0" w:color="auto"/>
      </w:divBdr>
    </w:div>
    <w:div w:id="1678926780">
      <w:marLeft w:val="0"/>
      <w:marRight w:val="0"/>
      <w:marTop w:val="0"/>
      <w:marBottom w:val="120"/>
      <w:divBdr>
        <w:top w:val="none" w:sz="0" w:space="0" w:color="auto"/>
        <w:left w:val="none" w:sz="0" w:space="0" w:color="auto"/>
        <w:bottom w:val="single" w:sz="12" w:space="0" w:color="000000"/>
        <w:right w:val="none" w:sz="0" w:space="0" w:color="auto"/>
      </w:divBdr>
    </w:div>
    <w:div w:id="1680619970">
      <w:marLeft w:val="0"/>
      <w:marRight w:val="0"/>
      <w:marTop w:val="0"/>
      <w:marBottom w:val="120"/>
      <w:divBdr>
        <w:top w:val="none" w:sz="0" w:space="0" w:color="auto"/>
        <w:left w:val="none" w:sz="0" w:space="0" w:color="auto"/>
        <w:bottom w:val="single" w:sz="12" w:space="0" w:color="000000"/>
        <w:right w:val="none" w:sz="0" w:space="0" w:color="auto"/>
      </w:divBdr>
    </w:div>
    <w:div w:id="1686134139">
      <w:marLeft w:val="0"/>
      <w:marRight w:val="0"/>
      <w:marTop w:val="0"/>
      <w:marBottom w:val="120"/>
      <w:divBdr>
        <w:top w:val="none" w:sz="0" w:space="0" w:color="auto"/>
        <w:left w:val="none" w:sz="0" w:space="0" w:color="auto"/>
        <w:bottom w:val="single" w:sz="12" w:space="0" w:color="000000"/>
        <w:right w:val="none" w:sz="0" w:space="0" w:color="auto"/>
      </w:divBdr>
    </w:div>
    <w:div w:id="1688940235">
      <w:marLeft w:val="0"/>
      <w:marRight w:val="0"/>
      <w:marTop w:val="0"/>
      <w:marBottom w:val="120"/>
      <w:divBdr>
        <w:top w:val="none" w:sz="0" w:space="0" w:color="auto"/>
        <w:left w:val="none" w:sz="0" w:space="0" w:color="auto"/>
        <w:bottom w:val="single" w:sz="12" w:space="0" w:color="000000"/>
        <w:right w:val="none" w:sz="0" w:space="0" w:color="auto"/>
      </w:divBdr>
    </w:div>
    <w:div w:id="1719402579">
      <w:marLeft w:val="0"/>
      <w:marRight w:val="0"/>
      <w:marTop w:val="0"/>
      <w:marBottom w:val="120"/>
      <w:divBdr>
        <w:top w:val="none" w:sz="0" w:space="0" w:color="auto"/>
        <w:left w:val="none" w:sz="0" w:space="0" w:color="auto"/>
        <w:bottom w:val="single" w:sz="12" w:space="0" w:color="000000"/>
        <w:right w:val="none" w:sz="0" w:space="0" w:color="auto"/>
      </w:divBdr>
    </w:div>
    <w:div w:id="1719434981">
      <w:marLeft w:val="0"/>
      <w:marRight w:val="0"/>
      <w:marTop w:val="0"/>
      <w:marBottom w:val="120"/>
      <w:divBdr>
        <w:top w:val="none" w:sz="0" w:space="0" w:color="auto"/>
        <w:left w:val="none" w:sz="0" w:space="0" w:color="auto"/>
        <w:bottom w:val="single" w:sz="12" w:space="0" w:color="000000"/>
        <w:right w:val="none" w:sz="0" w:space="0" w:color="auto"/>
      </w:divBdr>
    </w:div>
    <w:div w:id="1721440648">
      <w:marLeft w:val="0"/>
      <w:marRight w:val="0"/>
      <w:marTop w:val="0"/>
      <w:marBottom w:val="120"/>
      <w:divBdr>
        <w:top w:val="none" w:sz="0" w:space="0" w:color="auto"/>
        <w:left w:val="none" w:sz="0" w:space="0" w:color="auto"/>
        <w:bottom w:val="single" w:sz="12" w:space="0" w:color="000000"/>
        <w:right w:val="none" w:sz="0" w:space="0" w:color="auto"/>
      </w:divBdr>
    </w:div>
    <w:div w:id="1748842224">
      <w:marLeft w:val="0"/>
      <w:marRight w:val="0"/>
      <w:marTop w:val="0"/>
      <w:marBottom w:val="120"/>
      <w:divBdr>
        <w:top w:val="none" w:sz="0" w:space="0" w:color="auto"/>
        <w:left w:val="none" w:sz="0" w:space="0" w:color="auto"/>
        <w:bottom w:val="single" w:sz="12" w:space="0" w:color="000000"/>
        <w:right w:val="none" w:sz="0" w:space="0" w:color="auto"/>
      </w:divBdr>
    </w:div>
    <w:div w:id="1775789152">
      <w:marLeft w:val="0"/>
      <w:marRight w:val="0"/>
      <w:marTop w:val="0"/>
      <w:marBottom w:val="120"/>
      <w:divBdr>
        <w:top w:val="none" w:sz="0" w:space="0" w:color="auto"/>
        <w:left w:val="none" w:sz="0" w:space="0" w:color="auto"/>
        <w:bottom w:val="single" w:sz="12" w:space="0" w:color="000000"/>
        <w:right w:val="none" w:sz="0" w:space="0" w:color="auto"/>
      </w:divBdr>
    </w:div>
    <w:div w:id="1816028518">
      <w:marLeft w:val="0"/>
      <w:marRight w:val="0"/>
      <w:marTop w:val="0"/>
      <w:marBottom w:val="120"/>
      <w:divBdr>
        <w:top w:val="none" w:sz="0" w:space="0" w:color="auto"/>
        <w:left w:val="none" w:sz="0" w:space="0" w:color="auto"/>
        <w:bottom w:val="single" w:sz="12" w:space="0" w:color="000000"/>
        <w:right w:val="none" w:sz="0" w:space="0" w:color="auto"/>
      </w:divBdr>
    </w:div>
    <w:div w:id="1821385260">
      <w:marLeft w:val="0"/>
      <w:marRight w:val="0"/>
      <w:marTop w:val="0"/>
      <w:marBottom w:val="120"/>
      <w:divBdr>
        <w:top w:val="none" w:sz="0" w:space="0" w:color="auto"/>
        <w:left w:val="none" w:sz="0" w:space="0" w:color="auto"/>
        <w:bottom w:val="single" w:sz="12" w:space="0" w:color="000000"/>
        <w:right w:val="none" w:sz="0" w:space="0" w:color="auto"/>
      </w:divBdr>
    </w:div>
    <w:div w:id="1924223898">
      <w:marLeft w:val="0"/>
      <w:marRight w:val="0"/>
      <w:marTop w:val="0"/>
      <w:marBottom w:val="120"/>
      <w:divBdr>
        <w:top w:val="none" w:sz="0" w:space="0" w:color="auto"/>
        <w:left w:val="none" w:sz="0" w:space="0" w:color="auto"/>
        <w:bottom w:val="single" w:sz="12" w:space="0" w:color="000000"/>
        <w:right w:val="none" w:sz="0" w:space="0" w:color="auto"/>
      </w:divBdr>
    </w:div>
    <w:div w:id="1928491035">
      <w:marLeft w:val="0"/>
      <w:marRight w:val="0"/>
      <w:marTop w:val="0"/>
      <w:marBottom w:val="0"/>
      <w:divBdr>
        <w:top w:val="none" w:sz="0" w:space="0" w:color="auto"/>
        <w:left w:val="none" w:sz="0" w:space="0" w:color="auto"/>
        <w:bottom w:val="none" w:sz="0" w:space="0" w:color="auto"/>
        <w:right w:val="none" w:sz="0" w:space="0" w:color="auto"/>
      </w:divBdr>
      <w:divsChild>
        <w:div w:id="789859643">
          <w:marLeft w:val="0"/>
          <w:marRight w:val="0"/>
          <w:marTop w:val="0"/>
          <w:marBottom w:val="0"/>
          <w:divBdr>
            <w:top w:val="single" w:sz="36" w:space="0" w:color="000000"/>
            <w:left w:val="none" w:sz="0" w:space="0" w:color="auto"/>
            <w:bottom w:val="single" w:sz="12" w:space="0" w:color="000000"/>
            <w:right w:val="none" w:sz="0" w:space="0" w:color="auto"/>
          </w:divBdr>
        </w:div>
      </w:divsChild>
    </w:div>
    <w:div w:id="1955012261">
      <w:marLeft w:val="0"/>
      <w:marRight w:val="0"/>
      <w:marTop w:val="0"/>
      <w:marBottom w:val="120"/>
      <w:divBdr>
        <w:top w:val="none" w:sz="0" w:space="0" w:color="auto"/>
        <w:left w:val="none" w:sz="0" w:space="0" w:color="auto"/>
        <w:bottom w:val="single" w:sz="12" w:space="0" w:color="000000"/>
        <w:right w:val="none" w:sz="0" w:space="0" w:color="auto"/>
      </w:divBdr>
    </w:div>
    <w:div w:id="1962228507">
      <w:marLeft w:val="0"/>
      <w:marRight w:val="0"/>
      <w:marTop w:val="0"/>
      <w:marBottom w:val="120"/>
      <w:divBdr>
        <w:top w:val="none" w:sz="0" w:space="0" w:color="auto"/>
        <w:left w:val="none" w:sz="0" w:space="0" w:color="auto"/>
        <w:bottom w:val="single" w:sz="12" w:space="0" w:color="000000"/>
        <w:right w:val="none" w:sz="0" w:space="0" w:color="auto"/>
      </w:divBdr>
    </w:div>
    <w:div w:id="1973825709">
      <w:marLeft w:val="0"/>
      <w:marRight w:val="0"/>
      <w:marTop w:val="0"/>
      <w:marBottom w:val="120"/>
      <w:divBdr>
        <w:top w:val="none" w:sz="0" w:space="0" w:color="auto"/>
        <w:left w:val="none" w:sz="0" w:space="0" w:color="auto"/>
        <w:bottom w:val="single" w:sz="12" w:space="0" w:color="000000"/>
        <w:right w:val="none" w:sz="0" w:space="0" w:color="auto"/>
      </w:divBdr>
    </w:div>
    <w:div w:id="1993292190">
      <w:marLeft w:val="0"/>
      <w:marRight w:val="0"/>
      <w:marTop w:val="0"/>
      <w:marBottom w:val="120"/>
      <w:divBdr>
        <w:top w:val="none" w:sz="0" w:space="0" w:color="auto"/>
        <w:left w:val="none" w:sz="0" w:space="0" w:color="auto"/>
        <w:bottom w:val="single" w:sz="12" w:space="0" w:color="000000"/>
        <w:right w:val="none" w:sz="0" w:space="0" w:color="auto"/>
      </w:divBdr>
    </w:div>
    <w:div w:id="2009095064">
      <w:marLeft w:val="0"/>
      <w:marRight w:val="0"/>
      <w:marTop w:val="0"/>
      <w:marBottom w:val="120"/>
      <w:divBdr>
        <w:top w:val="none" w:sz="0" w:space="0" w:color="auto"/>
        <w:left w:val="none" w:sz="0" w:space="0" w:color="auto"/>
        <w:bottom w:val="single" w:sz="12" w:space="0" w:color="000000"/>
        <w:right w:val="none" w:sz="0" w:space="0" w:color="auto"/>
      </w:divBdr>
    </w:div>
    <w:div w:id="2023821644">
      <w:marLeft w:val="0"/>
      <w:marRight w:val="0"/>
      <w:marTop w:val="0"/>
      <w:marBottom w:val="120"/>
      <w:divBdr>
        <w:top w:val="none" w:sz="0" w:space="0" w:color="auto"/>
        <w:left w:val="none" w:sz="0" w:space="0" w:color="auto"/>
        <w:bottom w:val="single" w:sz="12" w:space="0" w:color="000000"/>
        <w:right w:val="none" w:sz="0" w:space="0" w:color="auto"/>
      </w:divBdr>
    </w:div>
    <w:div w:id="2046981738">
      <w:marLeft w:val="0"/>
      <w:marRight w:val="0"/>
      <w:marTop w:val="0"/>
      <w:marBottom w:val="120"/>
      <w:divBdr>
        <w:top w:val="none" w:sz="0" w:space="0" w:color="auto"/>
        <w:left w:val="none" w:sz="0" w:space="0" w:color="auto"/>
        <w:bottom w:val="single" w:sz="12" w:space="0" w:color="000000"/>
        <w:right w:val="none" w:sz="0" w:space="0" w:color="auto"/>
      </w:divBdr>
    </w:div>
    <w:div w:id="2075739813">
      <w:marLeft w:val="0"/>
      <w:marRight w:val="0"/>
      <w:marTop w:val="0"/>
      <w:marBottom w:val="120"/>
      <w:divBdr>
        <w:top w:val="none" w:sz="0" w:space="0" w:color="auto"/>
        <w:left w:val="none" w:sz="0" w:space="0" w:color="auto"/>
        <w:bottom w:val="single" w:sz="12" w:space="0" w:color="000000"/>
        <w:right w:val="none" w:sz="0" w:space="0" w:color="auto"/>
      </w:divBdr>
    </w:div>
    <w:div w:id="2127195388">
      <w:marLeft w:val="0"/>
      <w:marRight w:val="0"/>
      <w:marTop w:val="0"/>
      <w:marBottom w:val="120"/>
      <w:divBdr>
        <w:top w:val="none" w:sz="0" w:space="0" w:color="auto"/>
        <w:left w:val="none" w:sz="0" w:space="0" w:color="auto"/>
        <w:bottom w:val="single" w:sz="12" w:space="0" w:color="000000"/>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582982/000149315218013723/ex3-1.htm" TargetMode="External"/><Relationship Id="rId18" Type="http://schemas.openxmlformats.org/officeDocument/2006/relationships/hyperlink" Target="http://www.sec.gov/Archives/edgar/data/1582982/000149315218013723/ex3-2.htm" TargetMode="External"/><Relationship Id="rId26" Type="http://schemas.openxmlformats.org/officeDocument/2006/relationships/hyperlink" Target="http://www.sec.gov/Archives/edgar/data/1582982/000149315217011626/ex10-2.htm" TargetMode="External"/><Relationship Id="rId39" Type="http://schemas.openxmlformats.org/officeDocument/2006/relationships/hyperlink" Target="http://www.sec.gov/Archives/edgar/data/1582982/000149315218006296/ex10-4.htm" TargetMode="External"/><Relationship Id="rId21" Type="http://schemas.openxmlformats.org/officeDocument/2006/relationships/hyperlink" Target="http://www.sec.gov/Archives/edgar/data/1582982/000149315218013723/ex3-6.htm" TargetMode="External"/><Relationship Id="rId34" Type="http://schemas.openxmlformats.org/officeDocument/2006/relationships/hyperlink" Target="http://www.sec.gov/Archives/edgar/data/1582982/000114420416090133/v434023_ex10-12.htm" TargetMode="External"/><Relationship Id="rId42" Type="http://schemas.openxmlformats.org/officeDocument/2006/relationships/hyperlink" Target="http://www.sec.gov/Archives/edgar/data/1582982/000149315219004086/ex10-1.htm" TargetMode="External"/><Relationship Id="rId47" Type="http://schemas.openxmlformats.org/officeDocument/2006/relationships/hyperlink" Target="ex21-1.htm" TargetMode="External"/><Relationship Id="rId50" Type="http://schemas.openxmlformats.org/officeDocument/2006/relationships/hyperlink" Target="ex31-2.htm" TargetMode="External"/><Relationship Id="rId7" Type="http://schemas.openxmlformats.org/officeDocument/2006/relationships/hyperlink" Target="http://www.sec.gov/Archives/edgar/data/1582982/000149315216013851/ex10-3.htm" TargetMode="External"/><Relationship Id="rId2" Type="http://schemas.openxmlformats.org/officeDocument/2006/relationships/settings" Target="settings.xml"/><Relationship Id="rId16" Type="http://schemas.openxmlformats.org/officeDocument/2006/relationships/hyperlink" Target="http://www.sec.gov/Archives/edgar/data/1582982/000149315219001509/ex3-1.htm" TargetMode="External"/><Relationship Id="rId29" Type="http://schemas.openxmlformats.org/officeDocument/2006/relationships/hyperlink" Target="ex4-6.htm" TargetMode="External"/><Relationship Id="rId11" Type="http://schemas.openxmlformats.org/officeDocument/2006/relationships/hyperlink" Target="http://www.sec.gov/Archives/edgar/data/1582982/000149315218013723/ex2-29.htm" TargetMode="External"/><Relationship Id="rId24" Type="http://schemas.openxmlformats.org/officeDocument/2006/relationships/hyperlink" Target="http://www.sec.gov/Archives/edgar/data/1582982/000114420414028369/v377260_ex4-1.htm" TargetMode="External"/><Relationship Id="rId32" Type="http://schemas.openxmlformats.org/officeDocument/2006/relationships/hyperlink" Target="http://www.sec.gov/Archives/edgar/data/1582982/000149315218011173/ex10-16.htm" TargetMode="External"/><Relationship Id="rId37" Type="http://schemas.openxmlformats.org/officeDocument/2006/relationships/hyperlink" Target="http://www.sec.gov/Archives/edgar/data/1582982/000149315218006296/ex10-2.htm" TargetMode="External"/><Relationship Id="rId40" Type="http://schemas.openxmlformats.org/officeDocument/2006/relationships/hyperlink" Target="http://www.sec.gov/Archives/edgar/data/1582982/000149315217011626/ex10-1.htm" TargetMode="External"/><Relationship Id="rId45" Type="http://schemas.openxmlformats.org/officeDocument/2006/relationships/hyperlink" Target="ex10-16.htm" TargetMode="External"/><Relationship Id="rId53" Type="http://schemas.openxmlformats.org/officeDocument/2006/relationships/fontTable" Target="fontTable.xml"/><Relationship Id="rId5" Type="http://schemas.openxmlformats.org/officeDocument/2006/relationships/hyperlink" Target="http://www.sec.gov/Archives/edgar/data/1582982/000149315216013851/ex10-1.htm" TargetMode="External"/><Relationship Id="rId10" Type="http://schemas.openxmlformats.org/officeDocument/2006/relationships/hyperlink" Target="http://www.sec.gov/Archives/edgar/data/1582982/000149315218009518/ex10-1.htm" TargetMode="External"/><Relationship Id="rId19" Type="http://schemas.openxmlformats.org/officeDocument/2006/relationships/hyperlink" Target="http://www.sec.gov/Archives/edgar/data/1582982/000149315218013723/ex3-3.htm" TargetMode="External"/><Relationship Id="rId31" Type="http://schemas.openxmlformats.org/officeDocument/2006/relationships/hyperlink" Target="http://www.sec.gov/Archives/edgar/data/1582982/000149315217001159/def14a.htm" TargetMode="External"/><Relationship Id="rId44" Type="http://schemas.openxmlformats.org/officeDocument/2006/relationships/hyperlink" Target="http://www.sec.gov/Archives/edgar/data/1582982/000149315219018154/ex1-1.htm" TargetMode="External"/><Relationship Id="rId52" Type="http://schemas.openxmlformats.org/officeDocument/2006/relationships/hyperlink" Target="ex32-2.htm" TargetMode="External"/><Relationship Id="rId4" Type="http://schemas.openxmlformats.org/officeDocument/2006/relationships/image" Target="file:///E:\projects\LLMs\new_data_collection\data_new\htm\CareCloud,%20Inc\image_001.jpg" TargetMode="External"/><Relationship Id="rId9" Type="http://schemas.openxmlformats.org/officeDocument/2006/relationships/hyperlink" Target="http://www.sec.gov/Archives/edgar/data/1582982/000149315217000775/ex2-1.htm" TargetMode="External"/><Relationship Id="rId14" Type="http://schemas.openxmlformats.org/officeDocument/2006/relationships/hyperlink" Target="http://www.sec.gov/Archives/edgar/data/1582982/000149315218013723/ex3-2.htm" TargetMode="External"/><Relationship Id="rId22" Type="http://schemas.openxmlformats.org/officeDocument/2006/relationships/hyperlink" Target="http://www.sec.gov/Archives/edgar/data/1582982/000149315220001200/ex3-1.htm" TargetMode="External"/><Relationship Id="rId27" Type="http://schemas.openxmlformats.org/officeDocument/2006/relationships/hyperlink" Target="http://www.sec.gov/Archives/edgar/data/1582982/000149315218013542/ex10-2.htm" TargetMode="External"/><Relationship Id="rId30" Type="http://schemas.openxmlformats.org/officeDocument/2006/relationships/hyperlink" Target="http://www.sec.gov/Archives/edgar/data/1582982/000114420414028369/v377260_ex10-1.htm" TargetMode="External"/><Relationship Id="rId35" Type="http://schemas.openxmlformats.org/officeDocument/2006/relationships/hyperlink" Target="http://www.sec.gov/Archives/edgar/data/1582982/000114420413068422/v362982_ex10-4.htm" TargetMode="External"/><Relationship Id="rId43" Type="http://schemas.openxmlformats.org/officeDocument/2006/relationships/hyperlink" Target="http://www.sec.gov/Archives/edgar/data/1582982/000149315219004870/ex10-1.htm" TargetMode="External"/><Relationship Id="rId48" Type="http://schemas.openxmlformats.org/officeDocument/2006/relationships/hyperlink" Target="ex23-1.htm" TargetMode="External"/><Relationship Id="rId8" Type="http://schemas.openxmlformats.org/officeDocument/2006/relationships/hyperlink" Target="http://www.sec.gov/Archives/edgar/data/1582982/000149315217000212/ex2-1.htm" TargetMode="External"/><Relationship Id="rId51" Type="http://schemas.openxmlformats.org/officeDocument/2006/relationships/hyperlink" Target="ex32-1.htm" TargetMode="External"/><Relationship Id="rId3" Type="http://schemas.openxmlformats.org/officeDocument/2006/relationships/webSettings" Target="webSettings.xml"/><Relationship Id="rId12" Type="http://schemas.openxmlformats.org/officeDocument/2006/relationships/hyperlink" Target="http://www.sec.gov/Archives/edgar/data/1582982/000149315220000344/ex2-1.htm" TargetMode="External"/><Relationship Id="rId17" Type="http://schemas.openxmlformats.org/officeDocument/2006/relationships/hyperlink" Target="http://www.sec.gov/Archives/edgar/data/1582982/000149315219009655/ex3-1.htm" TargetMode="External"/><Relationship Id="rId25" Type="http://schemas.openxmlformats.org/officeDocument/2006/relationships/hyperlink" Target="http://www.sec.gov/Archives/edgar/data/1582982/000114420415059897/v420930_ex4-2.htm" TargetMode="External"/><Relationship Id="rId33" Type="http://schemas.openxmlformats.org/officeDocument/2006/relationships/hyperlink" Target="http://www.sec.gov/Archives/edgar/data/1582982/000114420414021003/v365547_ex10-3.htm" TargetMode="External"/><Relationship Id="rId38" Type="http://schemas.openxmlformats.org/officeDocument/2006/relationships/hyperlink" Target="http://www.sec.gov/Archives/edgar/data/1582982/000149315218006296/ex10-3.htm" TargetMode="External"/><Relationship Id="rId46" Type="http://schemas.openxmlformats.org/officeDocument/2006/relationships/hyperlink" Target="ex10-17.htm" TargetMode="External"/><Relationship Id="rId20" Type="http://schemas.openxmlformats.org/officeDocument/2006/relationships/hyperlink" Target="http://www.sec.gov/Archives/edgar/data/1582982/000149315218013723/ex3-4.htm" TargetMode="External"/><Relationship Id="rId41" Type="http://schemas.openxmlformats.org/officeDocument/2006/relationships/hyperlink" Target="http://www.sec.gov/Archives/edgar/data/1582982/000149315218013542/ex10-1.htm"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582982/000149315216013851/ex10-2.htm" TargetMode="External"/><Relationship Id="rId15" Type="http://schemas.openxmlformats.org/officeDocument/2006/relationships/hyperlink" Target="http://www.sec.gov/Archives/edgar/data/1582982/000149315218013723/ex3-5.htm" TargetMode="External"/><Relationship Id="rId23" Type="http://schemas.openxmlformats.org/officeDocument/2006/relationships/hyperlink" Target="http://www.sec.gov/Archives/edgar/data/1582982/000114420414021003/v365547_ex3-2.htm" TargetMode="External"/><Relationship Id="rId28" Type="http://schemas.openxmlformats.org/officeDocument/2006/relationships/hyperlink" Target="ex4-5.htm" TargetMode="External"/><Relationship Id="rId36" Type="http://schemas.openxmlformats.org/officeDocument/2006/relationships/hyperlink" Target="http://www.sec.gov/Archives/edgar/data/1582982/000149315218006296/ex10-1.htm" TargetMode="External"/><Relationship Id="rId49"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53328</Words>
  <Characters>303972</Characters>
  <Application>Microsoft Office Word</Application>
  <DocSecurity>0</DocSecurity>
  <Lines>2533</Lines>
  <Paragraphs>713</Paragraphs>
  <ScaleCrop>false</ScaleCrop>
  <Company/>
  <LinksUpToDate>false</LinksUpToDate>
  <CharactersWithSpaces>356587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2024-01-04T15:37:00Z</dcterms:created>
  <dcterms:modified xsi:type="dcterms:W3CDTF">2024-01-04T15:37:00Z</dcterms:modified>
</cp:coreProperties>
</file>